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50768e10vq.htm"/>
        <w:bookmarkStart w:id="1" w:name="ksh50768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September 30, 2007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 OF THE SECURITIES EXCHANGE ACT OF 1934</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1-14569</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Delaware</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76-0582150</w:t>
            </w:r>
          </w:p>
        </w:tc>
      </w:tr>
      <w:tr>
        <w:trPr/>
        <w:tc>
          <w:tcPr>
            <w:tcW w:w="4844" w:type="dxa"/>
            <w:tcBorders/>
            <w:shd w:fill="auto" w:val="clear"/>
          </w:tcPr>
          <w:p>
            <w:pPr>
              <w:pStyle w:val="TableContents"/>
              <w:spacing w:before="0" w:after="283"/>
              <w:jc w:val="center"/>
              <w:rPr/>
            </w:pPr>
            <w:r>
              <w:rPr/>
              <w:t xml:space="preserve">(State or other jurisdiction of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w:t>
            </w:r>
          </w:p>
        </w:tc>
      </w:tr>
      <w:tr>
        <w:trPr/>
        <w:tc>
          <w:tcPr>
            <w:tcW w:w="4844" w:type="dxa"/>
            <w:tcBorders/>
            <w:shd w:fill="auto" w:val="clear"/>
          </w:tcPr>
          <w:p>
            <w:pPr>
              <w:pStyle w:val="TableContents"/>
              <w:spacing w:before="0" w:after="283"/>
              <w:jc w:val="center"/>
              <w:rPr/>
            </w:pPr>
            <w:r>
              <w:rPr/>
              <w:t xml:space="preserve">incorporation or organization)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 646-4100</w:t>
      </w:r>
      <w:r>
        <w:rPr>
          <w:rFonts w:ascii="Times New Roman;Times;serif" w:hAnsi="Times New Roman;Times;serif"/>
          <w:sz w:val="17"/>
        </w:rPr>
        <w:br/>
        <w:t>(Registrants telephone number, including area code)</w:t>
      </w:r>
    </w:p>
    <w:p>
      <w:pPr>
        <w:pStyle w:val="TextBody"/>
        <w:spacing w:before="120" w:after="283"/>
        <w:jc w:val="left"/>
        <w:rPr/>
      </w:pPr>
      <w:r>
        <w:rPr/>
        <w:t>     </w:t>
      </w: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Large Accelerated Filer ☑      Accelerated Filer </w:t>
      </w:r>
      <w:r>
        <w:rPr>
          <w:rFonts w:ascii="Wingdings" w:hAnsi="Wingdings"/>
          <w:sz w:val="17"/>
        </w:rPr>
        <w:t>o</w:t>
      </w:r>
      <w:r>
        <w:rPr>
          <w:rFonts w:ascii="Times New Roman;Times;serif" w:hAnsi="Times New Roman;Times;serif"/>
          <w:sz w:val="17"/>
        </w:rPr>
        <w:t xml:space="preserve">      Non-Accelerated Filer </w:t>
      </w:r>
      <w:r>
        <w:rPr>
          <w:rFonts w:ascii="Wingdings" w:hAnsi="Wingdings"/>
          <w:sz w:val="17"/>
        </w:rPr>
        <w:t>o</w:t>
      </w:r>
    </w:p>
    <w:p>
      <w:pPr>
        <w:pStyle w:val="TextBody"/>
        <w:spacing w:before="120" w:after="283"/>
        <w:jc w:val="left"/>
        <w:rPr/>
      </w:pPr>
      <w:r>
        <w:rPr/>
        <w:t>     </w:t>
      </w:r>
      <w:r>
        <w:rPr>
          <w:rFonts w:ascii="Times New Roman;Times;serif" w:hAnsi="Times New Roman;Times;serif"/>
          <w:sz w:val="17"/>
        </w:rPr>
        <w:t xml:space="preserve">Indicate by check mark whether the registrant is a shell company (as defined in Rule 12b-2 of the Exchange Act). </w:t>
      </w:r>
      <w:r>
        <w:rPr>
          <w:rFonts w:ascii="Wingdings" w:hAnsi="Wingdings"/>
          <w:sz w:val="17"/>
        </w:rPr>
        <w:t>o</w:t>
      </w:r>
      <w:r>
        <w:rPr>
          <w:rFonts w:ascii="Times New Roman;Times;serif" w:hAnsi="Times New Roman;Times;serif"/>
          <w:sz w:val="17"/>
        </w:rPr>
        <w:t xml:space="preserve"> Yes ☑ No </w:t>
      </w:r>
    </w:p>
    <w:p>
      <w:pPr>
        <w:pStyle w:val="TextBody"/>
        <w:spacing w:before="120" w:after="283"/>
        <w:jc w:val="left"/>
        <w:rPr/>
      </w:pPr>
      <w:r>
        <w:rPr/>
        <w:t>     </w:t>
      </w:r>
      <w:r>
        <w:rPr>
          <w:rFonts w:ascii="Times New Roman;Times;serif" w:hAnsi="Times New Roman;Times;serif"/>
          <w:sz w:val="17"/>
        </w:rPr>
        <w:t xml:space="preserve">At November 5, 2007, there were outstanding 115,981,676 Common Units.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TABLE OF CONTENTS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961"/>
        <w:gridCol w:w="508"/>
        <w:gridCol w:w="102"/>
        <w:gridCol w:w="508"/>
        <w:gridCol w:w="102"/>
        <w:gridCol w:w="24"/>
      </w:tblGrid>
      <w:tr>
        <w:trPr/>
        <w:tc>
          <w:tcPr>
            <w:tcW w:w="896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6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01">
              <w:r>
                <w:rPr>
                  <w:rStyle w:val="InternetLink"/>
                  <w:b/>
                </w:rPr>
                <w:t>PART I. FINANCIAL INFORMATION</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02">
              <w:r>
                <w:rPr>
                  <w:rStyle w:val="InternetLink"/>
                </w:rPr>
                <w:t>Item 1. UNAUDITED CONDENSED CONSOLIDATED FINANCIAL STATEMENTS: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3">
              <w:r>
                <w:rPr>
                  <w:rStyle w:val="InternetLink"/>
                </w:rPr>
                <w:t>Condensed Consolidated Balance Sheets: September 30, 2007 and December 31,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3</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4">
              <w:r>
                <w:rPr>
                  <w:rStyle w:val="InternetLink"/>
                </w:rPr>
                <w:t>Condensed Consolidated Statements of Operations: For the three months and nine months ended September 30, 2007 and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5">
              <w:r>
                <w:rPr>
                  <w:rStyle w:val="InternetLink"/>
                </w:rPr>
                <w:t>Condensed Consolidated Statements of Cash Flows: For the nine months ended September 30, 2007 and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5</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6">
              <w:r>
                <w:rPr>
                  <w:rStyle w:val="InternetLink"/>
                </w:rPr>
                <w:t>Condensed Consolidated Statement of Partners Capital: For the nine months ended September 30, 2007</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7">
              <w:r>
                <w:rPr>
                  <w:rStyle w:val="InternetLink"/>
                </w:rPr>
                <w:t>Condensed Consolidated Statements of Comprehensive Income: For the three months and nine months ended September 30, 2007 and 2006</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8">
              <w:r>
                <w:rPr>
                  <w:rStyle w:val="InternetLink"/>
                </w:rPr>
                <w:t>Condensed Consolidated Statement of Changes in Accumulated Other Comprehensive Income: For the nine months ended September 30, 2007</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450" w:right="0" w:hanging="225"/>
              <w:rPr/>
            </w:pPr>
            <w:hyperlink w:anchor="109">
              <w:r>
                <w:rPr>
                  <w:rStyle w:val="InternetLink"/>
                </w:rPr>
                <w:t>Notes to the Condensed Consolidated Financial Statements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7</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0">
              <w:r>
                <w:rPr>
                  <w:rStyle w:val="InternetLink"/>
                </w:rPr>
                <w:t>Item 2. MANAGEMENTS DISCUSSION AND ANALYSIS OF FINANCIAL CONDITION AND RESULTS OF OPERATIONS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29</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1">
              <w:r>
                <w:rPr>
                  <w:rStyle w:val="InternetLink"/>
                </w:rPr>
                <w:t>Item 3. QUANTITATIVE AND QUALITATIVE DISCLOSURES ABOUT MARKET RISK</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45</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2">
              <w:r>
                <w:rPr>
                  <w:rStyle w:val="InternetLink"/>
                </w:rPr>
                <w:t>Item 4. CONTROLS AND PROCEDURES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3">
              <w:r>
                <w:rPr>
                  <w:rStyle w:val="InternetLink"/>
                  <w:b/>
                </w:rPr>
                <w:t>PART II. OTHER INFORMATION</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4">
              <w:r>
                <w:rPr>
                  <w:rStyle w:val="InternetLink"/>
                </w:rPr>
                <w:t>Item 1. LEGAL PROCEEDINGS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5">
              <w:r>
                <w:rPr>
                  <w:rStyle w:val="InternetLink"/>
                </w:rPr>
                <w:t>Item 1A. RISK FACTORS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6">
              <w:r>
                <w:rPr>
                  <w:rStyle w:val="InternetLink"/>
                </w:rPr>
                <w:t>Item 2. UNREGISTERED SALES OF EQUITY SECURITIES AND USE OF PROCEEDS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46</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7">
              <w:r>
                <w:rPr>
                  <w:rStyle w:val="InternetLink"/>
                </w:rPr>
                <w:t>Item 3. DEFAULTS UPON SENIOR SECURITIES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47</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8">
              <w:r>
                <w:rPr>
                  <w:rStyle w:val="InternetLink"/>
                </w:rPr>
                <w:t>Item 4. SUBMISSION OF MATTERS TO A VOTE OF SECURITY HOLDERS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47</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19">
              <w:r>
                <w:rPr>
                  <w:rStyle w:val="InternetLink"/>
                </w:rPr>
                <w:t>Item 5. OTHER INFORMATION</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47</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20">
              <w:r>
                <w:rPr>
                  <w:rStyle w:val="InternetLink"/>
                </w:rPr>
                <w:t>Item 6. EXHIBITS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48</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8961" w:type="dxa"/>
            <w:tcBorders/>
            <w:shd w:fill="auto" w:val="clear"/>
            <w:vAlign w:val="bottom"/>
          </w:tcPr>
          <w:p>
            <w:pPr>
              <w:pStyle w:val="TableContents"/>
              <w:spacing w:before="0" w:after="0"/>
              <w:ind w:left="225" w:right="0" w:hanging="225"/>
              <w:rPr/>
            </w:pPr>
            <w:hyperlink w:anchor="121">
              <w:r>
                <w:rPr>
                  <w:rStyle w:val="InternetLink"/>
                </w:rPr>
                <w:t>SIGNATURES</w:t>
              </w:r>
            </w:hyperlink>
          </w:p>
        </w:tc>
        <w:tc>
          <w:tcPr>
            <w:tcW w:w="508"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center"/>
              <w:rPr/>
            </w:pPr>
            <w:r>
              <w:rPr/>
              <w:t>52</w:t>
            </w:r>
          </w:p>
        </w:tc>
        <w:tc>
          <w:tcPr>
            <w:tcW w:w="102" w:type="dxa"/>
            <w:tcBorders/>
            <w:shd w:fill="auto" w:val="clear"/>
            <w:vAlign w:val="bottom"/>
          </w:tcPr>
          <w:p>
            <w:pPr>
              <w:pStyle w:val="TableContents"/>
              <w:spacing w:before="0" w:after="283"/>
              <w:rPr/>
            </w:pPr>
            <w:r>
              <w:rPr/>
              <w:t> </w:t>
            </w:r>
          </w:p>
        </w:tc>
        <w:tc>
          <w:tcPr>
            <w:tcW w:w="24"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h50768exv10w3.htm">
              <w:r>
                <w:rPr>
                  <w:rStyle w:val="InternetLink"/>
                  <w:sz w:val="20"/>
                </w:rPr>
                <w:t>Separation and Release Agreement</w:t>
              </w:r>
            </w:hyperlink>
          </w:p>
        </w:tc>
      </w:tr>
      <w:tr>
        <w:trPr/>
        <w:tc>
          <w:tcPr>
            <w:tcW w:w="10205" w:type="dxa"/>
            <w:gridSpan w:val="6"/>
            <w:tcBorders/>
            <w:shd w:fill="auto" w:val="clear"/>
            <w:vAlign w:val="center"/>
          </w:tcPr>
          <w:p>
            <w:pPr>
              <w:pStyle w:val="TableContents"/>
              <w:spacing w:before="0" w:after="283"/>
              <w:rPr/>
            </w:pPr>
            <w:r>
              <w:rPr/>
              <w:t> </w:t>
            </w:r>
            <w:hyperlink w:anchor="h50768exv31w1.htm">
              <w:r>
                <w:rPr>
                  <w:rStyle w:val="InternetLink"/>
                  <w:sz w:val="20"/>
                </w:rPr>
                <w:t>Certification of Principal Executive Officer</w:t>
              </w:r>
            </w:hyperlink>
          </w:p>
        </w:tc>
      </w:tr>
      <w:tr>
        <w:trPr/>
        <w:tc>
          <w:tcPr>
            <w:tcW w:w="10205" w:type="dxa"/>
            <w:gridSpan w:val="6"/>
            <w:tcBorders/>
            <w:shd w:fill="auto" w:val="clear"/>
            <w:vAlign w:val="center"/>
          </w:tcPr>
          <w:p>
            <w:pPr>
              <w:pStyle w:val="TableContents"/>
              <w:spacing w:before="0" w:after="283"/>
              <w:rPr/>
            </w:pPr>
            <w:r>
              <w:rPr/>
              <w:t> </w:t>
            </w:r>
            <w:hyperlink w:anchor="h50768exv31w2.htm">
              <w:r>
                <w:rPr>
                  <w:rStyle w:val="InternetLink"/>
                  <w:sz w:val="20"/>
                </w:rPr>
                <w:t>Certification of Principal Financial Officer</w:t>
              </w:r>
            </w:hyperlink>
          </w:p>
        </w:tc>
      </w:tr>
      <w:tr>
        <w:trPr/>
        <w:tc>
          <w:tcPr>
            <w:tcW w:w="10205" w:type="dxa"/>
            <w:gridSpan w:val="6"/>
            <w:tcBorders/>
            <w:shd w:fill="auto" w:val="clear"/>
            <w:vAlign w:val="center"/>
          </w:tcPr>
          <w:p>
            <w:pPr>
              <w:pStyle w:val="TableContents"/>
              <w:spacing w:before="0" w:after="283"/>
              <w:rPr/>
            </w:pPr>
            <w:r>
              <w:rPr/>
              <w:t> </w:t>
            </w:r>
            <w:hyperlink w:anchor="h50768exv32w1.htm">
              <w:r>
                <w:rPr>
                  <w:rStyle w:val="InternetLink"/>
                  <w:sz w:val="20"/>
                </w:rPr>
                <w:t>Certification of Principal Executive Officer</w:t>
              </w:r>
            </w:hyperlink>
          </w:p>
        </w:tc>
      </w:tr>
      <w:tr>
        <w:trPr/>
        <w:tc>
          <w:tcPr>
            <w:tcW w:w="10205" w:type="dxa"/>
            <w:gridSpan w:val="6"/>
            <w:tcBorders/>
            <w:shd w:fill="auto" w:val="clear"/>
            <w:vAlign w:val="center"/>
          </w:tcPr>
          <w:p>
            <w:pPr>
              <w:pStyle w:val="TableContents"/>
              <w:spacing w:before="0" w:after="283"/>
              <w:rPr/>
            </w:pPr>
            <w:r>
              <w:rPr/>
              <w:t> </w:t>
            </w:r>
            <w:hyperlink w:anchor="h50768exv32w2.htm">
              <w:r>
                <w:rPr>
                  <w:rStyle w:val="InternetLink"/>
                  <w:sz w:val="20"/>
                </w:rPr>
                <w:t>Certification of Principal Financial Officer</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Item 1. UNAUDITED CONDENSED CONSOLIDATED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CONDENSED CONSOLIDATED BALANCE SHEETS</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 except units)</w:t>
      </w:r>
    </w:p>
    <w:tbl>
      <w:tblPr>
        <w:tblW w:w="5000" w:type="pct"/>
        <w:jc w:val="center"/>
        <w:tblInd w:w="0" w:type="dxa"/>
        <w:tblCellMar>
          <w:top w:w="0" w:type="dxa"/>
          <w:left w:w="0" w:type="dxa"/>
          <w:bottom w:w="0" w:type="dxa"/>
          <w:right w:w="0" w:type="dxa"/>
        </w:tblCellMar>
      </w:tblPr>
      <w:tblGrid>
        <w:gridCol w:w="6274"/>
        <w:gridCol w:w="365"/>
        <w:gridCol w:w="238"/>
        <w:gridCol w:w="1247"/>
        <w:gridCol w:w="135"/>
        <w:gridCol w:w="365"/>
        <w:gridCol w:w="232"/>
        <w:gridCol w:w="1209"/>
        <w:gridCol w:w="140"/>
      </w:tblGrid>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85" w:type="dxa"/>
            <w:gridSpan w:val="2"/>
            <w:tcBorders/>
            <w:shd w:fill="auto" w:val="clear"/>
            <w:vAlign w:val="bottom"/>
          </w:tcPr>
          <w:p>
            <w:pPr>
              <w:pStyle w:val="TableContents"/>
              <w:spacing w:before="0" w:after="283"/>
              <w:jc w:val="center"/>
              <w:rPr>
                <w:b/>
              </w:rPr>
            </w:pPr>
            <w:r>
              <w:rPr>
                <w:b/>
              </w:rPr>
              <w:t>September 30,</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jc w:val="center"/>
              <w:rPr>
                <w:b/>
              </w:rPr>
            </w:pPr>
            <w:r>
              <w:rPr>
                <w:b/>
              </w:rPr>
              <w:t>December 31,</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8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4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3426" w:type="dxa"/>
            <w:gridSpan w:val="6"/>
            <w:tcBorders/>
            <w:shd w:fill="auto" w:val="clear"/>
            <w:vAlign w:val="bottom"/>
          </w:tcPr>
          <w:p>
            <w:pPr>
              <w:pStyle w:val="TableContents"/>
              <w:spacing w:before="0" w:after="283"/>
              <w:jc w:val="center"/>
              <w:rPr>
                <w:b/>
              </w:rPr>
            </w:pPr>
            <w:r>
              <w:rPr>
                <w:b/>
              </w:rPr>
              <w:t>(unaudited)</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jc w:val="center"/>
              <w:rPr>
                <w:b/>
              </w:rPr>
            </w:pPr>
            <w:r>
              <w:rPr>
                <w:b/>
              </w:rPr>
              <w:t>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CURRENT ASSETS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Cash and cash equivalents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247" w:type="dxa"/>
            <w:tcBorders/>
            <w:shd w:fill="CCEEFF" w:val="clear"/>
            <w:vAlign w:val="bottom"/>
          </w:tcPr>
          <w:p>
            <w:pPr>
              <w:pStyle w:val="TableContents"/>
              <w:spacing w:before="0" w:after="283"/>
              <w:jc w:val="right"/>
              <w:rPr/>
            </w:pPr>
            <w:r>
              <w:rPr/>
              <w:t>12.5</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209" w:type="dxa"/>
            <w:tcBorders/>
            <w:shd w:fill="CCEEFF" w:val="clear"/>
            <w:vAlign w:val="bottom"/>
          </w:tcPr>
          <w:p>
            <w:pPr>
              <w:pStyle w:val="TableContents"/>
              <w:spacing w:before="0" w:after="283"/>
              <w:jc w:val="right"/>
              <w:rPr/>
            </w:pPr>
            <w:r>
              <w:rPr/>
              <w:t>11.3</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Trade accounts receivable and other receivables, net</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2,098.0</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1,725.4</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Inventory</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964.9</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1,290.0</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Other current assets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109.2</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130.9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current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3,184.6</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3,157.6</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PROPERTY AND EQUIPMENT</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4,751.9</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4,190.1</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Accumulated depreciation</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 </w:t>
            </w:r>
          </w:p>
        </w:tc>
        <w:tc>
          <w:tcPr>
            <w:tcW w:w="1247" w:type="dxa"/>
            <w:tcBorders/>
            <w:shd w:fill="CCEEFF" w:val="clear"/>
            <w:vAlign w:val="bottom"/>
          </w:tcPr>
          <w:p>
            <w:pPr>
              <w:pStyle w:val="TableContents"/>
              <w:spacing w:before="0" w:after="283"/>
              <w:jc w:val="right"/>
              <w:rPr/>
            </w:pPr>
            <w:r>
              <w:rPr/>
              <w:t>(479.2</w:t>
            </w:r>
          </w:p>
        </w:tc>
        <w:tc>
          <w:tcPr>
            <w:tcW w:w="135" w:type="dxa"/>
            <w:tcBorders/>
            <w:shd w:fill="CCEEFF" w:val="clear"/>
            <w:vAlign w:val="bottom"/>
          </w:tcPr>
          <w:p>
            <w:pPr>
              <w:pStyle w:val="TableContents"/>
              <w:spacing w:before="0" w:after="283"/>
              <w:rPr/>
            </w:pPr>
            <w:r>
              <w:rPr/>
              <w:t>)</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 </w:t>
            </w:r>
          </w:p>
        </w:tc>
        <w:tc>
          <w:tcPr>
            <w:tcW w:w="1209" w:type="dxa"/>
            <w:tcBorders/>
            <w:shd w:fill="CCEEFF" w:val="clear"/>
            <w:vAlign w:val="bottom"/>
          </w:tcPr>
          <w:p>
            <w:pPr>
              <w:pStyle w:val="TableContents"/>
              <w:spacing w:before="0" w:after="283"/>
              <w:jc w:val="right"/>
              <w:rPr/>
            </w:pPr>
            <w:r>
              <w:rPr/>
              <w:t>(348.1</w:t>
            </w:r>
          </w:p>
        </w:tc>
        <w:tc>
          <w:tcPr>
            <w:tcW w:w="140" w:type="dxa"/>
            <w:tcBorders/>
            <w:shd w:fill="CCEEFF" w:val="clear"/>
            <w:vAlign w:val="bottom"/>
          </w:tcPr>
          <w:p>
            <w:pPr>
              <w:pStyle w:val="TableContents"/>
              <w:spacing w:before="0" w:after="283"/>
              <w:rPr/>
            </w:pPr>
            <w:r>
              <w:rPr/>
              <w:t>)</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4,272.7</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3,842.0</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b/>
              </w:rPr>
            </w:pPr>
            <w:r>
              <w:rPr>
                <w:b/>
              </w:rPr>
              <w:t>OTHER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Pipeline linefill in owned assets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240.5</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265.5</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Inventory in third-party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63.0</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75.7</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Investment in unconsolidated entities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212.9</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183.0</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Goodwill</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1,059.2</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1,026.2</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Other, net</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154.3</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164.9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assets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247" w:type="dxa"/>
            <w:tcBorders/>
            <w:shd w:fill="CCEEFF" w:val="clear"/>
            <w:vAlign w:val="bottom"/>
          </w:tcPr>
          <w:p>
            <w:pPr>
              <w:pStyle w:val="TableContents"/>
              <w:spacing w:before="0" w:after="283"/>
              <w:jc w:val="right"/>
              <w:rPr/>
            </w:pPr>
            <w:r>
              <w:rPr/>
              <w:t>9,187.2</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left"/>
              <w:rPr/>
            </w:pPr>
            <w:r>
              <w:rPr/>
              <w:t>$</w:t>
            </w:r>
          </w:p>
        </w:tc>
        <w:tc>
          <w:tcPr>
            <w:tcW w:w="1209" w:type="dxa"/>
            <w:tcBorders/>
            <w:shd w:fill="CCEEFF" w:val="clear"/>
            <w:vAlign w:val="bottom"/>
          </w:tcPr>
          <w:p>
            <w:pPr>
              <w:pStyle w:val="TableContents"/>
              <w:spacing w:before="0" w:after="283"/>
              <w:jc w:val="right"/>
              <w:rPr/>
            </w:pPr>
            <w:r>
              <w:rPr/>
              <w:t>8,714.9</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jc w:val="center"/>
              <w:rPr>
                <w:b/>
              </w:rPr>
            </w:pPr>
            <w:r>
              <w:rPr>
                <w:b/>
              </w:rPr>
              <w:t>LIABILITIES AND PARTNERS CAPITAL</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b/>
              </w:rPr>
            </w:pPr>
            <w:r>
              <w:rPr>
                <w:b/>
              </w:rPr>
              <w:t>CURRENT LIABILITIES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Accounts payable and accrued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247" w:type="dxa"/>
            <w:tcBorders/>
            <w:shd w:fill="auto" w:val="clear"/>
            <w:vAlign w:val="bottom"/>
          </w:tcPr>
          <w:p>
            <w:pPr>
              <w:pStyle w:val="TableContents"/>
              <w:spacing w:before="0" w:after="283"/>
              <w:jc w:val="right"/>
              <w:rPr/>
            </w:pPr>
            <w:r>
              <w:rPr/>
              <w:t>2,358.0</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209" w:type="dxa"/>
            <w:tcBorders/>
            <w:shd w:fill="auto" w:val="clear"/>
            <w:vAlign w:val="bottom"/>
          </w:tcPr>
          <w:p>
            <w:pPr>
              <w:pStyle w:val="TableContents"/>
              <w:spacing w:before="0" w:after="283"/>
              <w:jc w:val="right"/>
              <w:rPr/>
            </w:pPr>
            <w:r>
              <w:rPr/>
              <w:t>1,846.6</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Short-term debt</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481.1</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1,001.2</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Other current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181.0</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176.9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current liabilities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3,020.1</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3,024.7</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LONG-TERM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Long-term debt under credit facilities and other</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1.2</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3.1</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Senior notes, net of unamortized net discount of $2.0 and $1.8, respectively</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2,623.0</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2,623.2</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Other long-term liabilities and deferred credits</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119.7</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87.1</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450" w:right="0" w:hanging="225"/>
              <w:rPr/>
            </w:pPr>
            <w:r>
              <w:rPr/>
              <w:t>Total long-term liabilities</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2,743.9</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2,713.4</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b/>
              </w:rPr>
            </w:pPr>
            <w:r>
              <w:rPr>
                <w:b/>
              </w:rPr>
              <w:t>COMMITMENTS AND CONTINGENCIES (NOTE 12)</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 </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b/>
              </w:rPr>
            </w:pPr>
            <w:r>
              <w:rPr>
                <w:b/>
              </w:rPr>
              <w:t>PARTNERS CAPITAL</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225" w:right="0" w:hanging="225"/>
              <w:rPr/>
            </w:pPr>
            <w:r>
              <w:rPr/>
              <w:t>Common unitholders (115,981,676 and 109,405,178 units outstanding at September 30, 2007 and December 31, 2006, respectively)</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3,342.9</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2,906.1</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bottom"/>
          </w:tcPr>
          <w:p>
            <w:pPr>
              <w:pStyle w:val="TableContents"/>
              <w:spacing w:before="0" w:after="0"/>
              <w:ind w:left="225" w:right="0" w:hanging="225"/>
              <w:rPr/>
            </w:pPr>
            <w:r>
              <w:rPr/>
              <w:t>General partner</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247" w:type="dxa"/>
            <w:tcBorders/>
            <w:shd w:fill="auto" w:val="clear"/>
            <w:vAlign w:val="bottom"/>
          </w:tcPr>
          <w:p>
            <w:pPr>
              <w:pStyle w:val="TableContents"/>
              <w:spacing w:before="0" w:after="283"/>
              <w:jc w:val="right"/>
              <w:rPr/>
            </w:pPr>
            <w:r>
              <w:rPr/>
              <w:t>80.3</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70.7</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CCEEFF" w:val="clear"/>
            <w:vAlign w:val="bottom"/>
          </w:tcPr>
          <w:p>
            <w:pPr>
              <w:pStyle w:val="TableContents"/>
              <w:spacing w:before="0" w:after="0"/>
              <w:ind w:left="450" w:right="0" w:hanging="225"/>
              <w:rPr/>
            </w:pPr>
            <w:r>
              <w:rPr/>
              <w:t>Total partners capital</w:t>
            </w:r>
          </w:p>
        </w:tc>
        <w:tc>
          <w:tcPr>
            <w:tcW w:w="365"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3,423.2</w:t>
            </w:r>
          </w:p>
        </w:tc>
        <w:tc>
          <w:tcPr>
            <w:tcW w:w="135"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2,976.8</w:t>
            </w:r>
          </w:p>
        </w:tc>
        <w:tc>
          <w:tcPr>
            <w:tcW w:w="140" w:type="dxa"/>
            <w:tcBorders/>
            <w:shd w:fill="CCEEFF"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274" w:type="dxa"/>
            <w:tcBorders/>
            <w:shd w:fill="auto" w:val="clear"/>
            <w:vAlign w:val="bottom"/>
          </w:tcPr>
          <w:p>
            <w:pPr>
              <w:pStyle w:val="TableContents"/>
              <w:spacing w:before="0" w:after="0"/>
              <w:ind w:left="450" w:right="0" w:hanging="225"/>
              <w:rPr/>
            </w:pPr>
            <w:r>
              <w:rPr/>
              <w:t>Total liabilities and partners capital</w:t>
            </w:r>
          </w:p>
        </w:tc>
        <w:tc>
          <w:tcPr>
            <w:tcW w:w="365"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247" w:type="dxa"/>
            <w:tcBorders/>
            <w:shd w:fill="auto" w:val="clear"/>
            <w:vAlign w:val="bottom"/>
          </w:tcPr>
          <w:p>
            <w:pPr>
              <w:pStyle w:val="TableContents"/>
              <w:spacing w:before="0" w:after="283"/>
              <w:jc w:val="right"/>
              <w:rPr/>
            </w:pPr>
            <w:r>
              <w:rPr/>
              <w:t>9,187.2</w:t>
            </w:r>
          </w:p>
        </w:tc>
        <w:tc>
          <w:tcPr>
            <w:tcW w:w="135"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left"/>
              <w:rPr/>
            </w:pPr>
            <w:r>
              <w:rPr/>
              <w:t>$</w:t>
            </w:r>
          </w:p>
        </w:tc>
        <w:tc>
          <w:tcPr>
            <w:tcW w:w="1209" w:type="dxa"/>
            <w:tcBorders/>
            <w:shd w:fill="auto" w:val="clear"/>
            <w:vAlign w:val="bottom"/>
          </w:tcPr>
          <w:p>
            <w:pPr>
              <w:pStyle w:val="TableContents"/>
              <w:spacing w:before="0" w:after="283"/>
              <w:jc w:val="right"/>
              <w:rPr/>
            </w:pPr>
            <w:r>
              <w:rPr/>
              <w:t>8,714.9</w:t>
            </w:r>
          </w:p>
        </w:tc>
        <w:tc>
          <w:tcPr>
            <w:tcW w:w="140" w:type="dxa"/>
            <w:tcBorders/>
            <w:shd w:fill="auto" w:val="clear"/>
            <w:vAlign w:val="bottom"/>
          </w:tcPr>
          <w:p>
            <w:pPr>
              <w:pStyle w:val="TableContents"/>
              <w:spacing w:before="0" w:after="283"/>
              <w:rPr/>
            </w:pPr>
            <w:r>
              <w:rPr/>
              <w:t> </w:t>
            </w:r>
          </w:p>
        </w:tc>
      </w:tr>
      <w:tr>
        <w:trPr/>
        <w:tc>
          <w:tcPr>
            <w:tcW w:w="6274" w:type="dxa"/>
            <w:tcBorders/>
            <w:shd w:fill="auto" w:val="clear"/>
            <w:vAlign w:val="center"/>
          </w:tcPr>
          <w:p>
            <w:pPr>
              <w:pStyle w:val="TableContents"/>
              <w:spacing w:before="0" w:after="0"/>
              <w:ind w:left="225" w:right="0" w:hanging="225"/>
              <w:rPr/>
            </w:pPr>
            <w:r>
              <w:rPr/>
              <w:t> </w:t>
            </w:r>
          </w:p>
        </w:tc>
        <w:tc>
          <w:tcPr>
            <w:tcW w:w="365" w:type="dxa"/>
            <w:tcBorders/>
            <w:shd w:fill="auto" w:val="clear"/>
            <w:vAlign w:val="center"/>
          </w:tcPr>
          <w:p>
            <w:pPr>
              <w:pStyle w:val="TableContents"/>
              <w:spacing w:before="0" w:after="283"/>
              <w:rPr/>
            </w:pPr>
            <w:r>
              <w:rPr/>
              <w:t> </w:t>
            </w:r>
          </w:p>
        </w:tc>
        <w:tc>
          <w:tcPr>
            <w:tcW w:w="148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14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CONDENSED CONSOLIDATED STATEMENTS OF OPERATIONS</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 except per unit data)</w:t>
      </w:r>
    </w:p>
    <w:tbl>
      <w:tblPr>
        <w:tblW w:w="5000" w:type="pct"/>
        <w:jc w:val="center"/>
        <w:tblInd w:w="0" w:type="dxa"/>
        <w:tblCellMar>
          <w:top w:w="0" w:type="dxa"/>
          <w:left w:w="0" w:type="dxa"/>
          <w:bottom w:w="0" w:type="dxa"/>
          <w:right w:w="0" w:type="dxa"/>
        </w:tblCellMar>
      </w:tblPr>
      <w:tblGrid>
        <w:gridCol w:w="4345"/>
        <w:gridCol w:w="321"/>
        <w:gridCol w:w="164"/>
        <w:gridCol w:w="858"/>
        <w:gridCol w:w="129"/>
        <w:gridCol w:w="327"/>
        <w:gridCol w:w="164"/>
        <w:gridCol w:w="860"/>
        <w:gridCol w:w="120"/>
        <w:gridCol w:w="321"/>
        <w:gridCol w:w="150"/>
        <w:gridCol w:w="862"/>
        <w:gridCol w:w="119"/>
        <w:gridCol w:w="321"/>
        <w:gridCol w:w="150"/>
        <w:gridCol w:w="862"/>
        <w:gridCol w:w="132"/>
      </w:tblGrid>
      <w:tr>
        <w:trPr/>
        <w:tc>
          <w:tcPr>
            <w:tcW w:w="4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502" w:type="dxa"/>
            <w:gridSpan w:val="6"/>
            <w:tcBorders/>
            <w:shd w:fill="auto" w:val="clear"/>
            <w:vAlign w:val="bottom"/>
          </w:tcPr>
          <w:p>
            <w:pPr>
              <w:pStyle w:val="TableContents"/>
              <w:spacing w:before="0" w:after="283"/>
              <w:jc w:val="center"/>
              <w:rPr>
                <w:b/>
              </w:rPr>
            </w:pPr>
            <w:r>
              <w:rPr>
                <w:b/>
              </w:rPr>
              <w:t>Three Months Ended</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464" w:type="dxa"/>
            <w:gridSpan w:val="6"/>
            <w:tcBorders/>
            <w:shd w:fill="auto" w:val="clear"/>
            <w:vAlign w:val="bottom"/>
          </w:tcPr>
          <w:p>
            <w:pPr>
              <w:pStyle w:val="TableContents"/>
              <w:spacing w:before="0" w:after="283"/>
              <w:jc w:val="center"/>
              <w:rPr>
                <w:b/>
              </w:rPr>
            </w:pPr>
            <w:r>
              <w:rPr>
                <w:b/>
              </w:rPr>
              <w:t>Nine Months Ended</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50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46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0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02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0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0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502" w:type="dxa"/>
            <w:gridSpan w:val="6"/>
            <w:tcBorders/>
            <w:shd w:fill="auto" w:val="clear"/>
            <w:vAlign w:val="bottom"/>
          </w:tcPr>
          <w:p>
            <w:pPr>
              <w:pStyle w:val="TableContents"/>
              <w:spacing w:before="0" w:after="283"/>
              <w:jc w:val="center"/>
              <w:rPr/>
            </w:pPr>
            <w:r>
              <w:rPr/>
              <w:t>(unaudited)</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2464" w:type="dxa"/>
            <w:gridSpan w:val="6"/>
            <w:tcBorders/>
            <w:shd w:fill="auto" w:val="clear"/>
            <w:vAlign w:val="bottom"/>
          </w:tcPr>
          <w:p>
            <w:pPr>
              <w:pStyle w:val="TableContents"/>
              <w:spacing w:before="0" w:after="283"/>
              <w:jc w:val="center"/>
              <w:rPr/>
            </w:pPr>
            <w:r>
              <w:rPr/>
              <w:t>(unaudited)</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b/>
              </w:rPr>
            </w:pPr>
            <w:r>
              <w:rPr>
                <w:b/>
              </w:rPr>
              <w:t>REVENUES</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283"/>
              <w:rPr/>
            </w:pPr>
            <w:r>
              <w:rPr/>
              <w:t> </w:t>
            </w:r>
          </w:p>
        </w:tc>
        <w:tc>
          <w:tcPr>
            <w:tcW w:w="5860" w:type="dxa"/>
            <w:gridSpan w:val="16"/>
            <w:tcBorders/>
            <w:shd w:fill="auto" w:val="clear"/>
          </w:tcPr>
          <w:p>
            <w:pPr>
              <w:pStyle w:val="TableContents"/>
              <w:spacing w:before="0" w:after="283"/>
              <w:rPr>
                <w:sz w:val="4"/>
                <w:szCs w:val="4"/>
              </w:rPr>
            </w:pPr>
            <w:r>
              <w:rPr>
                <w:sz w:val="4"/>
                <w:szCs w:val="4"/>
              </w:rPr>
            </w:r>
          </w:p>
        </w:tc>
      </w:tr>
      <w:tr>
        <w:trPr/>
        <w:tc>
          <w:tcPr>
            <w:tcW w:w="4345" w:type="dxa"/>
            <w:tcBorders/>
            <w:shd w:fill="auto" w:val="clear"/>
            <w:vAlign w:val="bottom"/>
          </w:tcPr>
          <w:p>
            <w:pPr>
              <w:pStyle w:val="TableContents"/>
              <w:spacing w:before="0" w:after="0"/>
              <w:ind w:left="225" w:right="0" w:hanging="225"/>
              <w:rPr/>
            </w:pPr>
            <w:r>
              <w:rPr/>
              <w:t>Crude oil, refined products and LPG sales and related revenues (includes buy/sell transactions of $4,761.9 in the first three months of 2006)</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5,673.2</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4,449.4</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13,581.9</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17,843.8</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Pipeline tariff activities revenues</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93.2</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71.4</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272.7</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198.4</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Other revenues</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32.6</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4.7</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91.7</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10.4</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450" w:right="0" w:hanging="225"/>
              <w:rPr/>
            </w:pPr>
            <w:r>
              <w:rPr/>
              <w:t>Total revenues</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5,799.0</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4,525.5</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13,946.3</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18,052.6</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b/>
              </w:rPr>
            </w:pPr>
            <w:r>
              <w:rPr>
                <w:b/>
              </w:rPr>
              <w:t>COSTS AND EXPENSES</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Crude oil, refined products and LPG purchases and related costs (includes buy/sell transactions of $4,795.1 in the first three months of 2006)</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5,455.2</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4,261.5</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12,884.4</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17,343.3</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Field operating costs</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133.4</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94.0</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394.8</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268.6</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General and administrative expenses</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33.4</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33.0</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127.9</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92.2</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Depreciation and amortization</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42.9</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24.2</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134.9</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67.1</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450" w:right="0" w:hanging="225"/>
              <w:rPr/>
            </w:pPr>
            <w:r>
              <w:rPr/>
              <w:t>Total costs and expenses</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5,664.9</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4,412.7</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13,542.0</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17,771.2</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b/>
              </w:rPr>
            </w:pPr>
            <w:r>
              <w:rPr>
                <w:b/>
              </w:rPr>
              <w:t>OPERATING INCOME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134.1</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112.8</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404.3</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281.4</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b/>
              </w:rPr>
            </w:pPr>
            <w:r>
              <w:rPr>
                <w:b/>
              </w:rPr>
              <w:t>OTHER INCOME/(EXPENSE)</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Equity earnings in unconsolidated entities</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3.8</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1.5</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12.4</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3.2</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Interest expense (net of capitalized interest of $4.1 and $1.7 in the three months and $9.8 and $3.4 in the nine months ended September 30, 2007 and 2006, respectively)</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(38.8</w:t>
            </w:r>
          </w:p>
        </w:tc>
        <w:tc>
          <w:tcPr>
            <w:tcW w:w="129" w:type="dxa"/>
            <w:tcBorders/>
            <w:shd w:fill="CCEEFF" w:val="clear"/>
            <w:vAlign w:val="bottom"/>
          </w:tcPr>
          <w:p>
            <w:pPr>
              <w:pStyle w:val="TableContents"/>
              <w:spacing w:before="0" w:after="283"/>
              <w:rPr/>
            </w:pPr>
            <w:r>
              <w:rPr/>
              <w:t>)</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60" w:type="dxa"/>
            <w:tcBorders/>
            <w:shd w:fill="CCEEFF" w:val="clear"/>
            <w:vAlign w:val="bottom"/>
          </w:tcPr>
          <w:p>
            <w:pPr>
              <w:pStyle w:val="TableContents"/>
              <w:spacing w:before="0" w:after="283"/>
              <w:jc w:val="right"/>
              <w:rPr/>
            </w:pPr>
            <w:r>
              <w:rPr/>
              <w:t>(19.2</w:t>
            </w:r>
          </w:p>
        </w:tc>
        <w:tc>
          <w:tcPr>
            <w:tcW w:w="120" w:type="dxa"/>
            <w:tcBorders/>
            <w:shd w:fill="CCEEFF" w:val="clear"/>
            <w:vAlign w:val="bottom"/>
          </w:tcPr>
          <w:p>
            <w:pPr>
              <w:pStyle w:val="TableContents"/>
              <w:spacing w:before="0" w:after="283"/>
              <w:rPr/>
            </w:pPr>
            <w:r>
              <w:rPr/>
              <w:t>)</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(121.1</w:t>
            </w:r>
          </w:p>
        </w:tc>
        <w:tc>
          <w:tcPr>
            <w:tcW w:w="119" w:type="dxa"/>
            <w:tcBorders/>
            <w:shd w:fill="CCEEFF" w:val="clear"/>
            <w:vAlign w:val="bottom"/>
          </w:tcPr>
          <w:p>
            <w:pPr>
              <w:pStyle w:val="TableContents"/>
              <w:spacing w:before="0" w:after="283"/>
              <w:rPr/>
            </w:pPr>
            <w:r>
              <w:rPr/>
              <w:t>)</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(52.5</w:t>
            </w:r>
          </w:p>
        </w:tc>
        <w:tc>
          <w:tcPr>
            <w:tcW w:w="132" w:type="dxa"/>
            <w:tcBorders/>
            <w:shd w:fill="CCEEFF" w:val="clear"/>
            <w:vAlign w:val="bottom"/>
          </w:tcPr>
          <w:p>
            <w:pPr>
              <w:pStyle w:val="TableContents"/>
              <w:spacing w:before="0" w:after="283"/>
              <w:rPr/>
            </w:pPr>
            <w:r>
              <w:rPr/>
              <w:t>)</w:t>
            </w:r>
          </w:p>
        </w:tc>
      </w:tr>
      <w:tr>
        <w:trPr/>
        <w:tc>
          <w:tcPr>
            <w:tcW w:w="4345" w:type="dxa"/>
            <w:tcBorders/>
            <w:shd w:fill="auto" w:val="clear"/>
            <w:vAlign w:val="bottom"/>
          </w:tcPr>
          <w:p>
            <w:pPr>
              <w:pStyle w:val="TableContents"/>
              <w:spacing w:before="0" w:after="0"/>
              <w:ind w:left="225" w:right="0" w:hanging="225"/>
              <w:rPr/>
            </w:pPr>
            <w:r>
              <w:rPr/>
              <w:t>Interest income and other income (expense), net</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2.5</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0.3</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7.7</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0.7</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Income before tax</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101.6</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95.4</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303.3</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232.8</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Current income tax expense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58" w:type="dxa"/>
            <w:tcBorders/>
            <w:shd w:fill="auto" w:val="clear"/>
            <w:vAlign w:val="bottom"/>
          </w:tcPr>
          <w:p>
            <w:pPr>
              <w:pStyle w:val="TableContents"/>
              <w:spacing w:before="0" w:after="283"/>
              <w:jc w:val="right"/>
              <w:rPr/>
            </w:pPr>
            <w:r>
              <w:rPr/>
              <w:t>(0.4</w:t>
            </w:r>
          </w:p>
        </w:tc>
        <w:tc>
          <w:tcPr>
            <w:tcW w:w="129" w:type="dxa"/>
            <w:tcBorders/>
            <w:shd w:fill="auto" w:val="clear"/>
            <w:vAlign w:val="bottom"/>
          </w:tcPr>
          <w:p>
            <w:pPr>
              <w:pStyle w:val="TableContents"/>
              <w:spacing w:before="0" w:after="283"/>
              <w:rPr/>
            </w:pPr>
            <w:r>
              <w:rPr/>
              <w:t>)</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62" w:type="dxa"/>
            <w:tcBorders/>
            <w:shd w:fill="auto" w:val="clear"/>
            <w:vAlign w:val="bottom"/>
          </w:tcPr>
          <w:p>
            <w:pPr>
              <w:pStyle w:val="TableContents"/>
              <w:spacing w:before="0" w:after="283"/>
              <w:jc w:val="right"/>
              <w:rPr/>
            </w:pPr>
            <w:r>
              <w:rPr/>
              <w:t>(1.3</w:t>
            </w:r>
          </w:p>
        </w:tc>
        <w:tc>
          <w:tcPr>
            <w:tcW w:w="119" w:type="dxa"/>
            <w:tcBorders/>
            <w:shd w:fill="auto" w:val="clear"/>
            <w:vAlign w:val="bottom"/>
          </w:tcPr>
          <w:p>
            <w:pPr>
              <w:pStyle w:val="TableContents"/>
              <w:spacing w:before="0" w:after="283"/>
              <w:rPr/>
            </w:pPr>
            <w:r>
              <w:rPr/>
              <w:t>)</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Deferred income tax expense</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58" w:type="dxa"/>
            <w:tcBorders/>
            <w:shd w:fill="CCEEFF" w:val="clear"/>
            <w:vAlign w:val="bottom"/>
          </w:tcPr>
          <w:p>
            <w:pPr>
              <w:pStyle w:val="TableContents"/>
              <w:spacing w:before="0" w:after="283"/>
              <w:jc w:val="right"/>
              <w:rPr/>
            </w:pPr>
            <w:r>
              <w:rPr/>
              <w:t>(2.8</w:t>
            </w:r>
          </w:p>
        </w:tc>
        <w:tc>
          <w:tcPr>
            <w:tcW w:w="129" w:type="dxa"/>
            <w:tcBorders/>
            <w:shd w:fill="CCEEFF" w:val="clear"/>
            <w:vAlign w:val="bottom"/>
          </w:tcPr>
          <w:p>
            <w:pPr>
              <w:pStyle w:val="TableContents"/>
              <w:spacing w:before="0" w:after="283"/>
              <w:rPr/>
            </w:pPr>
            <w:r>
              <w:rPr/>
              <w:t>)</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62" w:type="dxa"/>
            <w:tcBorders/>
            <w:shd w:fill="CCEEFF" w:val="clear"/>
            <w:vAlign w:val="bottom"/>
          </w:tcPr>
          <w:p>
            <w:pPr>
              <w:pStyle w:val="TableContents"/>
              <w:spacing w:before="0" w:after="283"/>
              <w:jc w:val="right"/>
              <w:rPr/>
            </w:pPr>
            <w:r>
              <w:rPr/>
              <w:t>(14.1</w:t>
            </w:r>
          </w:p>
        </w:tc>
        <w:tc>
          <w:tcPr>
            <w:tcW w:w="119" w:type="dxa"/>
            <w:tcBorders/>
            <w:shd w:fill="CCEEFF" w:val="clear"/>
            <w:vAlign w:val="bottom"/>
          </w:tcPr>
          <w:p>
            <w:pPr>
              <w:pStyle w:val="TableContents"/>
              <w:spacing w:before="0" w:after="283"/>
              <w:rPr/>
            </w:pPr>
            <w:r>
              <w:rPr/>
              <w:t>)</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center"/>
          </w:tcPr>
          <w:p>
            <w:pPr>
              <w:pStyle w:val="TableContents"/>
              <w:spacing w:before="0" w:after="283"/>
              <w:rPr/>
            </w:pPr>
            <w:r>
              <w:rPr/>
              <w:t> </w:t>
            </w:r>
          </w:p>
        </w:tc>
        <w:tc>
          <w:tcPr>
            <w:tcW w:w="5860" w:type="dxa"/>
            <w:gridSpan w:val="16"/>
            <w:tcBorders/>
            <w:shd w:fill="auto" w:val="clear"/>
          </w:tcPr>
          <w:p>
            <w:pPr>
              <w:pStyle w:val="TableContents"/>
              <w:spacing w:before="0" w:after="283"/>
              <w:rPr>
                <w:sz w:val="4"/>
                <w:szCs w:val="4"/>
              </w:rPr>
            </w:pPr>
            <w:r>
              <w:rPr>
                <w:sz w:val="4"/>
                <w:szCs w:val="4"/>
              </w:rPr>
            </w:r>
          </w:p>
        </w:tc>
      </w:tr>
      <w:tr>
        <w:trPr/>
        <w:tc>
          <w:tcPr>
            <w:tcW w:w="4345"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98.4</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95.4</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287.9</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232.8</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283"/>
              <w:rPr/>
            </w:pPr>
            <w:r>
              <w:rPr/>
              <w:t> </w:t>
            </w:r>
          </w:p>
        </w:tc>
        <w:tc>
          <w:tcPr>
            <w:tcW w:w="5860" w:type="dxa"/>
            <w:gridSpan w:val="16"/>
            <w:tcBorders/>
            <w:shd w:fill="auto" w:val="clear"/>
          </w:tcPr>
          <w:p>
            <w:pPr>
              <w:pStyle w:val="TableContents"/>
              <w:spacing w:before="0" w:after="283"/>
              <w:rPr>
                <w:sz w:val="4"/>
                <w:szCs w:val="4"/>
              </w:rPr>
            </w:pPr>
            <w:r>
              <w:rPr>
                <w:sz w:val="4"/>
                <w:szCs w:val="4"/>
              </w:rPr>
            </w:r>
          </w:p>
        </w:tc>
      </w:tr>
      <w:tr>
        <w:trPr/>
        <w:tc>
          <w:tcPr>
            <w:tcW w:w="4345" w:type="dxa"/>
            <w:tcBorders/>
            <w:shd w:fill="CCEEFF" w:val="clear"/>
            <w:vAlign w:val="bottom"/>
          </w:tcPr>
          <w:p>
            <w:pPr>
              <w:pStyle w:val="TableContents"/>
              <w:spacing w:before="0" w:after="0"/>
              <w:ind w:left="225" w:right="0" w:hanging="225"/>
              <w:rPr/>
            </w:pPr>
            <w:r>
              <w:rPr/>
              <w:t>Cumulative effect of change in accounting principle</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6.3</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center"/>
          </w:tcPr>
          <w:p>
            <w:pPr>
              <w:pStyle w:val="TableContents"/>
              <w:spacing w:before="0" w:after="283"/>
              <w:rPr/>
            </w:pPr>
            <w:r>
              <w:rPr/>
              <w:t> </w:t>
            </w:r>
          </w:p>
        </w:tc>
        <w:tc>
          <w:tcPr>
            <w:tcW w:w="5860" w:type="dxa"/>
            <w:gridSpan w:val="16"/>
            <w:tcBorders/>
            <w:shd w:fill="auto" w:val="clear"/>
          </w:tcPr>
          <w:p>
            <w:pPr>
              <w:pStyle w:val="TableContents"/>
              <w:spacing w:before="0" w:after="283"/>
              <w:rPr>
                <w:sz w:val="4"/>
                <w:szCs w:val="4"/>
              </w:rPr>
            </w:pPr>
            <w:r>
              <w:rPr>
                <w:sz w:val="4"/>
                <w:szCs w:val="4"/>
              </w:rPr>
            </w:r>
          </w:p>
        </w:tc>
      </w:tr>
      <w:tr>
        <w:trPr/>
        <w:tc>
          <w:tcPr>
            <w:tcW w:w="4345" w:type="dxa"/>
            <w:tcBorders/>
            <w:shd w:fill="auto" w:val="clear"/>
            <w:vAlign w:val="bottom"/>
          </w:tcPr>
          <w:p>
            <w:pPr>
              <w:pStyle w:val="TableContents"/>
              <w:spacing w:before="0" w:after="0"/>
              <w:ind w:left="225" w:right="0" w:hanging="225"/>
              <w:rPr>
                <w:b/>
              </w:rPr>
            </w:pPr>
            <w:r>
              <w:rPr>
                <w:b/>
              </w:rPr>
              <w:t>NET INCOME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98.4</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95.4</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287.9</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239.1</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b/>
              </w:rPr>
            </w:pPr>
            <w:r>
              <w:rPr>
                <w:b/>
              </w:rPr>
              <w:t>NET INCOME-LIMITED PARTNERS</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58" w:type="dxa"/>
            <w:tcBorders/>
            <w:shd w:fill="CCEEFF" w:val="clear"/>
            <w:vAlign w:val="bottom"/>
          </w:tcPr>
          <w:p>
            <w:pPr>
              <w:pStyle w:val="TableContents"/>
              <w:spacing w:before="0" w:after="283"/>
              <w:jc w:val="right"/>
              <w:rPr/>
            </w:pPr>
            <w:r>
              <w:rPr/>
              <w:t>76.8</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60" w:type="dxa"/>
            <w:tcBorders/>
            <w:shd w:fill="CCEEFF" w:val="clear"/>
            <w:vAlign w:val="bottom"/>
          </w:tcPr>
          <w:p>
            <w:pPr>
              <w:pStyle w:val="TableContents"/>
              <w:spacing w:before="0" w:after="283"/>
              <w:jc w:val="right"/>
              <w:rPr/>
            </w:pPr>
            <w:r>
              <w:rPr/>
              <w:t>84.6</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231.3</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62" w:type="dxa"/>
            <w:tcBorders/>
            <w:shd w:fill="CCEEFF" w:val="clear"/>
            <w:vAlign w:val="bottom"/>
          </w:tcPr>
          <w:p>
            <w:pPr>
              <w:pStyle w:val="TableContents"/>
              <w:spacing w:before="0" w:after="283"/>
              <w:jc w:val="right"/>
              <w:rPr/>
            </w:pPr>
            <w:r>
              <w:rPr/>
              <w:t>212.7</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b/>
              </w:rPr>
            </w:pPr>
            <w:r>
              <w:rPr>
                <w:b/>
              </w:rPr>
              <w:t>NET INCOME-GENERAL PARTNER</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21.6</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10.8</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56.6</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26.4</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b/>
              </w:rPr>
            </w:pPr>
            <w:r>
              <w:rPr>
                <w:b/>
              </w:rPr>
              <w:t>BASIC NET INCOME PER LIMITED PARTNER UNIT</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0.66</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0.90</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2.06</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2.37</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Cumulative effect of change in accounting principle</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0.08</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Net income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0.66</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0.90</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2.06</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2.45</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b/>
              </w:rPr>
            </w:pPr>
            <w:r>
              <w:rPr>
                <w:b/>
              </w:rPr>
              <w:t>DILUTED NET INCOME PER LIMITED PARTNER UNIT</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0.66</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0.89</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2.05</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2.35</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pPr>
            <w:r>
              <w:rPr/>
              <w:t>Cumulative effect of change in accounting principle</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0.08</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Net income</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58" w:type="dxa"/>
            <w:tcBorders/>
            <w:shd w:fill="auto" w:val="clear"/>
            <w:vAlign w:val="bottom"/>
          </w:tcPr>
          <w:p>
            <w:pPr>
              <w:pStyle w:val="TableContents"/>
              <w:spacing w:before="0" w:after="283"/>
              <w:jc w:val="right"/>
              <w:rPr/>
            </w:pPr>
            <w:r>
              <w:rPr/>
              <w:t>0.66</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60" w:type="dxa"/>
            <w:tcBorders/>
            <w:shd w:fill="auto" w:val="clear"/>
            <w:vAlign w:val="bottom"/>
          </w:tcPr>
          <w:p>
            <w:pPr>
              <w:pStyle w:val="TableContents"/>
              <w:spacing w:before="0" w:after="283"/>
              <w:jc w:val="right"/>
              <w:rPr/>
            </w:pPr>
            <w:r>
              <w:rPr/>
              <w:t>0.89</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2.05</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62" w:type="dxa"/>
            <w:tcBorders/>
            <w:shd w:fill="auto" w:val="clear"/>
            <w:vAlign w:val="bottom"/>
          </w:tcPr>
          <w:p>
            <w:pPr>
              <w:pStyle w:val="TableContents"/>
              <w:spacing w:before="0" w:after="283"/>
              <w:jc w:val="right"/>
              <w:rPr/>
            </w:pPr>
            <w:r>
              <w:rPr/>
              <w:t>2.43</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CCEEFF" w:val="clear"/>
            <w:vAlign w:val="bottom"/>
          </w:tcPr>
          <w:p>
            <w:pPr>
              <w:pStyle w:val="TableContents"/>
              <w:spacing w:before="0" w:after="0"/>
              <w:ind w:left="225" w:right="0" w:hanging="225"/>
              <w:rPr>
                <w:b/>
              </w:rPr>
            </w:pPr>
            <w:r>
              <w:rPr>
                <w:b/>
              </w:rPr>
              <w:t>BASIC WEIGHTED AVERAGE UNITS OUTSTANDING</w:t>
            </w:r>
          </w:p>
        </w:tc>
        <w:tc>
          <w:tcPr>
            <w:tcW w:w="3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116.0</w:t>
            </w:r>
          </w:p>
        </w:tc>
        <w:tc>
          <w:tcPr>
            <w:tcW w:w="129"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pPr>
            <w:r>
              <w:rPr/>
              <w:t>79.9</w:t>
            </w:r>
          </w:p>
        </w:tc>
        <w:tc>
          <w:tcPr>
            <w:tcW w:w="120"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112.1</w:t>
            </w:r>
          </w:p>
        </w:tc>
        <w:tc>
          <w:tcPr>
            <w:tcW w:w="119"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62" w:type="dxa"/>
            <w:tcBorders/>
            <w:shd w:fill="CCEEFF" w:val="clear"/>
            <w:vAlign w:val="bottom"/>
          </w:tcPr>
          <w:p>
            <w:pPr>
              <w:pStyle w:val="TableContents"/>
              <w:spacing w:before="0" w:after="283"/>
              <w:jc w:val="right"/>
              <w:rPr/>
            </w:pPr>
            <w:r>
              <w:rPr/>
              <w:t>77.0</w:t>
            </w:r>
          </w:p>
        </w:tc>
        <w:tc>
          <w:tcPr>
            <w:tcW w:w="132" w:type="dxa"/>
            <w:tcBorders/>
            <w:shd w:fill="CCEEFF"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bottom"/>
          </w:tcPr>
          <w:p>
            <w:pPr>
              <w:pStyle w:val="TableContents"/>
              <w:spacing w:before="0" w:after="0"/>
              <w:ind w:left="225" w:right="0" w:hanging="225"/>
              <w:rPr>
                <w:b/>
              </w:rPr>
            </w:pPr>
            <w:r>
              <w:rPr>
                <w:b/>
              </w:rPr>
              <w:t>DILUTED WEIGHTED AVERAGE UNITS OUTSTANDING</w:t>
            </w:r>
          </w:p>
        </w:tc>
        <w:tc>
          <w:tcPr>
            <w:tcW w:w="3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pPr>
            <w:r>
              <w:rPr/>
              <w:t>116.8</w:t>
            </w:r>
          </w:p>
        </w:tc>
        <w:tc>
          <w:tcPr>
            <w:tcW w:w="129"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pPr>
            <w:r>
              <w:rPr/>
              <w:t>80.8</w:t>
            </w:r>
          </w:p>
        </w:tc>
        <w:tc>
          <w:tcPr>
            <w:tcW w:w="120"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113.0</w:t>
            </w:r>
          </w:p>
        </w:tc>
        <w:tc>
          <w:tcPr>
            <w:tcW w:w="119"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pPr>
            <w:r>
              <w:rPr/>
              <w:t>77.8</w:t>
            </w:r>
          </w:p>
        </w:tc>
        <w:tc>
          <w:tcPr>
            <w:tcW w:w="132" w:type="dxa"/>
            <w:tcBorders/>
            <w:shd w:fill="auto" w:val="clear"/>
            <w:vAlign w:val="bottom"/>
          </w:tcPr>
          <w:p>
            <w:pPr>
              <w:pStyle w:val="TableContents"/>
              <w:spacing w:before="0" w:after="283"/>
              <w:rPr/>
            </w:pPr>
            <w:r>
              <w:rPr/>
              <w:t> </w:t>
            </w:r>
          </w:p>
        </w:tc>
      </w:tr>
      <w:tr>
        <w:trPr/>
        <w:tc>
          <w:tcPr>
            <w:tcW w:w="4345"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10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rPr/>
            </w:pPr>
            <w:r>
              <w:rPr/>
              <w:t> </w:t>
            </w:r>
          </w:p>
        </w:tc>
        <w:tc>
          <w:tcPr>
            <w:tcW w:w="10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0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CONDENSED CONSOLIDATED STATEMENTS OF CASH FLOWS</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w:t>
      </w:r>
    </w:p>
    <w:tbl>
      <w:tblPr>
        <w:tblW w:w="5000" w:type="pct"/>
        <w:jc w:val="center"/>
        <w:tblInd w:w="0" w:type="dxa"/>
        <w:tblCellMar>
          <w:top w:w="0" w:type="dxa"/>
          <w:left w:w="0" w:type="dxa"/>
          <w:bottom w:w="0" w:type="dxa"/>
          <w:right w:w="0" w:type="dxa"/>
        </w:tblCellMar>
      </w:tblPr>
      <w:tblGrid>
        <w:gridCol w:w="7033"/>
        <w:gridCol w:w="450"/>
        <w:gridCol w:w="171"/>
        <w:gridCol w:w="820"/>
        <w:gridCol w:w="143"/>
        <w:gridCol w:w="457"/>
        <w:gridCol w:w="171"/>
        <w:gridCol w:w="822"/>
        <w:gridCol w:w="138"/>
      </w:tblGrid>
      <w:tr>
        <w:trPr/>
        <w:tc>
          <w:tcPr>
            <w:tcW w:w="703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584" w:type="dxa"/>
            <w:gridSpan w:val="6"/>
            <w:tcBorders/>
            <w:shd w:fill="auto" w:val="clear"/>
            <w:vAlign w:val="bottom"/>
          </w:tcPr>
          <w:p>
            <w:pPr>
              <w:pStyle w:val="TableContents"/>
              <w:spacing w:before="0" w:after="283"/>
              <w:jc w:val="center"/>
              <w:rPr>
                <w:b/>
              </w:rPr>
            </w:pPr>
            <w:r>
              <w:rPr>
                <w:b/>
              </w:rPr>
              <w:t>Nine Months Ended</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58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584" w:type="dxa"/>
            <w:gridSpan w:val="6"/>
            <w:tcBorders/>
            <w:shd w:fill="auto" w:val="clear"/>
            <w:vAlign w:val="bottom"/>
          </w:tcPr>
          <w:p>
            <w:pPr>
              <w:pStyle w:val="TableContents"/>
              <w:spacing w:before="0" w:after="283"/>
              <w:jc w:val="center"/>
              <w:rPr/>
            </w:pPr>
            <w:r>
              <w:rPr/>
              <w:t>(unaudited)</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b/>
              </w:rPr>
            </w:pPr>
            <w:r>
              <w:rPr>
                <w:b/>
              </w:rPr>
              <w:t>CASH FLOWS FROM OPERATING ACTIVITIES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pPr>
            <w:r>
              <w:rPr/>
              <w:t>Net income</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287.9</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239.1</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pPr>
            <w:r>
              <w:rPr/>
              <w:t>Adjustments to reconcile to cash flows from operating activities: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675" w:right="0" w:hanging="225"/>
              <w:rPr/>
            </w:pPr>
            <w:r>
              <w:rPr/>
              <w:t>Depreciation and amortization</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134.9</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67.1</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675" w:right="0" w:hanging="225"/>
              <w:rPr/>
            </w:pPr>
            <w:r>
              <w:rPr/>
              <w:t>Cumulative effect of change in accounting principle</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(6.3</w:t>
            </w:r>
          </w:p>
        </w:tc>
        <w:tc>
          <w:tcPr>
            <w:tcW w:w="138" w:type="dxa"/>
            <w:tcBorders/>
            <w:shd w:fill="CCEEFF" w:val="clear"/>
            <w:vAlign w:val="bottom"/>
          </w:tcPr>
          <w:p>
            <w:pPr>
              <w:pStyle w:val="TableContents"/>
              <w:spacing w:before="0" w:after="283"/>
              <w:rPr/>
            </w:pPr>
            <w:r>
              <w:rPr/>
              <w:t>)</w:t>
            </w:r>
          </w:p>
        </w:tc>
      </w:tr>
      <w:tr>
        <w:trPr/>
        <w:tc>
          <w:tcPr>
            <w:tcW w:w="7033" w:type="dxa"/>
            <w:tcBorders/>
            <w:shd w:fill="auto" w:val="clear"/>
            <w:vAlign w:val="bottom"/>
          </w:tcPr>
          <w:p>
            <w:pPr>
              <w:pStyle w:val="TableContents"/>
              <w:spacing w:before="0" w:after="0"/>
              <w:ind w:left="675" w:right="0" w:hanging="225"/>
              <w:rPr/>
            </w:pPr>
            <w:r>
              <w:rPr/>
              <w:t>SFAS 133 mark-to-market adjustment</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14.8</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(14.8</w:t>
            </w:r>
          </w:p>
        </w:tc>
        <w:tc>
          <w:tcPr>
            <w:tcW w:w="138" w:type="dxa"/>
            <w:tcBorders/>
            <w:shd w:fill="auto" w:val="clear"/>
            <w:vAlign w:val="bottom"/>
          </w:tcPr>
          <w:p>
            <w:pPr>
              <w:pStyle w:val="TableContents"/>
              <w:spacing w:before="0" w:after="283"/>
              <w:rPr/>
            </w:pPr>
            <w:r>
              <w:rPr/>
              <w:t>)</w:t>
            </w:r>
          </w:p>
        </w:tc>
      </w:tr>
      <w:tr>
        <w:trPr/>
        <w:tc>
          <w:tcPr>
            <w:tcW w:w="7033" w:type="dxa"/>
            <w:tcBorders/>
            <w:shd w:fill="CCEEFF" w:val="clear"/>
            <w:vAlign w:val="bottom"/>
          </w:tcPr>
          <w:p>
            <w:pPr>
              <w:pStyle w:val="TableContents"/>
              <w:spacing w:before="0" w:after="0"/>
              <w:ind w:left="675" w:right="0" w:hanging="225"/>
              <w:rPr/>
            </w:pPr>
            <w:r>
              <w:rPr/>
              <w:t>Gain on sale of investment assets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(3.9</w:t>
            </w:r>
          </w:p>
        </w:tc>
        <w:tc>
          <w:tcPr>
            <w:tcW w:w="143"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675" w:right="0" w:hanging="225"/>
              <w:rPr/>
            </w:pPr>
            <w:r>
              <w:rPr/>
              <w:t>Equity compensation charge</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41.4</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27.1</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675" w:right="0" w:hanging="225"/>
              <w:rPr/>
            </w:pPr>
            <w:r>
              <w:rPr/>
              <w:t>Income tax expense</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15.4</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675" w:right="0" w:hanging="225"/>
              <w:rPr/>
            </w:pPr>
            <w:r>
              <w:rPr/>
              <w:t>Noncash amortization of terminated interest rate hedging instruments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0.6</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1.2</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675" w:right="0" w:hanging="225"/>
              <w:rPr/>
            </w:pPr>
            <w:r>
              <w:rPr/>
              <w:t>(Gain)/loss on foreign currency revaluation</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(3.2</w:t>
            </w:r>
          </w:p>
        </w:tc>
        <w:tc>
          <w:tcPr>
            <w:tcW w:w="143"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2.1</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675" w:right="0" w:hanging="225"/>
              <w:rPr/>
            </w:pPr>
            <w:r>
              <w:rPr/>
              <w:t>Equity earnings in unconsolidated entities, net of distributions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(11.1</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(2.1</w:t>
            </w:r>
          </w:p>
        </w:tc>
        <w:tc>
          <w:tcPr>
            <w:tcW w:w="138" w:type="dxa"/>
            <w:tcBorders/>
            <w:shd w:fill="auto" w:val="clear"/>
            <w:vAlign w:val="bottom"/>
          </w:tcPr>
          <w:p>
            <w:pPr>
              <w:pStyle w:val="TableContents"/>
              <w:spacing w:before="0" w:after="283"/>
              <w:rPr/>
            </w:pPr>
            <w:r>
              <w:rPr/>
              <w:t>)</w:t>
            </w:r>
          </w:p>
        </w:tc>
      </w:tr>
      <w:tr>
        <w:trPr/>
        <w:tc>
          <w:tcPr>
            <w:tcW w:w="7033" w:type="dxa"/>
            <w:tcBorders/>
            <w:shd w:fill="CCEEFF" w:val="clear"/>
            <w:vAlign w:val="bottom"/>
          </w:tcPr>
          <w:p>
            <w:pPr>
              <w:pStyle w:val="TableContents"/>
              <w:spacing w:before="0" w:after="0"/>
              <w:ind w:left="225" w:right="0" w:hanging="225"/>
              <w:rPr/>
            </w:pPr>
            <w:r>
              <w:rPr/>
              <w:t>Changes in assets and liabilities, net of acquisitions: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675" w:right="0" w:hanging="225"/>
              <w:rPr/>
            </w:pPr>
            <w:r>
              <w:rPr/>
              <w:t>Trade accounts receivable and other</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(288.6</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(595.4</w:t>
            </w:r>
          </w:p>
        </w:tc>
        <w:tc>
          <w:tcPr>
            <w:tcW w:w="138" w:type="dxa"/>
            <w:tcBorders/>
            <w:shd w:fill="auto" w:val="clear"/>
            <w:vAlign w:val="bottom"/>
          </w:tcPr>
          <w:p>
            <w:pPr>
              <w:pStyle w:val="TableContents"/>
              <w:spacing w:before="0" w:after="283"/>
              <w:rPr/>
            </w:pPr>
            <w:r>
              <w:rPr/>
              <w:t>)</w:t>
            </w:r>
          </w:p>
        </w:tc>
      </w:tr>
      <w:tr>
        <w:trPr/>
        <w:tc>
          <w:tcPr>
            <w:tcW w:w="7033" w:type="dxa"/>
            <w:tcBorders/>
            <w:shd w:fill="CCEEFF" w:val="clear"/>
            <w:vAlign w:val="bottom"/>
          </w:tcPr>
          <w:p>
            <w:pPr>
              <w:pStyle w:val="TableContents"/>
              <w:spacing w:before="0" w:after="0"/>
              <w:ind w:left="675" w:right="0" w:hanging="225"/>
              <w:rPr/>
            </w:pPr>
            <w:r>
              <w:rPr/>
              <w:t>Inventory</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410.2</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(414.6</w:t>
            </w:r>
          </w:p>
        </w:tc>
        <w:tc>
          <w:tcPr>
            <w:tcW w:w="138" w:type="dxa"/>
            <w:tcBorders/>
            <w:shd w:fill="CCEEFF" w:val="clear"/>
            <w:vAlign w:val="bottom"/>
          </w:tcPr>
          <w:p>
            <w:pPr>
              <w:pStyle w:val="TableContents"/>
              <w:spacing w:before="0" w:after="283"/>
              <w:rPr/>
            </w:pPr>
            <w:r>
              <w:rPr/>
              <w:t>)</w:t>
            </w:r>
          </w:p>
        </w:tc>
      </w:tr>
      <w:tr>
        <w:trPr/>
        <w:tc>
          <w:tcPr>
            <w:tcW w:w="7033" w:type="dxa"/>
            <w:tcBorders/>
            <w:shd w:fill="auto" w:val="clear"/>
            <w:vAlign w:val="bottom"/>
          </w:tcPr>
          <w:p>
            <w:pPr>
              <w:pStyle w:val="TableContents"/>
              <w:spacing w:before="0" w:after="0"/>
              <w:ind w:left="675" w:right="0" w:hanging="225"/>
              <w:rPr/>
            </w:pPr>
            <w:r>
              <w:rPr/>
              <w:t>Accounts payable and other liabilities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368.3</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512.4</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675" w:right="0" w:hanging="225"/>
              <w:rPr/>
            </w:pPr>
            <w:r>
              <w:rPr/>
              <w:t>Inventory in third-party assets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0.1</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675" w:right="0" w:hanging="225"/>
              <w:rPr/>
            </w:pPr>
            <w:r>
              <w:rPr/>
              <w:t>Due to related parties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1.7</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2.3</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900" w:right="0" w:hanging="225"/>
              <w:rPr/>
            </w:pPr>
            <w:r>
              <w:rPr/>
              <w:t>Net cash provided by (used in) operating activities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968.5</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(181.9</w:t>
            </w:r>
          </w:p>
        </w:tc>
        <w:tc>
          <w:tcPr>
            <w:tcW w:w="138" w:type="dxa"/>
            <w:tcBorders/>
            <w:shd w:fill="CCEEFF" w:val="clear"/>
            <w:vAlign w:val="bottom"/>
          </w:tcPr>
          <w:p>
            <w:pPr>
              <w:pStyle w:val="TableContents"/>
              <w:spacing w:before="0" w:after="283"/>
              <w:rPr/>
            </w:pPr>
            <w:r>
              <w:rPr/>
              <w:t>)</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tcPr>
          <w:p>
            <w:pPr>
              <w:pStyle w:val="TableContents"/>
              <w:spacing w:before="0" w:after="0"/>
              <w:ind w:left="225" w:right="0" w:hanging="225"/>
              <w:rPr/>
            </w:pPr>
            <w:r>
              <w:rPr/>
              <w:t> </w:t>
            </w:r>
          </w:p>
        </w:tc>
        <w:tc>
          <w:tcPr>
            <w:tcW w:w="450"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2"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b/>
              </w:rPr>
            </w:pPr>
            <w:r>
              <w:rPr>
                <w:b/>
              </w:rPr>
              <w:t>CASH FLOWS FROM INVESTING ACTIVITIES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pPr>
            <w:r>
              <w:rPr/>
              <w:t>Cash paid in connection with acquisitions (Note 3)</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(69.2</w:t>
            </w:r>
          </w:p>
        </w:tc>
        <w:tc>
          <w:tcPr>
            <w:tcW w:w="143"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(560.2</w:t>
            </w:r>
          </w:p>
        </w:tc>
        <w:tc>
          <w:tcPr>
            <w:tcW w:w="138" w:type="dxa"/>
            <w:tcBorders/>
            <w:shd w:fill="CCEEFF" w:val="clear"/>
            <w:vAlign w:val="bottom"/>
          </w:tcPr>
          <w:p>
            <w:pPr>
              <w:pStyle w:val="TableContents"/>
              <w:spacing w:before="0" w:after="283"/>
              <w:rPr/>
            </w:pPr>
            <w:r>
              <w:rPr/>
              <w:t>)</w:t>
            </w:r>
          </w:p>
        </w:tc>
      </w:tr>
      <w:tr>
        <w:trPr/>
        <w:tc>
          <w:tcPr>
            <w:tcW w:w="7033" w:type="dxa"/>
            <w:tcBorders/>
            <w:shd w:fill="auto" w:val="clear"/>
            <w:vAlign w:val="bottom"/>
          </w:tcPr>
          <w:p>
            <w:pPr>
              <w:pStyle w:val="TableContents"/>
              <w:spacing w:before="0" w:after="0"/>
              <w:ind w:left="225" w:right="0" w:hanging="225"/>
              <w:rPr/>
            </w:pPr>
            <w:r>
              <w:rPr/>
              <w:t>Additions to property and equipment, net</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(401.8</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(223.1</w:t>
            </w:r>
          </w:p>
        </w:tc>
        <w:tc>
          <w:tcPr>
            <w:tcW w:w="138" w:type="dxa"/>
            <w:tcBorders/>
            <w:shd w:fill="auto" w:val="clear"/>
            <w:vAlign w:val="bottom"/>
          </w:tcPr>
          <w:p>
            <w:pPr>
              <w:pStyle w:val="TableContents"/>
              <w:spacing w:before="0" w:after="283"/>
              <w:rPr/>
            </w:pPr>
            <w:r>
              <w:rPr/>
              <w:t>)</w:t>
            </w:r>
          </w:p>
        </w:tc>
      </w:tr>
      <w:tr>
        <w:trPr/>
        <w:tc>
          <w:tcPr>
            <w:tcW w:w="7033" w:type="dxa"/>
            <w:tcBorders/>
            <w:shd w:fill="CCEEFF" w:val="clear"/>
            <w:vAlign w:val="bottom"/>
          </w:tcPr>
          <w:p>
            <w:pPr>
              <w:pStyle w:val="TableContents"/>
              <w:spacing w:before="0" w:after="0"/>
              <w:ind w:left="225" w:right="0" w:hanging="225"/>
              <w:rPr/>
            </w:pPr>
            <w:r>
              <w:rPr/>
              <w:t>Investment in unconsolidated entities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(9.3</w:t>
            </w:r>
          </w:p>
        </w:tc>
        <w:tc>
          <w:tcPr>
            <w:tcW w:w="143"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(10.0</w:t>
            </w:r>
          </w:p>
        </w:tc>
        <w:tc>
          <w:tcPr>
            <w:tcW w:w="138" w:type="dxa"/>
            <w:tcBorders/>
            <w:shd w:fill="CCEEFF" w:val="clear"/>
            <w:vAlign w:val="bottom"/>
          </w:tcPr>
          <w:p>
            <w:pPr>
              <w:pStyle w:val="TableContents"/>
              <w:spacing w:before="0" w:after="283"/>
              <w:rPr/>
            </w:pPr>
            <w:r>
              <w:rPr/>
              <w:t>)</w:t>
            </w:r>
          </w:p>
        </w:tc>
      </w:tr>
      <w:tr>
        <w:trPr/>
        <w:tc>
          <w:tcPr>
            <w:tcW w:w="7033" w:type="dxa"/>
            <w:tcBorders/>
            <w:shd w:fill="auto" w:val="clear"/>
            <w:vAlign w:val="bottom"/>
          </w:tcPr>
          <w:p>
            <w:pPr>
              <w:pStyle w:val="TableContents"/>
              <w:spacing w:before="0" w:after="0"/>
              <w:ind w:left="225" w:right="0" w:hanging="225"/>
              <w:rPr/>
            </w:pPr>
            <w:r>
              <w:rPr/>
              <w:t>Cash paid for linefill in assets owned</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(17.6</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(4.8</w:t>
            </w:r>
          </w:p>
        </w:tc>
        <w:tc>
          <w:tcPr>
            <w:tcW w:w="138" w:type="dxa"/>
            <w:tcBorders/>
            <w:shd w:fill="auto" w:val="clear"/>
            <w:vAlign w:val="bottom"/>
          </w:tcPr>
          <w:p>
            <w:pPr>
              <w:pStyle w:val="TableContents"/>
              <w:spacing w:before="0" w:after="283"/>
              <w:rPr/>
            </w:pPr>
            <w:r>
              <w:rPr/>
              <w:t>)</w:t>
            </w:r>
          </w:p>
        </w:tc>
      </w:tr>
      <w:tr>
        <w:trPr/>
        <w:tc>
          <w:tcPr>
            <w:tcW w:w="7033" w:type="dxa"/>
            <w:tcBorders/>
            <w:shd w:fill="CCEEFF" w:val="clear"/>
            <w:vAlign w:val="bottom"/>
          </w:tcPr>
          <w:p>
            <w:pPr>
              <w:pStyle w:val="TableContents"/>
              <w:spacing w:before="0" w:after="0"/>
              <w:ind w:left="225" w:right="0" w:hanging="225"/>
              <w:rPr/>
            </w:pPr>
            <w:r>
              <w:rPr/>
              <w:t>Proceeds from sales of assets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13.7</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3.8</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vAlign w:val="bottom"/>
          </w:tcPr>
          <w:p>
            <w:pPr>
              <w:pStyle w:val="TableContents"/>
              <w:spacing w:before="0" w:after="0"/>
              <w:ind w:left="1125" w:right="0" w:hanging="225"/>
              <w:rPr/>
            </w:pPr>
            <w:r>
              <w:rPr/>
              <w:t>Net cash used in investing activities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(484.2</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(794.3</w:t>
            </w:r>
          </w:p>
        </w:tc>
        <w:tc>
          <w:tcPr>
            <w:tcW w:w="138" w:type="dxa"/>
            <w:tcBorders/>
            <w:shd w:fill="auto" w:val="clear"/>
            <w:vAlign w:val="bottom"/>
          </w:tcPr>
          <w:p>
            <w:pPr>
              <w:pStyle w:val="TableContents"/>
              <w:spacing w:before="0" w:after="283"/>
              <w:rPr/>
            </w:pPr>
            <w:r>
              <w:rPr/>
              <w:t>)</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tcPr>
          <w:p>
            <w:pPr>
              <w:pStyle w:val="TableContents"/>
              <w:spacing w:before="0" w:after="0"/>
              <w:ind w:left="225" w:right="0" w:hanging="225"/>
              <w:rPr/>
            </w:pPr>
            <w:r>
              <w:rPr/>
              <w:t> </w:t>
            </w:r>
          </w:p>
        </w:tc>
        <w:tc>
          <w:tcPr>
            <w:tcW w:w="450"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2"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b/>
              </w:rPr>
            </w:pPr>
            <w:r>
              <w:rPr>
                <w:b/>
              </w:rPr>
              <w:t>CASH FLOWS FROM FINANCING ACTIVITIES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pPr>
            <w:r>
              <w:rPr/>
              <w:t>Net repayments on long-term revolving credit facility</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(7.7</w:t>
            </w:r>
          </w:p>
        </w:tc>
        <w:tc>
          <w:tcPr>
            <w:tcW w:w="138" w:type="dxa"/>
            <w:tcBorders/>
            <w:shd w:fill="auto" w:val="clear"/>
            <w:vAlign w:val="bottom"/>
          </w:tcPr>
          <w:p>
            <w:pPr>
              <w:pStyle w:val="TableContents"/>
              <w:spacing w:before="0" w:after="283"/>
              <w:rPr/>
            </w:pPr>
            <w:r>
              <w:rPr/>
              <w:t>)</w:t>
            </w:r>
          </w:p>
        </w:tc>
      </w:tr>
      <w:tr>
        <w:trPr/>
        <w:tc>
          <w:tcPr>
            <w:tcW w:w="7033" w:type="dxa"/>
            <w:tcBorders/>
            <w:shd w:fill="CCEEFF" w:val="clear"/>
            <w:vAlign w:val="bottom"/>
          </w:tcPr>
          <w:p>
            <w:pPr>
              <w:pStyle w:val="TableContents"/>
              <w:spacing w:before="0" w:after="0"/>
              <w:ind w:left="225" w:right="0" w:hanging="225"/>
              <w:rPr/>
            </w:pPr>
            <w:r>
              <w:rPr/>
              <w:t>Net borrowings/(repayments) on working capital revolving credit facility</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(125.6</w:t>
            </w:r>
          </w:p>
        </w:tc>
        <w:tc>
          <w:tcPr>
            <w:tcW w:w="143"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55.3</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pPr>
            <w:r>
              <w:rPr/>
              <w:t>Net borrowings/(repayments) on short-term letters of credit and hedged inventory facility</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(417.5</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559.5</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pPr>
            <w:r>
              <w:rPr/>
              <w:t>Proceeds from issuance of senior notes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249.5</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pPr>
            <w:r>
              <w:rPr/>
              <w:t>Net proceeds from the issuance of common units (Note 7)</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382.5</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315.6</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pPr>
            <w:r>
              <w:rPr/>
              <w:t>Distributions paid to common unitholders (Note 7)</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(272.7</w:t>
            </w:r>
          </w:p>
        </w:tc>
        <w:tc>
          <w:tcPr>
            <w:tcW w:w="143"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(164.0</w:t>
            </w:r>
          </w:p>
        </w:tc>
        <w:tc>
          <w:tcPr>
            <w:tcW w:w="138" w:type="dxa"/>
            <w:tcBorders/>
            <w:shd w:fill="CCEEFF" w:val="clear"/>
            <w:vAlign w:val="bottom"/>
          </w:tcPr>
          <w:p>
            <w:pPr>
              <w:pStyle w:val="TableContents"/>
              <w:spacing w:before="0" w:after="283"/>
              <w:rPr/>
            </w:pPr>
            <w:r>
              <w:rPr/>
              <w:t>)</w:t>
            </w:r>
          </w:p>
        </w:tc>
      </w:tr>
      <w:tr>
        <w:trPr/>
        <w:tc>
          <w:tcPr>
            <w:tcW w:w="7033" w:type="dxa"/>
            <w:tcBorders/>
            <w:shd w:fill="auto" w:val="clear"/>
            <w:vAlign w:val="bottom"/>
          </w:tcPr>
          <w:p>
            <w:pPr>
              <w:pStyle w:val="TableContents"/>
              <w:spacing w:before="0" w:after="0"/>
              <w:ind w:left="225" w:right="0" w:hanging="225"/>
              <w:rPr/>
            </w:pPr>
            <w:r>
              <w:rPr/>
              <w:t>Distributions paid to general partner (Note 7)</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(57.5</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(25.4</w:t>
            </w:r>
          </w:p>
        </w:tc>
        <w:tc>
          <w:tcPr>
            <w:tcW w:w="138" w:type="dxa"/>
            <w:tcBorders/>
            <w:shd w:fill="auto" w:val="clear"/>
            <w:vAlign w:val="bottom"/>
          </w:tcPr>
          <w:p>
            <w:pPr>
              <w:pStyle w:val="TableContents"/>
              <w:spacing w:before="0" w:after="283"/>
              <w:rPr/>
            </w:pPr>
            <w:r>
              <w:rPr/>
              <w:t>)</w:t>
            </w:r>
          </w:p>
        </w:tc>
      </w:tr>
      <w:tr>
        <w:trPr/>
        <w:tc>
          <w:tcPr>
            <w:tcW w:w="7033" w:type="dxa"/>
            <w:tcBorders/>
            <w:shd w:fill="CCEEFF" w:val="clear"/>
            <w:vAlign w:val="bottom"/>
          </w:tcPr>
          <w:p>
            <w:pPr>
              <w:pStyle w:val="TableContents"/>
              <w:spacing w:before="0" w:after="0"/>
              <w:ind w:left="225" w:right="0" w:hanging="225"/>
              <w:rPr/>
            </w:pPr>
            <w:r>
              <w:rPr/>
              <w:t>Other financing activities</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0" w:type="dxa"/>
            <w:tcBorders/>
            <w:shd w:fill="CCEEFF" w:val="clear"/>
            <w:vAlign w:val="bottom"/>
          </w:tcPr>
          <w:p>
            <w:pPr>
              <w:pStyle w:val="TableContents"/>
              <w:spacing w:before="0" w:after="283"/>
              <w:jc w:val="right"/>
              <w:rPr/>
            </w:pPr>
            <w:r>
              <w:rPr/>
              <w:t>(0.5</w:t>
            </w:r>
          </w:p>
        </w:tc>
        <w:tc>
          <w:tcPr>
            <w:tcW w:w="143" w:type="dxa"/>
            <w:tcBorders/>
            <w:shd w:fill="CCEEFF" w:val="clear"/>
            <w:vAlign w:val="bottom"/>
          </w:tcPr>
          <w:p>
            <w:pPr>
              <w:pStyle w:val="TableContents"/>
              <w:spacing w:before="0" w:after="283"/>
              <w:rPr/>
            </w:pPr>
            <w:r>
              <w:rPr/>
              <w:t>)</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(6.6</w:t>
            </w:r>
          </w:p>
        </w:tc>
        <w:tc>
          <w:tcPr>
            <w:tcW w:w="138" w:type="dxa"/>
            <w:tcBorders/>
            <w:shd w:fill="CCEEFF" w:val="clear"/>
            <w:vAlign w:val="bottom"/>
          </w:tcPr>
          <w:p>
            <w:pPr>
              <w:pStyle w:val="TableContents"/>
              <w:spacing w:before="0" w:after="283"/>
              <w:rPr/>
            </w:pPr>
            <w:r>
              <w:rPr/>
              <w:t>)</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vAlign w:val="bottom"/>
          </w:tcPr>
          <w:p>
            <w:pPr>
              <w:pStyle w:val="TableContents"/>
              <w:spacing w:before="0" w:after="0"/>
              <w:ind w:left="1125" w:right="0" w:hanging="225"/>
              <w:rPr/>
            </w:pPr>
            <w:r>
              <w:rPr/>
              <w:t>Net cash provided by (used in) financing activities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 </w:t>
            </w:r>
          </w:p>
        </w:tc>
        <w:tc>
          <w:tcPr>
            <w:tcW w:w="820" w:type="dxa"/>
            <w:tcBorders/>
            <w:shd w:fill="auto" w:val="clear"/>
            <w:vAlign w:val="bottom"/>
          </w:tcPr>
          <w:p>
            <w:pPr>
              <w:pStyle w:val="TableContents"/>
              <w:spacing w:before="0" w:after="283"/>
              <w:jc w:val="right"/>
              <w:rPr/>
            </w:pPr>
            <w:r>
              <w:rPr/>
              <w:t>(491.3</w:t>
            </w:r>
          </w:p>
        </w:tc>
        <w:tc>
          <w:tcPr>
            <w:tcW w:w="143" w:type="dxa"/>
            <w:tcBorders/>
            <w:shd w:fill="auto" w:val="clear"/>
            <w:vAlign w:val="bottom"/>
          </w:tcPr>
          <w:p>
            <w:pPr>
              <w:pStyle w:val="TableContents"/>
              <w:spacing w:before="0" w:after="283"/>
              <w:rPr/>
            </w:pPr>
            <w:r>
              <w:rPr/>
              <w:t>)</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976.2</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tcPr>
          <w:p>
            <w:pPr>
              <w:pStyle w:val="TableContents"/>
              <w:spacing w:before="0" w:after="0"/>
              <w:ind w:left="225" w:right="0" w:hanging="225"/>
              <w:rPr/>
            </w:pPr>
            <w:r>
              <w:rPr/>
              <w:t> </w:t>
            </w:r>
          </w:p>
        </w:tc>
        <w:tc>
          <w:tcPr>
            <w:tcW w:w="450"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2"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pPr>
            <w:r>
              <w:rPr/>
              <w:t>Effect of translation adjustment on cash</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8.2</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0.7</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tcPr>
          <w:p>
            <w:pPr>
              <w:pStyle w:val="TableContents"/>
              <w:spacing w:before="0" w:after="0"/>
              <w:ind w:left="225" w:right="0" w:hanging="225"/>
              <w:rPr/>
            </w:pPr>
            <w:r>
              <w:rPr/>
              <w:t> </w:t>
            </w:r>
          </w:p>
        </w:tc>
        <w:tc>
          <w:tcPr>
            <w:tcW w:w="450"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2"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pPr>
            <w:r>
              <w:rPr/>
              <w:t>Net increase in cash and cash equivalents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1.2</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0.7</w:t>
            </w:r>
          </w:p>
        </w:tc>
        <w:tc>
          <w:tcPr>
            <w:tcW w:w="138" w:type="dxa"/>
            <w:tcBorders/>
            <w:shd w:fill="auto" w:val="clear"/>
            <w:vAlign w:val="bottom"/>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pPr>
            <w:r>
              <w:rPr/>
              <w:t>Cash and cash equivalents, beginning of period</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11.3</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9.6</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tcPr>
          <w:p>
            <w:pPr>
              <w:pStyle w:val="TableContents"/>
              <w:spacing w:before="0" w:after="0"/>
              <w:ind w:left="225" w:right="0" w:hanging="225"/>
              <w:rPr/>
            </w:pPr>
            <w:r>
              <w:rPr/>
              <w:t> </w:t>
            </w:r>
          </w:p>
        </w:tc>
        <w:tc>
          <w:tcPr>
            <w:tcW w:w="450"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2"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pPr>
            <w:r>
              <w:rPr/>
              <w:t>Cash and cash equivalents, end of period</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12.5</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10.3</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tcPr>
          <w:p>
            <w:pPr>
              <w:pStyle w:val="TableContents"/>
              <w:spacing w:before="0" w:after="0"/>
              <w:ind w:left="225" w:right="0" w:hanging="225"/>
              <w:rPr/>
            </w:pPr>
            <w:r>
              <w:rPr/>
              <w:t> </w:t>
            </w:r>
          </w:p>
        </w:tc>
        <w:tc>
          <w:tcPr>
            <w:tcW w:w="450"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2"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r>
      <w:tr>
        <w:trPr/>
        <w:tc>
          <w:tcPr>
            <w:tcW w:w="7033" w:type="dxa"/>
            <w:tcBorders/>
            <w:shd w:fill="CCEEFF" w:val="clear"/>
            <w:vAlign w:val="bottom"/>
          </w:tcPr>
          <w:p>
            <w:pPr>
              <w:pStyle w:val="TableContents"/>
              <w:spacing w:before="0" w:after="0"/>
              <w:ind w:left="225" w:right="0" w:hanging="225"/>
              <w:rPr/>
            </w:pPr>
            <w:r>
              <w:rPr/>
              <w:t>Cash paid for interest, net of amounts capitalized</w:t>
            </w:r>
          </w:p>
        </w:tc>
        <w:tc>
          <w:tcPr>
            <w:tcW w:w="45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820" w:type="dxa"/>
            <w:tcBorders/>
            <w:shd w:fill="CCEEFF" w:val="clear"/>
            <w:vAlign w:val="bottom"/>
          </w:tcPr>
          <w:p>
            <w:pPr>
              <w:pStyle w:val="TableContents"/>
              <w:spacing w:before="0" w:after="283"/>
              <w:jc w:val="right"/>
              <w:rPr/>
            </w:pPr>
            <w:r>
              <w:rPr/>
              <w:t>146.1</w:t>
            </w:r>
          </w:p>
        </w:tc>
        <w:tc>
          <w:tcPr>
            <w:tcW w:w="143"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74.3</w:t>
            </w:r>
          </w:p>
        </w:tc>
        <w:tc>
          <w:tcPr>
            <w:tcW w:w="138" w:type="dxa"/>
            <w:tcBorders/>
            <w:shd w:fill="CCEEFF" w:val="clear"/>
            <w:vAlign w:val="bottom"/>
          </w:tcPr>
          <w:p>
            <w:pPr>
              <w:pStyle w:val="TableContents"/>
              <w:spacing w:before="0" w:after="283"/>
              <w:rPr/>
            </w:pPr>
            <w:r>
              <w:rPr/>
              <w:t> </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33" w:type="dxa"/>
            <w:tcBorders/>
            <w:shd w:fill="auto" w:val="clear"/>
          </w:tcPr>
          <w:p>
            <w:pPr>
              <w:pStyle w:val="TableContents"/>
              <w:spacing w:before="0" w:after="0"/>
              <w:ind w:left="225" w:right="0" w:hanging="225"/>
              <w:rPr/>
            </w:pPr>
            <w:r>
              <w:rPr/>
              <w:t> </w:t>
            </w:r>
          </w:p>
        </w:tc>
        <w:tc>
          <w:tcPr>
            <w:tcW w:w="450"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0" w:type="dxa"/>
            <w:tcBorders/>
            <w:shd w:fill="auto" w:val="clear"/>
          </w:tcPr>
          <w:p>
            <w:pPr>
              <w:pStyle w:val="TableContents"/>
              <w:spacing w:before="0" w:after="283"/>
              <w:rPr/>
            </w:pPr>
            <w:r>
              <w:rPr/>
              <w:t> </w:t>
            </w:r>
          </w:p>
        </w:tc>
        <w:tc>
          <w:tcPr>
            <w:tcW w:w="143" w:type="dxa"/>
            <w:tcBorders/>
            <w:shd w:fill="auto" w:val="clear"/>
          </w:tcPr>
          <w:p>
            <w:pPr>
              <w:pStyle w:val="TableContents"/>
              <w:spacing w:before="0" w:after="283"/>
              <w:rPr/>
            </w:pPr>
            <w:r>
              <w:rPr/>
              <w:t> </w:t>
            </w:r>
          </w:p>
        </w:tc>
        <w:tc>
          <w:tcPr>
            <w:tcW w:w="457" w:type="dxa"/>
            <w:tcBorders/>
            <w:shd w:fill="auto" w:val="clear"/>
          </w:tcPr>
          <w:p>
            <w:pPr>
              <w:pStyle w:val="TableContents"/>
              <w:spacing w:before="0" w:after="283"/>
              <w:rPr/>
            </w:pPr>
            <w:r>
              <w:rPr/>
              <w:t> </w:t>
            </w:r>
          </w:p>
        </w:tc>
        <w:tc>
          <w:tcPr>
            <w:tcW w:w="171" w:type="dxa"/>
            <w:tcBorders/>
            <w:shd w:fill="auto" w:val="clear"/>
          </w:tcPr>
          <w:p>
            <w:pPr>
              <w:pStyle w:val="TableContents"/>
              <w:spacing w:before="0" w:after="283"/>
              <w:rPr/>
            </w:pPr>
            <w:r>
              <w:rPr/>
              <w:t> </w:t>
            </w:r>
          </w:p>
        </w:tc>
        <w:tc>
          <w:tcPr>
            <w:tcW w:w="822" w:type="dxa"/>
            <w:tcBorders/>
            <w:shd w:fill="auto" w:val="clear"/>
          </w:tcPr>
          <w:p>
            <w:pPr>
              <w:pStyle w:val="TableContents"/>
              <w:spacing w:before="0" w:after="283"/>
              <w:rPr/>
            </w:pPr>
            <w:r>
              <w:rPr/>
              <w:t> </w:t>
            </w:r>
          </w:p>
        </w:tc>
        <w:tc>
          <w:tcPr>
            <w:tcW w:w="138" w:type="dxa"/>
            <w:tcBorders/>
            <w:shd w:fill="auto" w:val="clear"/>
          </w:tcPr>
          <w:p>
            <w:pPr>
              <w:pStyle w:val="TableContents"/>
              <w:spacing w:before="0" w:after="283"/>
              <w:rPr/>
            </w:pPr>
            <w:r>
              <w:rPr/>
              <w:t> </w:t>
            </w:r>
          </w:p>
        </w:tc>
      </w:tr>
      <w:tr>
        <w:trPr/>
        <w:tc>
          <w:tcPr>
            <w:tcW w:w="7033" w:type="dxa"/>
            <w:tcBorders/>
            <w:shd w:fill="auto" w:val="clear"/>
            <w:vAlign w:val="bottom"/>
          </w:tcPr>
          <w:p>
            <w:pPr>
              <w:pStyle w:val="TableContents"/>
              <w:spacing w:before="0" w:after="0"/>
              <w:ind w:left="225" w:right="0" w:hanging="225"/>
              <w:rPr/>
            </w:pPr>
            <w:r>
              <w:rPr/>
              <w:t>Cash paid for income taxes</w:t>
            </w:r>
          </w:p>
        </w:tc>
        <w:tc>
          <w:tcPr>
            <w:tcW w:w="45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20" w:type="dxa"/>
            <w:tcBorders/>
            <w:shd w:fill="auto" w:val="clear"/>
            <w:vAlign w:val="bottom"/>
          </w:tcPr>
          <w:p>
            <w:pPr>
              <w:pStyle w:val="TableContents"/>
              <w:spacing w:before="0" w:after="283"/>
              <w:jc w:val="right"/>
              <w:rPr/>
            </w:pPr>
            <w:r>
              <w:rPr/>
              <w:t>2.6</w:t>
            </w:r>
          </w:p>
        </w:tc>
        <w:tc>
          <w:tcPr>
            <w:tcW w:w="143"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jc w:val="left"/>
              <w:rPr/>
            </w:pPr>
            <w:r>
              <w:rPr/>
              <w:t>$</w:t>
            </w:r>
          </w:p>
        </w:tc>
        <w:tc>
          <w:tcPr>
            <w:tcW w:w="822"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7033"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6"/>
      <w:bookmarkEnd w:id="8"/>
      <w:r>
        <w:rPr>
          <w:rFonts w:ascii="Times New Roman;Times;serif" w:hAnsi="Times New Roman;Times;serif"/>
          <w:b/>
          <w:sz w:val="17"/>
        </w:rPr>
        <w:t>CONDENSED CONSOLIDATED STATEMENT OF PARTNERS CAPITAL</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w:t>
      </w:r>
    </w:p>
    <w:tbl>
      <w:tblPr>
        <w:tblW w:w="5000" w:type="pct"/>
        <w:jc w:val="center"/>
        <w:tblInd w:w="0" w:type="dxa"/>
        <w:tblCellMar>
          <w:top w:w="0" w:type="dxa"/>
          <w:left w:w="0" w:type="dxa"/>
          <w:bottom w:w="0" w:type="dxa"/>
          <w:right w:w="0" w:type="dxa"/>
        </w:tblCellMar>
      </w:tblPr>
      <w:tblGrid>
        <w:gridCol w:w="4351"/>
        <w:gridCol w:w="382"/>
        <w:gridCol w:w="106"/>
        <w:gridCol w:w="698"/>
        <w:gridCol w:w="106"/>
        <w:gridCol w:w="382"/>
        <w:gridCol w:w="157"/>
        <w:gridCol w:w="812"/>
        <w:gridCol w:w="128"/>
        <w:gridCol w:w="382"/>
        <w:gridCol w:w="184"/>
        <w:gridCol w:w="772"/>
        <w:gridCol w:w="127"/>
        <w:gridCol w:w="382"/>
        <w:gridCol w:w="177"/>
        <w:gridCol w:w="921"/>
        <w:gridCol w:w="138"/>
      </w:tblGrid>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Total</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56" w:type="dxa"/>
            <w:gridSpan w:val="2"/>
            <w:tcBorders/>
            <w:shd w:fill="auto" w:val="clear"/>
            <w:vAlign w:val="bottom"/>
          </w:tcPr>
          <w:p>
            <w:pPr>
              <w:pStyle w:val="TableContents"/>
              <w:spacing w:before="0" w:after="283"/>
              <w:jc w:val="center"/>
              <w:rPr>
                <w:b/>
              </w:rPr>
            </w:pPr>
            <w:r>
              <w:rPr>
                <w:b/>
              </w:rPr>
              <w:t>General</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Partners</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26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Common Units</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56" w:type="dxa"/>
            <w:gridSpan w:val="2"/>
            <w:tcBorders/>
            <w:shd w:fill="auto" w:val="clear"/>
            <w:vAlign w:val="bottom"/>
          </w:tcPr>
          <w:p>
            <w:pPr>
              <w:pStyle w:val="TableContents"/>
              <w:spacing w:before="0" w:after="283"/>
              <w:jc w:val="center"/>
              <w:rPr>
                <w:b/>
              </w:rPr>
            </w:pPr>
            <w:r>
              <w:rPr>
                <w:b/>
              </w:rPr>
              <w:t>Partner</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Capital</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95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435" w:type="dxa"/>
            <w:gridSpan w:val="6"/>
            <w:tcBorders/>
            <w:shd w:fill="auto" w:val="clear"/>
            <w:vAlign w:val="bottom"/>
          </w:tcPr>
          <w:p>
            <w:pPr>
              <w:pStyle w:val="TableContents"/>
              <w:spacing w:before="0" w:after="283"/>
              <w:jc w:val="center"/>
              <w:rPr/>
            </w:pPr>
            <w:r>
              <w:rPr/>
              <w:t>(unaudited)</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351" w:type="dxa"/>
            <w:tcBorders/>
            <w:shd w:fill="CCEEFF" w:val="clear"/>
            <w:vAlign w:val="bottom"/>
          </w:tcPr>
          <w:p>
            <w:pPr>
              <w:pStyle w:val="TableContents"/>
              <w:spacing w:before="0" w:after="0"/>
              <w:ind w:left="225" w:right="0" w:hanging="225"/>
              <w:rPr/>
            </w:pPr>
            <w:r>
              <w:rPr/>
              <w:t>Balance at December 31, 2006</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109.4</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12" w:type="dxa"/>
            <w:tcBorders/>
            <w:shd w:fill="CCEEFF" w:val="clear"/>
            <w:vAlign w:val="bottom"/>
          </w:tcPr>
          <w:p>
            <w:pPr>
              <w:pStyle w:val="TableContents"/>
              <w:spacing w:before="0" w:after="283"/>
              <w:jc w:val="right"/>
              <w:rPr/>
            </w:pPr>
            <w:r>
              <w:rPr/>
              <w:t>2,906.1</w:t>
            </w:r>
          </w:p>
        </w:tc>
        <w:tc>
          <w:tcPr>
            <w:tcW w:w="12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70.7</w:t>
            </w:r>
          </w:p>
        </w:tc>
        <w:tc>
          <w:tcPr>
            <w:tcW w:w="12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921" w:type="dxa"/>
            <w:tcBorders/>
            <w:shd w:fill="CCEEFF" w:val="clear"/>
            <w:vAlign w:val="bottom"/>
          </w:tcPr>
          <w:p>
            <w:pPr>
              <w:pStyle w:val="TableContents"/>
              <w:spacing w:before="0" w:after="283"/>
              <w:jc w:val="right"/>
              <w:rPr/>
            </w:pPr>
            <w:r>
              <w:rPr/>
              <w:t>2,976.8</w:t>
            </w:r>
          </w:p>
        </w:tc>
        <w:tc>
          <w:tcPr>
            <w:tcW w:w="138" w:type="dxa"/>
            <w:tcBorders/>
            <w:shd w:fill="CCEEFF"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283"/>
              <w:rPr/>
            </w:pPr>
            <w:r>
              <w:rPr/>
              <w:t> </w:t>
            </w:r>
          </w:p>
        </w:tc>
        <w:tc>
          <w:tcPr>
            <w:tcW w:w="5854" w:type="dxa"/>
            <w:gridSpan w:val="16"/>
            <w:tcBorders/>
            <w:shd w:fill="auto" w:val="clear"/>
          </w:tcPr>
          <w:p>
            <w:pPr>
              <w:pStyle w:val="TableContents"/>
              <w:spacing w:before="0" w:after="283"/>
              <w:rPr>
                <w:sz w:val="4"/>
                <w:szCs w:val="4"/>
              </w:rPr>
            </w:pPr>
            <w:r>
              <w:rPr>
                <w:sz w:val="4"/>
                <w:szCs w:val="4"/>
              </w:rPr>
            </w:r>
          </w:p>
        </w:tc>
      </w:tr>
      <w:tr>
        <w:trPr/>
        <w:tc>
          <w:tcPr>
            <w:tcW w:w="4351" w:type="dxa"/>
            <w:tcBorders/>
            <w:shd w:fill="auto" w:val="clear"/>
            <w:vAlign w:val="bottom"/>
          </w:tcPr>
          <w:p>
            <w:pPr>
              <w:pStyle w:val="TableContents"/>
              <w:spacing w:before="0" w:after="0"/>
              <w:ind w:left="225" w:right="0" w:hanging="225"/>
              <w:rPr/>
            </w:pPr>
            <w:r>
              <w:rPr/>
              <w:t>Net income</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231.3</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56.6</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287.9</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283"/>
              <w:rPr/>
            </w:pPr>
            <w:r>
              <w:rPr/>
              <w:t> </w:t>
            </w:r>
          </w:p>
        </w:tc>
        <w:tc>
          <w:tcPr>
            <w:tcW w:w="5854" w:type="dxa"/>
            <w:gridSpan w:val="16"/>
            <w:tcBorders/>
            <w:shd w:fill="auto" w:val="clear"/>
          </w:tcPr>
          <w:p>
            <w:pPr>
              <w:pStyle w:val="TableContents"/>
              <w:spacing w:before="0" w:after="283"/>
              <w:rPr>
                <w:sz w:val="4"/>
                <w:szCs w:val="4"/>
              </w:rPr>
            </w:pPr>
            <w:r>
              <w:rPr>
                <w:sz w:val="4"/>
                <w:szCs w:val="4"/>
              </w:rPr>
            </w:r>
          </w:p>
        </w:tc>
      </w:tr>
      <w:tr>
        <w:trPr/>
        <w:tc>
          <w:tcPr>
            <w:tcW w:w="4351" w:type="dxa"/>
            <w:tcBorders/>
            <w:shd w:fill="CCEEFF" w:val="clear"/>
            <w:vAlign w:val="bottom"/>
          </w:tcPr>
          <w:p>
            <w:pPr>
              <w:pStyle w:val="TableContents"/>
              <w:spacing w:before="0" w:after="0"/>
              <w:ind w:left="225" w:right="0" w:hanging="225"/>
              <w:rPr/>
            </w:pPr>
            <w:r>
              <w:rPr/>
              <w:t>Distributions</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12" w:type="dxa"/>
            <w:tcBorders/>
            <w:shd w:fill="CCEEFF" w:val="clear"/>
            <w:vAlign w:val="bottom"/>
          </w:tcPr>
          <w:p>
            <w:pPr>
              <w:pStyle w:val="TableContents"/>
              <w:spacing w:before="0" w:after="283"/>
              <w:jc w:val="right"/>
              <w:rPr/>
            </w:pPr>
            <w:r>
              <w:rPr/>
              <w:t>(272.7</w:t>
            </w:r>
          </w:p>
        </w:tc>
        <w:tc>
          <w:tcPr>
            <w:tcW w:w="128"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(57.5</w:t>
            </w:r>
          </w:p>
        </w:tc>
        <w:tc>
          <w:tcPr>
            <w:tcW w:w="127" w:type="dxa"/>
            <w:tcBorders/>
            <w:shd w:fill="CCEEFF" w:val="clear"/>
            <w:vAlign w:val="bottom"/>
          </w:tcPr>
          <w:p>
            <w:pPr>
              <w:pStyle w:val="TableContents"/>
              <w:spacing w:before="0" w:after="283"/>
              <w:rPr/>
            </w:pPr>
            <w:r>
              <w:rPr/>
              <w:t>)</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921" w:type="dxa"/>
            <w:tcBorders/>
            <w:shd w:fill="CCEEFF" w:val="clear"/>
            <w:vAlign w:val="bottom"/>
          </w:tcPr>
          <w:p>
            <w:pPr>
              <w:pStyle w:val="TableContents"/>
              <w:spacing w:before="0" w:after="283"/>
              <w:jc w:val="right"/>
              <w:rPr/>
            </w:pPr>
            <w:r>
              <w:rPr/>
              <w:t>(330.2</w:t>
            </w:r>
          </w:p>
        </w:tc>
        <w:tc>
          <w:tcPr>
            <w:tcW w:w="138" w:type="dxa"/>
            <w:tcBorders/>
            <w:shd w:fill="CCEEFF" w:val="clear"/>
            <w:vAlign w:val="bottom"/>
          </w:tcPr>
          <w:p>
            <w:pPr>
              <w:pStyle w:val="TableContents"/>
              <w:spacing w:before="0" w:after="283"/>
              <w:rPr/>
            </w:pPr>
            <w:r>
              <w:rPr/>
              <w:t>)</w:t>
            </w:r>
          </w:p>
        </w:tc>
      </w:tr>
      <w:tr>
        <w:trPr/>
        <w:tc>
          <w:tcPr>
            <w:tcW w:w="4351" w:type="dxa"/>
            <w:tcBorders/>
            <w:shd w:fill="auto" w:val="clear"/>
            <w:vAlign w:val="center"/>
          </w:tcPr>
          <w:p>
            <w:pPr>
              <w:pStyle w:val="TableContents"/>
              <w:spacing w:before="0" w:after="283"/>
              <w:rPr/>
            </w:pPr>
            <w:r>
              <w:rPr/>
              <w:t> </w:t>
            </w:r>
          </w:p>
        </w:tc>
        <w:tc>
          <w:tcPr>
            <w:tcW w:w="5854" w:type="dxa"/>
            <w:gridSpan w:val="16"/>
            <w:tcBorders/>
            <w:shd w:fill="auto" w:val="clear"/>
          </w:tcPr>
          <w:p>
            <w:pPr>
              <w:pStyle w:val="TableContents"/>
              <w:spacing w:before="0" w:after="283"/>
              <w:rPr>
                <w:sz w:val="4"/>
                <w:szCs w:val="4"/>
              </w:rPr>
            </w:pPr>
            <w:r>
              <w:rPr>
                <w:sz w:val="4"/>
                <w:szCs w:val="4"/>
              </w:rPr>
            </w:r>
          </w:p>
        </w:tc>
      </w:tr>
      <w:tr>
        <w:trPr/>
        <w:tc>
          <w:tcPr>
            <w:tcW w:w="4351" w:type="dxa"/>
            <w:tcBorders/>
            <w:shd w:fill="auto" w:val="clear"/>
            <w:vAlign w:val="bottom"/>
          </w:tcPr>
          <w:p>
            <w:pPr>
              <w:pStyle w:val="TableContents"/>
              <w:spacing w:before="0" w:after="0"/>
              <w:ind w:left="225" w:right="0" w:hanging="225"/>
              <w:rPr/>
            </w:pPr>
            <w:r>
              <w:rPr/>
              <w:t>Issuance of common units</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6.3</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374.8</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7.7</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382.5</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283"/>
              <w:rPr/>
            </w:pPr>
            <w:r>
              <w:rPr/>
              <w:t> </w:t>
            </w:r>
          </w:p>
        </w:tc>
        <w:tc>
          <w:tcPr>
            <w:tcW w:w="5854" w:type="dxa"/>
            <w:gridSpan w:val="16"/>
            <w:tcBorders/>
            <w:shd w:fill="auto" w:val="clear"/>
          </w:tcPr>
          <w:p>
            <w:pPr>
              <w:pStyle w:val="TableContents"/>
              <w:spacing w:before="0" w:after="283"/>
              <w:rPr>
                <w:sz w:val="4"/>
                <w:szCs w:val="4"/>
              </w:rPr>
            </w:pPr>
            <w:r>
              <w:rPr>
                <w:sz w:val="4"/>
                <w:szCs w:val="4"/>
              </w:rPr>
            </w:r>
          </w:p>
        </w:tc>
      </w:tr>
      <w:tr>
        <w:trPr/>
        <w:tc>
          <w:tcPr>
            <w:tcW w:w="4351" w:type="dxa"/>
            <w:tcBorders/>
            <w:shd w:fill="CCEEFF" w:val="clear"/>
            <w:vAlign w:val="bottom"/>
          </w:tcPr>
          <w:p>
            <w:pPr>
              <w:pStyle w:val="TableContents"/>
              <w:spacing w:before="0" w:after="0"/>
              <w:ind w:left="225" w:right="0" w:hanging="225"/>
              <w:rPr/>
            </w:pPr>
            <w:r>
              <w:rPr/>
              <w:t>Issuance of common units under Long-Term Incentive Plans (LTIP)</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0.3</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17.2</w:t>
            </w:r>
          </w:p>
        </w:tc>
        <w:tc>
          <w:tcPr>
            <w:tcW w:w="12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0.4</w:t>
            </w:r>
          </w:p>
        </w:tc>
        <w:tc>
          <w:tcPr>
            <w:tcW w:w="12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17.6</w:t>
            </w:r>
          </w:p>
        </w:tc>
        <w:tc>
          <w:tcPr>
            <w:tcW w:w="138" w:type="dxa"/>
            <w:tcBorders/>
            <w:shd w:fill="CCEEFF"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283"/>
              <w:rPr/>
            </w:pPr>
            <w:r>
              <w:rPr/>
              <w:t> </w:t>
            </w:r>
          </w:p>
        </w:tc>
        <w:tc>
          <w:tcPr>
            <w:tcW w:w="5854" w:type="dxa"/>
            <w:gridSpan w:val="16"/>
            <w:tcBorders/>
            <w:shd w:fill="auto" w:val="clear"/>
          </w:tcPr>
          <w:p>
            <w:pPr>
              <w:pStyle w:val="TableContents"/>
              <w:spacing w:before="0" w:after="283"/>
              <w:rPr>
                <w:sz w:val="4"/>
                <w:szCs w:val="4"/>
              </w:rPr>
            </w:pPr>
            <w:r>
              <w:rPr>
                <w:sz w:val="4"/>
                <w:szCs w:val="4"/>
              </w:rPr>
            </w:r>
          </w:p>
        </w:tc>
      </w:tr>
      <w:tr>
        <w:trPr/>
        <w:tc>
          <w:tcPr>
            <w:tcW w:w="4351" w:type="dxa"/>
            <w:tcBorders/>
            <w:shd w:fill="auto" w:val="clear"/>
            <w:vAlign w:val="bottom"/>
          </w:tcPr>
          <w:p>
            <w:pPr>
              <w:pStyle w:val="TableContents"/>
              <w:spacing w:before="0" w:after="0"/>
              <w:ind w:left="225" w:right="0" w:hanging="225"/>
              <w:rPr/>
            </w:pPr>
            <w:r>
              <w:rPr/>
              <w:t>Capital contribution from General Partner  Class B Units (non-cash)</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0.6</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0.6</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283"/>
              <w:rPr/>
            </w:pPr>
            <w:r>
              <w:rPr/>
              <w:t> </w:t>
            </w:r>
          </w:p>
        </w:tc>
        <w:tc>
          <w:tcPr>
            <w:tcW w:w="5854" w:type="dxa"/>
            <w:gridSpan w:val="16"/>
            <w:tcBorders/>
            <w:shd w:fill="auto" w:val="clear"/>
          </w:tcPr>
          <w:p>
            <w:pPr>
              <w:pStyle w:val="TableContents"/>
              <w:spacing w:before="0" w:after="283"/>
              <w:rPr>
                <w:sz w:val="4"/>
                <w:szCs w:val="4"/>
              </w:rPr>
            </w:pPr>
            <w:r>
              <w:rPr>
                <w:sz w:val="4"/>
                <w:szCs w:val="4"/>
              </w:rPr>
            </w:r>
          </w:p>
        </w:tc>
      </w:tr>
      <w:tr>
        <w:trPr/>
        <w:tc>
          <w:tcPr>
            <w:tcW w:w="4351" w:type="dxa"/>
            <w:tcBorders/>
            <w:shd w:fill="CCEEFF" w:val="clear"/>
            <w:vAlign w:val="bottom"/>
          </w:tcPr>
          <w:p>
            <w:pPr>
              <w:pStyle w:val="TableContents"/>
              <w:spacing w:before="0" w:after="0"/>
              <w:ind w:left="225" w:right="0" w:hanging="225"/>
              <w:rPr/>
            </w:pPr>
            <w:r>
              <w:rPr/>
              <w:t>Other comprehensive income</w:t>
            </w:r>
          </w:p>
        </w:tc>
        <w:tc>
          <w:tcPr>
            <w:tcW w:w="382"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pPr>
            <w:r>
              <w:rPr/>
              <w:t></w:t>
            </w:r>
          </w:p>
        </w:tc>
        <w:tc>
          <w:tcPr>
            <w:tcW w:w="10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pPr>
            <w:r>
              <w:rPr/>
              <w:t>86.2</w:t>
            </w:r>
          </w:p>
        </w:tc>
        <w:tc>
          <w:tcPr>
            <w:tcW w:w="128"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1.8</w:t>
            </w:r>
          </w:p>
        </w:tc>
        <w:tc>
          <w:tcPr>
            <w:tcW w:w="12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88.0</w:t>
            </w:r>
          </w:p>
        </w:tc>
        <w:tc>
          <w:tcPr>
            <w:tcW w:w="138" w:type="dxa"/>
            <w:tcBorders/>
            <w:shd w:fill="CCEEFF"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8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5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351" w:type="dxa"/>
            <w:tcBorders/>
            <w:shd w:fill="auto" w:val="clear"/>
            <w:vAlign w:val="center"/>
          </w:tcPr>
          <w:p>
            <w:pPr>
              <w:pStyle w:val="TableContents"/>
              <w:spacing w:before="0" w:after="283"/>
              <w:rPr/>
            </w:pPr>
            <w:r>
              <w:rPr/>
              <w:t> </w:t>
            </w:r>
          </w:p>
        </w:tc>
        <w:tc>
          <w:tcPr>
            <w:tcW w:w="5854" w:type="dxa"/>
            <w:gridSpan w:val="16"/>
            <w:tcBorders/>
            <w:shd w:fill="auto" w:val="clear"/>
          </w:tcPr>
          <w:p>
            <w:pPr>
              <w:pStyle w:val="TableContents"/>
              <w:spacing w:before="0" w:after="283"/>
              <w:rPr>
                <w:sz w:val="4"/>
                <w:szCs w:val="4"/>
              </w:rPr>
            </w:pPr>
            <w:r>
              <w:rPr>
                <w:sz w:val="4"/>
                <w:szCs w:val="4"/>
              </w:rPr>
            </w:r>
          </w:p>
        </w:tc>
      </w:tr>
      <w:tr>
        <w:trPr/>
        <w:tc>
          <w:tcPr>
            <w:tcW w:w="4351" w:type="dxa"/>
            <w:tcBorders/>
            <w:shd w:fill="auto" w:val="clear"/>
            <w:vAlign w:val="bottom"/>
          </w:tcPr>
          <w:p>
            <w:pPr>
              <w:pStyle w:val="TableContents"/>
              <w:spacing w:before="0" w:after="0"/>
              <w:ind w:left="225" w:right="0" w:hanging="225"/>
              <w:rPr/>
            </w:pPr>
            <w:r>
              <w:rPr/>
              <w:t>Balance at September 30, 2007</w:t>
            </w:r>
          </w:p>
        </w:tc>
        <w:tc>
          <w:tcPr>
            <w:tcW w:w="38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pPr>
            <w:r>
              <w:rPr/>
              <w:t>116.0</w:t>
            </w:r>
          </w:p>
        </w:tc>
        <w:tc>
          <w:tcPr>
            <w:tcW w:w="10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12" w:type="dxa"/>
            <w:tcBorders/>
            <w:shd w:fill="auto" w:val="clear"/>
            <w:vAlign w:val="bottom"/>
          </w:tcPr>
          <w:p>
            <w:pPr>
              <w:pStyle w:val="TableContents"/>
              <w:spacing w:before="0" w:after="283"/>
              <w:jc w:val="right"/>
              <w:rPr/>
            </w:pPr>
            <w:r>
              <w:rPr/>
              <w:t>3,342.9</w:t>
            </w:r>
          </w:p>
        </w:tc>
        <w:tc>
          <w:tcPr>
            <w:tcW w:w="12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80.3</w:t>
            </w:r>
          </w:p>
        </w:tc>
        <w:tc>
          <w:tcPr>
            <w:tcW w:w="12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921" w:type="dxa"/>
            <w:tcBorders/>
            <w:shd w:fill="auto" w:val="clear"/>
            <w:vAlign w:val="bottom"/>
          </w:tcPr>
          <w:p>
            <w:pPr>
              <w:pStyle w:val="TableContents"/>
              <w:spacing w:before="0" w:after="283"/>
              <w:jc w:val="right"/>
              <w:rPr/>
            </w:pPr>
            <w:r>
              <w:rPr/>
              <w:t>3,423.2</w:t>
            </w:r>
          </w:p>
        </w:tc>
        <w:tc>
          <w:tcPr>
            <w:tcW w:w="138" w:type="dxa"/>
            <w:tcBorders/>
            <w:shd w:fill="auto" w:val="clear"/>
            <w:vAlign w:val="bottom"/>
          </w:tcPr>
          <w:p>
            <w:pPr>
              <w:pStyle w:val="TableContents"/>
              <w:spacing w:before="0" w:after="283"/>
              <w:rPr/>
            </w:pPr>
            <w:r>
              <w:rPr/>
              <w:t> </w:t>
            </w:r>
          </w:p>
        </w:tc>
      </w:tr>
      <w:tr>
        <w:trPr/>
        <w:tc>
          <w:tcPr>
            <w:tcW w:w="4351"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8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95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bookmarkStart w:id="9" w:name="107"/>
      <w:bookmarkEnd w:id="9"/>
      <w:r>
        <w:rPr>
          <w:rFonts w:ascii="Times New Roman;Times;serif" w:hAnsi="Times New Roman;Times;serif"/>
          <w:b/>
          <w:sz w:val="17"/>
        </w:rPr>
        <w:t>CONDENSED CONSOLIDATED STATEMENTS OF COMPREHENSIVE INCOME</w:t>
        <w:b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080"/>
        <w:gridCol w:w="347"/>
        <w:gridCol w:w="204"/>
        <w:gridCol w:w="879"/>
        <w:gridCol w:w="122"/>
        <w:gridCol w:w="366"/>
        <w:gridCol w:w="204"/>
        <w:gridCol w:w="880"/>
        <w:gridCol w:w="103"/>
        <w:gridCol w:w="347"/>
        <w:gridCol w:w="195"/>
        <w:gridCol w:w="844"/>
        <w:gridCol w:w="118"/>
        <w:gridCol w:w="362"/>
        <w:gridCol w:w="195"/>
        <w:gridCol w:w="845"/>
        <w:gridCol w:w="114"/>
      </w:tblGrid>
      <w:tr>
        <w:trPr/>
        <w:tc>
          <w:tcPr>
            <w:tcW w:w="408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408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655" w:type="dxa"/>
            <w:gridSpan w:val="6"/>
            <w:tcBorders/>
            <w:shd w:fill="auto" w:val="clear"/>
            <w:vAlign w:val="bottom"/>
          </w:tcPr>
          <w:p>
            <w:pPr>
              <w:pStyle w:val="TableContents"/>
              <w:spacing w:before="0" w:after="283"/>
              <w:jc w:val="center"/>
              <w:rPr>
                <w:b/>
              </w:rPr>
            </w:pPr>
            <w:r>
              <w:rPr>
                <w:b/>
              </w:rPr>
              <w:t>Three Months Ended</w:t>
            </w:r>
          </w:p>
        </w:tc>
        <w:tc>
          <w:tcPr>
            <w:tcW w:w="10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59" w:type="dxa"/>
            <w:gridSpan w:val="6"/>
            <w:tcBorders/>
            <w:shd w:fill="auto" w:val="clear"/>
            <w:vAlign w:val="bottom"/>
          </w:tcPr>
          <w:p>
            <w:pPr>
              <w:pStyle w:val="TableContents"/>
              <w:spacing w:before="0" w:after="283"/>
              <w:jc w:val="center"/>
              <w:rPr>
                <w:b/>
              </w:rPr>
            </w:pPr>
            <w:r>
              <w:rPr>
                <w:b/>
              </w:rPr>
              <w:t>Nine Months Ended</w:t>
            </w:r>
          </w:p>
        </w:tc>
        <w:tc>
          <w:tcPr>
            <w:tcW w:w="114" w:type="dxa"/>
            <w:tcBorders/>
            <w:shd w:fill="auto" w:val="clear"/>
            <w:vAlign w:val="bottom"/>
          </w:tcPr>
          <w:p>
            <w:pPr>
              <w:pStyle w:val="TableContents"/>
              <w:spacing w:before="0" w:after="283"/>
              <w:rPr/>
            </w:pPr>
            <w:r>
              <w:rPr/>
              <w:t> </w:t>
            </w:r>
          </w:p>
        </w:tc>
      </w:tr>
      <w:tr>
        <w:trPr/>
        <w:tc>
          <w:tcPr>
            <w:tcW w:w="408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65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0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5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14" w:type="dxa"/>
            <w:tcBorders/>
            <w:shd w:fill="auto" w:val="clear"/>
            <w:vAlign w:val="bottom"/>
          </w:tcPr>
          <w:p>
            <w:pPr>
              <w:pStyle w:val="TableContents"/>
              <w:spacing w:before="0" w:after="283"/>
              <w:rPr/>
            </w:pPr>
            <w:r>
              <w:rPr/>
              <w:t> </w:t>
            </w:r>
          </w:p>
        </w:tc>
      </w:tr>
      <w:tr>
        <w:trPr/>
        <w:tc>
          <w:tcPr>
            <w:tcW w:w="408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0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03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4" w:type="dxa"/>
            <w:tcBorders/>
            <w:shd w:fill="auto" w:val="clear"/>
            <w:vAlign w:val="bottom"/>
          </w:tcPr>
          <w:p>
            <w:pPr>
              <w:pStyle w:val="TableContents"/>
              <w:spacing w:before="0" w:after="283"/>
              <w:rPr/>
            </w:pPr>
            <w:r>
              <w:rPr/>
              <w:t> </w:t>
            </w:r>
          </w:p>
        </w:tc>
      </w:tr>
      <w:tr>
        <w:trPr/>
        <w:tc>
          <w:tcPr>
            <w:tcW w:w="408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655" w:type="dxa"/>
            <w:gridSpan w:val="6"/>
            <w:tcBorders/>
            <w:shd w:fill="auto" w:val="clear"/>
            <w:vAlign w:val="bottom"/>
          </w:tcPr>
          <w:p>
            <w:pPr>
              <w:pStyle w:val="TableContents"/>
              <w:spacing w:before="0" w:after="283"/>
              <w:jc w:val="center"/>
              <w:rPr/>
            </w:pPr>
            <w:r>
              <w:rPr/>
              <w:t>(unaudited)</w:t>
            </w:r>
          </w:p>
        </w:tc>
        <w:tc>
          <w:tcPr>
            <w:tcW w:w="10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2559" w:type="dxa"/>
            <w:gridSpan w:val="6"/>
            <w:tcBorders/>
            <w:shd w:fill="auto" w:val="clear"/>
            <w:vAlign w:val="bottom"/>
          </w:tcPr>
          <w:p>
            <w:pPr>
              <w:pStyle w:val="TableContents"/>
              <w:spacing w:before="0" w:after="283"/>
              <w:jc w:val="center"/>
              <w:rPr/>
            </w:pPr>
            <w:r>
              <w:rPr/>
              <w:t>(unaudited)</w:t>
            </w:r>
          </w:p>
        </w:tc>
        <w:tc>
          <w:tcPr>
            <w:tcW w:w="114" w:type="dxa"/>
            <w:tcBorders/>
            <w:shd w:fill="auto" w:val="clear"/>
            <w:vAlign w:val="bottom"/>
          </w:tcPr>
          <w:p>
            <w:pPr>
              <w:pStyle w:val="TableContents"/>
              <w:spacing w:before="0" w:after="283"/>
              <w:rPr/>
            </w:pPr>
            <w:r>
              <w:rPr/>
              <w:t> </w:t>
            </w:r>
          </w:p>
        </w:tc>
      </w:tr>
      <w:tr>
        <w:trPr/>
        <w:tc>
          <w:tcPr>
            <w:tcW w:w="4080" w:type="dxa"/>
            <w:tcBorders/>
            <w:shd w:fill="CCEEFF" w:val="clear"/>
            <w:vAlign w:val="bottom"/>
          </w:tcPr>
          <w:p>
            <w:pPr>
              <w:pStyle w:val="TableContents"/>
              <w:spacing w:before="0" w:after="0"/>
              <w:ind w:left="225" w:right="0" w:hanging="225"/>
              <w:rPr/>
            </w:pPr>
            <w:r>
              <w:rPr/>
              <w:t>Net income</w:t>
            </w:r>
          </w:p>
        </w:tc>
        <w:tc>
          <w:tcPr>
            <w:tcW w:w="34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98.4</w:t>
            </w:r>
          </w:p>
        </w:tc>
        <w:tc>
          <w:tcPr>
            <w:tcW w:w="12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80" w:type="dxa"/>
            <w:tcBorders/>
            <w:shd w:fill="CCEEFF" w:val="clear"/>
            <w:vAlign w:val="bottom"/>
          </w:tcPr>
          <w:p>
            <w:pPr>
              <w:pStyle w:val="TableContents"/>
              <w:spacing w:before="0" w:after="283"/>
              <w:jc w:val="right"/>
              <w:rPr/>
            </w:pPr>
            <w:r>
              <w:rPr/>
              <w:t>95.4</w:t>
            </w:r>
          </w:p>
        </w:tc>
        <w:tc>
          <w:tcPr>
            <w:tcW w:w="10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287.9</w:t>
            </w:r>
          </w:p>
        </w:tc>
        <w:tc>
          <w:tcPr>
            <w:tcW w:w="118"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239.1</w:t>
            </w:r>
          </w:p>
        </w:tc>
        <w:tc>
          <w:tcPr>
            <w:tcW w:w="114" w:type="dxa"/>
            <w:tcBorders/>
            <w:shd w:fill="CCEEFF" w:val="clear"/>
            <w:vAlign w:val="bottom"/>
          </w:tcPr>
          <w:p>
            <w:pPr>
              <w:pStyle w:val="TableContents"/>
              <w:spacing w:before="0" w:after="283"/>
              <w:rPr/>
            </w:pPr>
            <w:r>
              <w:rPr/>
              <w:t> </w:t>
            </w:r>
          </w:p>
        </w:tc>
      </w:tr>
      <w:tr>
        <w:trPr/>
        <w:tc>
          <w:tcPr>
            <w:tcW w:w="4080" w:type="dxa"/>
            <w:tcBorders/>
            <w:shd w:fill="auto" w:val="clear"/>
            <w:vAlign w:val="bottom"/>
          </w:tcPr>
          <w:p>
            <w:pPr>
              <w:pStyle w:val="TableContents"/>
              <w:spacing w:before="0" w:after="0"/>
              <w:ind w:left="225" w:right="0" w:hanging="225"/>
              <w:rPr/>
            </w:pPr>
            <w:r>
              <w:rPr/>
              <w:t>Other comprehensive income</w:t>
            </w:r>
          </w:p>
        </w:tc>
        <w:tc>
          <w:tcPr>
            <w:tcW w:w="34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42.8</w:t>
            </w:r>
          </w:p>
        </w:tc>
        <w:tc>
          <w:tcPr>
            <w:tcW w:w="12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123.8</w:t>
            </w:r>
          </w:p>
        </w:tc>
        <w:tc>
          <w:tcPr>
            <w:tcW w:w="103"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4" w:type="dxa"/>
            <w:tcBorders/>
            <w:shd w:fill="auto" w:val="clear"/>
            <w:vAlign w:val="bottom"/>
          </w:tcPr>
          <w:p>
            <w:pPr>
              <w:pStyle w:val="TableContents"/>
              <w:spacing w:before="0" w:after="283"/>
              <w:jc w:val="right"/>
              <w:rPr/>
            </w:pPr>
            <w:r>
              <w:rPr/>
              <w:t>88.0</w:t>
            </w:r>
          </w:p>
        </w:tc>
        <w:tc>
          <w:tcPr>
            <w:tcW w:w="118"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143.4</w:t>
            </w:r>
          </w:p>
        </w:tc>
        <w:tc>
          <w:tcPr>
            <w:tcW w:w="114" w:type="dxa"/>
            <w:tcBorders/>
            <w:shd w:fill="auto" w:val="clear"/>
            <w:vAlign w:val="bottom"/>
          </w:tcPr>
          <w:p>
            <w:pPr>
              <w:pStyle w:val="TableContents"/>
              <w:spacing w:before="0" w:after="283"/>
              <w:rPr/>
            </w:pPr>
            <w:r>
              <w:rPr/>
              <w:t> </w:t>
            </w:r>
          </w:p>
        </w:tc>
      </w:tr>
      <w:tr>
        <w:trPr/>
        <w:tc>
          <w:tcPr>
            <w:tcW w:w="4080"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0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0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362"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4080" w:type="dxa"/>
            <w:tcBorders/>
            <w:shd w:fill="CCEEFF" w:val="clear"/>
            <w:vAlign w:val="bottom"/>
          </w:tcPr>
          <w:p>
            <w:pPr>
              <w:pStyle w:val="TableContents"/>
              <w:spacing w:before="0" w:after="0"/>
              <w:ind w:left="225" w:right="0" w:hanging="225"/>
              <w:rPr/>
            </w:pPr>
            <w:r>
              <w:rPr/>
              <w:t>Comprehensive income</w:t>
            </w:r>
          </w:p>
        </w:tc>
        <w:tc>
          <w:tcPr>
            <w:tcW w:w="34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141.2</w:t>
            </w:r>
          </w:p>
        </w:tc>
        <w:tc>
          <w:tcPr>
            <w:tcW w:w="122"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880" w:type="dxa"/>
            <w:tcBorders/>
            <w:shd w:fill="CCEEFF" w:val="clear"/>
            <w:vAlign w:val="bottom"/>
          </w:tcPr>
          <w:p>
            <w:pPr>
              <w:pStyle w:val="TableContents"/>
              <w:spacing w:before="0" w:after="283"/>
              <w:jc w:val="right"/>
              <w:rPr/>
            </w:pPr>
            <w:r>
              <w:rPr/>
              <w:t>219.2</w:t>
            </w:r>
          </w:p>
        </w:tc>
        <w:tc>
          <w:tcPr>
            <w:tcW w:w="103"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44" w:type="dxa"/>
            <w:tcBorders/>
            <w:shd w:fill="CCEEFF" w:val="clear"/>
            <w:vAlign w:val="bottom"/>
          </w:tcPr>
          <w:p>
            <w:pPr>
              <w:pStyle w:val="TableContents"/>
              <w:spacing w:before="0" w:after="283"/>
              <w:jc w:val="right"/>
              <w:rPr/>
            </w:pPr>
            <w:r>
              <w:rPr/>
              <w:t>375.9</w:t>
            </w:r>
          </w:p>
        </w:tc>
        <w:tc>
          <w:tcPr>
            <w:tcW w:w="118"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45" w:type="dxa"/>
            <w:tcBorders/>
            <w:shd w:fill="CCEEFF" w:val="clear"/>
            <w:vAlign w:val="bottom"/>
          </w:tcPr>
          <w:p>
            <w:pPr>
              <w:pStyle w:val="TableContents"/>
              <w:spacing w:before="0" w:after="283"/>
              <w:jc w:val="right"/>
              <w:rPr/>
            </w:pPr>
            <w:r>
              <w:rPr/>
              <w:t>382.5</w:t>
            </w:r>
          </w:p>
        </w:tc>
        <w:tc>
          <w:tcPr>
            <w:tcW w:w="114" w:type="dxa"/>
            <w:tcBorders/>
            <w:shd w:fill="CCEEFF" w:val="clear"/>
            <w:vAlign w:val="bottom"/>
          </w:tcPr>
          <w:p>
            <w:pPr>
              <w:pStyle w:val="TableContents"/>
              <w:spacing w:before="0" w:after="283"/>
              <w:rPr/>
            </w:pPr>
            <w:r>
              <w:rPr/>
              <w:t> </w:t>
            </w:r>
          </w:p>
        </w:tc>
      </w:tr>
      <w:tr>
        <w:trPr/>
        <w:tc>
          <w:tcPr>
            <w:tcW w:w="4080" w:type="dxa"/>
            <w:tcBorders/>
            <w:shd w:fill="auto" w:val="clear"/>
            <w:vAlign w:val="center"/>
          </w:tcPr>
          <w:p>
            <w:pPr>
              <w:pStyle w:val="TableContents"/>
              <w:spacing w:before="0" w:after="0"/>
              <w:ind w:left="225" w:right="0" w:hanging="225"/>
              <w:rPr/>
            </w:pPr>
            <w:r>
              <w:rPr/>
              <w:t> </w:t>
            </w:r>
          </w:p>
        </w:tc>
        <w:tc>
          <w:tcPr>
            <w:tcW w:w="347"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10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10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c>
          <w:tcPr>
            <w:tcW w:w="362"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CONDENSED CONSOLIDATED STATEMENT OF</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10" w:name="108"/>
      <w:bookmarkEnd w:id="10"/>
      <w:r>
        <w:rPr>
          <w:rFonts w:ascii="Times New Roman;Times;serif" w:hAnsi="Times New Roman;Times;serif"/>
          <w:b/>
          <w:sz w:val="17"/>
        </w:rPr>
        <w:t>CHANGES IN ACCUMULATED OTHER COMPREHENSIVE INCOME</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millions)</w:t>
      </w:r>
    </w:p>
    <w:tbl>
      <w:tblPr>
        <w:tblW w:w="5000" w:type="pct"/>
        <w:jc w:val="center"/>
        <w:tblInd w:w="0" w:type="dxa"/>
        <w:tblCellMar>
          <w:top w:w="0" w:type="dxa"/>
          <w:left w:w="0" w:type="dxa"/>
          <w:bottom w:w="0" w:type="dxa"/>
          <w:right w:w="0" w:type="dxa"/>
        </w:tblCellMar>
      </w:tblPr>
      <w:tblGrid>
        <w:gridCol w:w="4841"/>
        <w:gridCol w:w="345"/>
        <w:gridCol w:w="321"/>
        <w:gridCol w:w="1266"/>
        <w:gridCol w:w="136"/>
        <w:gridCol w:w="345"/>
        <w:gridCol w:w="273"/>
        <w:gridCol w:w="1154"/>
        <w:gridCol w:w="108"/>
        <w:gridCol w:w="345"/>
        <w:gridCol w:w="173"/>
        <w:gridCol w:w="754"/>
        <w:gridCol w:w="144"/>
      </w:tblGrid>
      <w:tr>
        <w:trPr/>
        <w:tc>
          <w:tcPr>
            <w:tcW w:w="484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484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Net Deferred</w:t>
            </w:r>
          </w:p>
        </w:tc>
        <w:tc>
          <w:tcPr>
            <w:tcW w:w="13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27" w:type="dxa"/>
            <w:gridSpan w:val="2"/>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pPr>
            <w:r>
              <w:rPr/>
              <w:t> </w:t>
            </w:r>
          </w:p>
        </w:tc>
        <w:tc>
          <w:tcPr>
            <w:tcW w:w="144" w:type="dxa"/>
            <w:tcBorders/>
            <w:shd w:fill="auto" w:val="clear"/>
            <w:vAlign w:val="bottom"/>
          </w:tcPr>
          <w:p>
            <w:pPr>
              <w:pStyle w:val="TableContents"/>
              <w:spacing w:before="0" w:after="283"/>
              <w:rPr/>
            </w:pPr>
            <w:r>
              <w:rPr/>
              <w:t> </w:t>
            </w:r>
          </w:p>
        </w:tc>
      </w:tr>
      <w:tr>
        <w:trPr/>
        <w:tc>
          <w:tcPr>
            <w:tcW w:w="484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Gain/(Loss) on</w:t>
            </w:r>
          </w:p>
        </w:tc>
        <w:tc>
          <w:tcPr>
            <w:tcW w:w="13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27" w:type="dxa"/>
            <w:gridSpan w:val="2"/>
            <w:tcBorders/>
            <w:shd w:fill="auto" w:val="clear"/>
            <w:vAlign w:val="bottom"/>
          </w:tcPr>
          <w:p>
            <w:pPr>
              <w:pStyle w:val="TableContents"/>
              <w:spacing w:before="0" w:after="283"/>
              <w:jc w:val="center"/>
              <w:rPr>
                <w:b/>
              </w:rPr>
            </w:pPr>
            <w:r>
              <w:rPr>
                <w:b/>
              </w:rPr>
              <w:t>Currency</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pPr>
            <w:r>
              <w:rPr/>
              <w:t> </w:t>
            </w:r>
          </w:p>
        </w:tc>
        <w:tc>
          <w:tcPr>
            <w:tcW w:w="144" w:type="dxa"/>
            <w:tcBorders/>
            <w:shd w:fill="auto" w:val="clear"/>
            <w:vAlign w:val="bottom"/>
          </w:tcPr>
          <w:p>
            <w:pPr>
              <w:pStyle w:val="TableContents"/>
              <w:spacing w:before="0" w:after="283"/>
              <w:rPr/>
            </w:pPr>
            <w:r>
              <w:rPr/>
              <w:t> </w:t>
            </w:r>
          </w:p>
        </w:tc>
      </w:tr>
      <w:tr>
        <w:trPr/>
        <w:tc>
          <w:tcPr>
            <w:tcW w:w="484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7" w:type="dxa"/>
            <w:gridSpan w:val="2"/>
            <w:tcBorders/>
            <w:shd w:fill="auto" w:val="clear"/>
            <w:vAlign w:val="bottom"/>
          </w:tcPr>
          <w:p>
            <w:pPr>
              <w:pStyle w:val="TableContents"/>
              <w:spacing w:before="0" w:after="283"/>
              <w:jc w:val="center"/>
              <w:rPr>
                <w:b/>
              </w:rPr>
            </w:pPr>
            <w:r>
              <w:rPr>
                <w:b/>
              </w:rPr>
              <w:t>Derivative</w:t>
            </w:r>
          </w:p>
        </w:tc>
        <w:tc>
          <w:tcPr>
            <w:tcW w:w="13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27" w:type="dxa"/>
            <w:gridSpan w:val="2"/>
            <w:tcBorders/>
            <w:shd w:fill="auto" w:val="clear"/>
            <w:vAlign w:val="bottom"/>
          </w:tcPr>
          <w:p>
            <w:pPr>
              <w:pStyle w:val="TableContents"/>
              <w:spacing w:before="0" w:after="283"/>
              <w:jc w:val="center"/>
              <w:rPr>
                <w:b/>
              </w:rPr>
            </w:pPr>
            <w:r>
              <w:rPr>
                <w:b/>
              </w:rPr>
              <w:t>Translation</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283"/>
              <w:jc w:val="center"/>
              <w:rPr/>
            </w:pPr>
            <w:r>
              <w:rPr/>
              <w:t> </w:t>
            </w:r>
          </w:p>
        </w:tc>
        <w:tc>
          <w:tcPr>
            <w:tcW w:w="144" w:type="dxa"/>
            <w:tcBorders/>
            <w:shd w:fill="auto" w:val="clear"/>
            <w:vAlign w:val="bottom"/>
          </w:tcPr>
          <w:p>
            <w:pPr>
              <w:pStyle w:val="TableContents"/>
              <w:spacing w:before="0" w:after="283"/>
              <w:rPr/>
            </w:pPr>
            <w:r>
              <w:rPr/>
              <w:t> </w:t>
            </w:r>
          </w:p>
        </w:tc>
      </w:tr>
      <w:tr>
        <w:trPr/>
        <w:tc>
          <w:tcPr>
            <w:tcW w:w="484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8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Instruments</w:t>
            </w:r>
          </w:p>
        </w:tc>
        <w:tc>
          <w:tcPr>
            <w:tcW w:w="13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4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Adjustments</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9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44" w:type="dxa"/>
            <w:tcBorders/>
            <w:shd w:fill="auto" w:val="clear"/>
            <w:vAlign w:val="bottom"/>
          </w:tcPr>
          <w:p>
            <w:pPr>
              <w:pStyle w:val="TableContents"/>
              <w:spacing w:before="0" w:after="283"/>
              <w:rPr/>
            </w:pPr>
            <w:r>
              <w:rPr/>
              <w:t> </w:t>
            </w:r>
          </w:p>
        </w:tc>
      </w:tr>
      <w:tr>
        <w:trPr/>
        <w:tc>
          <w:tcPr>
            <w:tcW w:w="484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4875" w:type="dxa"/>
            <w:gridSpan w:val="10"/>
            <w:tcBorders/>
            <w:shd w:fill="auto" w:val="clear"/>
            <w:vAlign w:val="bottom"/>
          </w:tcPr>
          <w:p>
            <w:pPr>
              <w:pStyle w:val="TableContents"/>
              <w:spacing w:before="0" w:after="283"/>
              <w:jc w:val="center"/>
              <w:rPr/>
            </w:pPr>
            <w:r>
              <w:rPr/>
              <w:t>(unaudited)</w:t>
            </w:r>
          </w:p>
        </w:tc>
        <w:tc>
          <w:tcPr>
            <w:tcW w:w="144" w:type="dxa"/>
            <w:tcBorders/>
            <w:shd w:fill="auto" w:val="clear"/>
            <w:vAlign w:val="bottom"/>
          </w:tcPr>
          <w:p>
            <w:pPr>
              <w:pStyle w:val="TableContents"/>
              <w:spacing w:before="0" w:after="283"/>
              <w:rPr/>
            </w:pPr>
            <w:r>
              <w:rPr/>
              <w:t> </w:t>
            </w:r>
          </w:p>
        </w:tc>
      </w:tr>
      <w:tr>
        <w:trPr/>
        <w:tc>
          <w:tcPr>
            <w:tcW w:w="4841" w:type="dxa"/>
            <w:tcBorders/>
            <w:shd w:fill="CCEEFF" w:val="clear"/>
            <w:vAlign w:val="bottom"/>
          </w:tcPr>
          <w:p>
            <w:pPr>
              <w:pStyle w:val="TableContents"/>
              <w:spacing w:before="0" w:after="0"/>
              <w:ind w:left="225" w:right="0" w:hanging="225"/>
              <w:rPr/>
            </w:pPr>
            <w:r>
              <w:rPr/>
              <w:t>Balance at December 31, 2006</w:t>
            </w:r>
          </w:p>
        </w:tc>
        <w:tc>
          <w:tcPr>
            <w:tcW w:w="34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left"/>
              <w:rPr/>
            </w:pPr>
            <w:r>
              <w:rPr/>
              <w:t>$</w:t>
            </w:r>
          </w:p>
        </w:tc>
        <w:tc>
          <w:tcPr>
            <w:tcW w:w="1266" w:type="dxa"/>
            <w:tcBorders/>
            <w:shd w:fill="CCEEFF" w:val="clear"/>
            <w:vAlign w:val="bottom"/>
          </w:tcPr>
          <w:p>
            <w:pPr>
              <w:pStyle w:val="TableContents"/>
              <w:spacing w:before="0" w:after="283"/>
              <w:jc w:val="right"/>
              <w:rPr/>
            </w:pPr>
            <w:r>
              <w:rPr/>
              <w:t>(19.8</w:t>
            </w:r>
          </w:p>
        </w:tc>
        <w:tc>
          <w:tcPr>
            <w:tcW w:w="136"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154" w:type="dxa"/>
            <w:tcBorders/>
            <w:shd w:fill="CCEEFF" w:val="clear"/>
            <w:vAlign w:val="bottom"/>
          </w:tcPr>
          <w:p>
            <w:pPr>
              <w:pStyle w:val="TableContents"/>
              <w:spacing w:before="0" w:after="283"/>
              <w:jc w:val="right"/>
              <w:rPr/>
            </w:pPr>
            <w:r>
              <w:rPr/>
              <w:t>69.5</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754" w:type="dxa"/>
            <w:tcBorders/>
            <w:shd w:fill="CCEEFF" w:val="clear"/>
            <w:vAlign w:val="bottom"/>
          </w:tcPr>
          <w:p>
            <w:pPr>
              <w:pStyle w:val="TableContents"/>
              <w:spacing w:before="0" w:after="283"/>
              <w:jc w:val="right"/>
              <w:rPr/>
            </w:pPr>
            <w:r>
              <w:rPr/>
              <w:t>49.7</w:t>
            </w:r>
          </w:p>
        </w:tc>
        <w:tc>
          <w:tcPr>
            <w:tcW w:w="144" w:type="dxa"/>
            <w:tcBorders/>
            <w:shd w:fill="CCEEFF" w:val="clear"/>
            <w:vAlign w:val="bottom"/>
          </w:tcPr>
          <w:p>
            <w:pPr>
              <w:pStyle w:val="TableContents"/>
              <w:spacing w:before="0" w:after="283"/>
              <w:rPr/>
            </w:pPr>
            <w:r>
              <w:rPr/>
              <w:t> </w:t>
            </w:r>
          </w:p>
        </w:tc>
      </w:tr>
      <w:tr>
        <w:trPr/>
        <w:tc>
          <w:tcPr>
            <w:tcW w:w="4841"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4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4841" w:type="dxa"/>
            <w:tcBorders/>
            <w:shd w:fill="auto" w:val="clear"/>
            <w:vAlign w:val="bottom"/>
          </w:tcPr>
          <w:p>
            <w:pPr>
              <w:pStyle w:val="TableContents"/>
              <w:spacing w:before="0" w:after="0"/>
              <w:ind w:left="450" w:right="0" w:hanging="225"/>
              <w:rPr/>
            </w:pPr>
            <w:r>
              <w:rPr/>
              <w:t>Current Period Activity:</w:t>
            </w:r>
          </w:p>
        </w:tc>
        <w:tc>
          <w:tcPr>
            <w:tcW w:w="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26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r>
      <w:tr>
        <w:trPr/>
        <w:tc>
          <w:tcPr>
            <w:tcW w:w="4841" w:type="dxa"/>
            <w:tcBorders/>
            <w:shd w:fill="CCEEFF" w:val="clear"/>
            <w:vAlign w:val="bottom"/>
          </w:tcPr>
          <w:p>
            <w:pPr>
              <w:pStyle w:val="TableContents"/>
              <w:spacing w:before="0" w:after="0"/>
              <w:ind w:left="675" w:right="0" w:hanging="225"/>
              <w:rPr/>
            </w:pPr>
            <w:r>
              <w:rPr/>
              <w:t>Reclassification adjustments for settled contracts</w:t>
            </w:r>
          </w:p>
        </w:tc>
        <w:tc>
          <w:tcPr>
            <w:tcW w:w="34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left"/>
              <w:rPr/>
            </w:pPr>
            <w:r>
              <w:rPr/>
              <w:t> </w:t>
            </w:r>
          </w:p>
        </w:tc>
        <w:tc>
          <w:tcPr>
            <w:tcW w:w="1266" w:type="dxa"/>
            <w:tcBorders/>
            <w:shd w:fill="CCEEFF" w:val="clear"/>
            <w:vAlign w:val="bottom"/>
          </w:tcPr>
          <w:p>
            <w:pPr>
              <w:pStyle w:val="TableContents"/>
              <w:spacing w:before="0" w:after="283"/>
              <w:jc w:val="right"/>
              <w:rPr/>
            </w:pPr>
            <w:r>
              <w:rPr/>
              <w:t>(14.1</w:t>
            </w:r>
          </w:p>
        </w:tc>
        <w:tc>
          <w:tcPr>
            <w:tcW w:w="136"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754" w:type="dxa"/>
            <w:tcBorders/>
            <w:shd w:fill="CCEEFF" w:val="clear"/>
            <w:vAlign w:val="bottom"/>
          </w:tcPr>
          <w:p>
            <w:pPr>
              <w:pStyle w:val="TableContents"/>
              <w:spacing w:before="0" w:after="283"/>
              <w:jc w:val="right"/>
              <w:rPr/>
            </w:pPr>
            <w:r>
              <w:rPr/>
              <w:t>(14.1</w:t>
            </w:r>
          </w:p>
        </w:tc>
        <w:tc>
          <w:tcPr>
            <w:tcW w:w="144" w:type="dxa"/>
            <w:tcBorders/>
            <w:shd w:fill="CCEEFF" w:val="clear"/>
            <w:vAlign w:val="bottom"/>
          </w:tcPr>
          <w:p>
            <w:pPr>
              <w:pStyle w:val="TableContents"/>
              <w:spacing w:before="0" w:after="283"/>
              <w:rPr/>
            </w:pPr>
            <w:r>
              <w:rPr/>
              <w:t>)</w:t>
            </w:r>
          </w:p>
        </w:tc>
      </w:tr>
      <w:tr>
        <w:trPr/>
        <w:tc>
          <w:tcPr>
            <w:tcW w:w="4841" w:type="dxa"/>
            <w:tcBorders/>
            <w:shd w:fill="auto" w:val="clear"/>
            <w:vAlign w:val="bottom"/>
          </w:tcPr>
          <w:p>
            <w:pPr>
              <w:pStyle w:val="TableContents"/>
              <w:spacing w:before="0" w:after="0"/>
              <w:ind w:left="675" w:right="0" w:hanging="225"/>
              <w:rPr/>
            </w:pPr>
            <w:r>
              <w:rPr/>
              <w:t>Changes in fair value of outstanding hedge positions</w:t>
            </w:r>
          </w:p>
        </w:tc>
        <w:tc>
          <w:tcPr>
            <w:tcW w:w="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(1.5</w:t>
            </w:r>
          </w:p>
        </w:tc>
        <w:tc>
          <w:tcPr>
            <w:tcW w:w="136"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283"/>
              <w:jc w:val="right"/>
              <w:rPr/>
            </w:pPr>
            <w:r>
              <w:rPr/>
              <w:t>(1.5</w:t>
            </w:r>
          </w:p>
        </w:tc>
        <w:tc>
          <w:tcPr>
            <w:tcW w:w="144" w:type="dxa"/>
            <w:tcBorders/>
            <w:shd w:fill="auto" w:val="clear"/>
            <w:vAlign w:val="bottom"/>
          </w:tcPr>
          <w:p>
            <w:pPr>
              <w:pStyle w:val="TableContents"/>
              <w:spacing w:before="0" w:after="283"/>
              <w:rPr/>
            </w:pPr>
            <w:r>
              <w:rPr/>
              <w:t>)</w:t>
            </w:r>
          </w:p>
        </w:tc>
      </w:tr>
      <w:tr>
        <w:trPr/>
        <w:tc>
          <w:tcPr>
            <w:tcW w:w="4841" w:type="dxa"/>
            <w:tcBorders/>
            <w:shd w:fill="CCEEFF" w:val="clear"/>
            <w:vAlign w:val="bottom"/>
          </w:tcPr>
          <w:p>
            <w:pPr>
              <w:pStyle w:val="TableContents"/>
              <w:spacing w:before="0" w:after="0"/>
              <w:ind w:left="675" w:right="0" w:hanging="225"/>
              <w:rPr/>
            </w:pPr>
            <w:r>
              <w:rPr/>
              <w:t>Currency translation adjustment</w:t>
            </w:r>
          </w:p>
        </w:tc>
        <w:tc>
          <w:tcPr>
            <w:tcW w:w="34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266" w:type="dxa"/>
            <w:tcBorders/>
            <w:shd w:fill="CCEEFF" w:val="clear"/>
            <w:vAlign w:val="bottom"/>
          </w:tcPr>
          <w:p>
            <w:pPr>
              <w:pStyle w:val="TableContents"/>
              <w:spacing w:before="0" w:after="283"/>
              <w:jc w:val="right"/>
              <w:rPr/>
            </w:pPr>
            <w:r>
              <w:rPr/>
              <w:t></w:t>
            </w:r>
          </w:p>
        </w:tc>
        <w:tc>
          <w:tcPr>
            <w:tcW w:w="136"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103.6</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pPr>
            <w:r>
              <w:rPr/>
              <w:t>103.6</w:t>
            </w:r>
          </w:p>
        </w:tc>
        <w:tc>
          <w:tcPr>
            <w:tcW w:w="144" w:type="dxa"/>
            <w:tcBorders/>
            <w:shd w:fill="CCEEFF" w:val="clear"/>
            <w:vAlign w:val="bottom"/>
          </w:tcPr>
          <w:p>
            <w:pPr>
              <w:pStyle w:val="TableContents"/>
              <w:spacing w:before="0" w:after="283"/>
              <w:rPr/>
            </w:pPr>
            <w:r>
              <w:rPr/>
              <w:t> </w:t>
            </w:r>
          </w:p>
        </w:tc>
      </w:tr>
      <w:tr>
        <w:trPr/>
        <w:tc>
          <w:tcPr>
            <w:tcW w:w="4841"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4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4841" w:type="dxa"/>
            <w:tcBorders/>
            <w:shd w:fill="auto" w:val="clear"/>
            <w:vAlign w:val="bottom"/>
          </w:tcPr>
          <w:p>
            <w:pPr>
              <w:pStyle w:val="TableContents"/>
              <w:spacing w:before="0" w:after="0"/>
              <w:ind w:left="450" w:right="0" w:hanging="225"/>
              <w:rPr/>
            </w:pPr>
            <w:r>
              <w:rPr/>
              <w:t>Total period activity</w:t>
            </w:r>
          </w:p>
        </w:tc>
        <w:tc>
          <w:tcPr>
            <w:tcW w:w="34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left"/>
              <w:rPr/>
            </w:pPr>
            <w:r>
              <w:rPr/>
              <w:t> </w:t>
            </w:r>
          </w:p>
        </w:tc>
        <w:tc>
          <w:tcPr>
            <w:tcW w:w="1266" w:type="dxa"/>
            <w:tcBorders/>
            <w:shd w:fill="auto" w:val="clear"/>
            <w:vAlign w:val="bottom"/>
          </w:tcPr>
          <w:p>
            <w:pPr>
              <w:pStyle w:val="TableContents"/>
              <w:spacing w:before="0" w:after="283"/>
              <w:jc w:val="right"/>
              <w:rPr/>
            </w:pPr>
            <w:r>
              <w:rPr/>
              <w:t>(15.6</w:t>
            </w:r>
          </w:p>
        </w:tc>
        <w:tc>
          <w:tcPr>
            <w:tcW w:w="136"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103.6</w:t>
            </w:r>
          </w:p>
        </w:tc>
        <w:tc>
          <w:tcPr>
            <w:tcW w:w="108"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pPr>
            <w:r>
              <w:rPr/>
              <w:t>88.0</w:t>
            </w:r>
          </w:p>
        </w:tc>
        <w:tc>
          <w:tcPr>
            <w:tcW w:w="144" w:type="dxa"/>
            <w:tcBorders/>
            <w:shd w:fill="auto" w:val="clear"/>
            <w:vAlign w:val="bottom"/>
          </w:tcPr>
          <w:p>
            <w:pPr>
              <w:pStyle w:val="TableContents"/>
              <w:spacing w:before="0" w:after="283"/>
              <w:rPr/>
            </w:pPr>
            <w:r>
              <w:rPr/>
              <w:t> </w:t>
            </w:r>
          </w:p>
        </w:tc>
      </w:tr>
      <w:tr>
        <w:trPr/>
        <w:tc>
          <w:tcPr>
            <w:tcW w:w="4841"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5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4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r>
        <w:trPr/>
        <w:tc>
          <w:tcPr>
            <w:tcW w:w="4841" w:type="dxa"/>
            <w:tcBorders/>
            <w:shd w:fill="CCEEFF" w:val="clear"/>
            <w:vAlign w:val="bottom"/>
          </w:tcPr>
          <w:p>
            <w:pPr>
              <w:pStyle w:val="TableContents"/>
              <w:spacing w:before="0" w:after="0"/>
              <w:ind w:left="225" w:right="0" w:hanging="225"/>
              <w:rPr/>
            </w:pPr>
            <w:r>
              <w:rPr/>
              <w:t>Balance at September 30, 2007</w:t>
            </w:r>
          </w:p>
        </w:tc>
        <w:tc>
          <w:tcPr>
            <w:tcW w:w="345"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left"/>
              <w:rPr/>
            </w:pPr>
            <w:r>
              <w:rPr/>
              <w:t>$</w:t>
            </w:r>
          </w:p>
        </w:tc>
        <w:tc>
          <w:tcPr>
            <w:tcW w:w="1266" w:type="dxa"/>
            <w:tcBorders/>
            <w:shd w:fill="CCEEFF" w:val="clear"/>
            <w:vAlign w:val="bottom"/>
          </w:tcPr>
          <w:p>
            <w:pPr>
              <w:pStyle w:val="TableContents"/>
              <w:spacing w:before="0" w:after="283"/>
              <w:jc w:val="right"/>
              <w:rPr/>
            </w:pPr>
            <w:r>
              <w:rPr/>
              <w:t>(35.4</w:t>
            </w:r>
          </w:p>
        </w:tc>
        <w:tc>
          <w:tcPr>
            <w:tcW w:w="136"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jc w:val="left"/>
              <w:rPr/>
            </w:pPr>
            <w:r>
              <w:rPr/>
              <w:t>$</w:t>
            </w:r>
          </w:p>
        </w:tc>
        <w:tc>
          <w:tcPr>
            <w:tcW w:w="1154" w:type="dxa"/>
            <w:tcBorders/>
            <w:shd w:fill="CCEEFF" w:val="clear"/>
            <w:vAlign w:val="bottom"/>
          </w:tcPr>
          <w:p>
            <w:pPr>
              <w:pStyle w:val="TableContents"/>
              <w:spacing w:before="0" w:after="283"/>
              <w:jc w:val="right"/>
              <w:rPr/>
            </w:pPr>
            <w:r>
              <w:rPr/>
              <w:t>173.1</w:t>
            </w:r>
          </w:p>
        </w:tc>
        <w:tc>
          <w:tcPr>
            <w:tcW w:w="108"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754" w:type="dxa"/>
            <w:tcBorders/>
            <w:shd w:fill="CCEEFF" w:val="clear"/>
            <w:vAlign w:val="bottom"/>
          </w:tcPr>
          <w:p>
            <w:pPr>
              <w:pStyle w:val="TableContents"/>
              <w:spacing w:before="0" w:after="283"/>
              <w:jc w:val="right"/>
              <w:rPr/>
            </w:pPr>
            <w:r>
              <w:rPr/>
              <w:t>137.7</w:t>
            </w:r>
          </w:p>
        </w:tc>
        <w:tc>
          <w:tcPr>
            <w:tcW w:w="144" w:type="dxa"/>
            <w:tcBorders/>
            <w:shd w:fill="CCEEFF" w:val="clear"/>
            <w:vAlign w:val="bottom"/>
          </w:tcPr>
          <w:p>
            <w:pPr>
              <w:pStyle w:val="TableContents"/>
              <w:spacing w:before="0" w:after="283"/>
              <w:rPr/>
            </w:pPr>
            <w:r>
              <w:rPr/>
              <w:t> </w:t>
            </w:r>
          </w:p>
        </w:tc>
      </w:tr>
      <w:tr>
        <w:trPr/>
        <w:tc>
          <w:tcPr>
            <w:tcW w:w="4841" w:type="dxa"/>
            <w:tcBorders/>
            <w:shd w:fill="auto" w:val="clear"/>
            <w:vAlign w:val="center"/>
          </w:tcPr>
          <w:p>
            <w:pPr>
              <w:pStyle w:val="TableContents"/>
              <w:spacing w:before="0" w:after="0"/>
              <w:ind w:left="225" w:right="0" w:hanging="225"/>
              <w:rPr/>
            </w:pPr>
            <w:r>
              <w:rPr/>
              <w:t> </w:t>
            </w:r>
          </w:p>
        </w:tc>
        <w:tc>
          <w:tcPr>
            <w:tcW w:w="345" w:type="dxa"/>
            <w:tcBorders/>
            <w:shd w:fill="auto" w:val="clear"/>
            <w:vAlign w:val="center"/>
          </w:tcPr>
          <w:p>
            <w:pPr>
              <w:pStyle w:val="TableContents"/>
              <w:spacing w:before="0" w:after="283"/>
              <w:rPr/>
            </w:pPr>
            <w:r>
              <w:rPr/>
              <w:t> </w:t>
            </w:r>
          </w:p>
        </w:tc>
        <w:tc>
          <w:tcPr>
            <w:tcW w:w="15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4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9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accompanying notes are an integral part of these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 AND SUBSIDIARIES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11" w:name="109"/>
      <w:bookmarkEnd w:id="11"/>
      <w:r>
        <w:rPr>
          <w:rFonts w:ascii="Times New Roman;Times;serif" w:hAnsi="Times New Roman;Times;serif"/>
          <w:b/>
          <w:sz w:val="17"/>
        </w:rPr>
        <w:t>NOTES TO THE CONDENSED CONSOLIDATED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1Organization and Accounting Policies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As used in this Form 10-Q and unless the context indicates otherwise, the terms Partnership, Plains, we, us, our, ours and similar terms refer to Plains All American Pipeline, L.P. and its subsidiaries. 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Through our 50% equity ownership in PAA/Vulcan Gas Storage, LLC (PAA/Vulcan), we are also engaged in the development and operation of natural gas storage facilities. </w:t>
      </w:r>
    </w:p>
    <w:p>
      <w:pPr>
        <w:pStyle w:val="TextBody"/>
        <w:spacing w:before="120" w:after="283"/>
        <w:jc w:val="left"/>
        <w:rPr/>
      </w:pPr>
      <w:r>
        <w:rPr/>
        <w:t>     </w:t>
      </w:r>
      <w:r>
        <w:rPr>
          <w:rFonts w:ascii="Times New Roman;Times;serif" w:hAnsi="Times New Roman;Times;serif"/>
          <w:sz w:val="17"/>
        </w:rPr>
        <w:t xml:space="preserve">Our condensed consolidated interim financial statements should be read in conjunction with our consolidated financial statements and notes thereto presented in our 2006 Annual Report on Form 10-K.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Certain reclassifications are made to prior periods to conform to current period presentation. The results of operations for the three months and nine months ended September 30, 2007 should not be taken as indicative of the results to be expected for the full year. </w:t>
      </w:r>
    </w:p>
    <w:p>
      <w:pPr>
        <w:pStyle w:val="TextBody"/>
        <w:spacing w:before="120" w:after="283"/>
        <w:jc w:val="left"/>
        <w:rPr/>
      </w:pPr>
      <w:r>
        <w:rPr/>
        <w:t>     </w:t>
      </w:r>
      <w:r>
        <w:rPr>
          <w:rFonts w:ascii="Times New Roman;Times;serif" w:hAnsi="Times New Roman;Times;serif"/>
          <w:sz w:val="17"/>
        </w:rPr>
        <w:t xml:space="preserve">The accompanying condensed consolidated financial statements of PAA include PAA and all of its wholly-owned subsidiaries. Investments in 50% or less owned entities over which we have significant influence but not control are accounted for by the equity method.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2Trade Accounts Receivable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accounts receivable are primarily from purchasers and shippers of crude oil and, to a lesser extent, purchasers of LPG and refined products. The majority of our accounts receivable relate to our marketing activities, which are generally high volume and low margin activities, in many cases involving exchanges of crude oil volumes. We determine the amount, if any, of the line of credit to be extended to any given customer and the form and amount of financial performance assurances we require. Such financial assurances are commonly provided to us in the form of standby letters of credit, advance cash payments or parental guarantees. At September 30, 2007 and December 31, 2006, we had received approximately $24 million and $28 million, respectively, of advance cash payments and prepayments from third parties to mitigate credit risk. In addition, we enter into netting arrangements with our counterparties. These arrangements cover a significant part of our transactions and also serve to mitigate credit risk. </w:t>
      </w:r>
    </w:p>
    <w:p>
      <w:pPr>
        <w:pStyle w:val="TextBody"/>
        <w:spacing w:before="120" w:after="283"/>
        <w:jc w:val="left"/>
        <w:rPr/>
      </w:pPr>
      <w:r>
        <w:rPr/>
        <w:t>     </w:t>
      </w:r>
      <w:r>
        <w:rPr>
          <w:rFonts w:ascii="Times New Roman;Times;serif" w:hAnsi="Times New Roman;Times;serif"/>
          <w:sz w:val="17"/>
        </w:rPr>
        <w:t xml:space="preserve">We review all outstanding accounts receivable balances on a monthly basis and record a reserve for amounts that we expect will not be fully recovered. Actual balances are not applied against the reserve until substantially all collection efforts have been exhausted. At September 30, 2007 and December 31, 2006, substantially all of our net accounts receivable were less than 60 days past their scheduled invoice date. Although we consider our allowance for doubtful trade accounts receivable to be adequate, actual amounts may vary significantly from estimated amounts.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3Acquisitions and Dispositions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first nine months of 2007, we acquired (i) a commercial refined products supply and marketing business (reflected in our marketing segment) for approximately $8 million in cash (including approximately $7 million of goodwill), (ii) a trucking business (reflected in our transportation segment) for approximately $9 million in cash (including approximately $4 million of goodwill) and (iii) the Bumstead LPG storage facility located near Phoenix, Arizona (reflected in our facilities segment) for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approximately $52 million in cash (there was no goodwill associated with this acquisition). The Bumstead facility has a working capacity of approximately 3.2 million barrels of LPG. Also, during the third quarter of 2007, we signed an agreement to acquire the Tirzah LPG storage facility and other assets located near York County, South Carolina for approximately $54 million. The acquisition closed on October 2, 2007 and will be reflected in our facilities segment in the fourth quarter of 2007. The Tirzah facility has a working capacity of approximately 1.4 million barrels. </w:t>
      </w:r>
    </w:p>
    <w:p>
      <w:pPr>
        <w:pStyle w:val="TextBody"/>
        <w:spacing w:before="120" w:after="283"/>
        <w:jc w:val="left"/>
        <w:rPr/>
      </w:pPr>
      <w:r>
        <w:rPr/>
        <w:t>     </w:t>
      </w:r>
      <w:r>
        <w:rPr>
          <w:rFonts w:ascii="Times New Roman;Times;serif" w:hAnsi="Times New Roman;Times;serif"/>
          <w:sz w:val="17"/>
        </w:rPr>
        <w:t xml:space="preserve">Certain adjustments related to the purchase price for the acquisition of Pacific Energy Partners, L. P. (Pacific) have been recorded in the first nine months of 2007, resulting in increased goodwill. The purchase price allocations related to the Pacific, Bumstead and Tirzah acquisitions are preliminary and subject to change, pending finalization of the valuation of the assets and liabilities acquired. </w:t>
      </w:r>
    </w:p>
    <w:p>
      <w:pPr>
        <w:pStyle w:val="TextBody"/>
        <w:spacing w:before="120" w:after="283"/>
        <w:jc w:val="left"/>
        <w:rPr/>
      </w:pPr>
      <w:r>
        <w:rPr/>
        <w:t>     </w:t>
      </w:r>
      <w:r>
        <w:rPr>
          <w:rFonts w:ascii="Times New Roman;Times;serif" w:hAnsi="Times New Roman;Times;serif"/>
          <w:sz w:val="17"/>
        </w:rPr>
        <w:t xml:space="preserve">In the first nine months of 2007, we incurred a net loss of approximately $8 million upon the disposition of certain inactive assets. This loss is included within Depreciation and Amortization in our Condensed Consolidated Statements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4Inventory and Linefill</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At September 30, 2007 and December 31, 2006, inventory and linefill consisted of: </w:t>
      </w:r>
    </w:p>
    <w:tbl>
      <w:tblPr>
        <w:tblW w:w="5000" w:type="pct"/>
        <w:jc w:val="center"/>
        <w:tblInd w:w="0" w:type="dxa"/>
        <w:tblCellMar>
          <w:top w:w="0" w:type="dxa"/>
          <w:left w:w="0" w:type="dxa"/>
          <w:bottom w:w="0" w:type="dxa"/>
          <w:right w:w="0" w:type="dxa"/>
        </w:tblCellMar>
      </w:tblPr>
      <w:tblGrid>
        <w:gridCol w:w="2213"/>
        <w:gridCol w:w="321"/>
        <w:gridCol w:w="97"/>
        <w:gridCol w:w="748"/>
        <w:gridCol w:w="97"/>
        <w:gridCol w:w="321"/>
        <w:gridCol w:w="152"/>
        <w:gridCol w:w="790"/>
        <w:gridCol w:w="97"/>
        <w:gridCol w:w="321"/>
        <w:gridCol w:w="178"/>
        <w:gridCol w:w="771"/>
        <w:gridCol w:w="96"/>
        <w:gridCol w:w="321"/>
        <w:gridCol w:w="97"/>
        <w:gridCol w:w="748"/>
        <w:gridCol w:w="97"/>
        <w:gridCol w:w="321"/>
        <w:gridCol w:w="152"/>
        <w:gridCol w:w="790"/>
        <w:gridCol w:w="97"/>
        <w:gridCol w:w="321"/>
        <w:gridCol w:w="178"/>
        <w:gridCol w:w="771"/>
        <w:gridCol w:w="110"/>
      </w:tblGrid>
      <w:tr>
        <w:trPr/>
        <w:tc>
          <w:tcPr>
            <w:tcW w:w="221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357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2007</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3572"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110" w:type="dxa"/>
            <w:tcBorders/>
            <w:shd w:fill="auto"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49" w:type="dxa"/>
            <w:gridSpan w:val="2"/>
            <w:tcBorders/>
            <w:shd w:fill="auto" w:val="clear"/>
            <w:vAlign w:val="bottom"/>
          </w:tcPr>
          <w:p>
            <w:pPr>
              <w:pStyle w:val="TableContents"/>
              <w:spacing w:before="0" w:after="283"/>
              <w:jc w:val="center"/>
              <w:rPr/>
            </w:pPr>
            <w:r>
              <w:rPr/>
              <w:t>Dollar/</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49" w:type="dxa"/>
            <w:gridSpan w:val="2"/>
            <w:tcBorders/>
            <w:shd w:fill="auto" w:val="clear"/>
            <w:vAlign w:val="bottom"/>
          </w:tcPr>
          <w:p>
            <w:pPr>
              <w:pStyle w:val="TableContents"/>
              <w:spacing w:before="0" w:after="283"/>
              <w:jc w:val="center"/>
              <w:rPr/>
            </w:pPr>
            <w:r>
              <w:rPr/>
              <w:t>Dollar/</w:t>
            </w:r>
          </w:p>
        </w:tc>
        <w:tc>
          <w:tcPr>
            <w:tcW w:w="110" w:type="dxa"/>
            <w:tcBorders/>
            <w:shd w:fill="auto"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Barrels</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42" w:type="dxa"/>
            <w:gridSpan w:val="2"/>
            <w:tcBorders>
              <w:bottom w:val="single" w:sz="2" w:space="0" w:color="000000"/>
            </w:tcBorders>
            <w:shd w:fill="auto" w:val="clear"/>
            <w:tcMar>
              <w:bottom w:w="28" w:type="dxa"/>
            </w:tcMar>
            <w:vAlign w:val="bottom"/>
          </w:tcPr>
          <w:p>
            <w:pPr>
              <w:pStyle w:val="TableContents"/>
              <w:spacing w:before="0" w:after="283"/>
              <w:jc w:val="center"/>
              <w:rPr/>
            </w:pPr>
            <w:r>
              <w:rPr/>
              <w:t>Dollars</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49"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 (2)</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845"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Barrels</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42" w:type="dxa"/>
            <w:gridSpan w:val="2"/>
            <w:tcBorders>
              <w:bottom w:val="single" w:sz="2" w:space="0" w:color="000000"/>
            </w:tcBorders>
            <w:shd w:fill="auto" w:val="clear"/>
            <w:tcMar>
              <w:bottom w:w="28" w:type="dxa"/>
            </w:tcMar>
            <w:vAlign w:val="bottom"/>
          </w:tcPr>
          <w:p>
            <w:pPr>
              <w:pStyle w:val="TableContents"/>
              <w:spacing w:before="0" w:after="283"/>
              <w:jc w:val="center"/>
              <w:rPr/>
            </w:pPr>
            <w:r>
              <w:rPr/>
              <w:t>Dollars</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49" w:type="dxa"/>
            <w:gridSpan w:val="2"/>
            <w:tcBorders>
              <w:bottom w:val="single" w:sz="2" w:space="0" w:color="000000"/>
            </w:tcBorders>
            <w:shd w:fill="auto" w:val="clear"/>
            <w:tcMar>
              <w:bottom w:w="28" w:type="dxa"/>
            </w:tcMar>
            <w:vAlign w:val="bottom"/>
          </w:tcPr>
          <w:p>
            <w:pPr>
              <w:pStyle w:val="TableContents"/>
              <w:spacing w:before="0" w:after="283"/>
              <w:jc w:val="center"/>
              <w:rPr/>
            </w:pPr>
            <w:r>
              <w:rPr/>
              <w:t>barrel (2)</w:t>
            </w:r>
          </w:p>
        </w:tc>
        <w:tc>
          <w:tcPr>
            <w:tcW w:w="110" w:type="dxa"/>
            <w:tcBorders/>
            <w:shd w:fill="auto"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7561" w:type="dxa"/>
            <w:gridSpan w:val="22"/>
            <w:tcBorders/>
            <w:shd w:fill="auto" w:val="clear"/>
            <w:vAlign w:val="bottom"/>
          </w:tcPr>
          <w:p>
            <w:pPr>
              <w:pStyle w:val="TableContents"/>
              <w:spacing w:before="0" w:after="283"/>
              <w:jc w:val="center"/>
              <w:rPr/>
            </w:pPr>
            <w:r>
              <w:rPr/>
              <w:t>(Barrels in thousands and dollars in millions)</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b/>
              </w:rPr>
            </w:pPr>
            <w:r>
              <w:rPr>
                <w:b/>
              </w:rPr>
              <w:t>Inventory(1)</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0"/>
              <w:ind w:left="225" w:right="0" w:hanging="225"/>
              <w:rPr/>
            </w:pPr>
            <w:r>
              <w:rPr/>
              <w:t>Crude oil</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7,527</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90" w:type="dxa"/>
            <w:tcBorders/>
            <w:shd w:fill="auto" w:val="clear"/>
            <w:vAlign w:val="bottom"/>
          </w:tcPr>
          <w:p>
            <w:pPr>
              <w:pStyle w:val="TableContents"/>
              <w:spacing w:before="0" w:after="283"/>
              <w:jc w:val="right"/>
              <w:rPr/>
            </w:pPr>
            <w:r>
              <w:rPr/>
              <w:t>508.1</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67.50</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18,331</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jc w:val="left"/>
              <w:rPr/>
            </w:pPr>
            <w:r>
              <w:rPr/>
              <w:t>$</w:t>
            </w:r>
          </w:p>
        </w:tc>
        <w:tc>
          <w:tcPr>
            <w:tcW w:w="790" w:type="dxa"/>
            <w:tcBorders/>
            <w:shd w:fill="auto" w:val="clear"/>
            <w:vAlign w:val="bottom"/>
          </w:tcPr>
          <w:p>
            <w:pPr>
              <w:pStyle w:val="TableContents"/>
              <w:spacing w:before="0" w:after="283"/>
              <w:jc w:val="right"/>
              <w:rPr/>
            </w:pPr>
            <w:r>
              <w:rPr/>
              <w:t>1,029.1</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56.14</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pPr>
            <w:r>
              <w:rPr/>
              <w:t>LPG</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8,673</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441.0</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50.85</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5,818</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250.7</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43.09</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0"/>
              <w:ind w:left="225" w:right="0" w:hanging="225"/>
              <w:rPr/>
            </w:pPr>
            <w:r>
              <w:rPr/>
              <w:t>Refined Products</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94</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7.2</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76.60</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81</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3.8</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46.91</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pPr>
            <w:r>
              <w:rPr/>
              <w:t>Parts and supplies</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N/A</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8.6</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pPr>
            <w:r>
              <w:rPr/>
              <w:t>N/A</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N/A</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6.4</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jc w:val="right"/>
              <w:rPr/>
            </w:pPr>
            <w:r>
              <w:rPr/>
              <w:t>N/A</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213" w:type="dxa"/>
            <w:tcBorders/>
            <w:shd w:fill="auto" w:val="clear"/>
            <w:vAlign w:val="bottom"/>
          </w:tcPr>
          <w:p>
            <w:pPr>
              <w:pStyle w:val="TableContents"/>
              <w:spacing w:before="0" w:after="0"/>
              <w:ind w:left="450" w:right="0" w:hanging="225"/>
              <w:rPr/>
            </w:pPr>
            <w:r>
              <w:rPr/>
              <w:t>Inventory subtotal</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16,294</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964.9</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24,230</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1,290.0</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213"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213"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b/>
              </w:rPr>
            </w:pPr>
            <w:r>
              <w:rPr>
                <w:b/>
              </w:rPr>
              <w:t>Inventory in third-party assets</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0"/>
              <w:ind w:left="225" w:right="0" w:hanging="225"/>
              <w:rPr/>
            </w:pPr>
            <w:r>
              <w:rPr/>
              <w:t>Crude oil</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1,173</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58.3</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49.70</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1,212</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62.5</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51.57</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pPr>
            <w:r>
              <w:rPr/>
              <w:t>LPG</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100</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4.7</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47.00</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318</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13.2</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41.51</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213" w:type="dxa"/>
            <w:tcBorders/>
            <w:shd w:fill="auto" w:val="clear"/>
            <w:vAlign w:val="bottom"/>
          </w:tcPr>
          <w:p>
            <w:pPr>
              <w:pStyle w:val="TableContents"/>
              <w:spacing w:before="0" w:after="0"/>
              <w:ind w:left="450" w:right="0" w:hanging="225"/>
              <w:rPr/>
            </w:pPr>
            <w:r>
              <w:rPr/>
              <w:t>Inventory in third-party assets subtotal</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1,273</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63.0</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1,530</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75.7</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213"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213"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b/>
              </w:rPr>
            </w:pPr>
            <w:r>
              <w:rPr>
                <w:b/>
              </w:rPr>
              <w:t>Pipeline linefill in owned assets</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0"/>
              <w:ind w:left="225" w:right="0" w:hanging="225"/>
              <w:rPr/>
            </w:pPr>
            <w:r>
              <w:rPr/>
              <w:t>Crude oil</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7,037</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239.4</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34.02</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7,831</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264.4</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771" w:type="dxa"/>
            <w:tcBorders/>
            <w:shd w:fill="auto" w:val="clear"/>
            <w:vAlign w:val="bottom"/>
          </w:tcPr>
          <w:p>
            <w:pPr>
              <w:pStyle w:val="TableContents"/>
              <w:spacing w:before="0" w:after="283"/>
              <w:jc w:val="right"/>
              <w:rPr/>
            </w:pPr>
            <w:r>
              <w:rPr/>
              <w:t>33.76</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pPr>
            <w:r>
              <w:rPr/>
              <w:t>LPG</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31</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1.1</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35.48</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31</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pPr>
            <w:r>
              <w:rPr/>
              <w:t>1.1</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771" w:type="dxa"/>
            <w:tcBorders/>
            <w:shd w:fill="CCEEFF" w:val="clear"/>
            <w:vAlign w:val="bottom"/>
          </w:tcPr>
          <w:p>
            <w:pPr>
              <w:pStyle w:val="TableContents"/>
              <w:spacing w:before="0" w:after="283"/>
              <w:jc w:val="right"/>
              <w:rPr/>
            </w:pPr>
            <w:r>
              <w:rPr/>
              <w:t>35.48</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213" w:type="dxa"/>
            <w:tcBorders/>
            <w:shd w:fill="auto" w:val="clear"/>
            <w:vAlign w:val="bottom"/>
          </w:tcPr>
          <w:p>
            <w:pPr>
              <w:pStyle w:val="TableContents"/>
              <w:spacing w:before="0" w:after="0"/>
              <w:ind w:left="450" w:right="0" w:hanging="225"/>
              <w:rPr/>
            </w:pPr>
            <w:r>
              <w:rPr/>
              <w:t>Pipeline linefill in owned assets subtotal</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7,068</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240.5</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7,862</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pPr>
            <w:r>
              <w:rPr/>
              <w:t>265.5</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213"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2213" w:type="dxa"/>
            <w:tcBorders/>
            <w:shd w:fill="auto" w:val="clear"/>
            <w:vAlign w:val="bottom"/>
          </w:tcPr>
          <w:p>
            <w:pPr>
              <w:pStyle w:val="TableContents"/>
              <w:spacing w:before="0" w:after="0"/>
              <w:ind w:left="225" w:right="0" w:hanging="225"/>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77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0"/>
              <w:ind w:left="225" w:right="0" w:hanging="225"/>
              <w:rPr>
                <w:b/>
              </w:rPr>
            </w:pPr>
            <w:r>
              <w:rPr>
                <w:b/>
              </w:rPr>
              <w:t>Total</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24,635</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90" w:type="dxa"/>
            <w:tcBorders/>
            <w:shd w:fill="CCEEFF" w:val="clear"/>
            <w:vAlign w:val="bottom"/>
          </w:tcPr>
          <w:p>
            <w:pPr>
              <w:pStyle w:val="TableContents"/>
              <w:spacing w:before="0" w:after="283"/>
              <w:jc w:val="right"/>
              <w:rPr/>
            </w:pPr>
            <w:r>
              <w:rPr/>
              <w:t>1,268.4</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33,622</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jc w:val="left"/>
              <w:rPr/>
            </w:pPr>
            <w:r>
              <w:rPr/>
              <w:t>$</w:t>
            </w:r>
          </w:p>
        </w:tc>
        <w:tc>
          <w:tcPr>
            <w:tcW w:w="790" w:type="dxa"/>
            <w:tcBorders/>
            <w:shd w:fill="CCEEFF" w:val="clear"/>
            <w:vAlign w:val="bottom"/>
          </w:tcPr>
          <w:p>
            <w:pPr>
              <w:pStyle w:val="TableContents"/>
              <w:spacing w:before="0" w:after="283"/>
              <w:jc w:val="right"/>
              <w:rPr/>
            </w:pPr>
            <w:r>
              <w:rPr/>
              <w:t>1,631.2</w:t>
            </w:r>
          </w:p>
        </w:tc>
        <w:tc>
          <w:tcPr>
            <w:tcW w:w="97"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2213" w:type="dxa"/>
            <w:tcBorders/>
            <w:shd w:fill="auto" w:val="clear"/>
            <w:vAlign w:val="center"/>
          </w:tcPr>
          <w:p>
            <w:pPr>
              <w:pStyle w:val="TableContents"/>
              <w:spacing w:before="0" w:after="0"/>
              <w:ind w:left="225" w:right="0" w:hanging="225"/>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8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7" w:type="dxa"/>
            <w:tcBorders/>
            <w:shd w:fill="auto" w:val="clear"/>
            <w:vAlign w:val="center"/>
          </w:tcPr>
          <w:p>
            <w:pPr>
              <w:pStyle w:val="TableContents"/>
              <w:spacing w:before="0" w:after="283"/>
              <w:rPr/>
            </w:pPr>
            <w:r>
              <w:rPr/>
              <w:t> </w:t>
            </w:r>
          </w:p>
        </w:tc>
        <w:tc>
          <w:tcPr>
            <w:tcW w:w="321"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771"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94"/>
        <w:gridCol w:w="2250"/>
        <w:gridCol w:w="1161"/>
      </w:tblGrid>
      <w:tr>
        <w:trPr/>
        <w:tc>
          <w:tcPr>
            <w:tcW w:w="6794"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6794" w:type="dxa"/>
            <w:tcBorders/>
            <w:shd w:fill="auto" w:val="clear"/>
          </w:tcPr>
          <w:p>
            <w:pPr>
              <w:pStyle w:val="TableContents"/>
              <w:spacing w:before="0" w:after="283"/>
              <w:jc w:val="left"/>
              <w:rPr/>
            </w:pPr>
            <w:r>
              <w:rPr/>
              <w:t>(1)</w:t>
            </w:r>
          </w:p>
        </w:tc>
        <w:tc>
          <w:tcPr>
            <w:tcW w:w="2250" w:type="dxa"/>
            <w:tcBorders/>
            <w:shd w:fill="auto" w:val="clear"/>
          </w:tcPr>
          <w:p>
            <w:pPr>
              <w:pStyle w:val="TableContents"/>
              <w:spacing w:before="0" w:after="283"/>
              <w:rPr/>
            </w:pPr>
            <w:r>
              <w:rPr/>
              <w:t> </w:t>
            </w:r>
          </w:p>
        </w:tc>
        <w:tc>
          <w:tcPr>
            <w:tcW w:w="1161" w:type="dxa"/>
            <w:tcBorders/>
            <w:shd w:fill="auto" w:val="clear"/>
          </w:tcPr>
          <w:p>
            <w:pPr>
              <w:pStyle w:val="TableContents"/>
              <w:spacing w:before="0" w:after="283"/>
              <w:rPr/>
            </w:pPr>
            <w:r>
              <w:rPr/>
              <w:t>Includes the impact of inventory hedges on a portion of our volumes.</w:t>
            </w:r>
          </w:p>
        </w:tc>
      </w:tr>
      <w:tr>
        <w:trPr/>
        <w:tc>
          <w:tcPr>
            <w:tcW w:w="6794" w:type="dxa"/>
            <w:tcBorders/>
            <w:shd w:fill="auto" w:val="clear"/>
            <w:vAlign w:val="center"/>
          </w:tcPr>
          <w:p>
            <w:pPr>
              <w:pStyle w:val="TableContents"/>
              <w:spacing w:before="0" w:after="283"/>
              <w:rPr/>
            </w:pPr>
            <w:r>
              <w:rPr/>
              <w:t> </w:t>
            </w:r>
          </w:p>
        </w:tc>
        <w:tc>
          <w:tcPr>
            <w:tcW w:w="3411" w:type="dxa"/>
            <w:gridSpan w:val="2"/>
            <w:tcBorders/>
            <w:shd w:fill="auto" w:val="clear"/>
          </w:tcPr>
          <w:p>
            <w:pPr>
              <w:pStyle w:val="TableContents"/>
              <w:spacing w:before="0" w:after="283"/>
              <w:rPr>
                <w:sz w:val="4"/>
                <w:szCs w:val="4"/>
              </w:rPr>
            </w:pPr>
            <w:r>
              <w:rPr>
                <w:sz w:val="4"/>
                <w:szCs w:val="4"/>
              </w:rPr>
            </w:r>
          </w:p>
        </w:tc>
      </w:tr>
      <w:tr>
        <w:trPr/>
        <w:tc>
          <w:tcPr>
            <w:tcW w:w="6794" w:type="dxa"/>
            <w:tcBorders/>
            <w:shd w:fill="auto" w:val="clear"/>
          </w:tcPr>
          <w:p>
            <w:pPr>
              <w:pStyle w:val="TableContents"/>
              <w:spacing w:before="0" w:after="283"/>
              <w:jc w:val="left"/>
              <w:rPr/>
            </w:pPr>
            <w:r>
              <w:rPr/>
              <w:t>(2)</w:t>
            </w:r>
          </w:p>
        </w:tc>
        <w:tc>
          <w:tcPr>
            <w:tcW w:w="2250" w:type="dxa"/>
            <w:tcBorders/>
            <w:shd w:fill="auto" w:val="clear"/>
          </w:tcPr>
          <w:p>
            <w:pPr>
              <w:pStyle w:val="TableContents"/>
              <w:spacing w:before="0" w:after="283"/>
              <w:rPr/>
            </w:pPr>
            <w:r>
              <w:rPr/>
              <w:t> </w:t>
            </w:r>
          </w:p>
        </w:tc>
        <w:tc>
          <w:tcPr>
            <w:tcW w:w="1161" w:type="dxa"/>
            <w:tcBorders/>
            <w:shd w:fill="auto" w:val="clear"/>
          </w:tcPr>
          <w:p>
            <w:pPr>
              <w:pStyle w:val="TableContents"/>
              <w:spacing w:before="0" w:after="283"/>
              <w:rPr/>
            </w:pPr>
            <w:r>
              <w:rPr/>
              <w:t>The prices listed represent a weighted average price associated with various grades and qualities of crude oil, LPG and refined products and, accordingly, is not a comparable metric with published benchmarks for such products.</w:t>
            </w:r>
          </w:p>
        </w:tc>
      </w:tr>
    </w:tbl>
    <w:p>
      <w:pPr>
        <w:pStyle w:val="TextBody"/>
        <w:spacing w:before="120" w:after="283"/>
        <w:jc w:val="left"/>
        <w:rPr/>
      </w:pPr>
      <w:r>
        <w:rPr/>
        <w:t>     </w:t>
      </w:r>
      <w:r>
        <w:rPr>
          <w:rFonts w:ascii="Times New Roman;Times;serif" w:hAnsi="Times New Roman;Times;serif"/>
          <w:sz w:val="17"/>
        </w:rPr>
        <w:t xml:space="preserve">In the fourth quarter of 2007 we sold 250,000 barrels of pipeline linefill in owned assets for a gain of approximately $12 million. These volumes represent a change in the estimate of the amount of linefill required on certain of our assets. Linefill and minimum working inventory requirements in assets we own are recorded at historical cost.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5Debt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Below is a description of our debt as of September 30, 2007: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6220"/>
        <w:gridCol w:w="397"/>
        <w:gridCol w:w="239"/>
        <w:gridCol w:w="1249"/>
        <w:gridCol w:w="139"/>
        <w:gridCol w:w="397"/>
        <w:gridCol w:w="233"/>
        <w:gridCol w:w="1212"/>
        <w:gridCol w:w="119"/>
      </w:tblGrid>
      <w:tr>
        <w:trPr/>
        <w:tc>
          <w:tcPr>
            <w:tcW w:w="62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88" w:type="dxa"/>
            <w:gridSpan w:val="2"/>
            <w:tcBorders/>
            <w:shd w:fill="auto" w:val="clear"/>
            <w:vAlign w:val="bottom"/>
          </w:tcPr>
          <w:p>
            <w:pPr>
              <w:pStyle w:val="TableContents"/>
              <w:spacing w:before="0" w:after="283"/>
              <w:jc w:val="center"/>
              <w:rPr>
                <w:b/>
              </w:rPr>
            </w:pPr>
            <w:r>
              <w:rPr>
                <w:b/>
              </w:rPr>
              <w:t>September 30,</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45" w:type="dxa"/>
            <w:gridSpan w:val="2"/>
            <w:tcBorders/>
            <w:shd w:fill="auto" w:val="clear"/>
            <w:vAlign w:val="bottom"/>
          </w:tcPr>
          <w:p>
            <w:pPr>
              <w:pStyle w:val="TableContents"/>
              <w:spacing w:before="0" w:after="283"/>
              <w:jc w:val="center"/>
              <w:rPr>
                <w:b/>
              </w:rPr>
            </w:pPr>
            <w:r>
              <w:rPr>
                <w:b/>
              </w:rPr>
              <w:t>December 31,</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469" w:type="dxa"/>
            <w:gridSpan w:val="6"/>
            <w:tcBorders/>
            <w:shd w:fill="auto" w:val="clear"/>
            <w:vAlign w:val="bottom"/>
          </w:tcPr>
          <w:p>
            <w:pPr>
              <w:pStyle w:val="TableContents"/>
              <w:spacing w:before="0" w:after="283"/>
              <w:jc w:val="center"/>
              <w:rPr>
                <w:b/>
              </w:rPr>
            </w:pPr>
            <w:r>
              <w:rPr>
                <w:b/>
              </w:rPr>
              <w:t>(in millions)</w:t>
            </w:r>
          </w:p>
        </w:tc>
        <w:tc>
          <w:tcPr>
            <w:tcW w:w="119" w:type="dxa"/>
            <w:tcBorders/>
            <w:shd w:fill="auto" w:val="clear"/>
            <w:vAlign w:val="bottom"/>
          </w:tcPr>
          <w:p>
            <w:pPr>
              <w:pStyle w:val="TableContents"/>
              <w:spacing w:before="0" w:after="283"/>
              <w:rPr/>
            </w:pPr>
            <w:r>
              <w:rPr/>
              <w:t> </w:t>
            </w:r>
          </w:p>
        </w:tc>
      </w:tr>
      <w:tr>
        <w:trPr/>
        <w:tc>
          <w:tcPr>
            <w:tcW w:w="6220" w:type="dxa"/>
            <w:tcBorders/>
            <w:shd w:fill="CCEEFF" w:val="clear"/>
            <w:vAlign w:val="bottom"/>
          </w:tcPr>
          <w:p>
            <w:pPr>
              <w:pStyle w:val="TableContents"/>
              <w:spacing w:before="0" w:after="0"/>
              <w:ind w:left="225" w:right="0" w:hanging="225"/>
              <w:rPr>
                <w:i/>
              </w:rPr>
            </w:pPr>
            <w:r>
              <w:rPr>
                <w:i/>
              </w:rPr>
              <w:t>Short-term debt:</w:t>
            </w:r>
          </w:p>
        </w:tc>
        <w:tc>
          <w:tcPr>
            <w:tcW w:w="39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0"/>
              <w:ind w:left="225" w:right="0" w:hanging="225"/>
              <w:rPr/>
            </w:pPr>
            <w:r>
              <w:rPr/>
              <w:t>Senior secured hedged inventory facility bearing interest at a rate of 5.9% and 5.8% at September 30, 2007 and December 31, 2006, respectively</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249" w:type="dxa"/>
            <w:tcBorders/>
            <w:shd w:fill="auto" w:val="clear"/>
            <w:vAlign w:val="bottom"/>
          </w:tcPr>
          <w:p>
            <w:pPr>
              <w:pStyle w:val="TableContents"/>
              <w:spacing w:before="0" w:after="283"/>
              <w:jc w:val="right"/>
              <w:rPr/>
            </w:pPr>
            <w:r>
              <w:rPr/>
              <w:t>417.8</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jc w:val="left"/>
              <w:rPr/>
            </w:pPr>
            <w:r>
              <w:rPr/>
              <w:t>$</w:t>
            </w:r>
          </w:p>
        </w:tc>
        <w:tc>
          <w:tcPr>
            <w:tcW w:w="1212" w:type="dxa"/>
            <w:tcBorders/>
            <w:shd w:fill="auto" w:val="clear"/>
            <w:vAlign w:val="bottom"/>
          </w:tcPr>
          <w:p>
            <w:pPr>
              <w:pStyle w:val="TableContents"/>
              <w:spacing w:before="0" w:after="283"/>
              <w:jc w:val="right"/>
              <w:rPr/>
            </w:pPr>
            <w:r>
              <w:rPr/>
              <w:t>835.3</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center"/>
          </w:tcPr>
          <w:p>
            <w:pPr>
              <w:pStyle w:val="TableContents"/>
              <w:spacing w:before="0" w:after="283"/>
              <w:rPr/>
            </w:pPr>
            <w:r>
              <w:rPr/>
              <w:t> </w:t>
            </w:r>
          </w:p>
        </w:tc>
        <w:tc>
          <w:tcPr>
            <w:tcW w:w="3985" w:type="dxa"/>
            <w:gridSpan w:val="8"/>
            <w:tcBorders/>
            <w:shd w:fill="auto" w:val="clear"/>
          </w:tcPr>
          <w:p>
            <w:pPr>
              <w:pStyle w:val="TableContents"/>
              <w:spacing w:before="0" w:after="283"/>
              <w:rPr>
                <w:sz w:val="4"/>
                <w:szCs w:val="4"/>
              </w:rPr>
            </w:pPr>
            <w:r>
              <w:rPr>
                <w:sz w:val="4"/>
                <w:szCs w:val="4"/>
              </w:rPr>
            </w:r>
          </w:p>
        </w:tc>
      </w:tr>
      <w:tr>
        <w:trPr/>
        <w:tc>
          <w:tcPr>
            <w:tcW w:w="6220" w:type="dxa"/>
            <w:tcBorders/>
            <w:shd w:fill="CCEEFF" w:val="clear"/>
            <w:vAlign w:val="bottom"/>
          </w:tcPr>
          <w:p>
            <w:pPr>
              <w:pStyle w:val="TableContents"/>
              <w:spacing w:before="0" w:after="0"/>
              <w:ind w:left="225" w:right="0" w:hanging="225"/>
              <w:rPr/>
            </w:pPr>
            <w:r>
              <w:rPr/>
              <w:t>Working capital borrowings, bearing interest at a rate of 6.0% and 5.9% at September 30, 2007 and December 31, 2006, respectively (1)</w:t>
            </w:r>
          </w:p>
        </w:tc>
        <w:tc>
          <w:tcPr>
            <w:tcW w:w="39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60.2</w:t>
            </w:r>
          </w:p>
        </w:tc>
        <w:tc>
          <w:tcPr>
            <w:tcW w:w="139"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158.2</w:t>
            </w:r>
          </w:p>
        </w:tc>
        <w:tc>
          <w:tcPr>
            <w:tcW w:w="119" w:type="dxa"/>
            <w:tcBorders/>
            <w:shd w:fill="CCEEFF"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0"/>
              <w:ind w:left="225" w:right="0" w:hanging="225"/>
              <w:rPr/>
            </w:pPr>
            <w:r>
              <w:rPr/>
              <w:t> </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0"/>
              <w:ind w:left="225" w:right="0" w:hanging="225"/>
              <w:rPr/>
            </w:pPr>
            <w:r>
              <w:rPr/>
              <w:t>Other</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3.1</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7.7</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4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6220" w:type="dxa"/>
            <w:tcBorders/>
            <w:shd w:fill="CCEEFF" w:val="clear"/>
            <w:vAlign w:val="bottom"/>
          </w:tcPr>
          <w:p>
            <w:pPr>
              <w:pStyle w:val="TableContents"/>
              <w:spacing w:before="0" w:after="0"/>
              <w:ind w:left="450" w:right="0" w:hanging="225"/>
              <w:rPr/>
            </w:pPr>
            <w:r>
              <w:rPr/>
              <w:t>Total short-term debt</w:t>
            </w:r>
          </w:p>
        </w:tc>
        <w:tc>
          <w:tcPr>
            <w:tcW w:w="39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481.1</w:t>
            </w:r>
          </w:p>
        </w:tc>
        <w:tc>
          <w:tcPr>
            <w:tcW w:w="139"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1,001.2</w:t>
            </w:r>
          </w:p>
        </w:tc>
        <w:tc>
          <w:tcPr>
            <w:tcW w:w="119" w:type="dxa"/>
            <w:tcBorders/>
            <w:shd w:fill="CCEEFF"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0"/>
              <w:ind w:left="225" w:right="0" w:hanging="225"/>
              <w:rPr/>
            </w:pPr>
            <w:r>
              <w:rPr/>
              <w:t> </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0"/>
              <w:ind w:left="225" w:right="0" w:hanging="225"/>
              <w:rPr>
                <w:i/>
              </w:rPr>
            </w:pPr>
            <w:r>
              <w:rPr>
                <w:i/>
              </w:rPr>
              <w:t>Long-term debt:</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center"/>
          </w:tcPr>
          <w:p>
            <w:pPr>
              <w:pStyle w:val="TableContents"/>
              <w:spacing w:before="0" w:after="283"/>
              <w:rPr/>
            </w:pPr>
            <w:r>
              <w:rPr/>
              <w:t> </w:t>
            </w:r>
          </w:p>
        </w:tc>
        <w:tc>
          <w:tcPr>
            <w:tcW w:w="3985" w:type="dxa"/>
            <w:gridSpan w:val="8"/>
            <w:tcBorders/>
            <w:shd w:fill="auto" w:val="clear"/>
          </w:tcPr>
          <w:p>
            <w:pPr>
              <w:pStyle w:val="TableContents"/>
              <w:spacing w:before="0" w:after="283"/>
              <w:rPr>
                <w:sz w:val="4"/>
                <w:szCs w:val="4"/>
              </w:rPr>
            </w:pPr>
            <w:r>
              <w:rPr>
                <w:sz w:val="4"/>
                <w:szCs w:val="4"/>
              </w:rPr>
            </w:r>
          </w:p>
        </w:tc>
      </w:tr>
      <w:tr>
        <w:trPr/>
        <w:tc>
          <w:tcPr>
            <w:tcW w:w="6220" w:type="dxa"/>
            <w:tcBorders/>
            <w:shd w:fill="CCEEFF" w:val="clear"/>
            <w:vAlign w:val="bottom"/>
          </w:tcPr>
          <w:p>
            <w:pPr>
              <w:pStyle w:val="TableContents"/>
              <w:spacing w:before="0" w:after="0"/>
              <w:ind w:left="225" w:right="0" w:hanging="225"/>
              <w:rPr/>
            </w:pPr>
            <w:r>
              <w:rPr/>
              <w:t>Senior notes, net of unamortized net discount (2)</w:t>
            </w:r>
          </w:p>
        </w:tc>
        <w:tc>
          <w:tcPr>
            <w:tcW w:w="39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2,623.0</w:t>
            </w:r>
          </w:p>
        </w:tc>
        <w:tc>
          <w:tcPr>
            <w:tcW w:w="139"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2,623.2</w:t>
            </w:r>
          </w:p>
        </w:tc>
        <w:tc>
          <w:tcPr>
            <w:tcW w:w="119" w:type="dxa"/>
            <w:tcBorders/>
            <w:shd w:fill="CCEEFF"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0"/>
              <w:ind w:left="225" w:right="0" w:hanging="225"/>
              <w:rPr/>
            </w:pPr>
            <w:r>
              <w:rPr/>
              <w:t> </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bottom"/>
          </w:tcPr>
          <w:p>
            <w:pPr>
              <w:pStyle w:val="TableContents"/>
              <w:spacing w:before="0" w:after="0"/>
              <w:ind w:left="225" w:right="0" w:hanging="225"/>
              <w:rPr/>
            </w:pPr>
            <w:r>
              <w:rPr/>
              <w:t>Adjustment related to fair value hedge(3)</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249" w:type="dxa"/>
            <w:tcBorders/>
            <w:shd w:fill="auto" w:val="clear"/>
            <w:vAlign w:val="bottom"/>
          </w:tcPr>
          <w:p>
            <w:pPr>
              <w:pStyle w:val="TableContents"/>
              <w:spacing w:before="0" w:after="283"/>
              <w:jc w:val="right"/>
              <w:rPr/>
            </w:pPr>
            <w:r>
              <w:rPr/>
              <w:t>(1.4</w:t>
            </w:r>
          </w:p>
        </w:tc>
        <w:tc>
          <w:tcPr>
            <w:tcW w:w="139" w:type="dxa"/>
            <w:tcBorders/>
            <w:shd w:fill="auto" w:val="clear"/>
            <w:vAlign w:val="bottom"/>
          </w:tcPr>
          <w:p>
            <w:pPr>
              <w:pStyle w:val="TableContents"/>
              <w:spacing w:before="0" w:after="283"/>
              <w:rPr/>
            </w:pPr>
            <w:r>
              <w:rPr/>
              <w:t>)</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center"/>
          </w:tcPr>
          <w:p>
            <w:pPr>
              <w:pStyle w:val="TableContents"/>
              <w:spacing w:before="0" w:after="283"/>
              <w:rPr/>
            </w:pPr>
            <w:r>
              <w:rPr/>
              <w:t> </w:t>
            </w:r>
          </w:p>
        </w:tc>
        <w:tc>
          <w:tcPr>
            <w:tcW w:w="3985" w:type="dxa"/>
            <w:gridSpan w:val="8"/>
            <w:tcBorders/>
            <w:shd w:fill="auto" w:val="clear"/>
          </w:tcPr>
          <w:p>
            <w:pPr>
              <w:pStyle w:val="TableContents"/>
              <w:spacing w:before="0" w:after="283"/>
              <w:rPr>
                <w:sz w:val="4"/>
                <w:szCs w:val="4"/>
              </w:rPr>
            </w:pPr>
            <w:r>
              <w:rPr>
                <w:sz w:val="4"/>
                <w:szCs w:val="4"/>
              </w:rPr>
            </w:r>
          </w:p>
        </w:tc>
      </w:tr>
      <w:tr>
        <w:trPr/>
        <w:tc>
          <w:tcPr>
            <w:tcW w:w="6220" w:type="dxa"/>
            <w:tcBorders/>
            <w:shd w:fill="CCEEFF" w:val="clear"/>
            <w:vAlign w:val="bottom"/>
          </w:tcPr>
          <w:p>
            <w:pPr>
              <w:pStyle w:val="TableContents"/>
              <w:spacing w:before="0" w:after="0"/>
              <w:ind w:left="225" w:right="0" w:hanging="225"/>
              <w:rPr/>
            </w:pPr>
            <w:r>
              <w:rPr/>
              <w:t>Long-term debt under credit facilities and other</w:t>
            </w:r>
          </w:p>
        </w:tc>
        <w:tc>
          <w:tcPr>
            <w:tcW w:w="39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pPr>
            <w:r>
              <w:rPr/>
              <w:t>2.6</w:t>
            </w:r>
          </w:p>
        </w:tc>
        <w:tc>
          <w:tcPr>
            <w:tcW w:w="139"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12" w:type="dxa"/>
            <w:tcBorders/>
            <w:shd w:fill="CCEEFF" w:val="clear"/>
            <w:vAlign w:val="bottom"/>
          </w:tcPr>
          <w:p>
            <w:pPr>
              <w:pStyle w:val="TableContents"/>
              <w:spacing w:before="0" w:after="283"/>
              <w:jc w:val="right"/>
              <w:rPr/>
            </w:pPr>
            <w:r>
              <w:rPr/>
              <w:t>3.1</w:t>
            </w:r>
          </w:p>
        </w:tc>
        <w:tc>
          <w:tcPr>
            <w:tcW w:w="119" w:type="dxa"/>
            <w:tcBorders/>
            <w:shd w:fill="CCEEFF" w:val="clear"/>
            <w:vAlign w:val="bottom"/>
          </w:tcPr>
          <w:p>
            <w:pPr>
              <w:pStyle w:val="TableContents"/>
              <w:spacing w:before="0" w:after="283"/>
              <w:rPr/>
            </w:pPr>
            <w:r>
              <w:rPr/>
              <w:t> </w:t>
            </w:r>
          </w:p>
        </w:tc>
      </w:tr>
      <w:tr>
        <w:trPr/>
        <w:tc>
          <w:tcPr>
            <w:tcW w:w="6220" w:type="dxa"/>
            <w:tcBorders/>
            <w:shd w:fill="auto" w:val="clear"/>
            <w:vAlign w:val="center"/>
          </w:tcPr>
          <w:p>
            <w:pPr>
              <w:pStyle w:val="TableContents"/>
              <w:spacing w:before="0" w:after="283"/>
              <w:rPr/>
            </w:pPr>
            <w:r>
              <w:rPr/>
              <w:t> </w:t>
            </w:r>
          </w:p>
        </w:tc>
        <w:tc>
          <w:tcPr>
            <w:tcW w:w="3985" w:type="dxa"/>
            <w:gridSpan w:val="8"/>
            <w:tcBorders/>
            <w:shd w:fill="auto" w:val="clear"/>
          </w:tcPr>
          <w:p>
            <w:pPr>
              <w:pStyle w:val="TableContents"/>
              <w:spacing w:before="0" w:after="283"/>
              <w:rPr>
                <w:sz w:val="4"/>
                <w:szCs w:val="4"/>
              </w:rPr>
            </w:pPr>
            <w:r>
              <w:rPr>
                <w:sz w:val="4"/>
                <w:szCs w:val="4"/>
              </w:rPr>
            </w:r>
          </w:p>
        </w:tc>
      </w:tr>
      <w:tr>
        <w:trPr/>
        <w:tc>
          <w:tcPr>
            <w:tcW w:w="62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4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6220" w:type="dxa"/>
            <w:tcBorders/>
            <w:shd w:fill="auto" w:val="clear"/>
            <w:vAlign w:val="bottom"/>
          </w:tcPr>
          <w:p>
            <w:pPr>
              <w:pStyle w:val="TableContents"/>
              <w:spacing w:before="0" w:after="0"/>
              <w:ind w:left="450" w:right="0" w:hanging="225"/>
              <w:rPr/>
            </w:pPr>
            <w:r>
              <w:rPr/>
              <w:t>Total long-term debt (1)(2)</w:t>
            </w:r>
          </w:p>
        </w:tc>
        <w:tc>
          <w:tcPr>
            <w:tcW w:w="397"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pPr>
            <w:r>
              <w:rPr/>
              <w:t>2,624.2</w:t>
            </w:r>
          </w:p>
        </w:tc>
        <w:tc>
          <w:tcPr>
            <w:tcW w:w="139"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12" w:type="dxa"/>
            <w:tcBorders/>
            <w:shd w:fill="auto" w:val="clear"/>
            <w:vAlign w:val="bottom"/>
          </w:tcPr>
          <w:p>
            <w:pPr>
              <w:pStyle w:val="TableContents"/>
              <w:spacing w:before="0" w:after="283"/>
              <w:jc w:val="right"/>
              <w:rPr/>
            </w:pPr>
            <w:r>
              <w:rPr/>
              <w:t>2,626.3</w:t>
            </w:r>
          </w:p>
        </w:tc>
        <w:tc>
          <w:tcPr>
            <w:tcW w:w="119" w:type="dxa"/>
            <w:tcBorders/>
            <w:shd w:fill="auto" w:val="clear"/>
            <w:vAlign w:val="bottom"/>
          </w:tcPr>
          <w:p>
            <w:pPr>
              <w:pStyle w:val="TableContents"/>
              <w:spacing w:before="0" w:after="283"/>
              <w:rPr/>
            </w:pPr>
            <w:r>
              <w:rPr/>
              <w:t> </w:t>
            </w:r>
          </w:p>
        </w:tc>
      </w:tr>
      <w:tr>
        <w:trPr/>
        <w:tc>
          <w:tcPr>
            <w:tcW w:w="6220" w:type="dxa"/>
            <w:tcBorders/>
            <w:shd w:fill="auto" w:val="clear"/>
            <w:vAlign w:val="center"/>
          </w:tcPr>
          <w:p>
            <w:pPr>
              <w:pStyle w:val="TableContents"/>
              <w:spacing w:before="0" w:after="283"/>
              <w:rPr/>
            </w:pPr>
            <w:r>
              <w:rPr/>
              <w:t> </w:t>
            </w:r>
          </w:p>
        </w:tc>
        <w:tc>
          <w:tcPr>
            <w:tcW w:w="3985" w:type="dxa"/>
            <w:gridSpan w:val="8"/>
            <w:tcBorders/>
            <w:shd w:fill="auto" w:val="clear"/>
          </w:tcPr>
          <w:p>
            <w:pPr>
              <w:pStyle w:val="TableContents"/>
              <w:spacing w:before="0" w:after="283"/>
              <w:rPr>
                <w:sz w:val="4"/>
                <w:szCs w:val="4"/>
              </w:rPr>
            </w:pPr>
            <w:r>
              <w:rPr>
                <w:sz w:val="4"/>
                <w:szCs w:val="4"/>
              </w:rPr>
            </w:r>
          </w:p>
        </w:tc>
      </w:tr>
      <w:tr>
        <w:trPr/>
        <w:tc>
          <w:tcPr>
            <w:tcW w:w="62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4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r>
        <w:trPr/>
        <w:tc>
          <w:tcPr>
            <w:tcW w:w="6220" w:type="dxa"/>
            <w:tcBorders/>
            <w:shd w:fill="CCEEFF" w:val="clear"/>
            <w:vAlign w:val="bottom"/>
          </w:tcPr>
          <w:p>
            <w:pPr>
              <w:pStyle w:val="TableContents"/>
              <w:spacing w:before="0" w:after="0"/>
              <w:ind w:left="225" w:right="0" w:hanging="225"/>
              <w:rPr/>
            </w:pPr>
            <w:r>
              <w:rPr/>
              <w:t>Total debt</w:t>
            </w:r>
          </w:p>
        </w:tc>
        <w:tc>
          <w:tcPr>
            <w:tcW w:w="397"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249" w:type="dxa"/>
            <w:tcBorders/>
            <w:shd w:fill="CCEEFF" w:val="clear"/>
            <w:vAlign w:val="bottom"/>
          </w:tcPr>
          <w:p>
            <w:pPr>
              <w:pStyle w:val="TableContents"/>
              <w:spacing w:before="0" w:after="283"/>
              <w:jc w:val="right"/>
              <w:rPr/>
            </w:pPr>
            <w:r>
              <w:rPr/>
              <w:t>3,105.3</w:t>
            </w:r>
          </w:p>
        </w:tc>
        <w:tc>
          <w:tcPr>
            <w:tcW w:w="139"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w:t>
            </w:r>
          </w:p>
        </w:tc>
        <w:tc>
          <w:tcPr>
            <w:tcW w:w="1212" w:type="dxa"/>
            <w:tcBorders/>
            <w:shd w:fill="CCEEFF" w:val="clear"/>
            <w:vAlign w:val="bottom"/>
          </w:tcPr>
          <w:p>
            <w:pPr>
              <w:pStyle w:val="TableContents"/>
              <w:spacing w:before="0" w:after="283"/>
              <w:jc w:val="right"/>
              <w:rPr/>
            </w:pPr>
            <w:r>
              <w:rPr/>
              <w:t>3,627.5</w:t>
            </w:r>
          </w:p>
        </w:tc>
        <w:tc>
          <w:tcPr>
            <w:tcW w:w="119" w:type="dxa"/>
            <w:tcBorders/>
            <w:shd w:fill="CCEEFF" w:val="clear"/>
            <w:vAlign w:val="bottom"/>
          </w:tcPr>
          <w:p>
            <w:pPr>
              <w:pStyle w:val="TableContents"/>
              <w:spacing w:before="0" w:after="283"/>
              <w:rPr/>
            </w:pPr>
            <w:r>
              <w:rPr/>
              <w:t> </w:t>
            </w:r>
          </w:p>
        </w:tc>
      </w:tr>
      <w:tr>
        <w:trPr/>
        <w:tc>
          <w:tcPr>
            <w:tcW w:w="62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4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c>
          <w:tcPr>
            <w:tcW w:w="397" w:type="dxa"/>
            <w:tcBorders/>
            <w:shd w:fill="auto" w:val="clear"/>
            <w:vAlign w:val="center"/>
          </w:tcPr>
          <w:p>
            <w:pPr>
              <w:pStyle w:val="TableContents"/>
              <w:spacing w:before="0" w:after="283"/>
              <w:rPr/>
            </w:pPr>
            <w:r>
              <w:rPr/>
              <w:t> </w:t>
            </w:r>
          </w:p>
        </w:tc>
        <w:tc>
          <w:tcPr>
            <w:tcW w:w="14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47"/>
        <w:gridCol w:w="2167"/>
        <w:gridCol w:w="1491"/>
      </w:tblGrid>
      <w:tr>
        <w:trPr/>
        <w:tc>
          <w:tcPr>
            <w:tcW w:w="654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r>
      <w:tr>
        <w:trPr/>
        <w:tc>
          <w:tcPr>
            <w:tcW w:w="6547" w:type="dxa"/>
            <w:tcBorders/>
            <w:shd w:fill="auto" w:val="clear"/>
          </w:tcPr>
          <w:p>
            <w:pPr>
              <w:pStyle w:val="TableContents"/>
              <w:spacing w:before="0" w:after="283"/>
              <w:jc w:val="left"/>
              <w:rPr/>
            </w:pPr>
            <w:r>
              <w:rPr/>
              <w:t>(1)</w:t>
            </w:r>
          </w:p>
        </w:tc>
        <w:tc>
          <w:tcPr>
            <w:tcW w:w="2167" w:type="dxa"/>
            <w:tcBorders/>
            <w:shd w:fill="auto" w:val="clear"/>
          </w:tcPr>
          <w:p>
            <w:pPr>
              <w:pStyle w:val="TableContents"/>
              <w:spacing w:before="0" w:after="283"/>
              <w:rPr/>
            </w:pPr>
            <w:r>
              <w:rPr/>
              <w:t> </w:t>
            </w:r>
          </w:p>
        </w:tc>
        <w:tc>
          <w:tcPr>
            <w:tcW w:w="1491" w:type="dxa"/>
            <w:tcBorders/>
            <w:shd w:fill="auto" w:val="clear"/>
          </w:tcPr>
          <w:p>
            <w:pPr>
              <w:pStyle w:val="TableContents"/>
              <w:spacing w:before="0" w:after="283"/>
              <w:rPr/>
            </w:pPr>
            <w:r>
              <w:rPr/>
              <w:t>At September 30, 2007 and December 31, 2006, we have classified $60 million and $158 million, respectively, of borrowings under our senior unsecured revolving credit facility as short-term. These borrowings are designated as working capital borrowings, must be repaid within one year, and are primarily for hedged inventory and New York Mercantile Exchange (NYMEX) and Intercontinental Exchange (ICE) margin deposits.</w:t>
            </w:r>
          </w:p>
        </w:tc>
      </w:tr>
      <w:tr>
        <w:trPr/>
        <w:tc>
          <w:tcPr>
            <w:tcW w:w="6547" w:type="dxa"/>
            <w:tcBorders/>
            <w:shd w:fill="auto" w:val="clear"/>
            <w:vAlign w:val="center"/>
          </w:tcPr>
          <w:p>
            <w:pPr>
              <w:pStyle w:val="TableContents"/>
              <w:spacing w:before="0" w:after="283"/>
              <w:rPr>
                <w:sz w:val="4"/>
                <w:szCs w:val="4"/>
              </w:rPr>
            </w:pPr>
            <w:r>
              <w:rPr>
                <w:sz w:val="4"/>
                <w:szCs w:val="4"/>
              </w:rPr>
            </w:r>
          </w:p>
        </w:tc>
        <w:tc>
          <w:tcPr>
            <w:tcW w:w="3658" w:type="dxa"/>
            <w:gridSpan w:val="2"/>
            <w:tcBorders/>
            <w:shd w:fill="auto" w:val="clear"/>
          </w:tcPr>
          <w:p>
            <w:pPr>
              <w:pStyle w:val="TableContents"/>
              <w:spacing w:before="0" w:after="283"/>
              <w:rPr>
                <w:sz w:val="4"/>
                <w:szCs w:val="4"/>
              </w:rPr>
            </w:pPr>
            <w:r>
              <w:rPr>
                <w:sz w:val="4"/>
                <w:szCs w:val="4"/>
              </w:rPr>
            </w:r>
          </w:p>
        </w:tc>
      </w:tr>
      <w:tr>
        <w:trPr/>
        <w:tc>
          <w:tcPr>
            <w:tcW w:w="6547" w:type="dxa"/>
            <w:tcBorders/>
            <w:shd w:fill="auto" w:val="clear"/>
          </w:tcPr>
          <w:p>
            <w:pPr>
              <w:pStyle w:val="TableContents"/>
              <w:spacing w:before="0" w:after="283"/>
              <w:jc w:val="left"/>
              <w:rPr/>
            </w:pPr>
            <w:r>
              <w:rPr/>
              <w:t>(2)</w:t>
            </w:r>
          </w:p>
        </w:tc>
        <w:tc>
          <w:tcPr>
            <w:tcW w:w="2167" w:type="dxa"/>
            <w:tcBorders/>
            <w:shd w:fill="auto" w:val="clear"/>
          </w:tcPr>
          <w:p>
            <w:pPr>
              <w:pStyle w:val="TableContents"/>
              <w:spacing w:before="0" w:after="283"/>
              <w:rPr/>
            </w:pPr>
            <w:r>
              <w:rPr/>
              <w:t> </w:t>
            </w:r>
          </w:p>
        </w:tc>
        <w:tc>
          <w:tcPr>
            <w:tcW w:w="1491" w:type="dxa"/>
            <w:tcBorders/>
            <w:shd w:fill="auto" w:val="clear"/>
          </w:tcPr>
          <w:p>
            <w:pPr>
              <w:pStyle w:val="TableContents"/>
              <w:spacing w:before="0" w:after="283"/>
              <w:rPr/>
            </w:pPr>
            <w:r>
              <w:rPr/>
              <w:t>At September 30, 2007, the aggregate fair value of our fixed rate senior notes is estimated to be approximately $2,652 million. The carrying values of the variable rate instruments in our credit facilities approximate fair value primarily because interest rates fluctuate with prevailing market rates, and the credit spread on outstanding borrowings reflects market.</w:t>
            </w:r>
          </w:p>
        </w:tc>
      </w:tr>
      <w:tr>
        <w:trPr/>
        <w:tc>
          <w:tcPr>
            <w:tcW w:w="6547" w:type="dxa"/>
            <w:tcBorders/>
            <w:shd w:fill="auto" w:val="clear"/>
            <w:vAlign w:val="center"/>
          </w:tcPr>
          <w:p>
            <w:pPr>
              <w:pStyle w:val="TableContents"/>
              <w:spacing w:before="0" w:after="283"/>
              <w:rPr>
                <w:sz w:val="4"/>
                <w:szCs w:val="4"/>
              </w:rPr>
            </w:pPr>
            <w:r>
              <w:rPr>
                <w:sz w:val="4"/>
                <w:szCs w:val="4"/>
              </w:rPr>
            </w:r>
          </w:p>
        </w:tc>
        <w:tc>
          <w:tcPr>
            <w:tcW w:w="3658" w:type="dxa"/>
            <w:gridSpan w:val="2"/>
            <w:tcBorders/>
            <w:shd w:fill="auto" w:val="clear"/>
          </w:tcPr>
          <w:p>
            <w:pPr>
              <w:pStyle w:val="TableContents"/>
              <w:spacing w:before="0" w:after="283"/>
              <w:rPr>
                <w:sz w:val="4"/>
                <w:szCs w:val="4"/>
              </w:rPr>
            </w:pPr>
            <w:r>
              <w:rPr>
                <w:sz w:val="4"/>
                <w:szCs w:val="4"/>
              </w:rPr>
            </w:r>
          </w:p>
        </w:tc>
      </w:tr>
      <w:tr>
        <w:trPr/>
        <w:tc>
          <w:tcPr>
            <w:tcW w:w="6547" w:type="dxa"/>
            <w:tcBorders/>
            <w:shd w:fill="auto" w:val="clear"/>
          </w:tcPr>
          <w:p>
            <w:pPr>
              <w:pStyle w:val="TableContents"/>
              <w:spacing w:before="0" w:after="283"/>
              <w:jc w:val="left"/>
              <w:rPr/>
            </w:pPr>
            <w:r>
              <w:rPr/>
              <w:t>(3)</w:t>
            </w:r>
          </w:p>
        </w:tc>
        <w:tc>
          <w:tcPr>
            <w:tcW w:w="2167" w:type="dxa"/>
            <w:tcBorders/>
            <w:shd w:fill="auto" w:val="clear"/>
          </w:tcPr>
          <w:p>
            <w:pPr>
              <w:pStyle w:val="TableContents"/>
              <w:spacing w:before="0" w:after="283"/>
              <w:rPr/>
            </w:pPr>
            <w:r>
              <w:rPr/>
              <w:t> </w:t>
            </w:r>
          </w:p>
        </w:tc>
        <w:tc>
          <w:tcPr>
            <w:tcW w:w="1491" w:type="dxa"/>
            <w:tcBorders/>
            <w:shd w:fill="auto" w:val="clear"/>
          </w:tcPr>
          <w:p>
            <w:pPr>
              <w:pStyle w:val="TableContents"/>
              <w:spacing w:before="0" w:after="283"/>
              <w:rPr/>
            </w:pPr>
            <w:r>
              <w:rPr/>
              <w:t>Fair value hedge accounting was discontinued subsequent to June 30, 2007. The outstanding balance will be amortized over the remaining life of the underlying debt.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In June 2007, the borrowing capacity under our senior secured hedged inventory facility was increased from $1.0 billion to $1.2 billion under the terms and conditions of such facility, as amended. The facility has a maturity date of November 16, 2007, and we anticipate extending the facility for an additional year, subject to lender approval.</w:t>
      </w:r>
    </w:p>
    <w:p>
      <w:pPr>
        <w:pStyle w:val="TextBody"/>
        <w:spacing w:before="120" w:after="283"/>
        <w:jc w:val="left"/>
        <w:rPr/>
      </w:pPr>
      <w:r>
        <w:rPr/>
        <w:t>     </w:t>
      </w:r>
      <w:r>
        <w:rPr>
          <w:rFonts w:ascii="Times New Roman;Times;serif" w:hAnsi="Times New Roman;Times;serif"/>
          <w:sz w:val="17"/>
        </w:rPr>
        <w:t xml:space="preserve">On July 31, 2007, we amended our revolving credit facility to reset the maximum debt coverage ratio during an acquisition period from 5.25 to 1.0 to 5.5 to 1.0, and extend the maturity date from July 2011 to July 2012.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Letters of Credit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our crude oil marketing business and as is customary in our industry, we provide certain suppliers and transporters with irrevocable standby letters of credit to secure our obligation for the purchase of crude oil. These letters of credit are issued under our credit facility, and our liabilities with respect to these purchase obligations are recorded in Accounts payable and accrued liabilities on our balance sheet in the month the crude oil is purchased. Generally, these letters of credit are issued for periods of up to seventy days and are terminated upon completion of each transaction. At September 30, 2007, approximately $51 million of letters of credit were outstanding under our credit facility (compared to approximately $186 million at December 31, 2006). Letter of credit fees are reflected within crude oil, refined products and LPG purchases and related costs on our Condensed Consolidated Statement of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6Earnings Per Limited Partner Unit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Subject to applicability of Emerging Issues Task Force Issue No. 03-06 (EITF 03-06), Participating Securities and the Two-Class Method under Financial Accounting Standards Board (FASB) Statement No. 128, as discussed below, Partnership income is first allocated to the general partner based on the amount of incentive distributions. The remainder is then allocated 98% to the limited partners and 2% to the general partner. Basic and diluted net income per limited partner unit is determined by dividing net income attributable to limited partners by the weighted average number of outstanding limited partner units during the period. </w:t>
      </w:r>
    </w:p>
    <w:p>
      <w:pPr>
        <w:pStyle w:val="TextBody"/>
        <w:spacing w:before="120" w:after="283"/>
        <w:jc w:val="left"/>
        <w:rPr/>
      </w:pPr>
      <w:r>
        <w:rPr/>
        <w:t>     </w:t>
      </w:r>
      <w:r>
        <w:rPr>
          <w:rFonts w:ascii="Times New Roman;Times;serif" w:hAnsi="Times New Roman;Times;serif"/>
          <w:sz w:val="17"/>
        </w:rPr>
        <w:t xml:space="preserve">EITF 03-06 addresses the computation of earnings per share by entities that have issued securities other than common stock that contractually entitle the holder to participate in dividends and earnings of the entity when, and if, it declares dividends on its common stock (or partnership distributions to unitholders). EITF 03-06 applies to any accounting period where our aggregate net income exceeds our aggregate distribution. In such periods, we are required to present earnings per unit as if all of the earnings for the periods were distributed, regardless of the pro forma nature of this allocation and whether those earnings would actually be distributed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This result occurs as a larger portion of our aggregate earnings is allocated (as if distributed) to our general partner, even though we make cash distributions on the basis of cash available for distributions, not earnings, in any given accounting period. Earnings per limited partner unit (both basic and diluted) were reduced by $0.16 for the three months ended September 30, 2006 and $0.31 for the nine months ended September 30, 2006, attributable to the application of EITF 03-06. The application of EITF 03-06 had no impact for the three and nine months ended September 30, 2007. </w:t>
      </w:r>
    </w:p>
    <w:p>
      <w:pPr>
        <w:pStyle w:val="TextBody"/>
        <w:spacing w:before="120" w:after="283"/>
        <w:jc w:val="left"/>
        <w:rPr/>
      </w:pPr>
      <w:r>
        <w:rPr/>
        <w:t>     </w:t>
      </w:r>
      <w:r>
        <w:rPr>
          <w:rFonts w:ascii="Times New Roman;Times;serif" w:hAnsi="Times New Roman;Times;serif"/>
          <w:sz w:val="17"/>
        </w:rPr>
        <w:t xml:space="preserve">The following table sets forth the computation of basic and diluted earnings per limited partner unit (in millions, except per unit data).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984"/>
        <w:gridCol w:w="355"/>
        <w:gridCol w:w="205"/>
        <w:gridCol w:w="886"/>
        <w:gridCol w:w="159"/>
        <w:gridCol w:w="373"/>
        <w:gridCol w:w="205"/>
        <w:gridCol w:w="842"/>
        <w:gridCol w:w="128"/>
        <w:gridCol w:w="355"/>
        <w:gridCol w:w="192"/>
        <w:gridCol w:w="835"/>
        <w:gridCol w:w="149"/>
        <w:gridCol w:w="369"/>
        <w:gridCol w:w="192"/>
        <w:gridCol w:w="837"/>
        <w:gridCol w:w="139"/>
      </w:tblGrid>
      <w:tr>
        <w:trPr/>
        <w:tc>
          <w:tcPr>
            <w:tcW w:w="3984"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2670" w:type="dxa"/>
            <w:gridSpan w:val="6"/>
            <w:tcBorders/>
            <w:shd w:fill="auto" w:val="clear"/>
            <w:vAlign w:val="bottom"/>
          </w:tcPr>
          <w:p>
            <w:pPr>
              <w:pStyle w:val="TableContents"/>
              <w:spacing w:before="0" w:after="283"/>
              <w:jc w:val="center"/>
              <w:rPr>
                <w:b/>
              </w:rPr>
            </w:pPr>
            <w:r>
              <w:rPr>
                <w:b/>
              </w:rPr>
              <w:t>Three Months Ended</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2574" w:type="dxa"/>
            <w:gridSpan w:val="6"/>
            <w:tcBorders/>
            <w:shd w:fill="auto" w:val="clear"/>
            <w:vAlign w:val="bottom"/>
          </w:tcPr>
          <w:p>
            <w:pPr>
              <w:pStyle w:val="TableContents"/>
              <w:spacing w:before="0" w:after="283"/>
              <w:jc w:val="center"/>
              <w:rPr>
                <w:b/>
              </w:rPr>
            </w:pPr>
            <w:r>
              <w:rPr>
                <w:b/>
              </w:rPr>
              <w:t>Nine Months Ended</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267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257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0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225" w:right="0" w:hanging="225"/>
              <w:rPr/>
            </w:pPr>
            <w:r>
              <w:rPr/>
              <w:t>Numerator:</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Net income</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98.4</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95.4</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287.9</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239.1</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450" w:right="0" w:hanging="225"/>
              <w:rPr/>
            </w:pPr>
            <w:r>
              <w:rPr/>
              <w:t>Less: General partners incentive distribution paid</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pPr>
            <w:r>
              <w:rPr/>
              <w:t>(20.0</w:t>
            </w:r>
          </w:p>
        </w:tc>
        <w:tc>
          <w:tcPr>
            <w:tcW w:w="159"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283"/>
              <w:jc w:val="right"/>
              <w:rPr/>
            </w:pPr>
            <w:r>
              <w:rPr/>
              <w:t>(9.1</w:t>
            </w:r>
          </w:p>
        </w:tc>
        <w:tc>
          <w:tcPr>
            <w:tcW w:w="128" w:type="dxa"/>
            <w:tcBorders/>
            <w:shd w:fill="CCEEFF" w:val="clear"/>
            <w:vAlign w:val="bottom"/>
          </w:tcPr>
          <w:p>
            <w:pPr>
              <w:pStyle w:val="TableContents"/>
              <w:spacing w:before="0" w:after="283"/>
              <w:rPr/>
            </w:pPr>
            <w:r>
              <w:rPr/>
              <w:t>)</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835" w:type="dxa"/>
            <w:tcBorders/>
            <w:shd w:fill="CCEEFF" w:val="clear"/>
            <w:vAlign w:val="bottom"/>
          </w:tcPr>
          <w:p>
            <w:pPr>
              <w:pStyle w:val="TableContents"/>
              <w:spacing w:before="0" w:after="283"/>
              <w:jc w:val="right"/>
              <w:rPr/>
            </w:pPr>
            <w:r>
              <w:rPr/>
              <w:t>(51.9</w:t>
            </w:r>
          </w:p>
        </w:tc>
        <w:tc>
          <w:tcPr>
            <w:tcW w:w="149"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(22.1</w:t>
            </w:r>
          </w:p>
        </w:tc>
        <w:tc>
          <w:tcPr>
            <w:tcW w:w="139" w:type="dxa"/>
            <w:tcBorders/>
            <w:shd w:fill="CCEEFF" w:val="clear"/>
            <w:vAlign w:val="bottom"/>
          </w:tcPr>
          <w:p>
            <w:pPr>
              <w:pStyle w:val="TableContents"/>
              <w:spacing w:before="0" w:after="283"/>
              <w:rPr/>
            </w:pPr>
            <w:r>
              <w:rPr/>
              <w:t>)</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450" w:right="0" w:hanging="225"/>
              <w:rPr/>
            </w:pPr>
            <w:r>
              <w:rPr/>
              <w:t>Subtotal</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78.4</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86.3</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236.0</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217.0</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450" w:right="0" w:hanging="225"/>
              <w:rPr/>
            </w:pPr>
            <w:r>
              <w:rPr/>
              <w:t>Less: General partner 2% ownership</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pPr>
            <w:r>
              <w:rPr/>
              <w:t>(1.6</w:t>
            </w:r>
          </w:p>
        </w:tc>
        <w:tc>
          <w:tcPr>
            <w:tcW w:w="159" w:type="dxa"/>
            <w:tcBorders/>
            <w:shd w:fill="CCEEFF" w:val="clear"/>
            <w:vAlign w:val="bottom"/>
          </w:tcPr>
          <w:p>
            <w:pPr>
              <w:pStyle w:val="TableContents"/>
              <w:spacing w:before="0" w:after="283"/>
              <w:rPr/>
            </w:pPr>
            <w:r>
              <w:rPr/>
              <w:t>)</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283"/>
              <w:jc w:val="right"/>
              <w:rPr/>
            </w:pPr>
            <w:r>
              <w:rPr/>
              <w:t>(1.7</w:t>
            </w:r>
          </w:p>
        </w:tc>
        <w:tc>
          <w:tcPr>
            <w:tcW w:w="128" w:type="dxa"/>
            <w:tcBorders/>
            <w:shd w:fill="CCEEFF" w:val="clear"/>
            <w:vAlign w:val="bottom"/>
          </w:tcPr>
          <w:p>
            <w:pPr>
              <w:pStyle w:val="TableContents"/>
              <w:spacing w:before="0" w:after="283"/>
              <w:rPr/>
            </w:pPr>
            <w:r>
              <w:rPr/>
              <w:t>)</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835" w:type="dxa"/>
            <w:tcBorders/>
            <w:shd w:fill="CCEEFF" w:val="clear"/>
            <w:vAlign w:val="bottom"/>
          </w:tcPr>
          <w:p>
            <w:pPr>
              <w:pStyle w:val="TableContents"/>
              <w:spacing w:before="0" w:after="283"/>
              <w:jc w:val="right"/>
              <w:rPr/>
            </w:pPr>
            <w:r>
              <w:rPr/>
              <w:t>(4.7</w:t>
            </w:r>
          </w:p>
        </w:tc>
        <w:tc>
          <w:tcPr>
            <w:tcW w:w="149" w:type="dxa"/>
            <w:tcBorders/>
            <w:shd w:fill="CCEEFF" w:val="clear"/>
            <w:vAlign w:val="bottom"/>
          </w:tcPr>
          <w:p>
            <w:pPr>
              <w:pStyle w:val="TableContents"/>
              <w:spacing w:before="0" w:after="283"/>
              <w:rPr/>
            </w:pPr>
            <w:r>
              <w:rPr/>
              <w:t>)</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(4.3</w:t>
            </w:r>
          </w:p>
        </w:tc>
        <w:tc>
          <w:tcPr>
            <w:tcW w:w="139" w:type="dxa"/>
            <w:tcBorders/>
            <w:shd w:fill="CCEEFF" w:val="clear"/>
            <w:vAlign w:val="bottom"/>
          </w:tcPr>
          <w:p>
            <w:pPr>
              <w:pStyle w:val="TableContents"/>
              <w:spacing w:before="0" w:after="283"/>
              <w:rPr/>
            </w:pPr>
            <w:r>
              <w:rPr/>
              <w:t>)</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450" w:right="0" w:hanging="225"/>
              <w:rPr/>
            </w:pPr>
            <w:r>
              <w:rPr/>
              <w:t>Net income available to limited partners</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76.8</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84.6</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231.3</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212.7</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450" w:right="0" w:hanging="225"/>
              <w:rPr/>
            </w:pPr>
            <w:r>
              <w:rPr/>
              <w:t>Less: Pro Forma EITF 03-06 additional general partners distribution</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 </w:t>
            </w:r>
          </w:p>
        </w:tc>
        <w:tc>
          <w:tcPr>
            <w:tcW w:w="842" w:type="dxa"/>
            <w:tcBorders/>
            <w:shd w:fill="CCEEFF" w:val="clear"/>
            <w:vAlign w:val="bottom"/>
          </w:tcPr>
          <w:p>
            <w:pPr>
              <w:pStyle w:val="TableContents"/>
              <w:spacing w:before="0" w:after="283"/>
              <w:jc w:val="right"/>
              <w:rPr/>
            </w:pPr>
            <w:r>
              <w:rPr/>
              <w:t>(12.6</w:t>
            </w:r>
          </w:p>
        </w:tc>
        <w:tc>
          <w:tcPr>
            <w:tcW w:w="128" w:type="dxa"/>
            <w:tcBorders/>
            <w:shd w:fill="CCEEFF" w:val="clear"/>
            <w:vAlign w:val="bottom"/>
          </w:tcPr>
          <w:p>
            <w:pPr>
              <w:pStyle w:val="TableContents"/>
              <w:spacing w:before="0" w:after="283"/>
              <w:rPr/>
            </w:pPr>
            <w:r>
              <w:rPr/>
              <w:t>)</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(23.8</w:t>
            </w:r>
          </w:p>
        </w:tc>
        <w:tc>
          <w:tcPr>
            <w:tcW w:w="139" w:type="dxa"/>
            <w:tcBorders/>
            <w:shd w:fill="CCEEFF" w:val="clear"/>
            <w:vAlign w:val="bottom"/>
          </w:tcPr>
          <w:p>
            <w:pPr>
              <w:pStyle w:val="TableContents"/>
              <w:spacing w:before="0" w:after="283"/>
              <w:rPr/>
            </w:pPr>
            <w:r>
              <w:rPr/>
              <w:t>)</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450" w:right="0" w:hanging="225"/>
              <w:rPr/>
            </w:pPr>
            <w:r>
              <w:rPr/>
              <w:t>Net income available to limited partners under EITF 03-06</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76.8</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72.0</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231.3</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188.9</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450" w:right="0" w:hanging="225"/>
              <w:rPr/>
            </w:pPr>
            <w:r>
              <w:rPr/>
              <w:t>Less: Limited partner 98% portion of cumulative effect of change in accounting principle</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(6.2</w:t>
            </w:r>
          </w:p>
        </w:tc>
        <w:tc>
          <w:tcPr>
            <w:tcW w:w="139" w:type="dxa"/>
            <w:tcBorders/>
            <w:shd w:fill="CCEEFF" w:val="clear"/>
            <w:vAlign w:val="bottom"/>
          </w:tcPr>
          <w:p>
            <w:pPr>
              <w:pStyle w:val="TableContents"/>
              <w:spacing w:before="0" w:after="283"/>
              <w:rPr/>
            </w:pPr>
            <w:r>
              <w:rPr/>
              <w:t>)</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450" w:right="0" w:hanging="225"/>
              <w:rPr/>
            </w:pPr>
            <w:r>
              <w:rPr/>
              <w:t>Limited partner net income before cumulative effect of change in accounting principle</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76.8</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72.0</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231.3</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182.7</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 </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225" w:right="0" w:hanging="225"/>
              <w:rPr/>
            </w:pPr>
            <w:r>
              <w:rPr/>
              <w:t>Denominator:</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0"/>
              <w:ind w:left="450" w:right="0" w:hanging="225"/>
              <w:rPr/>
            </w:pPr>
            <w:r>
              <w:rPr/>
              <w:t>Basic earnings per limited partner unit (weighted average number of limited partner units outstanding)</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116.0</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79.9</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112.1</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77.0</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450" w:right="0" w:hanging="225"/>
              <w:rPr/>
            </w:pPr>
            <w:r>
              <w:rPr/>
              <w:t>Effect of dilutive securities:</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0"/>
              <w:ind w:left="900" w:right="0" w:hanging="225"/>
              <w:rPr/>
            </w:pPr>
            <w:r>
              <w:rPr/>
              <w:t>LTIP units outstanding (1)</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0.8</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0.9</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0.9</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0.8</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1125" w:right="0" w:hanging="225"/>
              <w:rPr/>
            </w:pPr>
            <w:r>
              <w:rPr/>
              <w:t>Diluted earnings per limited partner unit (weighted average number of limited partner units outstanding)</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116.8</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pPr>
            <w:r>
              <w:rPr/>
              <w:t>80.8</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113.0</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77.8</w:t>
            </w:r>
          </w:p>
        </w:tc>
        <w:tc>
          <w:tcPr>
            <w:tcW w:w="139" w:type="dxa"/>
            <w:tcBorders/>
            <w:shd w:fill="CCEEFF"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 </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Basic net income per limited partner unit before cumulative effect of change in accounting principle</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0.66</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0.90</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2.06</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2.37</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283"/>
              <w:rPr/>
            </w:pPr>
            <w:r>
              <w:rPr/>
              <w:t> </w:t>
            </w:r>
          </w:p>
        </w:tc>
        <w:tc>
          <w:tcPr>
            <w:tcW w:w="6221" w:type="dxa"/>
            <w:gridSpan w:val="16"/>
            <w:tcBorders/>
            <w:shd w:fill="auto" w:val="clear"/>
          </w:tcPr>
          <w:p>
            <w:pPr>
              <w:pStyle w:val="TableContents"/>
              <w:spacing w:before="0" w:after="283"/>
              <w:rPr>
                <w:sz w:val="4"/>
                <w:szCs w:val="4"/>
              </w:rPr>
            </w:pPr>
            <w:r>
              <w:rPr>
                <w:sz w:val="4"/>
                <w:szCs w:val="4"/>
              </w:rPr>
            </w:r>
          </w:p>
        </w:tc>
      </w:tr>
      <w:tr>
        <w:trPr/>
        <w:tc>
          <w:tcPr>
            <w:tcW w:w="3984" w:type="dxa"/>
            <w:tcBorders/>
            <w:shd w:fill="CCEEFF" w:val="clear"/>
            <w:vAlign w:val="bottom"/>
          </w:tcPr>
          <w:p>
            <w:pPr>
              <w:pStyle w:val="TableContents"/>
              <w:spacing w:before="0" w:after="0"/>
              <w:ind w:left="225" w:right="0" w:hanging="225"/>
              <w:rPr/>
            </w:pPr>
            <w:r>
              <w:rPr/>
              <w:t>Cumulative effect of change in accounting principle per limited partner unit</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pPr>
            <w:r>
              <w:rPr/>
              <w:t></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pPr>
            <w:r>
              <w:rPr/>
              <w:t></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0.08</w:t>
            </w:r>
          </w:p>
        </w:tc>
        <w:tc>
          <w:tcPr>
            <w:tcW w:w="139" w:type="dxa"/>
            <w:tcBorders/>
            <w:shd w:fill="CCEEFF"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Basic net income per limited partner unit</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0.66</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0.90</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2.06</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2.45</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 </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225" w:right="0" w:hanging="225"/>
              <w:rPr/>
            </w:pPr>
            <w:r>
              <w:rPr/>
              <w:t>Diluted net income per limited partner unit before cumulative effect of change in accounting principle</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0.66</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0.89</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2.05</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2.35</w:t>
            </w:r>
          </w:p>
        </w:tc>
        <w:tc>
          <w:tcPr>
            <w:tcW w:w="139" w:type="dxa"/>
            <w:tcBorders/>
            <w:shd w:fill="CCEEFF"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 </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Cumulative effect of change in accounting principle per limited partner unit</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0.08</w:t>
            </w:r>
          </w:p>
        </w:tc>
        <w:tc>
          <w:tcPr>
            <w:tcW w:w="139" w:type="dxa"/>
            <w:tcBorders/>
            <w:shd w:fill="auto"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3984" w:type="dxa"/>
            <w:tcBorders/>
            <w:shd w:fill="auto" w:val="clear"/>
            <w:vAlign w:val="bottom"/>
          </w:tcPr>
          <w:p>
            <w:pPr>
              <w:pStyle w:val="TableContents"/>
              <w:spacing w:before="0" w:after="0"/>
              <w:ind w:left="225" w:right="0" w:hanging="225"/>
              <w:rPr/>
            </w:pPr>
            <w:r>
              <w:rPr/>
              <w:t> </w:t>
            </w:r>
          </w:p>
        </w:tc>
        <w:tc>
          <w:tcPr>
            <w:tcW w:w="355"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3984" w:type="dxa"/>
            <w:tcBorders/>
            <w:shd w:fill="CCEEFF" w:val="clear"/>
            <w:vAlign w:val="bottom"/>
          </w:tcPr>
          <w:p>
            <w:pPr>
              <w:pStyle w:val="TableContents"/>
              <w:spacing w:before="0" w:after="0"/>
              <w:ind w:left="225" w:right="0" w:hanging="225"/>
              <w:rPr/>
            </w:pPr>
            <w:r>
              <w:rPr/>
              <w:t>Diluted net income per limited partner unit</w:t>
            </w:r>
          </w:p>
        </w:tc>
        <w:tc>
          <w:tcPr>
            <w:tcW w:w="35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886" w:type="dxa"/>
            <w:tcBorders/>
            <w:shd w:fill="CCEEFF" w:val="clear"/>
            <w:vAlign w:val="bottom"/>
          </w:tcPr>
          <w:p>
            <w:pPr>
              <w:pStyle w:val="TableContents"/>
              <w:spacing w:before="0" w:after="283"/>
              <w:jc w:val="right"/>
              <w:rPr/>
            </w:pPr>
            <w:r>
              <w:rPr/>
              <w:t>0.66</w:t>
            </w:r>
          </w:p>
        </w:tc>
        <w:tc>
          <w:tcPr>
            <w:tcW w:w="159"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jc w:val="left"/>
              <w:rPr/>
            </w:pPr>
            <w:r>
              <w:rPr/>
              <w:t>$</w:t>
            </w:r>
          </w:p>
        </w:tc>
        <w:tc>
          <w:tcPr>
            <w:tcW w:w="842" w:type="dxa"/>
            <w:tcBorders/>
            <w:shd w:fill="CCEEFF" w:val="clear"/>
            <w:vAlign w:val="bottom"/>
          </w:tcPr>
          <w:p>
            <w:pPr>
              <w:pStyle w:val="TableContents"/>
              <w:spacing w:before="0" w:after="283"/>
              <w:jc w:val="right"/>
              <w:rPr/>
            </w:pPr>
            <w:r>
              <w:rPr/>
              <w:t>0.89</w:t>
            </w:r>
          </w:p>
        </w:tc>
        <w:tc>
          <w:tcPr>
            <w:tcW w:w="128"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2.05</w:t>
            </w:r>
          </w:p>
        </w:tc>
        <w:tc>
          <w:tcPr>
            <w:tcW w:w="149" w:type="dxa"/>
            <w:tcBorders/>
            <w:shd w:fill="CCEEFF" w:val="clear"/>
            <w:vAlign w:val="bottom"/>
          </w:tcPr>
          <w:p>
            <w:pPr>
              <w:pStyle w:val="TableContents"/>
              <w:spacing w:before="0" w:after="283"/>
              <w:rPr/>
            </w:pPr>
            <w:r>
              <w:rPr/>
              <w:t> </w:t>
            </w:r>
          </w:p>
        </w:tc>
        <w:tc>
          <w:tcPr>
            <w:tcW w:w="36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2.43</w:t>
            </w:r>
          </w:p>
        </w:tc>
        <w:tc>
          <w:tcPr>
            <w:tcW w:w="139" w:type="dxa"/>
            <w:tcBorders/>
            <w:shd w:fill="CCEEFF" w:val="clear"/>
            <w:vAlign w:val="bottom"/>
          </w:tcPr>
          <w:p>
            <w:pPr>
              <w:pStyle w:val="TableContents"/>
              <w:spacing w:before="0" w:after="283"/>
              <w:rPr/>
            </w:pPr>
            <w:r>
              <w:rPr/>
              <w:t> </w:t>
            </w:r>
          </w:p>
        </w:tc>
      </w:tr>
      <w:tr>
        <w:trPr/>
        <w:tc>
          <w:tcPr>
            <w:tcW w:w="3984" w:type="dxa"/>
            <w:tcBorders/>
            <w:shd w:fill="auto" w:val="clear"/>
            <w:vAlign w:val="center"/>
          </w:tcPr>
          <w:p>
            <w:pPr>
              <w:pStyle w:val="TableContents"/>
              <w:spacing w:before="0" w:after="0"/>
              <w:ind w:left="225" w:right="0" w:hanging="225"/>
              <w:rPr/>
            </w:pPr>
            <w:r>
              <w:rPr/>
              <w:t> </w:t>
            </w:r>
          </w:p>
        </w:tc>
        <w:tc>
          <w:tcPr>
            <w:tcW w:w="355" w:type="dxa"/>
            <w:tcBorders/>
            <w:shd w:fill="auto" w:val="clear"/>
            <w:vAlign w:val="center"/>
          </w:tcPr>
          <w:p>
            <w:pPr>
              <w:pStyle w:val="TableContents"/>
              <w:spacing w:before="0" w:after="283"/>
              <w:rPr/>
            </w:pPr>
            <w:r>
              <w:rPr/>
              <w:t> </w:t>
            </w:r>
          </w:p>
        </w:tc>
        <w:tc>
          <w:tcPr>
            <w:tcW w:w="10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9" w:type="dxa"/>
            <w:tcBorders/>
            <w:shd w:fill="auto" w:val="clear"/>
            <w:vAlign w:val="center"/>
          </w:tcPr>
          <w:p>
            <w:pPr>
              <w:pStyle w:val="TableContents"/>
              <w:spacing w:before="0" w:after="283"/>
              <w:rPr/>
            </w:pPr>
            <w:r>
              <w:rPr/>
              <w:t> </w:t>
            </w:r>
          </w:p>
        </w:tc>
        <w:tc>
          <w:tcPr>
            <w:tcW w:w="369" w:type="dxa"/>
            <w:tcBorders/>
            <w:shd w:fill="auto" w:val="clear"/>
            <w:vAlign w:val="center"/>
          </w:tcPr>
          <w:p>
            <w:pPr>
              <w:pStyle w:val="TableContents"/>
              <w:spacing w:before="0" w:after="283"/>
              <w:rPr/>
            </w:pPr>
            <w:r>
              <w:rPr/>
              <w:t> </w:t>
            </w:r>
          </w:p>
        </w:tc>
        <w:tc>
          <w:tcPr>
            <w:tcW w:w="10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(1)</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Our LTIP awards that contemplate the issuance of common units as described in Note 8 are considered dilutive securities unless (i) vesting occurs only upon the satisfaction of a performance condition and (ii) that performance condition has yet to be satisfied. The dilutive securities are reduced by a hypothetical unit repurchase based on the remaining unamortized fair value, as prescribed by the treasury stock method in Statement of Financial Accounting Standards (SFAS) No. 128, Earnings per Share.</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7Partners Capital and Distributions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Direct Placements of Common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completed the following equity offerings of our common units during the nine months ended September 30, 2007 and during the year ended December 31, 2006 (in millions, except unit and per unit amounts):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2178"/>
        <w:gridCol w:w="180"/>
        <w:gridCol w:w="131"/>
        <w:gridCol w:w="980"/>
        <w:gridCol w:w="131"/>
        <w:gridCol w:w="180"/>
        <w:gridCol w:w="262"/>
        <w:gridCol w:w="782"/>
        <w:gridCol w:w="154"/>
        <w:gridCol w:w="180"/>
        <w:gridCol w:w="250"/>
        <w:gridCol w:w="738"/>
        <w:gridCol w:w="151"/>
        <w:gridCol w:w="180"/>
        <w:gridCol w:w="428"/>
        <w:gridCol w:w="835"/>
        <w:gridCol w:w="228"/>
        <w:gridCol w:w="180"/>
        <w:gridCol w:w="209"/>
        <w:gridCol w:w="409"/>
        <w:gridCol w:w="165"/>
        <w:gridCol w:w="179"/>
        <w:gridCol w:w="240"/>
        <w:gridCol w:w="695"/>
        <w:gridCol w:w="160"/>
      </w:tblGrid>
      <w:tr>
        <w:trPr/>
        <w:tc>
          <w:tcPr>
            <w:tcW w:w="21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r>
      <w:tr>
        <w:trPr/>
        <w:tc>
          <w:tcPr>
            <w:tcW w:w="21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91" w:type="dxa"/>
            <w:gridSpan w:val="3"/>
            <w:tcBorders/>
            <w:shd w:fill="auto" w:val="clear"/>
            <w:vAlign w:val="bottom"/>
          </w:tcPr>
          <w:p>
            <w:pPr>
              <w:pStyle w:val="TableContents"/>
              <w:spacing w:before="0" w:after="283"/>
              <w:jc w:val="center"/>
              <w:rPr>
                <w:b/>
              </w:rPr>
            </w:pPr>
            <w:r>
              <w:rPr>
                <w:b/>
              </w:rPr>
              <w:t>General</w:t>
            </w:r>
          </w:p>
        </w:tc>
        <w:tc>
          <w:tcPr>
            <w:tcW w:w="18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95" w:type="dxa"/>
            <w:gridSpan w:val="3"/>
            <w:tcBorders/>
            <w:shd w:fill="auto" w:val="clear"/>
            <w:vAlign w:val="bottom"/>
          </w:tcPr>
          <w:p>
            <w:pPr>
              <w:pStyle w:val="TableContents"/>
              <w:spacing w:before="0" w:after="283"/>
              <w:jc w:val="center"/>
              <w:rPr/>
            </w:pPr>
            <w:r>
              <w:rPr/>
              <w:t> </w:t>
            </w:r>
          </w:p>
        </w:tc>
      </w:tr>
      <w:tr>
        <w:trPr/>
        <w:tc>
          <w:tcPr>
            <w:tcW w:w="217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98" w:type="dxa"/>
            <w:gridSpan w:val="3"/>
            <w:tcBorders/>
            <w:shd w:fill="auto" w:val="clear"/>
            <w:vAlign w:val="bottom"/>
          </w:tcPr>
          <w:p>
            <w:pPr>
              <w:pStyle w:val="TableContents"/>
              <w:spacing w:before="0" w:after="283"/>
              <w:jc w:val="center"/>
              <w:rPr>
                <w:b/>
              </w:rPr>
            </w:pPr>
            <w:r>
              <w:rPr>
                <w:b/>
              </w:rPr>
              <w:t>Gross</w:t>
            </w:r>
          </w:p>
        </w:tc>
        <w:tc>
          <w:tcPr>
            <w:tcW w:w="180" w:type="dxa"/>
            <w:tcBorders/>
            <w:shd w:fill="auto" w:val="clear"/>
            <w:vAlign w:val="bottom"/>
          </w:tcPr>
          <w:p>
            <w:pPr>
              <w:pStyle w:val="TableContents"/>
              <w:spacing w:before="0" w:after="283"/>
              <w:rPr/>
            </w:pPr>
            <w:r>
              <w:rPr/>
              <w:t> </w:t>
            </w:r>
          </w:p>
        </w:tc>
        <w:tc>
          <w:tcPr>
            <w:tcW w:w="1139" w:type="dxa"/>
            <w:gridSpan w:val="3"/>
            <w:tcBorders/>
            <w:shd w:fill="auto" w:val="clear"/>
            <w:vAlign w:val="bottom"/>
          </w:tcPr>
          <w:p>
            <w:pPr>
              <w:pStyle w:val="TableContents"/>
              <w:spacing w:before="0" w:after="283"/>
              <w:jc w:val="center"/>
              <w:rPr>
                <w:b/>
              </w:rPr>
            </w:pPr>
            <w:r>
              <w:rPr>
                <w:b/>
              </w:rPr>
              <w:t>Proceeds</w:t>
            </w:r>
          </w:p>
        </w:tc>
        <w:tc>
          <w:tcPr>
            <w:tcW w:w="180" w:type="dxa"/>
            <w:tcBorders/>
            <w:shd w:fill="auto" w:val="clear"/>
            <w:vAlign w:val="bottom"/>
          </w:tcPr>
          <w:p>
            <w:pPr>
              <w:pStyle w:val="TableContents"/>
              <w:spacing w:before="0" w:after="283"/>
              <w:rPr/>
            </w:pPr>
            <w:r>
              <w:rPr/>
              <w:t> </w:t>
            </w:r>
          </w:p>
        </w:tc>
        <w:tc>
          <w:tcPr>
            <w:tcW w:w="1491" w:type="dxa"/>
            <w:gridSpan w:val="3"/>
            <w:tcBorders/>
            <w:shd w:fill="auto" w:val="clear"/>
            <w:vAlign w:val="bottom"/>
          </w:tcPr>
          <w:p>
            <w:pPr>
              <w:pStyle w:val="TableContents"/>
              <w:spacing w:before="0" w:after="283"/>
              <w:jc w:val="center"/>
              <w:rPr>
                <w:b/>
              </w:rPr>
            </w:pPr>
            <w:r>
              <w:rPr>
                <w:b/>
              </w:rPr>
              <w:t>Partner</w:t>
            </w:r>
          </w:p>
        </w:tc>
        <w:tc>
          <w:tcPr>
            <w:tcW w:w="18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95" w:type="dxa"/>
            <w:gridSpan w:val="3"/>
            <w:tcBorders/>
            <w:shd w:fill="auto" w:val="clear"/>
            <w:vAlign w:val="bottom"/>
          </w:tcPr>
          <w:p>
            <w:pPr>
              <w:pStyle w:val="TableContents"/>
              <w:spacing w:before="0" w:after="283"/>
              <w:jc w:val="center"/>
              <w:rPr>
                <w:b/>
              </w:rPr>
            </w:pPr>
            <w:r>
              <w:rPr>
                <w:b/>
              </w:rPr>
              <w:t>Net</w:t>
            </w:r>
          </w:p>
        </w:tc>
      </w:tr>
      <w:tr>
        <w:trPr/>
        <w:tc>
          <w:tcPr>
            <w:tcW w:w="2178" w:type="dxa"/>
            <w:tcBorders>
              <w:bottom w:val="single" w:sz="2" w:space="0" w:color="000000"/>
            </w:tcBorders>
            <w:shd w:fill="auto" w:val="clear"/>
            <w:tcMar>
              <w:bottom w:w="28" w:type="dxa"/>
            </w:tcMar>
            <w:vAlign w:val="bottom"/>
          </w:tcPr>
          <w:p>
            <w:pPr>
              <w:pStyle w:val="TableContents"/>
              <w:spacing w:before="0" w:after="283"/>
              <w:jc w:val="center"/>
              <w:rPr>
                <w:b/>
              </w:rPr>
            </w:pPr>
            <w:r>
              <w:rPr>
                <w:b/>
              </w:rPr>
              <w:t>Period</w:t>
            </w:r>
          </w:p>
        </w:tc>
        <w:tc>
          <w:tcPr>
            <w:tcW w:w="180" w:type="dxa"/>
            <w:tcBorders/>
            <w:shd w:fill="auto" w:val="clear"/>
            <w:vAlign w:val="bottom"/>
          </w:tcPr>
          <w:p>
            <w:pPr>
              <w:pStyle w:val="TableContents"/>
              <w:spacing w:before="0" w:after="283"/>
              <w:rPr/>
            </w:pPr>
            <w:r>
              <w:rPr/>
              <w:t> </w:t>
            </w:r>
          </w:p>
        </w:tc>
        <w:tc>
          <w:tcPr>
            <w:tcW w:w="124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80" w:type="dxa"/>
            <w:tcBorders/>
            <w:shd w:fill="auto" w:val="clear"/>
            <w:vAlign w:val="bottom"/>
          </w:tcPr>
          <w:p>
            <w:pPr>
              <w:pStyle w:val="TableContents"/>
              <w:spacing w:before="0" w:after="283"/>
              <w:rPr/>
            </w:pPr>
            <w:r>
              <w:rPr/>
              <w:t> </w:t>
            </w:r>
          </w:p>
        </w:tc>
        <w:tc>
          <w:tcPr>
            <w:tcW w:w="119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Unit Price</w:t>
            </w:r>
          </w:p>
        </w:tc>
        <w:tc>
          <w:tcPr>
            <w:tcW w:w="180" w:type="dxa"/>
            <w:tcBorders/>
            <w:shd w:fill="auto" w:val="clear"/>
            <w:vAlign w:val="bottom"/>
          </w:tcPr>
          <w:p>
            <w:pPr>
              <w:pStyle w:val="TableContents"/>
              <w:spacing w:before="0" w:after="283"/>
              <w:rPr/>
            </w:pPr>
            <w:r>
              <w:rPr/>
              <w:t> </w:t>
            </w:r>
          </w:p>
        </w:tc>
        <w:tc>
          <w:tcPr>
            <w:tcW w:w="113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from Sale</w:t>
            </w:r>
          </w:p>
        </w:tc>
        <w:tc>
          <w:tcPr>
            <w:tcW w:w="180" w:type="dxa"/>
            <w:tcBorders/>
            <w:shd w:fill="auto" w:val="clear"/>
            <w:vAlign w:val="bottom"/>
          </w:tcPr>
          <w:p>
            <w:pPr>
              <w:pStyle w:val="TableContents"/>
              <w:spacing w:before="0" w:after="283"/>
              <w:rPr/>
            </w:pPr>
            <w:r>
              <w:rPr/>
              <w:t> </w:t>
            </w:r>
          </w:p>
        </w:tc>
        <w:tc>
          <w:tcPr>
            <w:tcW w:w="149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Contribution</w:t>
            </w:r>
          </w:p>
        </w:tc>
        <w:tc>
          <w:tcPr>
            <w:tcW w:w="180" w:type="dxa"/>
            <w:tcBorders/>
            <w:shd w:fill="auto" w:val="clear"/>
            <w:vAlign w:val="bottom"/>
          </w:tcPr>
          <w:p>
            <w:pPr>
              <w:pStyle w:val="TableContents"/>
              <w:spacing w:before="0" w:after="283"/>
              <w:rPr/>
            </w:pPr>
            <w:r>
              <w:rPr/>
              <w:t> </w:t>
            </w:r>
          </w:p>
        </w:tc>
        <w:tc>
          <w:tcPr>
            <w:tcW w:w="78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Costs</w:t>
            </w:r>
          </w:p>
        </w:tc>
        <w:tc>
          <w:tcPr>
            <w:tcW w:w="179" w:type="dxa"/>
            <w:tcBorders/>
            <w:shd w:fill="auto" w:val="clear"/>
            <w:vAlign w:val="bottom"/>
          </w:tcPr>
          <w:p>
            <w:pPr>
              <w:pStyle w:val="TableContents"/>
              <w:spacing w:before="0" w:after="283"/>
              <w:rPr/>
            </w:pPr>
            <w:r>
              <w:rPr/>
              <w:t> </w:t>
            </w:r>
          </w:p>
        </w:tc>
        <w:tc>
          <w:tcPr>
            <w:tcW w:w="109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Proceeds</w:t>
            </w:r>
          </w:p>
        </w:tc>
      </w:tr>
      <w:tr>
        <w:trPr/>
        <w:tc>
          <w:tcPr>
            <w:tcW w:w="2178" w:type="dxa"/>
            <w:tcBorders/>
            <w:shd w:fill="CCEEFF" w:val="clear"/>
          </w:tcPr>
          <w:p>
            <w:pPr>
              <w:pStyle w:val="TableContents"/>
              <w:spacing w:before="0" w:after="0"/>
              <w:ind w:left="0" w:right="0" w:hanging="0"/>
              <w:jc w:val="center"/>
              <w:rPr/>
            </w:pPr>
            <w:r>
              <w:rPr/>
              <w:t xml:space="preserve">June 2007 </w:t>
            </w:r>
          </w:p>
        </w:tc>
        <w:tc>
          <w:tcPr>
            <w:tcW w:w="180" w:type="dxa"/>
            <w:tcBorders/>
            <w:shd w:fill="CCEEFF" w:val="clear"/>
            <w:vAlign w:val="bottom"/>
          </w:tcPr>
          <w:p>
            <w:pPr>
              <w:pStyle w:val="TableContents"/>
              <w:spacing w:before="0" w:after="283"/>
              <w:rPr/>
            </w:pPr>
            <w:r>
              <w:rPr/>
              <w:t> </w:t>
            </w:r>
          </w:p>
        </w:tc>
        <w:tc>
          <w:tcPr>
            <w:tcW w:w="131" w:type="dxa"/>
            <w:tcBorders/>
            <w:shd w:fill="CCEEFF" w:val="clear"/>
          </w:tcPr>
          <w:p>
            <w:pPr>
              <w:pStyle w:val="TableContents"/>
              <w:spacing w:before="0" w:after="283"/>
              <w:jc w:val="right"/>
              <w:rPr/>
            </w:pPr>
            <w:r>
              <w:rPr/>
              <w:t> </w:t>
            </w:r>
          </w:p>
        </w:tc>
        <w:tc>
          <w:tcPr>
            <w:tcW w:w="980" w:type="dxa"/>
            <w:tcBorders/>
            <w:shd w:fill="CCEEFF" w:val="clear"/>
          </w:tcPr>
          <w:p>
            <w:pPr>
              <w:pStyle w:val="TableContents"/>
              <w:spacing w:before="0" w:after="283"/>
              <w:jc w:val="right"/>
              <w:rPr/>
            </w:pPr>
            <w:r>
              <w:rPr/>
              <w:t>6,296,172</w:t>
            </w:r>
          </w:p>
        </w:tc>
        <w:tc>
          <w:tcPr>
            <w:tcW w:w="131"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62" w:type="dxa"/>
            <w:tcBorders/>
            <w:shd w:fill="CCEEFF" w:val="clear"/>
          </w:tcPr>
          <w:p>
            <w:pPr>
              <w:pStyle w:val="TableContents"/>
              <w:spacing w:before="0" w:after="283"/>
              <w:jc w:val="right"/>
              <w:rPr/>
            </w:pPr>
            <w:r>
              <w:rPr/>
              <w:t>$</w:t>
            </w:r>
          </w:p>
        </w:tc>
        <w:tc>
          <w:tcPr>
            <w:tcW w:w="782" w:type="dxa"/>
            <w:tcBorders/>
            <w:shd w:fill="CCEEFF" w:val="clear"/>
          </w:tcPr>
          <w:p>
            <w:pPr>
              <w:pStyle w:val="TableContents"/>
              <w:spacing w:before="0" w:after="283"/>
              <w:jc w:val="right"/>
              <w:rPr/>
            </w:pPr>
            <w:r>
              <w:rPr/>
              <w:t>59.56</w:t>
            </w:r>
          </w:p>
        </w:tc>
        <w:tc>
          <w:tcPr>
            <w:tcW w:w="154"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50" w:type="dxa"/>
            <w:tcBorders/>
            <w:shd w:fill="CCEEFF" w:val="clear"/>
          </w:tcPr>
          <w:p>
            <w:pPr>
              <w:pStyle w:val="TableContents"/>
              <w:spacing w:before="0" w:after="283"/>
              <w:jc w:val="right"/>
              <w:rPr/>
            </w:pPr>
            <w:r>
              <w:rPr/>
              <w:t>$</w:t>
            </w:r>
          </w:p>
        </w:tc>
        <w:tc>
          <w:tcPr>
            <w:tcW w:w="738" w:type="dxa"/>
            <w:tcBorders/>
            <w:shd w:fill="CCEEFF" w:val="clear"/>
          </w:tcPr>
          <w:p>
            <w:pPr>
              <w:pStyle w:val="TableContents"/>
              <w:spacing w:before="0" w:after="283"/>
              <w:jc w:val="right"/>
              <w:rPr/>
            </w:pPr>
            <w:r>
              <w:rPr/>
              <w:t>375.0</w:t>
            </w:r>
          </w:p>
        </w:tc>
        <w:tc>
          <w:tcPr>
            <w:tcW w:w="151"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28" w:type="dxa"/>
            <w:tcBorders/>
            <w:shd w:fill="CCEEFF" w:val="clear"/>
          </w:tcPr>
          <w:p>
            <w:pPr>
              <w:pStyle w:val="TableContents"/>
              <w:spacing w:before="0" w:after="283"/>
              <w:jc w:val="right"/>
              <w:rPr/>
            </w:pPr>
            <w:r>
              <w:rPr/>
              <w:t>$</w:t>
            </w:r>
          </w:p>
        </w:tc>
        <w:tc>
          <w:tcPr>
            <w:tcW w:w="835" w:type="dxa"/>
            <w:tcBorders/>
            <w:shd w:fill="CCEEFF" w:val="clear"/>
          </w:tcPr>
          <w:p>
            <w:pPr>
              <w:pStyle w:val="TableContents"/>
              <w:spacing w:before="0" w:after="283"/>
              <w:jc w:val="right"/>
              <w:rPr/>
            </w:pPr>
            <w:r>
              <w:rPr/>
              <w:t>7.7</w:t>
            </w:r>
          </w:p>
        </w:tc>
        <w:tc>
          <w:tcPr>
            <w:tcW w:w="228"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09" w:type="dxa"/>
            <w:tcBorders/>
            <w:shd w:fill="CCEEFF" w:val="clear"/>
          </w:tcPr>
          <w:p>
            <w:pPr>
              <w:pStyle w:val="TableContents"/>
              <w:spacing w:before="0" w:after="283"/>
              <w:jc w:val="right"/>
              <w:rPr/>
            </w:pPr>
            <w:r>
              <w:rPr/>
              <w:t>$</w:t>
            </w:r>
          </w:p>
        </w:tc>
        <w:tc>
          <w:tcPr>
            <w:tcW w:w="409" w:type="dxa"/>
            <w:tcBorders/>
            <w:shd w:fill="CCEEFF" w:val="clear"/>
          </w:tcPr>
          <w:p>
            <w:pPr>
              <w:pStyle w:val="TableContents"/>
              <w:spacing w:before="0" w:after="283"/>
              <w:jc w:val="right"/>
              <w:rPr/>
            </w:pPr>
            <w:r>
              <w:rPr/>
              <w:t>(0.2</w:t>
            </w:r>
          </w:p>
        </w:tc>
        <w:tc>
          <w:tcPr>
            <w:tcW w:w="165" w:type="dxa"/>
            <w:tcBorders/>
            <w:shd w:fill="CCEEFF" w:val="clear"/>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40" w:type="dxa"/>
            <w:tcBorders/>
            <w:shd w:fill="CCEEFF" w:val="clear"/>
          </w:tcPr>
          <w:p>
            <w:pPr>
              <w:pStyle w:val="TableContents"/>
              <w:spacing w:before="0" w:after="283"/>
              <w:jc w:val="right"/>
              <w:rPr/>
            </w:pPr>
            <w:r>
              <w:rPr/>
              <w:t>$</w:t>
            </w:r>
          </w:p>
        </w:tc>
        <w:tc>
          <w:tcPr>
            <w:tcW w:w="695" w:type="dxa"/>
            <w:tcBorders/>
            <w:shd w:fill="CCEEFF" w:val="clear"/>
          </w:tcPr>
          <w:p>
            <w:pPr>
              <w:pStyle w:val="TableContents"/>
              <w:spacing w:before="0" w:after="283"/>
              <w:jc w:val="right"/>
              <w:rPr/>
            </w:pPr>
            <w:r>
              <w:rPr/>
              <w:t>382.5</w:t>
            </w:r>
          </w:p>
        </w:tc>
        <w:tc>
          <w:tcPr>
            <w:tcW w:w="160" w:type="dxa"/>
            <w:tcBorders/>
            <w:shd w:fill="CCEEFF" w:val="clear"/>
          </w:tcPr>
          <w:p>
            <w:pPr>
              <w:pStyle w:val="TableContents"/>
              <w:spacing w:before="0" w:after="283"/>
              <w:rPr/>
            </w:pPr>
            <w:r>
              <w:rPr/>
              <w:t> </w:t>
            </w:r>
          </w:p>
        </w:tc>
      </w:tr>
      <w:tr>
        <w:trPr/>
        <w:tc>
          <w:tcPr>
            <w:tcW w:w="2178" w:type="dxa"/>
            <w:tcBorders/>
            <w:shd w:fill="auto" w:val="clear"/>
          </w:tcPr>
          <w:p>
            <w:pPr>
              <w:pStyle w:val="TableContents"/>
              <w:spacing w:before="0" w:after="0"/>
              <w:ind w:left="0" w:right="0" w:hanging="0"/>
              <w:jc w:val="center"/>
              <w:rPr/>
            </w:pPr>
            <w:r>
              <w:rPr/>
              <w:t xml:space="preserve">December 2006 </w:t>
            </w:r>
          </w:p>
        </w:tc>
        <w:tc>
          <w:tcPr>
            <w:tcW w:w="180" w:type="dxa"/>
            <w:tcBorders/>
            <w:shd w:fill="auto" w:val="clear"/>
            <w:vAlign w:val="bottom"/>
          </w:tcPr>
          <w:p>
            <w:pPr>
              <w:pStyle w:val="TableContents"/>
              <w:spacing w:before="0" w:after="283"/>
              <w:rPr/>
            </w:pPr>
            <w:r>
              <w:rPr/>
              <w:t> </w:t>
            </w:r>
          </w:p>
        </w:tc>
        <w:tc>
          <w:tcPr>
            <w:tcW w:w="131" w:type="dxa"/>
            <w:tcBorders/>
            <w:shd w:fill="auto" w:val="clear"/>
          </w:tcPr>
          <w:p>
            <w:pPr>
              <w:pStyle w:val="TableContents"/>
              <w:spacing w:before="0" w:after="283"/>
              <w:jc w:val="right"/>
              <w:rPr/>
            </w:pPr>
            <w:r>
              <w:rPr/>
              <w:t> </w:t>
            </w:r>
          </w:p>
        </w:tc>
        <w:tc>
          <w:tcPr>
            <w:tcW w:w="980" w:type="dxa"/>
            <w:tcBorders/>
            <w:shd w:fill="auto" w:val="clear"/>
          </w:tcPr>
          <w:p>
            <w:pPr>
              <w:pStyle w:val="TableContents"/>
              <w:spacing w:before="0" w:after="283"/>
              <w:jc w:val="right"/>
              <w:rPr/>
            </w:pPr>
            <w:r>
              <w:rPr/>
              <w:t>6,163,960</w:t>
            </w:r>
          </w:p>
        </w:tc>
        <w:tc>
          <w:tcPr>
            <w:tcW w:w="131"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right"/>
              <w:rPr/>
            </w:pPr>
            <w:r>
              <w:rPr/>
              <w:t>$</w:t>
            </w:r>
          </w:p>
        </w:tc>
        <w:tc>
          <w:tcPr>
            <w:tcW w:w="782" w:type="dxa"/>
            <w:tcBorders/>
            <w:shd w:fill="auto" w:val="clear"/>
          </w:tcPr>
          <w:p>
            <w:pPr>
              <w:pStyle w:val="TableContents"/>
              <w:spacing w:before="0" w:after="283"/>
              <w:jc w:val="right"/>
              <w:rPr/>
            </w:pPr>
            <w:r>
              <w:rPr/>
              <w:t>48.67</w:t>
            </w:r>
          </w:p>
        </w:tc>
        <w:tc>
          <w:tcPr>
            <w:tcW w:w="154"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pPr>
            <w:r>
              <w:rPr/>
              <w:t>$</w:t>
            </w:r>
          </w:p>
        </w:tc>
        <w:tc>
          <w:tcPr>
            <w:tcW w:w="738" w:type="dxa"/>
            <w:tcBorders/>
            <w:shd w:fill="auto" w:val="clear"/>
          </w:tcPr>
          <w:p>
            <w:pPr>
              <w:pStyle w:val="TableContents"/>
              <w:spacing w:before="0" w:after="283"/>
              <w:jc w:val="right"/>
              <w:rPr/>
            </w:pPr>
            <w:r>
              <w:rPr/>
              <w:t>300.0</w:t>
            </w:r>
          </w:p>
        </w:tc>
        <w:tc>
          <w:tcPr>
            <w:tcW w:w="151"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28" w:type="dxa"/>
            <w:tcBorders/>
            <w:shd w:fill="auto" w:val="clear"/>
          </w:tcPr>
          <w:p>
            <w:pPr>
              <w:pStyle w:val="TableContents"/>
              <w:spacing w:before="0" w:after="283"/>
              <w:jc w:val="right"/>
              <w:rPr/>
            </w:pPr>
            <w:r>
              <w:rPr/>
              <w:t>$</w:t>
            </w:r>
          </w:p>
        </w:tc>
        <w:tc>
          <w:tcPr>
            <w:tcW w:w="835" w:type="dxa"/>
            <w:tcBorders/>
            <w:shd w:fill="auto" w:val="clear"/>
          </w:tcPr>
          <w:p>
            <w:pPr>
              <w:pStyle w:val="TableContents"/>
              <w:spacing w:before="0" w:after="283"/>
              <w:jc w:val="right"/>
              <w:rPr/>
            </w:pPr>
            <w:r>
              <w:rPr/>
              <w:t>6.1</w:t>
            </w:r>
          </w:p>
        </w:tc>
        <w:tc>
          <w:tcPr>
            <w:tcW w:w="228"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09" w:type="dxa"/>
            <w:tcBorders/>
            <w:shd w:fill="auto" w:val="clear"/>
          </w:tcPr>
          <w:p>
            <w:pPr>
              <w:pStyle w:val="TableContents"/>
              <w:spacing w:before="0" w:after="283"/>
              <w:jc w:val="right"/>
              <w:rPr/>
            </w:pPr>
            <w:r>
              <w:rPr/>
              <w:t>$</w:t>
            </w:r>
          </w:p>
        </w:tc>
        <w:tc>
          <w:tcPr>
            <w:tcW w:w="409" w:type="dxa"/>
            <w:tcBorders/>
            <w:shd w:fill="auto" w:val="clear"/>
          </w:tcPr>
          <w:p>
            <w:pPr>
              <w:pStyle w:val="TableContents"/>
              <w:spacing w:before="0" w:after="283"/>
              <w:jc w:val="right"/>
              <w:rPr/>
            </w:pPr>
            <w:r>
              <w:rPr/>
              <w:t>(0.5</w:t>
            </w:r>
          </w:p>
        </w:tc>
        <w:tc>
          <w:tcPr>
            <w:tcW w:w="165" w:type="dxa"/>
            <w:tcBorders/>
            <w:shd w:fill="auto" w:val="clear"/>
          </w:tcPr>
          <w:p>
            <w:pPr>
              <w:pStyle w:val="TableContents"/>
              <w:spacing w:before="0" w:after="283"/>
              <w:rPr/>
            </w:pPr>
            <w:r>
              <w:rPr/>
              <w:t>)</w:t>
            </w:r>
          </w:p>
        </w:tc>
        <w:tc>
          <w:tcPr>
            <w:tcW w:w="179"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jc w:val="right"/>
              <w:rPr/>
            </w:pPr>
            <w:r>
              <w:rPr/>
              <w:t>$</w:t>
            </w:r>
          </w:p>
        </w:tc>
        <w:tc>
          <w:tcPr>
            <w:tcW w:w="695" w:type="dxa"/>
            <w:tcBorders/>
            <w:shd w:fill="auto" w:val="clear"/>
          </w:tcPr>
          <w:p>
            <w:pPr>
              <w:pStyle w:val="TableContents"/>
              <w:spacing w:before="0" w:after="283"/>
              <w:jc w:val="right"/>
              <w:rPr/>
            </w:pPr>
            <w:r>
              <w:rPr/>
              <w:t>305.6</w:t>
            </w:r>
          </w:p>
        </w:tc>
        <w:tc>
          <w:tcPr>
            <w:tcW w:w="160" w:type="dxa"/>
            <w:tcBorders/>
            <w:shd w:fill="auto" w:val="clear"/>
          </w:tcPr>
          <w:p>
            <w:pPr>
              <w:pStyle w:val="TableContents"/>
              <w:spacing w:before="0" w:after="283"/>
              <w:rPr/>
            </w:pPr>
            <w:r>
              <w:rPr/>
              <w:t> </w:t>
            </w:r>
          </w:p>
        </w:tc>
      </w:tr>
      <w:tr>
        <w:trPr/>
        <w:tc>
          <w:tcPr>
            <w:tcW w:w="2178" w:type="dxa"/>
            <w:tcBorders/>
            <w:shd w:fill="CCEEFF" w:val="clear"/>
          </w:tcPr>
          <w:p>
            <w:pPr>
              <w:pStyle w:val="TableContents"/>
              <w:spacing w:before="0" w:after="0"/>
              <w:ind w:left="0" w:right="0" w:hanging="0"/>
              <w:jc w:val="center"/>
              <w:rPr/>
            </w:pPr>
            <w:r>
              <w:rPr/>
              <w:t xml:space="preserve">July/August 2006 </w:t>
            </w:r>
          </w:p>
        </w:tc>
        <w:tc>
          <w:tcPr>
            <w:tcW w:w="180" w:type="dxa"/>
            <w:tcBorders/>
            <w:shd w:fill="CCEEFF" w:val="clear"/>
            <w:vAlign w:val="bottom"/>
          </w:tcPr>
          <w:p>
            <w:pPr>
              <w:pStyle w:val="TableContents"/>
              <w:spacing w:before="0" w:after="283"/>
              <w:rPr/>
            </w:pPr>
            <w:r>
              <w:rPr/>
              <w:t> </w:t>
            </w:r>
          </w:p>
        </w:tc>
        <w:tc>
          <w:tcPr>
            <w:tcW w:w="131" w:type="dxa"/>
            <w:tcBorders/>
            <w:shd w:fill="CCEEFF" w:val="clear"/>
          </w:tcPr>
          <w:p>
            <w:pPr>
              <w:pStyle w:val="TableContents"/>
              <w:spacing w:before="0" w:after="283"/>
              <w:jc w:val="right"/>
              <w:rPr/>
            </w:pPr>
            <w:r>
              <w:rPr/>
              <w:t> </w:t>
            </w:r>
          </w:p>
        </w:tc>
        <w:tc>
          <w:tcPr>
            <w:tcW w:w="980" w:type="dxa"/>
            <w:tcBorders/>
            <w:shd w:fill="CCEEFF" w:val="clear"/>
          </w:tcPr>
          <w:p>
            <w:pPr>
              <w:pStyle w:val="TableContents"/>
              <w:spacing w:before="0" w:after="283"/>
              <w:jc w:val="right"/>
              <w:rPr/>
            </w:pPr>
            <w:r>
              <w:rPr/>
              <w:t>3,720,930</w:t>
            </w:r>
          </w:p>
        </w:tc>
        <w:tc>
          <w:tcPr>
            <w:tcW w:w="131"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62" w:type="dxa"/>
            <w:tcBorders/>
            <w:shd w:fill="CCEEFF" w:val="clear"/>
          </w:tcPr>
          <w:p>
            <w:pPr>
              <w:pStyle w:val="TableContents"/>
              <w:spacing w:before="0" w:after="283"/>
              <w:jc w:val="right"/>
              <w:rPr/>
            </w:pPr>
            <w:r>
              <w:rPr/>
              <w:t>$</w:t>
            </w:r>
          </w:p>
        </w:tc>
        <w:tc>
          <w:tcPr>
            <w:tcW w:w="782" w:type="dxa"/>
            <w:tcBorders/>
            <w:shd w:fill="CCEEFF" w:val="clear"/>
          </w:tcPr>
          <w:p>
            <w:pPr>
              <w:pStyle w:val="TableContents"/>
              <w:spacing w:before="0" w:after="283"/>
              <w:jc w:val="right"/>
              <w:rPr/>
            </w:pPr>
            <w:r>
              <w:rPr/>
              <w:t>43.00</w:t>
            </w:r>
          </w:p>
        </w:tc>
        <w:tc>
          <w:tcPr>
            <w:tcW w:w="154"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50" w:type="dxa"/>
            <w:tcBorders/>
            <w:shd w:fill="CCEEFF" w:val="clear"/>
          </w:tcPr>
          <w:p>
            <w:pPr>
              <w:pStyle w:val="TableContents"/>
              <w:spacing w:before="0" w:after="283"/>
              <w:jc w:val="right"/>
              <w:rPr/>
            </w:pPr>
            <w:r>
              <w:rPr/>
              <w:t>$</w:t>
            </w:r>
          </w:p>
        </w:tc>
        <w:tc>
          <w:tcPr>
            <w:tcW w:w="738" w:type="dxa"/>
            <w:tcBorders/>
            <w:shd w:fill="CCEEFF" w:val="clear"/>
          </w:tcPr>
          <w:p>
            <w:pPr>
              <w:pStyle w:val="TableContents"/>
              <w:spacing w:before="0" w:after="283"/>
              <w:jc w:val="right"/>
              <w:rPr/>
            </w:pPr>
            <w:r>
              <w:rPr/>
              <w:t>160.0</w:t>
            </w:r>
          </w:p>
        </w:tc>
        <w:tc>
          <w:tcPr>
            <w:tcW w:w="151"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428" w:type="dxa"/>
            <w:tcBorders/>
            <w:shd w:fill="CCEEFF" w:val="clear"/>
          </w:tcPr>
          <w:p>
            <w:pPr>
              <w:pStyle w:val="TableContents"/>
              <w:spacing w:before="0" w:after="283"/>
              <w:jc w:val="right"/>
              <w:rPr/>
            </w:pPr>
            <w:r>
              <w:rPr/>
              <w:t>$</w:t>
            </w:r>
          </w:p>
        </w:tc>
        <w:tc>
          <w:tcPr>
            <w:tcW w:w="835" w:type="dxa"/>
            <w:tcBorders/>
            <w:shd w:fill="CCEEFF" w:val="clear"/>
          </w:tcPr>
          <w:p>
            <w:pPr>
              <w:pStyle w:val="TableContents"/>
              <w:spacing w:before="0" w:after="283"/>
              <w:jc w:val="right"/>
              <w:rPr/>
            </w:pPr>
            <w:r>
              <w:rPr/>
              <w:t>3.3</w:t>
            </w:r>
          </w:p>
        </w:tc>
        <w:tc>
          <w:tcPr>
            <w:tcW w:w="228" w:type="dxa"/>
            <w:tcBorders/>
            <w:shd w:fill="CCEEFF" w:val="clear"/>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209" w:type="dxa"/>
            <w:tcBorders/>
            <w:shd w:fill="CCEEFF" w:val="clear"/>
          </w:tcPr>
          <w:p>
            <w:pPr>
              <w:pStyle w:val="TableContents"/>
              <w:spacing w:before="0" w:after="283"/>
              <w:jc w:val="right"/>
              <w:rPr/>
            </w:pPr>
            <w:r>
              <w:rPr/>
              <w:t>$</w:t>
            </w:r>
          </w:p>
        </w:tc>
        <w:tc>
          <w:tcPr>
            <w:tcW w:w="409" w:type="dxa"/>
            <w:tcBorders/>
            <w:shd w:fill="CCEEFF" w:val="clear"/>
          </w:tcPr>
          <w:p>
            <w:pPr>
              <w:pStyle w:val="TableContents"/>
              <w:spacing w:before="0" w:after="283"/>
              <w:jc w:val="right"/>
              <w:rPr/>
            </w:pPr>
            <w:r>
              <w:rPr/>
              <w:t>(0.1</w:t>
            </w:r>
          </w:p>
        </w:tc>
        <w:tc>
          <w:tcPr>
            <w:tcW w:w="165" w:type="dxa"/>
            <w:tcBorders/>
            <w:shd w:fill="CCEEFF" w:val="clear"/>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40" w:type="dxa"/>
            <w:tcBorders/>
            <w:shd w:fill="CCEEFF" w:val="clear"/>
          </w:tcPr>
          <w:p>
            <w:pPr>
              <w:pStyle w:val="TableContents"/>
              <w:spacing w:before="0" w:after="283"/>
              <w:jc w:val="right"/>
              <w:rPr/>
            </w:pPr>
            <w:r>
              <w:rPr/>
              <w:t>$</w:t>
            </w:r>
          </w:p>
        </w:tc>
        <w:tc>
          <w:tcPr>
            <w:tcW w:w="695" w:type="dxa"/>
            <w:tcBorders/>
            <w:shd w:fill="CCEEFF" w:val="clear"/>
          </w:tcPr>
          <w:p>
            <w:pPr>
              <w:pStyle w:val="TableContents"/>
              <w:spacing w:before="0" w:after="283"/>
              <w:jc w:val="right"/>
              <w:rPr/>
            </w:pPr>
            <w:r>
              <w:rPr/>
              <w:t>163.2</w:t>
            </w:r>
          </w:p>
        </w:tc>
        <w:tc>
          <w:tcPr>
            <w:tcW w:w="160" w:type="dxa"/>
            <w:tcBorders/>
            <w:shd w:fill="CCEEFF" w:val="clear"/>
          </w:tcPr>
          <w:p>
            <w:pPr>
              <w:pStyle w:val="TableContents"/>
              <w:spacing w:before="0" w:after="283"/>
              <w:rPr/>
            </w:pPr>
            <w:r>
              <w:rPr/>
              <w:t> </w:t>
            </w:r>
          </w:p>
        </w:tc>
      </w:tr>
      <w:tr>
        <w:trPr/>
        <w:tc>
          <w:tcPr>
            <w:tcW w:w="2178" w:type="dxa"/>
            <w:tcBorders/>
            <w:shd w:fill="auto" w:val="clear"/>
          </w:tcPr>
          <w:p>
            <w:pPr>
              <w:pStyle w:val="TableContents"/>
              <w:spacing w:before="0" w:after="0"/>
              <w:ind w:left="0" w:right="0" w:hanging="0"/>
              <w:jc w:val="center"/>
              <w:rPr/>
            </w:pPr>
            <w:r>
              <w:rPr/>
              <w:t xml:space="preserve">March/April 2006 </w:t>
            </w:r>
          </w:p>
        </w:tc>
        <w:tc>
          <w:tcPr>
            <w:tcW w:w="180" w:type="dxa"/>
            <w:tcBorders/>
            <w:shd w:fill="auto" w:val="clear"/>
            <w:vAlign w:val="bottom"/>
          </w:tcPr>
          <w:p>
            <w:pPr>
              <w:pStyle w:val="TableContents"/>
              <w:spacing w:before="0" w:after="283"/>
              <w:rPr/>
            </w:pPr>
            <w:r>
              <w:rPr/>
              <w:t> </w:t>
            </w:r>
          </w:p>
        </w:tc>
        <w:tc>
          <w:tcPr>
            <w:tcW w:w="131" w:type="dxa"/>
            <w:tcBorders/>
            <w:shd w:fill="auto" w:val="clear"/>
          </w:tcPr>
          <w:p>
            <w:pPr>
              <w:pStyle w:val="TableContents"/>
              <w:spacing w:before="0" w:after="283"/>
              <w:jc w:val="right"/>
              <w:rPr/>
            </w:pPr>
            <w:r>
              <w:rPr/>
              <w:t> </w:t>
            </w:r>
          </w:p>
        </w:tc>
        <w:tc>
          <w:tcPr>
            <w:tcW w:w="980" w:type="dxa"/>
            <w:tcBorders/>
            <w:shd w:fill="auto" w:val="clear"/>
          </w:tcPr>
          <w:p>
            <w:pPr>
              <w:pStyle w:val="TableContents"/>
              <w:spacing w:before="0" w:after="283"/>
              <w:jc w:val="right"/>
              <w:rPr/>
            </w:pPr>
            <w:r>
              <w:rPr/>
              <w:t>3,504,672</w:t>
            </w:r>
          </w:p>
        </w:tc>
        <w:tc>
          <w:tcPr>
            <w:tcW w:w="131"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jc w:val="right"/>
              <w:rPr/>
            </w:pPr>
            <w:r>
              <w:rPr/>
              <w:t>$</w:t>
            </w:r>
          </w:p>
        </w:tc>
        <w:tc>
          <w:tcPr>
            <w:tcW w:w="782" w:type="dxa"/>
            <w:tcBorders/>
            <w:shd w:fill="auto" w:val="clear"/>
          </w:tcPr>
          <w:p>
            <w:pPr>
              <w:pStyle w:val="TableContents"/>
              <w:spacing w:before="0" w:after="283"/>
              <w:jc w:val="right"/>
              <w:rPr/>
            </w:pPr>
            <w:r>
              <w:rPr/>
              <w:t>42.80</w:t>
            </w:r>
          </w:p>
        </w:tc>
        <w:tc>
          <w:tcPr>
            <w:tcW w:w="154"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50" w:type="dxa"/>
            <w:tcBorders/>
            <w:shd w:fill="auto" w:val="clear"/>
          </w:tcPr>
          <w:p>
            <w:pPr>
              <w:pStyle w:val="TableContents"/>
              <w:spacing w:before="0" w:after="283"/>
              <w:jc w:val="right"/>
              <w:rPr/>
            </w:pPr>
            <w:r>
              <w:rPr/>
              <w:t>$</w:t>
            </w:r>
          </w:p>
        </w:tc>
        <w:tc>
          <w:tcPr>
            <w:tcW w:w="738" w:type="dxa"/>
            <w:tcBorders/>
            <w:shd w:fill="auto" w:val="clear"/>
          </w:tcPr>
          <w:p>
            <w:pPr>
              <w:pStyle w:val="TableContents"/>
              <w:spacing w:before="0" w:after="283"/>
              <w:jc w:val="right"/>
              <w:rPr/>
            </w:pPr>
            <w:r>
              <w:rPr/>
              <w:t>150.0</w:t>
            </w:r>
          </w:p>
        </w:tc>
        <w:tc>
          <w:tcPr>
            <w:tcW w:w="151"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428" w:type="dxa"/>
            <w:tcBorders/>
            <w:shd w:fill="auto" w:val="clear"/>
          </w:tcPr>
          <w:p>
            <w:pPr>
              <w:pStyle w:val="TableContents"/>
              <w:spacing w:before="0" w:after="283"/>
              <w:jc w:val="right"/>
              <w:rPr/>
            </w:pPr>
            <w:r>
              <w:rPr/>
              <w:t>$</w:t>
            </w:r>
          </w:p>
        </w:tc>
        <w:tc>
          <w:tcPr>
            <w:tcW w:w="835" w:type="dxa"/>
            <w:tcBorders/>
            <w:shd w:fill="auto" w:val="clear"/>
          </w:tcPr>
          <w:p>
            <w:pPr>
              <w:pStyle w:val="TableContents"/>
              <w:spacing w:before="0" w:after="283"/>
              <w:jc w:val="right"/>
              <w:rPr/>
            </w:pPr>
            <w:r>
              <w:rPr/>
              <w:t>3.0</w:t>
            </w:r>
          </w:p>
        </w:tc>
        <w:tc>
          <w:tcPr>
            <w:tcW w:w="228" w:type="dxa"/>
            <w:tcBorders/>
            <w:shd w:fill="auto" w:val="clear"/>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209" w:type="dxa"/>
            <w:tcBorders/>
            <w:shd w:fill="auto" w:val="clear"/>
          </w:tcPr>
          <w:p>
            <w:pPr>
              <w:pStyle w:val="TableContents"/>
              <w:spacing w:before="0" w:after="283"/>
              <w:jc w:val="right"/>
              <w:rPr/>
            </w:pPr>
            <w:r>
              <w:rPr/>
              <w:t>$</w:t>
            </w:r>
          </w:p>
        </w:tc>
        <w:tc>
          <w:tcPr>
            <w:tcW w:w="409" w:type="dxa"/>
            <w:tcBorders/>
            <w:shd w:fill="auto" w:val="clear"/>
          </w:tcPr>
          <w:p>
            <w:pPr>
              <w:pStyle w:val="TableContents"/>
              <w:spacing w:before="0" w:after="283"/>
              <w:jc w:val="right"/>
              <w:rPr/>
            </w:pPr>
            <w:r>
              <w:rPr/>
              <w:t>(0.6</w:t>
            </w:r>
          </w:p>
        </w:tc>
        <w:tc>
          <w:tcPr>
            <w:tcW w:w="165" w:type="dxa"/>
            <w:tcBorders/>
            <w:shd w:fill="auto" w:val="clear"/>
          </w:tcPr>
          <w:p>
            <w:pPr>
              <w:pStyle w:val="TableContents"/>
              <w:spacing w:before="0" w:after="283"/>
              <w:rPr/>
            </w:pPr>
            <w:r>
              <w:rPr/>
              <w:t>)</w:t>
            </w:r>
          </w:p>
        </w:tc>
        <w:tc>
          <w:tcPr>
            <w:tcW w:w="179" w:type="dxa"/>
            <w:tcBorders/>
            <w:shd w:fill="auto" w:val="clear"/>
            <w:vAlign w:val="bottom"/>
          </w:tcPr>
          <w:p>
            <w:pPr>
              <w:pStyle w:val="TableContents"/>
              <w:spacing w:before="0" w:after="283"/>
              <w:rPr/>
            </w:pPr>
            <w:r>
              <w:rPr/>
              <w:t> </w:t>
            </w:r>
          </w:p>
        </w:tc>
        <w:tc>
          <w:tcPr>
            <w:tcW w:w="240" w:type="dxa"/>
            <w:tcBorders/>
            <w:shd w:fill="auto" w:val="clear"/>
          </w:tcPr>
          <w:p>
            <w:pPr>
              <w:pStyle w:val="TableContents"/>
              <w:spacing w:before="0" w:after="283"/>
              <w:jc w:val="right"/>
              <w:rPr/>
            </w:pPr>
            <w:r>
              <w:rPr/>
              <w:t>$</w:t>
            </w:r>
          </w:p>
        </w:tc>
        <w:tc>
          <w:tcPr>
            <w:tcW w:w="695" w:type="dxa"/>
            <w:tcBorders/>
            <w:shd w:fill="auto" w:val="clear"/>
          </w:tcPr>
          <w:p>
            <w:pPr>
              <w:pStyle w:val="TableContents"/>
              <w:spacing w:before="0" w:after="283"/>
              <w:jc w:val="right"/>
              <w:rPr/>
            </w:pPr>
            <w:r>
              <w:rPr/>
              <w:t>152.4</w:t>
            </w:r>
          </w:p>
        </w:tc>
        <w:tc>
          <w:tcPr>
            <w:tcW w:w="160" w:type="dxa"/>
            <w:tcBorders/>
            <w:shd w:fill="auto" w:val="clea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LTIP Vesting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May 2007, we issued 280,326 common units at a unit price of $61.47, for an approximate fair value of $17 million in connection with the settlement of vested LTIP awards. In addition, our general partner contributed $0.4 million in connection with the LTIP unit issuance.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Distributions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details the distribution we declared in the fourth quarter of 2007 and the distributions we have declared and paid in the nine months ended September 30, 2007 and 2006 (in millions, except per unit amounts): </w:t>
      </w:r>
    </w:p>
    <w:tbl>
      <w:tblPr>
        <w:tblW w:w="5000" w:type="pct"/>
        <w:jc w:val="center"/>
        <w:tblInd w:w="0" w:type="dxa"/>
        <w:tblCellMar>
          <w:top w:w="0" w:type="dxa"/>
          <w:left w:w="0" w:type="dxa"/>
          <w:bottom w:w="0" w:type="dxa"/>
          <w:right w:w="0" w:type="dxa"/>
        </w:tblCellMar>
      </w:tblPr>
      <w:tblGrid>
        <w:gridCol w:w="2683"/>
        <w:gridCol w:w="261"/>
        <w:gridCol w:w="253"/>
        <w:gridCol w:w="1055"/>
        <w:gridCol w:w="93"/>
        <w:gridCol w:w="261"/>
        <w:gridCol w:w="308"/>
        <w:gridCol w:w="1052"/>
        <w:gridCol w:w="117"/>
        <w:gridCol w:w="285"/>
        <w:gridCol w:w="217"/>
        <w:gridCol w:w="613"/>
        <w:gridCol w:w="93"/>
        <w:gridCol w:w="261"/>
        <w:gridCol w:w="163"/>
        <w:gridCol w:w="695"/>
        <w:gridCol w:w="92"/>
        <w:gridCol w:w="261"/>
        <w:gridCol w:w="226"/>
        <w:gridCol w:w="1108"/>
        <w:gridCol w:w="108"/>
      </w:tblGrid>
      <w:tr>
        <w:trPr/>
        <w:tc>
          <w:tcPr>
            <w:tcW w:w="268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153"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Distributions</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308" w:type="dxa"/>
            <w:gridSpan w:val="2"/>
            <w:tcBorders/>
            <w:shd w:fill="auto" w:val="clear"/>
            <w:vAlign w:val="bottom"/>
          </w:tcPr>
          <w:p>
            <w:pPr>
              <w:pStyle w:val="TableContents"/>
              <w:spacing w:before="0" w:after="283"/>
              <w:jc w:val="center"/>
              <w:rPr>
                <w:b/>
              </w:rPr>
            </w:pPr>
            <w:r>
              <w:rPr>
                <w:b/>
              </w:rPr>
              <w:t>Common</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59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General Partner</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334" w:type="dxa"/>
            <w:gridSpan w:val="2"/>
            <w:tcBorders/>
            <w:shd w:fill="auto" w:val="clear"/>
            <w:vAlign w:val="bottom"/>
          </w:tcPr>
          <w:p>
            <w:pPr>
              <w:pStyle w:val="TableContents"/>
              <w:spacing w:before="0" w:after="283"/>
              <w:jc w:val="center"/>
              <w:rPr>
                <w:b/>
              </w:rPr>
            </w:pPr>
            <w:r>
              <w:rPr>
                <w:b/>
              </w:rPr>
              <w:t>Distribution</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3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Unitholders</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360" w:type="dxa"/>
            <w:gridSpan w:val="2"/>
            <w:tcBorders>
              <w:bottom w:val="single" w:sz="2" w:space="0" w:color="000000"/>
            </w:tcBorders>
            <w:shd w:fill="auto" w:val="clear"/>
            <w:tcMar>
              <w:bottom w:w="28" w:type="dxa"/>
            </w:tcMar>
            <w:vAlign w:val="bottom"/>
          </w:tcPr>
          <w:p>
            <w:pPr>
              <w:pStyle w:val="TableContents"/>
              <w:spacing w:before="0" w:after="283"/>
              <w:jc w:val="center"/>
              <w:rPr/>
            </w:pPr>
            <w:r>
              <w:rPr>
                <w:b/>
              </w:rPr>
              <w:t>Incentive</w:t>
            </w:r>
            <w:r>
              <w:rPr/>
              <w:t> </w:t>
            </w:r>
            <w:r>
              <w:rPr>
                <w:b/>
              </w:rPr>
              <w:t>(2)</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8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33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 unit</w:t>
            </w:r>
          </w:p>
        </w:tc>
        <w:tc>
          <w:tcPr>
            <w:tcW w:w="108" w:type="dxa"/>
            <w:tcBorders/>
            <w:shd w:fill="auto" w:val="clear"/>
            <w:vAlign w:val="bottom"/>
          </w:tcPr>
          <w:p>
            <w:pPr>
              <w:pStyle w:val="TableContents"/>
              <w:spacing w:before="0" w:after="283"/>
              <w:rPr/>
            </w:pPr>
            <w:r>
              <w:rPr/>
              <w:t> </w:t>
            </w:r>
          </w:p>
        </w:tc>
      </w:tr>
      <w:tr>
        <w:trPr/>
        <w:tc>
          <w:tcPr>
            <w:tcW w:w="2683" w:type="dxa"/>
            <w:tcBorders/>
            <w:shd w:fill="CCEEFF" w:val="clear"/>
            <w:vAlign w:val="bottom"/>
          </w:tcPr>
          <w:p>
            <w:pPr>
              <w:pStyle w:val="TableContents"/>
              <w:spacing w:before="0" w:after="0"/>
              <w:ind w:left="225" w:right="0" w:hanging="225"/>
              <w:rPr>
                <w:b/>
              </w:rPr>
            </w:pPr>
            <w:r>
              <w:rPr>
                <w:b/>
              </w:rPr>
              <w:t>Declared (to be paid)</w:t>
            </w:r>
          </w:p>
        </w:tc>
        <w:tc>
          <w:tcPr>
            <w:tcW w:w="26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 </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November 14, 2007 (1)</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97.4</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left"/>
              <w:rPr/>
            </w:pPr>
            <w:r>
              <w:rPr/>
              <w:t>$</w:t>
            </w:r>
          </w:p>
        </w:tc>
        <w:tc>
          <w:tcPr>
            <w:tcW w:w="1052" w:type="dxa"/>
            <w:tcBorders/>
            <w:shd w:fill="auto" w:val="clear"/>
            <w:vAlign w:val="bottom"/>
          </w:tcPr>
          <w:p>
            <w:pPr>
              <w:pStyle w:val="TableContents"/>
              <w:spacing w:before="0" w:after="283"/>
              <w:jc w:val="right"/>
              <w:rPr/>
            </w:pPr>
            <w:r>
              <w:rPr/>
              <w:t>21.1</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613" w:type="dxa"/>
            <w:tcBorders/>
            <w:shd w:fill="auto" w:val="clear"/>
            <w:vAlign w:val="bottom"/>
          </w:tcPr>
          <w:p>
            <w:pPr>
              <w:pStyle w:val="TableContents"/>
              <w:spacing w:before="0" w:after="283"/>
              <w:jc w:val="right"/>
              <w:rPr/>
            </w:pPr>
            <w:r>
              <w:rPr/>
              <w:t>2.0</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120.5</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1108" w:type="dxa"/>
            <w:tcBorders/>
            <w:shd w:fill="auto" w:val="clear"/>
            <w:vAlign w:val="bottom"/>
          </w:tcPr>
          <w:p>
            <w:pPr>
              <w:pStyle w:val="TableContents"/>
              <w:spacing w:before="0" w:after="283"/>
              <w:jc w:val="right"/>
              <w:rPr/>
            </w:pPr>
            <w:r>
              <w:rPr/>
              <w:t>0.8400</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 </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2683" w:type="dxa"/>
            <w:tcBorders/>
            <w:shd w:fill="CCEEFF" w:val="clear"/>
            <w:vAlign w:val="bottom"/>
          </w:tcPr>
          <w:p>
            <w:pPr>
              <w:pStyle w:val="TableContents"/>
              <w:spacing w:before="0" w:after="0"/>
              <w:ind w:left="225" w:right="0" w:hanging="225"/>
              <w:rPr>
                <w:b/>
              </w:rPr>
            </w:pPr>
            <w:r>
              <w:rPr>
                <w:b/>
              </w:rPr>
              <w:t>Declared and paid</w:t>
            </w:r>
          </w:p>
        </w:tc>
        <w:tc>
          <w:tcPr>
            <w:tcW w:w="26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 </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August 14, 2007</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96.3</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left"/>
              <w:rPr/>
            </w:pPr>
            <w:r>
              <w:rPr/>
              <w:t>$</w:t>
            </w:r>
          </w:p>
        </w:tc>
        <w:tc>
          <w:tcPr>
            <w:tcW w:w="1052" w:type="dxa"/>
            <w:tcBorders/>
            <w:shd w:fill="auto" w:val="clear"/>
            <w:vAlign w:val="bottom"/>
          </w:tcPr>
          <w:p>
            <w:pPr>
              <w:pStyle w:val="TableContents"/>
              <w:spacing w:before="0" w:after="283"/>
              <w:jc w:val="right"/>
              <w:rPr/>
            </w:pPr>
            <w:r>
              <w:rPr/>
              <w:t>19.9</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613" w:type="dxa"/>
            <w:tcBorders/>
            <w:shd w:fill="auto" w:val="clear"/>
            <w:vAlign w:val="bottom"/>
          </w:tcPr>
          <w:p>
            <w:pPr>
              <w:pStyle w:val="TableContents"/>
              <w:spacing w:before="0" w:after="283"/>
              <w:jc w:val="right"/>
              <w:rPr/>
            </w:pPr>
            <w:r>
              <w:rPr/>
              <w:t>2.0</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118.2</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1108" w:type="dxa"/>
            <w:tcBorders/>
            <w:shd w:fill="auto" w:val="clear"/>
            <w:vAlign w:val="bottom"/>
          </w:tcPr>
          <w:p>
            <w:pPr>
              <w:pStyle w:val="TableContents"/>
              <w:spacing w:before="0" w:after="283"/>
              <w:jc w:val="right"/>
              <w:rPr/>
            </w:pPr>
            <w:r>
              <w:rPr/>
              <w:t>0.8300</w:t>
            </w:r>
          </w:p>
        </w:tc>
        <w:tc>
          <w:tcPr>
            <w:tcW w:w="108" w:type="dxa"/>
            <w:tcBorders/>
            <w:shd w:fill="auto" w:val="clear"/>
            <w:vAlign w:val="bottom"/>
          </w:tcPr>
          <w:p>
            <w:pPr>
              <w:pStyle w:val="TableContents"/>
              <w:spacing w:before="0" w:after="283"/>
              <w:rPr/>
            </w:pPr>
            <w:r>
              <w:rPr/>
              <w:t> </w:t>
            </w:r>
          </w:p>
        </w:tc>
      </w:tr>
      <w:tr>
        <w:trPr/>
        <w:tc>
          <w:tcPr>
            <w:tcW w:w="2683" w:type="dxa"/>
            <w:tcBorders/>
            <w:shd w:fill="CCEEFF" w:val="clear"/>
            <w:vAlign w:val="bottom"/>
          </w:tcPr>
          <w:p>
            <w:pPr>
              <w:pStyle w:val="TableContents"/>
              <w:spacing w:before="0" w:after="0"/>
              <w:ind w:left="225" w:right="0" w:hanging="225"/>
              <w:rPr/>
            </w:pPr>
            <w:r>
              <w:rPr/>
              <w:t>May 15, 2007</w:t>
            </w:r>
          </w:p>
        </w:tc>
        <w:tc>
          <w:tcPr>
            <w:tcW w:w="26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88.9</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16.7</w:t>
            </w:r>
          </w:p>
        </w:tc>
        <w:tc>
          <w:tcPr>
            <w:tcW w:w="117"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1.8</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107.4</w:t>
            </w:r>
          </w:p>
        </w:tc>
        <w:tc>
          <w:tcPr>
            <w:tcW w:w="92"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08" w:type="dxa"/>
            <w:tcBorders/>
            <w:shd w:fill="CCEEFF" w:val="clear"/>
            <w:vAlign w:val="bottom"/>
          </w:tcPr>
          <w:p>
            <w:pPr>
              <w:pStyle w:val="TableContents"/>
              <w:spacing w:before="0" w:after="283"/>
              <w:jc w:val="right"/>
              <w:rPr/>
            </w:pPr>
            <w:r>
              <w:rPr/>
              <w:t>0.8125</w:t>
            </w:r>
          </w:p>
        </w:tc>
        <w:tc>
          <w:tcPr>
            <w:tcW w:w="108" w:type="dxa"/>
            <w:tcBorders/>
            <w:shd w:fill="CCEEFF"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February 14, 2007</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87.5</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15.3</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1.8</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104.6</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1108" w:type="dxa"/>
            <w:tcBorders/>
            <w:shd w:fill="auto" w:val="clear"/>
            <w:vAlign w:val="bottom"/>
          </w:tcPr>
          <w:p>
            <w:pPr>
              <w:pStyle w:val="TableContents"/>
              <w:spacing w:before="0" w:after="283"/>
              <w:jc w:val="right"/>
              <w:rPr/>
            </w:pPr>
            <w:r>
              <w:rPr/>
              <w:t>0.8000</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3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8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8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r>
      <w:tr>
        <w:trPr/>
        <w:tc>
          <w:tcPr>
            <w:tcW w:w="2683" w:type="dxa"/>
            <w:tcBorders/>
            <w:shd w:fill="CCEEFF" w:val="clear"/>
            <w:vAlign w:val="bottom"/>
          </w:tcPr>
          <w:p>
            <w:pPr>
              <w:pStyle w:val="TableContents"/>
              <w:spacing w:before="0" w:after="0"/>
              <w:ind w:left="450" w:right="0" w:hanging="225"/>
              <w:rPr>
                <w:b/>
              </w:rPr>
            </w:pPr>
            <w:r>
              <w:rPr>
                <w:b/>
              </w:rPr>
              <w:t>2007 total</w:t>
            </w:r>
          </w:p>
        </w:tc>
        <w:tc>
          <w:tcPr>
            <w:tcW w:w="26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272.7</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jc w:val="left"/>
              <w:rPr/>
            </w:pPr>
            <w:r>
              <w:rPr/>
              <w:t>$</w:t>
            </w:r>
          </w:p>
        </w:tc>
        <w:tc>
          <w:tcPr>
            <w:tcW w:w="1052" w:type="dxa"/>
            <w:tcBorders/>
            <w:shd w:fill="CCEEFF" w:val="clear"/>
            <w:vAlign w:val="bottom"/>
          </w:tcPr>
          <w:p>
            <w:pPr>
              <w:pStyle w:val="TableContents"/>
              <w:spacing w:before="0" w:after="283"/>
              <w:jc w:val="right"/>
              <w:rPr/>
            </w:pPr>
            <w:r>
              <w:rPr/>
              <w:t>51.9</w:t>
            </w:r>
          </w:p>
        </w:tc>
        <w:tc>
          <w:tcPr>
            <w:tcW w:w="117"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613" w:type="dxa"/>
            <w:tcBorders/>
            <w:shd w:fill="CCEEFF" w:val="clear"/>
            <w:vAlign w:val="bottom"/>
          </w:tcPr>
          <w:p>
            <w:pPr>
              <w:pStyle w:val="TableContents"/>
              <w:spacing w:before="0" w:after="283"/>
              <w:jc w:val="right"/>
              <w:rPr/>
            </w:pPr>
            <w:r>
              <w:rPr/>
              <w:t>5.6</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695" w:type="dxa"/>
            <w:tcBorders/>
            <w:shd w:fill="CCEEFF" w:val="clear"/>
            <w:vAlign w:val="bottom"/>
          </w:tcPr>
          <w:p>
            <w:pPr>
              <w:pStyle w:val="TableContents"/>
              <w:spacing w:before="0" w:after="283"/>
              <w:jc w:val="right"/>
              <w:rPr/>
            </w:pPr>
            <w:r>
              <w:rPr/>
              <w:t>330.2</w:t>
            </w:r>
          </w:p>
        </w:tc>
        <w:tc>
          <w:tcPr>
            <w:tcW w:w="92"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2683"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3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8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8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 </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August 14, 2006</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jc w:val="left"/>
              <w:rPr/>
            </w:pPr>
            <w:r>
              <w:rPr/>
              <w:t>$</w:t>
            </w:r>
          </w:p>
        </w:tc>
        <w:tc>
          <w:tcPr>
            <w:tcW w:w="1055" w:type="dxa"/>
            <w:tcBorders/>
            <w:shd w:fill="auto" w:val="clear"/>
            <w:vAlign w:val="bottom"/>
          </w:tcPr>
          <w:p>
            <w:pPr>
              <w:pStyle w:val="TableContents"/>
              <w:spacing w:before="0" w:after="283"/>
              <w:jc w:val="right"/>
              <w:rPr/>
            </w:pPr>
            <w:r>
              <w:rPr/>
              <w:t>58.7</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jc w:val="left"/>
              <w:rPr/>
            </w:pPr>
            <w:r>
              <w:rPr/>
              <w:t>$</w:t>
            </w:r>
          </w:p>
        </w:tc>
        <w:tc>
          <w:tcPr>
            <w:tcW w:w="1052" w:type="dxa"/>
            <w:tcBorders/>
            <w:shd w:fill="auto" w:val="clear"/>
            <w:vAlign w:val="bottom"/>
          </w:tcPr>
          <w:p>
            <w:pPr>
              <w:pStyle w:val="TableContents"/>
              <w:spacing w:before="0" w:after="283"/>
              <w:jc w:val="right"/>
              <w:rPr/>
            </w:pPr>
            <w:r>
              <w:rPr/>
              <w:t>9.1</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613" w:type="dxa"/>
            <w:tcBorders/>
            <w:shd w:fill="auto" w:val="clear"/>
            <w:vAlign w:val="bottom"/>
          </w:tcPr>
          <w:p>
            <w:pPr>
              <w:pStyle w:val="TableContents"/>
              <w:spacing w:before="0" w:after="283"/>
              <w:jc w:val="right"/>
              <w:rPr/>
            </w:pPr>
            <w:r>
              <w:rPr/>
              <w:t>1.2</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69.0</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1108" w:type="dxa"/>
            <w:tcBorders/>
            <w:shd w:fill="auto" w:val="clear"/>
            <w:vAlign w:val="bottom"/>
          </w:tcPr>
          <w:p>
            <w:pPr>
              <w:pStyle w:val="TableContents"/>
              <w:spacing w:before="0" w:after="283"/>
              <w:jc w:val="right"/>
              <w:rPr/>
            </w:pPr>
            <w:r>
              <w:rPr/>
              <w:t>0.7250</w:t>
            </w:r>
          </w:p>
        </w:tc>
        <w:tc>
          <w:tcPr>
            <w:tcW w:w="108" w:type="dxa"/>
            <w:tcBorders/>
            <w:shd w:fill="auto" w:val="clear"/>
            <w:vAlign w:val="bottom"/>
          </w:tcPr>
          <w:p>
            <w:pPr>
              <w:pStyle w:val="TableContents"/>
              <w:spacing w:before="0" w:after="283"/>
              <w:rPr/>
            </w:pPr>
            <w:r>
              <w:rPr/>
              <w:t> </w:t>
            </w:r>
          </w:p>
        </w:tc>
      </w:tr>
      <w:tr>
        <w:trPr/>
        <w:tc>
          <w:tcPr>
            <w:tcW w:w="2683" w:type="dxa"/>
            <w:tcBorders/>
            <w:shd w:fill="CCEEFF" w:val="clear"/>
            <w:vAlign w:val="bottom"/>
          </w:tcPr>
          <w:p>
            <w:pPr>
              <w:pStyle w:val="TableContents"/>
              <w:spacing w:before="0" w:after="0"/>
              <w:ind w:left="225" w:right="0" w:hanging="225"/>
              <w:rPr/>
            </w:pPr>
            <w:r>
              <w:rPr/>
              <w:t>May 15, 2006</w:t>
            </w:r>
          </w:p>
        </w:tc>
        <w:tc>
          <w:tcPr>
            <w:tcW w:w="26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54.6</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7.4</w:t>
            </w:r>
          </w:p>
        </w:tc>
        <w:tc>
          <w:tcPr>
            <w:tcW w:w="117"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pPr>
            <w:r>
              <w:rPr/>
              <w:t>1.1</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63.1</w:t>
            </w:r>
          </w:p>
        </w:tc>
        <w:tc>
          <w:tcPr>
            <w:tcW w:w="92"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w:t>
            </w:r>
          </w:p>
        </w:tc>
        <w:tc>
          <w:tcPr>
            <w:tcW w:w="1108" w:type="dxa"/>
            <w:tcBorders/>
            <w:shd w:fill="CCEEFF" w:val="clear"/>
            <w:vAlign w:val="bottom"/>
          </w:tcPr>
          <w:p>
            <w:pPr>
              <w:pStyle w:val="TableContents"/>
              <w:spacing w:before="0" w:after="283"/>
              <w:jc w:val="right"/>
              <w:rPr/>
            </w:pPr>
            <w:r>
              <w:rPr/>
              <w:t>0.7075</w:t>
            </w:r>
          </w:p>
        </w:tc>
        <w:tc>
          <w:tcPr>
            <w:tcW w:w="108" w:type="dxa"/>
            <w:tcBorders/>
            <w:shd w:fill="CCEEFF" w:val="clear"/>
            <w:vAlign w:val="bottom"/>
          </w:tcPr>
          <w:p>
            <w:pPr>
              <w:pStyle w:val="TableContents"/>
              <w:spacing w:before="0" w:after="283"/>
              <w:rPr/>
            </w:pPr>
            <w:r>
              <w:rPr/>
              <w:t> </w:t>
            </w:r>
          </w:p>
        </w:tc>
      </w:tr>
      <w:tr>
        <w:trPr/>
        <w:tc>
          <w:tcPr>
            <w:tcW w:w="2683" w:type="dxa"/>
            <w:tcBorders/>
            <w:shd w:fill="auto" w:val="clear"/>
            <w:vAlign w:val="bottom"/>
          </w:tcPr>
          <w:p>
            <w:pPr>
              <w:pStyle w:val="TableContents"/>
              <w:spacing w:before="0" w:after="0"/>
              <w:ind w:left="225" w:right="0" w:hanging="225"/>
              <w:rPr/>
            </w:pPr>
            <w:r>
              <w:rPr/>
              <w:t>February 14, 2006</w:t>
            </w:r>
          </w:p>
        </w:tc>
        <w:tc>
          <w:tcPr>
            <w:tcW w:w="26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pPr>
            <w:r>
              <w:rPr/>
              <w:t>50.7</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5.6</w:t>
            </w:r>
          </w:p>
        </w:tc>
        <w:tc>
          <w:tcPr>
            <w:tcW w:w="117"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pPr>
            <w:r>
              <w:rPr/>
              <w:t>1.0</w:t>
            </w:r>
          </w:p>
        </w:tc>
        <w:tc>
          <w:tcPr>
            <w:tcW w:w="93"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pPr>
            <w:r>
              <w:rPr/>
              <w:t>57.3</w:t>
            </w:r>
          </w:p>
        </w:tc>
        <w:tc>
          <w:tcPr>
            <w:tcW w:w="92"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jc w:val="left"/>
              <w:rPr/>
            </w:pPr>
            <w:r>
              <w:rPr/>
              <w:t>$</w:t>
            </w:r>
          </w:p>
        </w:tc>
        <w:tc>
          <w:tcPr>
            <w:tcW w:w="1108" w:type="dxa"/>
            <w:tcBorders/>
            <w:shd w:fill="auto" w:val="clear"/>
            <w:vAlign w:val="bottom"/>
          </w:tcPr>
          <w:p>
            <w:pPr>
              <w:pStyle w:val="TableContents"/>
              <w:spacing w:before="0" w:after="283"/>
              <w:jc w:val="right"/>
              <w:rPr/>
            </w:pPr>
            <w:r>
              <w:rPr/>
              <w:t>0.6875</w:t>
            </w:r>
          </w:p>
        </w:tc>
        <w:tc>
          <w:tcPr>
            <w:tcW w:w="108" w:type="dxa"/>
            <w:tcBorders/>
            <w:shd w:fill="auto" w:val="clear"/>
            <w:vAlign w:val="bottom"/>
          </w:tcPr>
          <w:p>
            <w:pPr>
              <w:pStyle w:val="TableContents"/>
              <w:spacing w:before="0" w:after="283"/>
              <w:rPr/>
            </w:pPr>
            <w:r>
              <w:rPr/>
              <w:t> </w:t>
            </w:r>
          </w:p>
        </w:tc>
      </w:tr>
      <w:tr>
        <w:trPr/>
        <w:tc>
          <w:tcPr>
            <w:tcW w:w="2683"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3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8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8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r>
      <w:tr>
        <w:trPr/>
        <w:tc>
          <w:tcPr>
            <w:tcW w:w="2683" w:type="dxa"/>
            <w:tcBorders/>
            <w:shd w:fill="CCEEFF" w:val="clear"/>
            <w:vAlign w:val="bottom"/>
          </w:tcPr>
          <w:p>
            <w:pPr>
              <w:pStyle w:val="TableContents"/>
              <w:spacing w:before="0" w:after="0"/>
              <w:ind w:left="450" w:right="0" w:hanging="225"/>
              <w:rPr>
                <w:b/>
              </w:rPr>
            </w:pPr>
            <w:r>
              <w:rPr>
                <w:b/>
              </w:rPr>
              <w:t>2006 total</w:t>
            </w:r>
          </w:p>
        </w:tc>
        <w:tc>
          <w:tcPr>
            <w:tcW w:w="26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w:t>
            </w:r>
          </w:p>
        </w:tc>
        <w:tc>
          <w:tcPr>
            <w:tcW w:w="1055" w:type="dxa"/>
            <w:tcBorders/>
            <w:shd w:fill="CCEEFF" w:val="clear"/>
            <w:vAlign w:val="bottom"/>
          </w:tcPr>
          <w:p>
            <w:pPr>
              <w:pStyle w:val="TableContents"/>
              <w:spacing w:before="0" w:after="283"/>
              <w:jc w:val="right"/>
              <w:rPr/>
            </w:pPr>
            <w:r>
              <w:rPr/>
              <w:t>164.0</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jc w:val="left"/>
              <w:rPr/>
            </w:pPr>
            <w:r>
              <w:rPr/>
              <w:t>$</w:t>
            </w:r>
          </w:p>
        </w:tc>
        <w:tc>
          <w:tcPr>
            <w:tcW w:w="1052" w:type="dxa"/>
            <w:tcBorders/>
            <w:shd w:fill="CCEEFF" w:val="clear"/>
            <w:vAlign w:val="bottom"/>
          </w:tcPr>
          <w:p>
            <w:pPr>
              <w:pStyle w:val="TableContents"/>
              <w:spacing w:before="0" w:after="283"/>
              <w:jc w:val="right"/>
              <w:rPr/>
            </w:pPr>
            <w:r>
              <w:rPr/>
              <w:t>22.1</w:t>
            </w:r>
          </w:p>
        </w:tc>
        <w:tc>
          <w:tcPr>
            <w:tcW w:w="117"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613" w:type="dxa"/>
            <w:tcBorders/>
            <w:shd w:fill="CCEEFF" w:val="clear"/>
            <w:vAlign w:val="bottom"/>
          </w:tcPr>
          <w:p>
            <w:pPr>
              <w:pStyle w:val="TableContents"/>
              <w:spacing w:before="0" w:after="283"/>
              <w:jc w:val="right"/>
              <w:rPr/>
            </w:pPr>
            <w:r>
              <w:rPr/>
              <w:t>3.3</w:t>
            </w:r>
          </w:p>
        </w:tc>
        <w:tc>
          <w:tcPr>
            <w:tcW w:w="93"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jc w:val="left"/>
              <w:rPr/>
            </w:pPr>
            <w:r>
              <w:rPr/>
              <w:t>$</w:t>
            </w:r>
          </w:p>
        </w:tc>
        <w:tc>
          <w:tcPr>
            <w:tcW w:w="695" w:type="dxa"/>
            <w:tcBorders/>
            <w:shd w:fill="CCEEFF" w:val="clear"/>
            <w:vAlign w:val="bottom"/>
          </w:tcPr>
          <w:p>
            <w:pPr>
              <w:pStyle w:val="TableContents"/>
              <w:spacing w:before="0" w:after="283"/>
              <w:jc w:val="right"/>
              <w:rPr/>
            </w:pPr>
            <w:r>
              <w:rPr/>
              <w:t>189.4</w:t>
            </w:r>
          </w:p>
        </w:tc>
        <w:tc>
          <w:tcPr>
            <w:tcW w:w="92"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r>
      <w:tr>
        <w:trPr/>
        <w:tc>
          <w:tcPr>
            <w:tcW w:w="2683" w:type="dxa"/>
            <w:tcBorders/>
            <w:shd w:fill="auto" w:val="clear"/>
            <w:vAlign w:val="center"/>
          </w:tcPr>
          <w:p>
            <w:pPr>
              <w:pStyle w:val="TableContents"/>
              <w:spacing w:before="0" w:after="0"/>
              <w:ind w:left="225" w:right="0" w:hanging="225"/>
              <w:rPr/>
            </w:pPr>
            <w:r>
              <w:rPr/>
              <w:t> </w:t>
            </w:r>
          </w:p>
        </w:tc>
        <w:tc>
          <w:tcPr>
            <w:tcW w:w="261" w:type="dxa"/>
            <w:tcBorders/>
            <w:shd w:fill="auto" w:val="clear"/>
            <w:vAlign w:val="center"/>
          </w:tcPr>
          <w:p>
            <w:pPr>
              <w:pStyle w:val="TableContents"/>
              <w:spacing w:before="0" w:after="283"/>
              <w:rPr/>
            </w:pPr>
            <w:r>
              <w:rPr/>
              <w:t> </w:t>
            </w:r>
          </w:p>
        </w:tc>
        <w:tc>
          <w:tcPr>
            <w:tcW w:w="13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13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85" w:type="dxa"/>
            <w:tcBorders/>
            <w:shd w:fill="auto" w:val="clear"/>
            <w:vAlign w:val="center"/>
          </w:tcPr>
          <w:p>
            <w:pPr>
              <w:pStyle w:val="TableContents"/>
              <w:spacing w:before="0" w:after="283"/>
              <w:rPr/>
            </w:pPr>
            <w:r>
              <w:rPr/>
              <w:t> </w:t>
            </w:r>
          </w:p>
        </w:tc>
        <w:tc>
          <w:tcPr>
            <w:tcW w:w="8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8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2"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 </w:t>
            </w:r>
          </w:p>
        </w:tc>
        <w:tc>
          <w:tcPr>
            <w:tcW w:w="226" w:type="dxa"/>
            <w:tcBorders/>
            <w:shd w:fill="auto" w:val="clear"/>
            <w:vAlign w:val="center"/>
          </w:tcPr>
          <w:p>
            <w:pPr>
              <w:pStyle w:val="TableContents"/>
              <w:spacing w:before="0" w:after="283"/>
              <w:rPr/>
            </w:pPr>
            <w:r>
              <w:rPr/>
              <w:t> </w:t>
            </w:r>
          </w:p>
        </w:tc>
        <w:tc>
          <w:tcPr>
            <w:tcW w:w="1108" w:type="dxa"/>
            <w:tcBorders/>
            <w:shd w:fill="auto" w:val="clear"/>
            <w:vAlign w:val="center"/>
          </w:tcPr>
          <w:p>
            <w:pPr>
              <w:pStyle w:val="TableContents"/>
              <w:spacing w:before="0" w:after="283"/>
              <w:rPr/>
            </w:pPr>
            <w:r>
              <w:rPr/>
              <w:t> </w:t>
            </w:r>
          </w:p>
        </w:tc>
        <w:tc>
          <w:tcPr>
            <w:tcW w:w="108"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445"/>
        <w:gridCol w:w="2134"/>
        <w:gridCol w:w="1626"/>
      </w:tblGrid>
      <w:tr>
        <w:trPr/>
        <w:tc>
          <w:tcPr>
            <w:tcW w:w="6445"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r>
      <w:tr>
        <w:trPr/>
        <w:tc>
          <w:tcPr>
            <w:tcW w:w="6445" w:type="dxa"/>
            <w:tcBorders/>
            <w:shd w:fill="auto" w:val="clear"/>
          </w:tcPr>
          <w:p>
            <w:pPr>
              <w:pStyle w:val="TableContents"/>
              <w:spacing w:before="0" w:after="283"/>
              <w:jc w:val="left"/>
              <w:rPr/>
            </w:pPr>
            <w:r>
              <w:rPr/>
              <w:t>(1)</w:t>
            </w:r>
          </w:p>
        </w:tc>
        <w:tc>
          <w:tcPr>
            <w:tcW w:w="2134" w:type="dxa"/>
            <w:tcBorders/>
            <w:shd w:fill="auto" w:val="clear"/>
          </w:tcPr>
          <w:p>
            <w:pPr>
              <w:pStyle w:val="TableContents"/>
              <w:spacing w:before="0" w:after="283"/>
              <w:rPr/>
            </w:pPr>
            <w:r>
              <w:rPr/>
              <w:t> </w:t>
            </w:r>
          </w:p>
        </w:tc>
        <w:tc>
          <w:tcPr>
            <w:tcW w:w="1626" w:type="dxa"/>
            <w:tcBorders/>
            <w:shd w:fill="auto" w:val="clear"/>
          </w:tcPr>
          <w:p>
            <w:pPr>
              <w:pStyle w:val="TableContents"/>
              <w:spacing w:before="0" w:after="283"/>
              <w:rPr/>
            </w:pPr>
            <w:r>
              <w:rPr/>
              <w:t>Declared on October 18, 2007 and payable on November 14, 2007 to unitholders of record on November 2, 2007, for the period July 1, 2007 through September 30, 2007.</w:t>
            </w:r>
          </w:p>
        </w:tc>
      </w:tr>
      <w:tr>
        <w:trPr/>
        <w:tc>
          <w:tcPr>
            <w:tcW w:w="6445" w:type="dxa"/>
            <w:tcBorders/>
            <w:shd w:fill="auto" w:val="clear"/>
            <w:vAlign w:val="center"/>
          </w:tcPr>
          <w:p>
            <w:pPr>
              <w:pStyle w:val="TableContents"/>
              <w:spacing w:before="0" w:after="283"/>
              <w:rPr/>
            </w:pPr>
            <w:r>
              <w:rPr/>
              <w:t> </w:t>
            </w:r>
          </w:p>
        </w:tc>
        <w:tc>
          <w:tcPr>
            <w:tcW w:w="3760" w:type="dxa"/>
            <w:gridSpan w:val="2"/>
            <w:tcBorders/>
            <w:shd w:fill="auto" w:val="clear"/>
          </w:tcPr>
          <w:p>
            <w:pPr>
              <w:pStyle w:val="TableContents"/>
              <w:spacing w:before="0" w:after="283"/>
              <w:rPr>
                <w:sz w:val="4"/>
                <w:szCs w:val="4"/>
              </w:rPr>
            </w:pPr>
            <w:r>
              <w:rPr>
                <w:sz w:val="4"/>
                <w:szCs w:val="4"/>
              </w:rPr>
            </w:r>
          </w:p>
        </w:tc>
      </w:tr>
      <w:tr>
        <w:trPr/>
        <w:tc>
          <w:tcPr>
            <w:tcW w:w="6445" w:type="dxa"/>
            <w:tcBorders/>
            <w:shd w:fill="auto" w:val="clear"/>
          </w:tcPr>
          <w:p>
            <w:pPr>
              <w:pStyle w:val="TableContents"/>
              <w:spacing w:before="0" w:after="283"/>
              <w:jc w:val="left"/>
              <w:rPr/>
            </w:pPr>
            <w:r>
              <w:rPr/>
              <w:t>(2)</w:t>
            </w:r>
          </w:p>
        </w:tc>
        <w:tc>
          <w:tcPr>
            <w:tcW w:w="2134" w:type="dxa"/>
            <w:tcBorders/>
            <w:shd w:fill="auto" w:val="clear"/>
          </w:tcPr>
          <w:p>
            <w:pPr>
              <w:pStyle w:val="TableContents"/>
              <w:spacing w:before="0" w:after="283"/>
              <w:rPr/>
            </w:pPr>
            <w:r>
              <w:rPr/>
              <w:t> </w:t>
            </w:r>
          </w:p>
        </w:tc>
        <w:tc>
          <w:tcPr>
            <w:tcW w:w="1626" w:type="dxa"/>
            <w:tcBorders/>
            <w:shd w:fill="auto" w:val="clear"/>
          </w:tcPr>
          <w:p>
            <w:pPr>
              <w:pStyle w:val="TableContents"/>
              <w:spacing w:before="0" w:after="283"/>
              <w:rPr/>
            </w:pPr>
            <w:r>
              <w:rPr/>
              <w:t>Upon closing of the Pacific acquisition in November 2006, our general partner agreed to reduce the amount of its incentive distributions as follows: (i) $5 million per quarter for the first four quarters beginning with the February 2007 distribution, (ii) $3.75 million per quarter for the following eight quarters, (iii) $2.5 million per quarter for the following four quarters, and (iv) $1.25 million per quarter for the final four quarters. The aggregate reduction in incentive distributions will be $65 million.</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8Equity Compensation Plans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Long-Term Incentive Plans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general partner has adopted the Plains All American GP LLC 1998 Long-Term Incentive Plan (the 1998 Plan), the 2005 Long-Term Incentive Plan (the 2005 Plan) and the PPX Successor Long-Term Incentive Plan (the PPX Successor Plan) for employees and directors, as well as the Plains All American GP LLC 2006 Long-Term Incentive Tracking Unit Plan (the 2006 Plan)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non-officer employees. The 1998 Plan, 2005 Plan and PPX Successor Plan authorize the grant of an aggregate of 5.4 million common units deliverable upon vesting. Although other types of awards are contemplated under the plans, currently outstanding awards are limited to phantom units, which mature into the right to receive common units (or cash equivalent) upon vesting. Some awards also include distribution equivalent rights (DERs). Subject to applicable earning criteria, a DER entitles the grantee to a cash payment equal to the cash distribution paid on an outstanding common unit prior to the vesting date of the underlying award. The 2006 Plan authorizes the grant of approximately 1.4 million tracking units which, upon vesting, represent the right to receive a cash payment in an amount based upon the market value of a Common Unit at the time of vesting. Our general partner is entitled to reimbursement by us for any costs incurred in settling obligations under the plans for services provided to us. </w:t>
      </w:r>
    </w:p>
    <w:p>
      <w:pPr>
        <w:pStyle w:val="TextBody"/>
        <w:spacing w:before="120" w:after="283"/>
        <w:jc w:val="left"/>
        <w:rPr/>
      </w:pPr>
      <w:r>
        <w:rPr/>
        <w:t>     </w:t>
      </w:r>
      <w:r>
        <w:rPr>
          <w:rFonts w:ascii="Times New Roman;Times;serif" w:hAnsi="Times New Roman;Times;serif"/>
          <w:sz w:val="17"/>
        </w:rPr>
        <w:t xml:space="preserve">Under SFAS 123(R) the fair value of LTIP awards, which are subject to liability classification, is calculated based on the closing market price of our units at each balance sheet date adjusted for (i) the present value of any distributions that are estimated to occur on the underlying units over the vesting period that will not be received by the award recipients and (ii) an estimated forfeiture rate when appropriate. This fair value is recognized as compensation expense over the period the awards are earned. Our LTIP awards typically contain performance conditions based on attainment of certain annualized distribution levels and vest upon the later of a certain date or the attainment of such levels. For awards with performance conditions, we recognize LTIP compensation expense only if the achievement of the performance condition is considered probable and amortize that expense over the service period. When awards with performance conditions that were previously considered improbable of occurring become probable of occurring, we incur additional LTIP compensation expense necessary to adjust the life-to-date accrued liability associated with these awards. Our DER awards typically contain performance conditions based on attainment of certain annualized distribution levels and become earned upon the earlier of a certain date or the attainment of such levels. The DERs terminate with the vesting or forfeiture of the underlying LTIP award. We recognize compensation expense for DER payments in the period the payment is earned. </w:t>
      </w:r>
    </w:p>
    <w:p>
      <w:pPr>
        <w:pStyle w:val="TextBody"/>
        <w:spacing w:before="120" w:after="283"/>
        <w:jc w:val="left"/>
        <w:rPr/>
      </w:pPr>
      <w:r>
        <w:rPr/>
        <w:t>     </w:t>
      </w:r>
      <w:r>
        <w:rPr>
          <w:rFonts w:ascii="Times New Roman;Times;serif" w:hAnsi="Times New Roman;Times;serif"/>
          <w:sz w:val="17"/>
        </w:rPr>
        <w:t xml:space="preserve">At September 30, 2007 we have the following LTIP awards outstanding (units in millions): </w:t>
      </w:r>
    </w:p>
    <w:tbl>
      <w:tblPr>
        <w:tblW w:w="5000" w:type="pct"/>
        <w:jc w:val="center"/>
        <w:tblInd w:w="0" w:type="dxa"/>
        <w:tblCellMar>
          <w:top w:w="0" w:type="dxa"/>
          <w:left w:w="0" w:type="dxa"/>
          <w:bottom w:w="0" w:type="dxa"/>
          <w:right w:w="0" w:type="dxa"/>
        </w:tblCellMar>
      </w:tblPr>
      <w:tblGrid>
        <w:gridCol w:w="105"/>
        <w:gridCol w:w="106"/>
        <w:gridCol w:w="583"/>
        <w:gridCol w:w="1079"/>
        <w:gridCol w:w="1089"/>
        <w:gridCol w:w="301"/>
        <w:gridCol w:w="2024"/>
        <w:gridCol w:w="301"/>
        <w:gridCol w:w="122"/>
        <w:gridCol w:w="451"/>
        <w:gridCol w:w="106"/>
        <w:gridCol w:w="301"/>
        <w:gridCol w:w="123"/>
        <w:gridCol w:w="451"/>
        <w:gridCol w:w="106"/>
        <w:gridCol w:w="301"/>
        <w:gridCol w:w="123"/>
        <w:gridCol w:w="451"/>
        <w:gridCol w:w="105"/>
        <w:gridCol w:w="301"/>
        <w:gridCol w:w="123"/>
        <w:gridCol w:w="451"/>
        <w:gridCol w:w="106"/>
        <w:gridCol w:w="301"/>
        <w:gridCol w:w="123"/>
        <w:gridCol w:w="451"/>
        <w:gridCol w:w="121"/>
      </w:tblGrid>
      <w:tr>
        <w:trPr/>
        <w:tc>
          <w:tcPr>
            <w:tcW w:w="10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024"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10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662" w:type="dxa"/>
            <w:gridSpan w:val="2"/>
            <w:tcBorders/>
            <w:shd w:fill="auto" w:val="clear"/>
            <w:vAlign w:val="bottom"/>
          </w:tcPr>
          <w:p>
            <w:pPr>
              <w:pStyle w:val="TableContents"/>
              <w:spacing w:before="0" w:after="283"/>
              <w:jc w:val="center"/>
              <w:rPr>
                <w:b/>
              </w:rPr>
            </w:pPr>
            <w:r>
              <w:rPr>
                <w:b/>
              </w:rPr>
              <w:t>LTIP Units</w:t>
            </w:r>
          </w:p>
        </w:tc>
        <w:tc>
          <w:tcPr>
            <w:tcW w:w="108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024" w:type="dxa"/>
            <w:tcBorders/>
            <w:shd w:fill="auto" w:val="clear"/>
            <w:vAlign w:val="bottom"/>
          </w:tcPr>
          <w:p>
            <w:pPr>
              <w:pStyle w:val="TableContents"/>
              <w:spacing w:before="0" w:after="283"/>
              <w:jc w:val="center"/>
              <w:rPr>
                <w:b/>
              </w:rPr>
            </w:pPr>
            <w:r>
              <w:rPr>
                <w:b/>
              </w:rPr>
              <w:t>Distribution</w:t>
            </w:r>
          </w:p>
        </w:tc>
        <w:tc>
          <w:tcPr>
            <w:tcW w:w="301" w:type="dxa"/>
            <w:tcBorders/>
            <w:shd w:fill="auto" w:val="clear"/>
            <w:vAlign w:val="bottom"/>
          </w:tcPr>
          <w:p>
            <w:pPr>
              <w:pStyle w:val="TableContents"/>
              <w:spacing w:before="0" w:after="283"/>
              <w:rPr/>
            </w:pPr>
            <w:r>
              <w:rPr/>
              <w:t> </w:t>
            </w:r>
          </w:p>
        </w:tc>
        <w:tc>
          <w:tcPr>
            <w:tcW w:w="4496"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Unit Vesting Date</w:t>
            </w:r>
          </w:p>
        </w:tc>
        <w:tc>
          <w:tcPr>
            <w:tcW w:w="121" w:type="dxa"/>
            <w:tcBorders/>
            <w:shd w:fill="auto" w:val="clear"/>
            <w:vAlign w:val="bottom"/>
          </w:tcPr>
          <w:p>
            <w:pPr>
              <w:pStyle w:val="TableContents"/>
              <w:spacing w:before="0" w:after="283"/>
              <w:rPr/>
            </w:pPr>
            <w:r>
              <w:rPr/>
              <w:t> </w:t>
            </w:r>
          </w:p>
        </w:tc>
      </w:tr>
      <w:tr>
        <w:trPr/>
        <w:tc>
          <w:tcPr>
            <w:tcW w:w="10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6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Outstanding</w:t>
            </w:r>
          </w:p>
        </w:tc>
        <w:tc>
          <w:tcPr>
            <w:tcW w:w="1089"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024" w:type="dxa"/>
            <w:tcBorders>
              <w:bottom w:val="single" w:sz="2" w:space="0" w:color="000000"/>
            </w:tcBorders>
            <w:shd w:fill="auto" w:val="clear"/>
            <w:tcMar>
              <w:bottom w:w="28" w:type="dxa"/>
            </w:tcMar>
            <w:vAlign w:val="bottom"/>
          </w:tcPr>
          <w:p>
            <w:pPr>
              <w:pStyle w:val="TableContents"/>
              <w:spacing w:before="0" w:after="283"/>
              <w:jc w:val="center"/>
              <w:rPr>
                <w:b/>
              </w:rPr>
            </w:pPr>
            <w:r>
              <w:rPr>
                <w:b/>
              </w:rPr>
              <w:t>Amount</w:t>
            </w:r>
          </w:p>
        </w:tc>
        <w:tc>
          <w:tcPr>
            <w:tcW w:w="301" w:type="dxa"/>
            <w:tcBorders/>
            <w:shd w:fill="auto" w:val="clear"/>
            <w:vAlign w:val="bottom"/>
          </w:tcPr>
          <w:p>
            <w:pPr>
              <w:pStyle w:val="TableContents"/>
              <w:spacing w:before="0" w:after="283"/>
              <w:rPr/>
            </w:pPr>
            <w:r>
              <w:rPr/>
              <w:t> </w:t>
            </w:r>
          </w:p>
        </w:tc>
        <w:tc>
          <w:tcPr>
            <w:tcW w:w="57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2008</w:t>
            </w:r>
          </w:p>
        </w:tc>
        <w:tc>
          <w:tcPr>
            <w:tcW w:w="10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2009</w:t>
            </w:r>
          </w:p>
        </w:tc>
        <w:tc>
          <w:tcPr>
            <w:tcW w:w="10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2010</w:t>
            </w:r>
          </w:p>
        </w:tc>
        <w:tc>
          <w:tcPr>
            <w:tcW w:w="105"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2011</w:t>
            </w:r>
          </w:p>
        </w:tc>
        <w:tc>
          <w:tcPr>
            <w:tcW w:w="10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5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2012</w:t>
            </w:r>
          </w:p>
        </w:tc>
        <w:tc>
          <w:tcPr>
            <w:tcW w:w="121" w:type="dxa"/>
            <w:tcBorders/>
            <w:shd w:fill="auto" w:val="clear"/>
            <w:vAlign w:val="bottom"/>
          </w:tcPr>
          <w:p>
            <w:pPr>
              <w:pStyle w:val="TableContents"/>
              <w:spacing w:before="0" w:after="283"/>
              <w:rPr/>
            </w:pPr>
            <w:r>
              <w:rPr/>
              <w:t> </w:t>
            </w:r>
          </w:p>
        </w:tc>
      </w:tr>
      <w:tr>
        <w:trPr/>
        <w:tc>
          <w:tcPr>
            <w:tcW w:w="105" w:type="dxa"/>
            <w:tcBorders/>
            <w:shd w:fill="CCEEFF" w:val="clear"/>
            <w:vAlign w:val="bottom"/>
          </w:tcPr>
          <w:p>
            <w:pPr>
              <w:pStyle w:val="TableContents"/>
              <w:spacing w:before="0" w:after="0"/>
              <w:ind w:left="225" w:right="0" w:hanging="225"/>
              <w:rPr/>
            </w:pPr>
            <w:r>
              <w:rPr/>
              <w:t> </w:t>
            </w:r>
          </w:p>
        </w:tc>
        <w:tc>
          <w:tcPr>
            <w:tcW w:w="106"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1.3</w:t>
            </w:r>
          </w:p>
        </w:tc>
        <w:tc>
          <w:tcPr>
            <w:tcW w:w="1089" w:type="dxa"/>
            <w:tcBorders/>
            <w:shd w:fill="CCEEFF" w:val="clear"/>
            <w:vAlign w:val="bottom"/>
          </w:tcPr>
          <w:p>
            <w:pPr>
              <w:pStyle w:val="TableContents"/>
              <w:spacing w:before="0" w:after="283"/>
              <w:rPr/>
            </w:pPr>
            <w:r>
              <w:rPr/>
              <w:t> </w:t>
            </w:r>
            <w:r>
              <w:rPr/>
              <w:t>(1)</w:t>
            </w:r>
          </w:p>
        </w:tc>
        <w:tc>
          <w:tcPr>
            <w:tcW w:w="301" w:type="dxa"/>
            <w:tcBorders/>
            <w:shd w:fill="CCEEFF" w:val="clear"/>
            <w:vAlign w:val="bottom"/>
          </w:tcPr>
          <w:p>
            <w:pPr>
              <w:pStyle w:val="TableContents"/>
              <w:spacing w:before="0" w:after="283"/>
              <w:rPr/>
            </w:pPr>
            <w:r>
              <w:rPr/>
              <w:t> </w:t>
            </w:r>
          </w:p>
        </w:tc>
        <w:tc>
          <w:tcPr>
            <w:tcW w:w="2024" w:type="dxa"/>
            <w:tcBorders/>
            <w:shd w:fill="CCEEFF" w:val="clear"/>
          </w:tcPr>
          <w:p>
            <w:pPr>
              <w:pStyle w:val="TableContents"/>
              <w:spacing w:before="0" w:after="283"/>
              <w:jc w:val="center"/>
              <w:rPr/>
            </w:pPr>
            <w:r>
              <w:rPr/>
              <w:t>$3.20</w:t>
            </w:r>
          </w:p>
        </w:tc>
        <w:tc>
          <w:tcPr>
            <w:tcW w:w="301" w:type="dxa"/>
            <w:tcBorders/>
            <w:shd w:fill="CCEEFF" w:val="clear"/>
            <w:vAlign w:val="bottom"/>
          </w:tcPr>
          <w:p>
            <w:pPr>
              <w:pStyle w:val="TableContents"/>
              <w:spacing w:before="0" w:after="283"/>
              <w:rPr/>
            </w:pPr>
            <w:r>
              <w:rPr/>
              <w:t> </w:t>
            </w:r>
          </w:p>
        </w:tc>
        <w:tc>
          <w:tcPr>
            <w:tcW w:w="122"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0.1</w:t>
            </w:r>
          </w:p>
        </w:tc>
        <w:tc>
          <w:tcPr>
            <w:tcW w:w="106"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0.6</w:t>
            </w:r>
          </w:p>
        </w:tc>
        <w:tc>
          <w:tcPr>
            <w:tcW w:w="106"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0.6</w:t>
            </w:r>
          </w:p>
        </w:tc>
        <w:tc>
          <w:tcPr>
            <w:tcW w:w="105"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w:t>
            </w:r>
          </w:p>
        </w:tc>
        <w:tc>
          <w:tcPr>
            <w:tcW w:w="106"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w:t>
            </w:r>
          </w:p>
        </w:tc>
        <w:tc>
          <w:tcPr>
            <w:tcW w:w="121" w:type="dxa"/>
            <w:tcBorders/>
            <w:shd w:fill="CCEEFF" w:val="clear"/>
          </w:tcPr>
          <w:p>
            <w:pPr>
              <w:pStyle w:val="TableContents"/>
              <w:spacing w:before="0" w:after="283"/>
              <w:rPr/>
            </w:pPr>
            <w:r>
              <w:rPr/>
              <w:t> </w:t>
            </w:r>
          </w:p>
        </w:tc>
      </w:tr>
      <w:tr>
        <w:trPr/>
        <w:tc>
          <w:tcPr>
            <w:tcW w:w="105" w:type="dxa"/>
            <w:tcBorders/>
            <w:shd w:fill="auto" w:val="clear"/>
            <w:vAlign w:val="bottom"/>
          </w:tcPr>
          <w:p>
            <w:pPr>
              <w:pStyle w:val="TableContents"/>
              <w:spacing w:before="0" w:after="0"/>
              <w:ind w:left="225" w:right="0" w:hanging="225"/>
              <w:rPr/>
            </w:pPr>
            <w:r>
              <w:rPr/>
              <w:t> </w:t>
            </w:r>
          </w:p>
        </w:tc>
        <w:tc>
          <w:tcPr>
            <w:tcW w:w="106"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283"/>
              <w:jc w:val="right"/>
              <w:rPr/>
            </w:pPr>
            <w:r>
              <w:rPr/>
              <w:t>1.3</w:t>
            </w:r>
          </w:p>
        </w:tc>
        <w:tc>
          <w:tcPr>
            <w:tcW w:w="1089" w:type="dxa"/>
            <w:tcBorders/>
            <w:shd w:fill="auto" w:val="clear"/>
            <w:vAlign w:val="bottom"/>
          </w:tcPr>
          <w:p>
            <w:pPr>
              <w:pStyle w:val="TableContents"/>
              <w:spacing w:before="0" w:after="283"/>
              <w:rPr/>
            </w:pPr>
            <w:r>
              <w:rPr/>
              <w:t> </w:t>
            </w:r>
            <w:r>
              <w:rPr/>
              <w:t>(2)</w:t>
            </w:r>
          </w:p>
        </w:tc>
        <w:tc>
          <w:tcPr>
            <w:tcW w:w="301" w:type="dxa"/>
            <w:tcBorders/>
            <w:shd w:fill="auto" w:val="clear"/>
            <w:vAlign w:val="bottom"/>
          </w:tcPr>
          <w:p>
            <w:pPr>
              <w:pStyle w:val="TableContents"/>
              <w:spacing w:before="0" w:after="283"/>
              <w:rPr/>
            </w:pPr>
            <w:r>
              <w:rPr/>
              <w:t> </w:t>
            </w:r>
          </w:p>
        </w:tc>
        <w:tc>
          <w:tcPr>
            <w:tcW w:w="2024" w:type="dxa"/>
            <w:tcBorders/>
            <w:shd w:fill="auto" w:val="clear"/>
          </w:tcPr>
          <w:p>
            <w:pPr>
              <w:pStyle w:val="TableContents"/>
              <w:spacing w:before="0" w:after="283"/>
              <w:jc w:val="center"/>
              <w:rPr/>
            </w:pPr>
            <w:r>
              <w:rPr/>
              <w:t>$3.50 - $4.00</w:t>
            </w:r>
          </w:p>
        </w:tc>
        <w:tc>
          <w:tcPr>
            <w:tcW w:w="301" w:type="dxa"/>
            <w:tcBorders/>
            <w:shd w:fill="auto" w:val="clear"/>
            <w:vAlign w:val="bottom"/>
          </w:tcPr>
          <w:p>
            <w:pPr>
              <w:pStyle w:val="TableContents"/>
              <w:spacing w:before="0" w:after="283"/>
              <w:rPr/>
            </w:pPr>
            <w:r>
              <w:rPr/>
              <w:t> </w:t>
            </w:r>
          </w:p>
        </w:tc>
        <w:tc>
          <w:tcPr>
            <w:tcW w:w="122"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w:t>
            </w:r>
          </w:p>
        </w:tc>
        <w:tc>
          <w:tcPr>
            <w:tcW w:w="106"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w:t>
            </w:r>
          </w:p>
        </w:tc>
        <w:tc>
          <w:tcPr>
            <w:tcW w:w="106"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w:t>
            </w:r>
          </w:p>
        </w:tc>
        <w:tc>
          <w:tcPr>
            <w:tcW w:w="105"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0.7</w:t>
            </w:r>
          </w:p>
        </w:tc>
        <w:tc>
          <w:tcPr>
            <w:tcW w:w="106"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0.6</w:t>
            </w:r>
          </w:p>
        </w:tc>
        <w:tc>
          <w:tcPr>
            <w:tcW w:w="121" w:type="dxa"/>
            <w:tcBorders/>
            <w:shd w:fill="auto" w:val="clear"/>
          </w:tcPr>
          <w:p>
            <w:pPr>
              <w:pStyle w:val="TableContents"/>
              <w:spacing w:before="0" w:after="283"/>
              <w:rPr/>
            </w:pPr>
            <w:r>
              <w:rPr/>
              <w:t> </w:t>
            </w:r>
          </w:p>
        </w:tc>
      </w:tr>
      <w:tr>
        <w:trPr/>
        <w:tc>
          <w:tcPr>
            <w:tcW w:w="105" w:type="dxa"/>
            <w:tcBorders/>
            <w:shd w:fill="CCEEFF" w:val="clear"/>
            <w:vAlign w:val="bottom"/>
          </w:tcPr>
          <w:p>
            <w:pPr>
              <w:pStyle w:val="TableContents"/>
              <w:spacing w:before="0" w:after="0"/>
              <w:ind w:left="225" w:right="0" w:hanging="225"/>
              <w:rPr/>
            </w:pPr>
            <w:r>
              <w:rPr/>
              <w:t> </w:t>
            </w:r>
          </w:p>
        </w:tc>
        <w:tc>
          <w:tcPr>
            <w:tcW w:w="106"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1.0</w:t>
            </w:r>
          </w:p>
        </w:tc>
        <w:tc>
          <w:tcPr>
            <w:tcW w:w="1089" w:type="dxa"/>
            <w:tcBorders/>
            <w:shd w:fill="CCEEFF" w:val="clear"/>
            <w:vAlign w:val="bottom"/>
          </w:tcPr>
          <w:p>
            <w:pPr>
              <w:pStyle w:val="TableContents"/>
              <w:spacing w:before="0" w:after="283"/>
              <w:rPr/>
            </w:pPr>
            <w:r>
              <w:rPr/>
              <w:t> </w:t>
            </w:r>
            <w:r>
              <w:rPr/>
              <w:t>(3)</w:t>
            </w:r>
          </w:p>
        </w:tc>
        <w:tc>
          <w:tcPr>
            <w:tcW w:w="301" w:type="dxa"/>
            <w:tcBorders/>
            <w:shd w:fill="CCEEFF" w:val="clear"/>
            <w:vAlign w:val="bottom"/>
          </w:tcPr>
          <w:p>
            <w:pPr>
              <w:pStyle w:val="TableContents"/>
              <w:spacing w:before="0" w:after="283"/>
              <w:rPr/>
            </w:pPr>
            <w:r>
              <w:rPr/>
              <w:t> </w:t>
            </w:r>
          </w:p>
        </w:tc>
        <w:tc>
          <w:tcPr>
            <w:tcW w:w="2024" w:type="dxa"/>
            <w:tcBorders/>
            <w:shd w:fill="CCEEFF" w:val="clear"/>
          </w:tcPr>
          <w:p>
            <w:pPr>
              <w:pStyle w:val="TableContents"/>
              <w:spacing w:before="0" w:after="283"/>
              <w:jc w:val="center"/>
              <w:rPr/>
            </w:pPr>
            <w:r>
              <w:rPr/>
              <w:t>$3.50 - $4.00</w:t>
            </w:r>
          </w:p>
        </w:tc>
        <w:tc>
          <w:tcPr>
            <w:tcW w:w="301" w:type="dxa"/>
            <w:tcBorders/>
            <w:shd w:fill="CCEEFF" w:val="clear"/>
            <w:vAlign w:val="bottom"/>
          </w:tcPr>
          <w:p>
            <w:pPr>
              <w:pStyle w:val="TableContents"/>
              <w:spacing w:before="0" w:after="283"/>
              <w:rPr/>
            </w:pPr>
            <w:r>
              <w:rPr/>
              <w:t> </w:t>
            </w:r>
          </w:p>
        </w:tc>
        <w:tc>
          <w:tcPr>
            <w:tcW w:w="122"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w:t>
            </w:r>
          </w:p>
        </w:tc>
        <w:tc>
          <w:tcPr>
            <w:tcW w:w="106"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w:t>
            </w:r>
          </w:p>
        </w:tc>
        <w:tc>
          <w:tcPr>
            <w:tcW w:w="106"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1.0</w:t>
            </w:r>
          </w:p>
        </w:tc>
        <w:tc>
          <w:tcPr>
            <w:tcW w:w="105"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w:t>
            </w:r>
          </w:p>
        </w:tc>
        <w:tc>
          <w:tcPr>
            <w:tcW w:w="106" w:type="dxa"/>
            <w:tcBorders/>
            <w:shd w:fill="CCEEFF" w:val="clear"/>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23" w:type="dxa"/>
            <w:tcBorders/>
            <w:shd w:fill="CCEEFF" w:val="clear"/>
          </w:tcPr>
          <w:p>
            <w:pPr>
              <w:pStyle w:val="TableContents"/>
              <w:spacing w:before="0" w:after="283"/>
              <w:jc w:val="left"/>
              <w:rPr/>
            </w:pPr>
            <w:r>
              <w:rPr/>
              <w:t> </w:t>
            </w:r>
          </w:p>
        </w:tc>
        <w:tc>
          <w:tcPr>
            <w:tcW w:w="451" w:type="dxa"/>
            <w:tcBorders/>
            <w:shd w:fill="CCEEFF" w:val="clear"/>
          </w:tcPr>
          <w:p>
            <w:pPr>
              <w:pStyle w:val="TableContents"/>
              <w:spacing w:before="0" w:after="283"/>
              <w:jc w:val="right"/>
              <w:rPr/>
            </w:pPr>
            <w:r>
              <w:rPr/>
              <w:t></w:t>
            </w:r>
          </w:p>
        </w:tc>
        <w:tc>
          <w:tcPr>
            <w:tcW w:w="121" w:type="dxa"/>
            <w:tcBorders/>
            <w:shd w:fill="CCEEFF" w:val="clear"/>
          </w:tcPr>
          <w:p>
            <w:pPr>
              <w:pStyle w:val="TableContents"/>
              <w:spacing w:before="0" w:after="283"/>
              <w:rPr/>
            </w:pPr>
            <w:r>
              <w:rPr/>
              <w:t> </w:t>
            </w:r>
          </w:p>
        </w:tc>
      </w:tr>
      <w:tr>
        <w:trPr/>
        <w:tc>
          <w:tcPr>
            <w:tcW w:w="105" w:type="dxa"/>
            <w:tcBorders/>
            <w:shd w:fill="auto" w:val="clear"/>
            <w:vAlign w:val="center"/>
          </w:tcPr>
          <w:p>
            <w:pPr>
              <w:pStyle w:val="TableContents"/>
              <w:spacing w:before="0" w:after="0"/>
              <w:ind w:left="225" w:right="0" w:hanging="225"/>
              <w:rPr/>
            </w:pPr>
            <w:r>
              <w:rPr/>
              <w:t> </w:t>
            </w:r>
          </w:p>
        </w:tc>
        <w:tc>
          <w:tcPr>
            <w:tcW w:w="106" w:type="dxa"/>
            <w:tcBorders/>
            <w:shd w:fill="auto" w:val="clear"/>
            <w:vAlign w:val="center"/>
          </w:tcPr>
          <w:p>
            <w:pPr>
              <w:pStyle w:val="TableContents"/>
              <w:spacing w:before="0" w:after="283"/>
              <w:rPr/>
            </w:pPr>
            <w:r>
              <w:rPr/>
              <w:t> </w:t>
            </w:r>
          </w:p>
        </w:tc>
        <w:tc>
          <w:tcPr>
            <w:tcW w:w="16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9"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024" w:type="dxa"/>
            <w:tcBorders/>
            <w:shd w:fill="auto" w:val="clear"/>
          </w:tcPr>
          <w:p>
            <w:pPr>
              <w:pStyle w:val="TableContents"/>
              <w:spacing w:before="0" w:after="283"/>
              <w:jc w:val="center"/>
              <w:rPr/>
            </w:pPr>
            <w:r>
              <w:rPr/>
              <w:t> </w:t>
            </w:r>
          </w:p>
        </w:tc>
        <w:tc>
          <w:tcPr>
            <w:tcW w:w="301" w:type="dxa"/>
            <w:tcBorders/>
            <w:shd w:fill="auto" w:val="clear"/>
            <w:vAlign w:val="center"/>
          </w:tcPr>
          <w:p>
            <w:pPr>
              <w:pStyle w:val="TableContents"/>
              <w:spacing w:before="0" w:after="283"/>
              <w:rPr/>
            </w:pPr>
            <w:r>
              <w:rPr/>
              <w:t> </w:t>
            </w:r>
          </w:p>
        </w:tc>
        <w:tc>
          <w:tcPr>
            <w:tcW w:w="573"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06"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06"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06"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single" w:sz="2" w:space="0" w:color="000000"/>
            </w:tcBorders>
            <w:shd w:fill="auto" w:val="clear"/>
            <w:tcMar>
              <w:top w:w="28" w:type="dxa"/>
            </w:tcMar>
          </w:tcPr>
          <w:p>
            <w:pPr>
              <w:pStyle w:val="TableContents"/>
              <w:spacing w:before="0" w:after="283"/>
              <w:jc w:val="right"/>
              <w:rPr/>
            </w:pPr>
            <w:r>
              <w:rPr/>
              <w:t> </w:t>
            </w:r>
          </w:p>
        </w:tc>
        <w:tc>
          <w:tcPr>
            <w:tcW w:w="121" w:type="dxa"/>
            <w:tcBorders/>
            <w:shd w:fill="auto" w:val="clear"/>
          </w:tcPr>
          <w:p>
            <w:pPr>
              <w:pStyle w:val="TableContents"/>
              <w:spacing w:before="0" w:after="283"/>
              <w:rPr/>
            </w:pPr>
            <w:r>
              <w:rPr/>
              <w:t> </w:t>
            </w:r>
          </w:p>
        </w:tc>
      </w:tr>
      <w:tr>
        <w:trPr/>
        <w:tc>
          <w:tcPr>
            <w:tcW w:w="105" w:type="dxa"/>
            <w:tcBorders/>
            <w:shd w:fill="auto" w:val="clear"/>
            <w:vAlign w:val="bottom"/>
          </w:tcPr>
          <w:p>
            <w:pPr>
              <w:pStyle w:val="TableContents"/>
              <w:spacing w:before="0" w:after="0"/>
              <w:ind w:left="225" w:right="0" w:hanging="225"/>
              <w:rPr/>
            </w:pPr>
            <w:r>
              <w:rPr/>
              <w:t> </w:t>
            </w:r>
          </w:p>
        </w:tc>
        <w:tc>
          <w:tcPr>
            <w:tcW w:w="106"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283"/>
              <w:jc w:val="right"/>
              <w:rPr/>
            </w:pPr>
            <w:r>
              <w:rPr/>
              <w:t>3.6</w:t>
            </w:r>
          </w:p>
        </w:tc>
        <w:tc>
          <w:tcPr>
            <w:tcW w:w="1089" w:type="dxa"/>
            <w:tcBorders/>
            <w:shd w:fill="auto" w:val="clear"/>
            <w:vAlign w:val="bottom"/>
          </w:tcPr>
          <w:p>
            <w:pPr>
              <w:pStyle w:val="TableContents"/>
              <w:spacing w:before="0" w:after="283"/>
              <w:rPr/>
            </w:pPr>
            <w:r>
              <w:rPr/>
              <w:t> </w:t>
            </w:r>
            <w:r>
              <w:rPr/>
              <w:t>(4) (5)</w:t>
            </w:r>
          </w:p>
        </w:tc>
        <w:tc>
          <w:tcPr>
            <w:tcW w:w="301" w:type="dxa"/>
            <w:tcBorders/>
            <w:shd w:fill="auto" w:val="clear"/>
            <w:vAlign w:val="bottom"/>
          </w:tcPr>
          <w:p>
            <w:pPr>
              <w:pStyle w:val="TableContents"/>
              <w:spacing w:before="0" w:after="283"/>
              <w:rPr/>
            </w:pPr>
            <w:r>
              <w:rPr/>
              <w:t> </w:t>
            </w:r>
          </w:p>
        </w:tc>
        <w:tc>
          <w:tcPr>
            <w:tcW w:w="2024" w:type="dxa"/>
            <w:tcBorders/>
            <w:shd w:fill="auto" w:val="clear"/>
          </w:tcPr>
          <w:p>
            <w:pPr>
              <w:pStyle w:val="TableContents"/>
              <w:spacing w:before="0" w:after="283"/>
              <w:jc w:val="center"/>
              <w:rPr/>
            </w:pPr>
            <w:r>
              <w:rPr/>
              <w:t> </w:t>
            </w:r>
          </w:p>
        </w:tc>
        <w:tc>
          <w:tcPr>
            <w:tcW w:w="301" w:type="dxa"/>
            <w:tcBorders/>
            <w:shd w:fill="auto" w:val="clear"/>
            <w:vAlign w:val="bottom"/>
          </w:tcPr>
          <w:p>
            <w:pPr>
              <w:pStyle w:val="TableContents"/>
              <w:spacing w:before="0" w:after="283"/>
              <w:rPr/>
            </w:pPr>
            <w:r>
              <w:rPr/>
              <w:t> </w:t>
            </w:r>
          </w:p>
        </w:tc>
        <w:tc>
          <w:tcPr>
            <w:tcW w:w="122"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0.1</w:t>
            </w:r>
          </w:p>
        </w:tc>
        <w:tc>
          <w:tcPr>
            <w:tcW w:w="106"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0.6</w:t>
            </w:r>
          </w:p>
        </w:tc>
        <w:tc>
          <w:tcPr>
            <w:tcW w:w="106"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1.6</w:t>
            </w:r>
          </w:p>
        </w:tc>
        <w:tc>
          <w:tcPr>
            <w:tcW w:w="105"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0.7</w:t>
            </w:r>
          </w:p>
        </w:tc>
        <w:tc>
          <w:tcPr>
            <w:tcW w:w="106" w:type="dxa"/>
            <w:tcBorders/>
            <w:shd w:fill="auto" w:val="clear"/>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3" w:type="dxa"/>
            <w:tcBorders/>
            <w:shd w:fill="auto" w:val="clear"/>
          </w:tcPr>
          <w:p>
            <w:pPr>
              <w:pStyle w:val="TableContents"/>
              <w:spacing w:before="0" w:after="283"/>
              <w:jc w:val="left"/>
              <w:rPr/>
            </w:pPr>
            <w:r>
              <w:rPr/>
              <w:t> </w:t>
            </w:r>
          </w:p>
        </w:tc>
        <w:tc>
          <w:tcPr>
            <w:tcW w:w="451" w:type="dxa"/>
            <w:tcBorders/>
            <w:shd w:fill="auto" w:val="clear"/>
          </w:tcPr>
          <w:p>
            <w:pPr>
              <w:pStyle w:val="TableContents"/>
              <w:spacing w:before="0" w:after="283"/>
              <w:jc w:val="right"/>
              <w:rPr/>
            </w:pPr>
            <w:r>
              <w:rPr/>
              <w:t>0.6</w:t>
            </w:r>
          </w:p>
        </w:tc>
        <w:tc>
          <w:tcPr>
            <w:tcW w:w="121" w:type="dxa"/>
            <w:tcBorders/>
            <w:shd w:fill="auto" w:val="clear"/>
          </w:tcPr>
          <w:p>
            <w:pPr>
              <w:pStyle w:val="TableContents"/>
              <w:spacing w:before="0" w:after="283"/>
              <w:rPr/>
            </w:pPr>
            <w:r>
              <w:rPr/>
              <w:t> </w:t>
            </w:r>
          </w:p>
        </w:tc>
      </w:tr>
      <w:tr>
        <w:trPr/>
        <w:tc>
          <w:tcPr>
            <w:tcW w:w="105" w:type="dxa"/>
            <w:tcBorders/>
            <w:shd w:fill="auto" w:val="clear"/>
            <w:vAlign w:val="center"/>
          </w:tcPr>
          <w:p>
            <w:pPr>
              <w:pStyle w:val="TableContents"/>
              <w:spacing w:before="0" w:after="0"/>
              <w:ind w:left="225" w:right="0" w:hanging="225"/>
              <w:rPr/>
            </w:pPr>
            <w:r>
              <w:rPr/>
              <w:t> </w:t>
            </w:r>
          </w:p>
        </w:tc>
        <w:tc>
          <w:tcPr>
            <w:tcW w:w="106" w:type="dxa"/>
            <w:tcBorders/>
            <w:shd w:fill="auto" w:val="clear"/>
            <w:vAlign w:val="center"/>
          </w:tcPr>
          <w:p>
            <w:pPr>
              <w:pStyle w:val="TableContents"/>
              <w:spacing w:before="0" w:after="283"/>
              <w:rPr/>
            </w:pPr>
            <w:r>
              <w:rPr/>
              <w:t> </w:t>
            </w:r>
          </w:p>
        </w:tc>
        <w:tc>
          <w:tcPr>
            <w:tcW w:w="16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9" w:type="dxa"/>
            <w:tcBorders/>
            <w:shd w:fill="auto" w:val="clear"/>
            <w:vAlign w:val="cente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2024" w:type="dxa"/>
            <w:tcBorders/>
            <w:shd w:fill="auto" w:val="clear"/>
          </w:tcPr>
          <w:p>
            <w:pPr>
              <w:pStyle w:val="TableContents"/>
              <w:spacing w:before="0" w:after="283"/>
              <w:jc w:val="center"/>
              <w:rPr/>
            </w:pPr>
            <w:r>
              <w:rPr/>
              <w:t> </w:t>
            </w:r>
          </w:p>
        </w:tc>
        <w:tc>
          <w:tcPr>
            <w:tcW w:w="301" w:type="dxa"/>
            <w:tcBorders/>
            <w:shd w:fill="auto" w:val="clear"/>
            <w:vAlign w:val="center"/>
          </w:tcPr>
          <w:p>
            <w:pPr>
              <w:pStyle w:val="TableContents"/>
              <w:spacing w:before="0" w:after="283"/>
              <w:rPr/>
            </w:pPr>
            <w:r>
              <w:rPr/>
              <w:t> </w:t>
            </w:r>
          </w:p>
        </w:tc>
        <w:tc>
          <w:tcPr>
            <w:tcW w:w="573" w:type="dxa"/>
            <w:gridSpan w:val="2"/>
            <w:tcBorders>
              <w:top w:val="double" w:sz="6" w:space="0" w:color="000000"/>
            </w:tcBorders>
            <w:shd w:fill="auto" w:val="clear"/>
            <w:tcMar>
              <w:top w:w="28" w:type="dxa"/>
            </w:tcMar>
          </w:tcPr>
          <w:p>
            <w:pPr>
              <w:pStyle w:val="TableContents"/>
              <w:spacing w:before="0" w:after="283"/>
              <w:jc w:val="right"/>
              <w:rPr/>
            </w:pPr>
            <w:r>
              <w:rPr/>
              <w:t> </w:t>
            </w:r>
          </w:p>
        </w:tc>
        <w:tc>
          <w:tcPr>
            <w:tcW w:w="106"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double" w:sz="6" w:space="0" w:color="000000"/>
            </w:tcBorders>
            <w:shd w:fill="auto" w:val="clear"/>
            <w:tcMar>
              <w:top w:w="28" w:type="dxa"/>
            </w:tcMar>
          </w:tcPr>
          <w:p>
            <w:pPr>
              <w:pStyle w:val="TableContents"/>
              <w:spacing w:before="0" w:after="283"/>
              <w:jc w:val="right"/>
              <w:rPr/>
            </w:pPr>
            <w:r>
              <w:rPr/>
              <w:t> </w:t>
            </w:r>
          </w:p>
        </w:tc>
        <w:tc>
          <w:tcPr>
            <w:tcW w:w="106"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double" w:sz="6" w:space="0" w:color="000000"/>
            </w:tcBorders>
            <w:shd w:fill="auto" w:val="clear"/>
            <w:tcMar>
              <w:top w:w="28" w:type="dxa"/>
            </w:tcMar>
          </w:tcPr>
          <w:p>
            <w:pPr>
              <w:pStyle w:val="TableContents"/>
              <w:spacing w:before="0" w:after="283"/>
              <w:jc w:val="right"/>
              <w:rPr/>
            </w:pPr>
            <w:r>
              <w:rPr/>
              <w:t> </w:t>
            </w:r>
          </w:p>
        </w:tc>
        <w:tc>
          <w:tcPr>
            <w:tcW w:w="105"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double" w:sz="6" w:space="0" w:color="000000"/>
            </w:tcBorders>
            <w:shd w:fill="auto" w:val="clear"/>
            <w:tcMar>
              <w:top w:w="28" w:type="dxa"/>
            </w:tcMar>
          </w:tcPr>
          <w:p>
            <w:pPr>
              <w:pStyle w:val="TableContents"/>
              <w:spacing w:before="0" w:after="283"/>
              <w:jc w:val="right"/>
              <w:rPr/>
            </w:pPr>
            <w:r>
              <w:rPr/>
              <w:t> </w:t>
            </w:r>
          </w:p>
        </w:tc>
        <w:tc>
          <w:tcPr>
            <w:tcW w:w="106" w:type="dxa"/>
            <w:tcBorders/>
            <w:shd w:fill="auto" w:val="clear"/>
          </w:tcPr>
          <w:p>
            <w:pPr>
              <w:pStyle w:val="TableContents"/>
              <w:spacing w:before="0" w:after="283"/>
              <w:rPr/>
            </w:pPr>
            <w:r>
              <w:rPr/>
              <w:t> </w:t>
            </w:r>
          </w:p>
        </w:tc>
        <w:tc>
          <w:tcPr>
            <w:tcW w:w="301" w:type="dxa"/>
            <w:tcBorders/>
            <w:shd w:fill="auto" w:val="clear"/>
            <w:vAlign w:val="center"/>
          </w:tcPr>
          <w:p>
            <w:pPr>
              <w:pStyle w:val="TableContents"/>
              <w:spacing w:before="0" w:after="283"/>
              <w:rPr/>
            </w:pPr>
            <w:r>
              <w:rPr/>
              <w:t> </w:t>
            </w:r>
          </w:p>
        </w:tc>
        <w:tc>
          <w:tcPr>
            <w:tcW w:w="574" w:type="dxa"/>
            <w:gridSpan w:val="2"/>
            <w:tcBorders>
              <w:top w:val="double" w:sz="6" w:space="0" w:color="000000"/>
            </w:tcBorders>
            <w:shd w:fill="auto" w:val="clear"/>
            <w:tcMar>
              <w:top w:w="28" w:type="dxa"/>
            </w:tcMar>
          </w:tcPr>
          <w:p>
            <w:pPr>
              <w:pStyle w:val="TableContents"/>
              <w:spacing w:before="0" w:after="283"/>
              <w:jc w:val="right"/>
              <w:rPr/>
            </w:pPr>
            <w:r>
              <w:rPr/>
              <w:t> </w:t>
            </w:r>
          </w:p>
        </w:tc>
        <w:tc>
          <w:tcPr>
            <w:tcW w:w="121" w:type="dxa"/>
            <w:tcBorders/>
            <w:shd w:fill="auto" w:val="clea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80"/>
        <w:gridCol w:w="2179"/>
        <w:gridCol w:w="1446"/>
      </w:tblGrid>
      <w:tr>
        <w:trPr/>
        <w:tc>
          <w:tcPr>
            <w:tcW w:w="6580"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r>
      <w:tr>
        <w:trPr/>
        <w:tc>
          <w:tcPr>
            <w:tcW w:w="6580" w:type="dxa"/>
            <w:tcBorders/>
            <w:shd w:fill="auto" w:val="clear"/>
          </w:tcPr>
          <w:p>
            <w:pPr>
              <w:pStyle w:val="TableContents"/>
              <w:spacing w:before="0" w:after="283"/>
              <w:jc w:val="left"/>
              <w:rPr/>
            </w:pPr>
            <w:r>
              <w:rPr/>
              <w:t>(1)</w:t>
            </w:r>
          </w:p>
        </w:tc>
        <w:tc>
          <w:tcPr>
            <w:tcW w:w="2179" w:type="dxa"/>
            <w:tcBorders/>
            <w:shd w:fill="auto" w:val="clear"/>
          </w:tcPr>
          <w:p>
            <w:pPr>
              <w:pStyle w:val="TableContents"/>
              <w:spacing w:before="0" w:after="283"/>
              <w:rPr/>
            </w:pPr>
            <w:r>
              <w:rPr/>
              <w:t> </w:t>
            </w:r>
          </w:p>
        </w:tc>
        <w:tc>
          <w:tcPr>
            <w:tcW w:w="1446" w:type="dxa"/>
            <w:tcBorders/>
            <w:shd w:fill="auto" w:val="clear"/>
          </w:tcPr>
          <w:p>
            <w:pPr>
              <w:pStyle w:val="TableContents"/>
              <w:spacing w:before="0" w:after="283"/>
              <w:rPr/>
            </w:pPr>
            <w:r>
              <w:rPr/>
              <w:t>Upon our February 2007 annualized distribution of $3.20, these LTIP awards satisfied all distribution requirements and will vest upon completion of the respective service period.</w:t>
            </w:r>
          </w:p>
        </w:tc>
      </w:tr>
      <w:tr>
        <w:trPr/>
        <w:tc>
          <w:tcPr>
            <w:tcW w:w="6580" w:type="dxa"/>
            <w:tcBorders/>
            <w:shd w:fill="auto" w:val="clear"/>
            <w:vAlign w:val="center"/>
          </w:tcPr>
          <w:p>
            <w:pPr>
              <w:pStyle w:val="TableContents"/>
              <w:spacing w:before="0" w:after="283"/>
              <w:rPr/>
            </w:pPr>
            <w:r>
              <w:rPr/>
              <w:t> </w:t>
            </w:r>
          </w:p>
        </w:tc>
        <w:tc>
          <w:tcPr>
            <w:tcW w:w="3625" w:type="dxa"/>
            <w:gridSpan w:val="2"/>
            <w:tcBorders/>
            <w:shd w:fill="auto" w:val="clear"/>
          </w:tcPr>
          <w:p>
            <w:pPr>
              <w:pStyle w:val="TableContents"/>
              <w:spacing w:before="0" w:after="283"/>
              <w:rPr>
                <w:sz w:val="4"/>
                <w:szCs w:val="4"/>
              </w:rPr>
            </w:pPr>
            <w:r>
              <w:rPr>
                <w:sz w:val="4"/>
                <w:szCs w:val="4"/>
              </w:rPr>
            </w:r>
          </w:p>
        </w:tc>
      </w:tr>
      <w:tr>
        <w:trPr/>
        <w:tc>
          <w:tcPr>
            <w:tcW w:w="6580" w:type="dxa"/>
            <w:tcBorders/>
            <w:shd w:fill="auto" w:val="clear"/>
          </w:tcPr>
          <w:p>
            <w:pPr>
              <w:pStyle w:val="TableContents"/>
              <w:spacing w:before="0" w:after="283"/>
              <w:jc w:val="left"/>
              <w:rPr/>
            </w:pPr>
            <w:r>
              <w:rPr/>
              <w:t>(2)</w:t>
            </w:r>
          </w:p>
        </w:tc>
        <w:tc>
          <w:tcPr>
            <w:tcW w:w="2179" w:type="dxa"/>
            <w:tcBorders/>
            <w:shd w:fill="auto" w:val="clear"/>
          </w:tcPr>
          <w:p>
            <w:pPr>
              <w:pStyle w:val="TableContents"/>
              <w:spacing w:before="0" w:after="283"/>
              <w:rPr/>
            </w:pPr>
            <w:r>
              <w:rPr/>
              <w:t> </w:t>
            </w:r>
          </w:p>
        </w:tc>
        <w:tc>
          <w:tcPr>
            <w:tcW w:w="1446" w:type="dxa"/>
            <w:tcBorders/>
            <w:shd w:fill="auto" w:val="clear"/>
          </w:tcPr>
          <w:p>
            <w:pPr>
              <w:pStyle w:val="TableContents"/>
              <w:spacing w:before="0" w:after="283"/>
              <w:rPr/>
            </w:pPr>
            <w:r>
              <w:rPr/>
              <w:t>These LTIP awards have performance conditions requiring the attainment of an annualized distribution of between $3.50 and $4.00 and vest upon the later of a certain date or the attainment of such levels. If the performance conditions are not attained, these awards will be forfeited. The awards are presented above assuming the distribution levels are attained.</w:t>
            </w:r>
          </w:p>
        </w:tc>
      </w:tr>
      <w:tr>
        <w:trPr/>
        <w:tc>
          <w:tcPr>
            <w:tcW w:w="6580" w:type="dxa"/>
            <w:tcBorders/>
            <w:shd w:fill="auto" w:val="clear"/>
            <w:vAlign w:val="center"/>
          </w:tcPr>
          <w:p>
            <w:pPr>
              <w:pStyle w:val="TableContents"/>
              <w:spacing w:before="0" w:after="283"/>
              <w:rPr/>
            </w:pPr>
            <w:r>
              <w:rPr/>
              <w:t> </w:t>
            </w:r>
          </w:p>
        </w:tc>
        <w:tc>
          <w:tcPr>
            <w:tcW w:w="3625" w:type="dxa"/>
            <w:gridSpan w:val="2"/>
            <w:tcBorders/>
            <w:shd w:fill="auto" w:val="clear"/>
          </w:tcPr>
          <w:p>
            <w:pPr>
              <w:pStyle w:val="TableContents"/>
              <w:spacing w:before="0" w:after="283"/>
              <w:rPr>
                <w:sz w:val="4"/>
                <w:szCs w:val="4"/>
              </w:rPr>
            </w:pPr>
            <w:r>
              <w:rPr>
                <w:sz w:val="4"/>
                <w:szCs w:val="4"/>
              </w:rPr>
            </w:r>
          </w:p>
        </w:tc>
      </w:tr>
      <w:tr>
        <w:trPr/>
        <w:tc>
          <w:tcPr>
            <w:tcW w:w="6580" w:type="dxa"/>
            <w:tcBorders/>
            <w:shd w:fill="auto" w:val="clear"/>
          </w:tcPr>
          <w:p>
            <w:pPr>
              <w:pStyle w:val="TableContents"/>
              <w:spacing w:before="0" w:after="283"/>
              <w:jc w:val="left"/>
              <w:rPr/>
            </w:pPr>
            <w:r>
              <w:rPr/>
              <w:t>(3)</w:t>
            </w:r>
          </w:p>
        </w:tc>
        <w:tc>
          <w:tcPr>
            <w:tcW w:w="2179" w:type="dxa"/>
            <w:tcBorders/>
            <w:shd w:fill="auto" w:val="clear"/>
          </w:tcPr>
          <w:p>
            <w:pPr>
              <w:pStyle w:val="TableContents"/>
              <w:spacing w:before="0" w:after="283"/>
              <w:rPr/>
            </w:pPr>
            <w:r>
              <w:rPr/>
              <w:t> </w:t>
            </w:r>
          </w:p>
        </w:tc>
        <w:tc>
          <w:tcPr>
            <w:tcW w:w="1446" w:type="dxa"/>
            <w:tcBorders/>
            <w:shd w:fill="auto" w:val="clear"/>
          </w:tcPr>
          <w:p>
            <w:pPr>
              <w:pStyle w:val="TableContents"/>
              <w:spacing w:before="0" w:after="283"/>
              <w:rPr/>
            </w:pPr>
            <w:r>
              <w:rPr/>
              <w:t>These LTIP awards have performance conditions requiring the attainment of an annualized distribution of between $3.50 and $4.00. Fifty percent of these awards will vest in 2012 regardless of whether the performance conditions are attained. The awards are presented above assuming the distribution levels are attained.</w:t>
            </w:r>
          </w:p>
        </w:tc>
      </w:tr>
      <w:tr>
        <w:trPr/>
        <w:tc>
          <w:tcPr>
            <w:tcW w:w="6580" w:type="dxa"/>
            <w:tcBorders/>
            <w:shd w:fill="auto" w:val="clear"/>
            <w:vAlign w:val="center"/>
          </w:tcPr>
          <w:p>
            <w:pPr>
              <w:pStyle w:val="TableContents"/>
              <w:spacing w:before="0" w:after="283"/>
              <w:rPr/>
            </w:pPr>
            <w:r>
              <w:rPr/>
              <w:t> </w:t>
            </w:r>
          </w:p>
        </w:tc>
        <w:tc>
          <w:tcPr>
            <w:tcW w:w="3625" w:type="dxa"/>
            <w:gridSpan w:val="2"/>
            <w:tcBorders/>
            <w:shd w:fill="auto" w:val="clear"/>
          </w:tcPr>
          <w:p>
            <w:pPr>
              <w:pStyle w:val="TableContents"/>
              <w:spacing w:before="0" w:after="283"/>
              <w:rPr>
                <w:sz w:val="4"/>
                <w:szCs w:val="4"/>
              </w:rPr>
            </w:pPr>
            <w:r>
              <w:rPr>
                <w:sz w:val="4"/>
                <w:szCs w:val="4"/>
              </w:rPr>
            </w:r>
          </w:p>
        </w:tc>
      </w:tr>
      <w:tr>
        <w:trPr/>
        <w:tc>
          <w:tcPr>
            <w:tcW w:w="6580" w:type="dxa"/>
            <w:tcBorders/>
            <w:shd w:fill="auto" w:val="clear"/>
          </w:tcPr>
          <w:p>
            <w:pPr>
              <w:pStyle w:val="TableContents"/>
              <w:spacing w:before="0" w:after="283"/>
              <w:jc w:val="left"/>
              <w:rPr/>
            </w:pPr>
            <w:r>
              <w:rPr/>
              <w:t>(4)</w:t>
            </w:r>
          </w:p>
        </w:tc>
        <w:tc>
          <w:tcPr>
            <w:tcW w:w="2179" w:type="dxa"/>
            <w:tcBorders/>
            <w:shd w:fill="auto" w:val="clear"/>
          </w:tcPr>
          <w:p>
            <w:pPr>
              <w:pStyle w:val="TableContents"/>
              <w:spacing w:before="0" w:after="283"/>
              <w:rPr/>
            </w:pPr>
            <w:r>
              <w:rPr/>
              <w:t> </w:t>
            </w:r>
          </w:p>
        </w:tc>
        <w:tc>
          <w:tcPr>
            <w:tcW w:w="1446" w:type="dxa"/>
            <w:tcBorders/>
            <w:shd w:fill="auto" w:val="clear"/>
          </w:tcPr>
          <w:p>
            <w:pPr>
              <w:pStyle w:val="TableContents"/>
              <w:spacing w:before="0" w:after="283"/>
              <w:rPr/>
            </w:pPr>
            <w:r>
              <w:rPr/>
              <w:t>Approximately 2.1 million of our 3.6 million outstanding LTIP awards also include DERs, of which 1.0 million are currently earned.</w:t>
            </w:r>
          </w:p>
        </w:tc>
      </w:tr>
      <w:tr>
        <w:trPr/>
        <w:tc>
          <w:tcPr>
            <w:tcW w:w="6580" w:type="dxa"/>
            <w:tcBorders/>
            <w:shd w:fill="auto" w:val="clear"/>
            <w:vAlign w:val="center"/>
          </w:tcPr>
          <w:p>
            <w:pPr>
              <w:pStyle w:val="TableContents"/>
              <w:spacing w:before="0" w:after="283"/>
              <w:rPr/>
            </w:pPr>
            <w:r>
              <w:rPr/>
              <w:t> </w:t>
            </w:r>
          </w:p>
        </w:tc>
        <w:tc>
          <w:tcPr>
            <w:tcW w:w="3625" w:type="dxa"/>
            <w:gridSpan w:val="2"/>
            <w:tcBorders/>
            <w:shd w:fill="auto" w:val="clear"/>
          </w:tcPr>
          <w:p>
            <w:pPr>
              <w:pStyle w:val="TableContents"/>
              <w:spacing w:before="0" w:after="283"/>
              <w:rPr>
                <w:sz w:val="4"/>
                <w:szCs w:val="4"/>
              </w:rPr>
            </w:pPr>
            <w:r>
              <w:rPr>
                <w:sz w:val="4"/>
                <w:szCs w:val="4"/>
              </w:rPr>
            </w:r>
          </w:p>
        </w:tc>
      </w:tr>
      <w:tr>
        <w:trPr/>
        <w:tc>
          <w:tcPr>
            <w:tcW w:w="6580" w:type="dxa"/>
            <w:tcBorders/>
            <w:shd w:fill="auto" w:val="clear"/>
          </w:tcPr>
          <w:p>
            <w:pPr>
              <w:pStyle w:val="TableContents"/>
              <w:spacing w:before="0" w:after="283"/>
              <w:jc w:val="left"/>
              <w:rPr/>
            </w:pPr>
            <w:r>
              <w:rPr/>
              <w:t>(5)</w:t>
            </w:r>
          </w:p>
        </w:tc>
        <w:tc>
          <w:tcPr>
            <w:tcW w:w="2179" w:type="dxa"/>
            <w:tcBorders/>
            <w:shd w:fill="auto" w:val="clear"/>
          </w:tcPr>
          <w:p>
            <w:pPr>
              <w:pStyle w:val="TableContents"/>
              <w:spacing w:before="0" w:after="283"/>
              <w:rPr/>
            </w:pPr>
            <w:r>
              <w:rPr/>
              <w:t> </w:t>
            </w:r>
          </w:p>
        </w:tc>
        <w:tc>
          <w:tcPr>
            <w:tcW w:w="1446" w:type="dxa"/>
            <w:tcBorders/>
            <w:shd w:fill="auto" w:val="clear"/>
          </w:tcPr>
          <w:p>
            <w:pPr>
              <w:pStyle w:val="TableContents"/>
              <w:spacing w:before="0" w:after="283"/>
              <w:rPr/>
            </w:pPr>
            <w:r>
              <w:rPr/>
              <w:t>LTIP units outstanding do not include Class B Restricted Units of our general partner (see below).</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LTIP activity is summarized in the following table (in millions, except weighted average grant date fair values per unit): </w:t>
      </w:r>
    </w:p>
    <w:tbl>
      <w:tblPr>
        <w:tblW w:w="5000" w:type="pct"/>
        <w:jc w:val="center"/>
        <w:tblInd w:w="0" w:type="dxa"/>
        <w:tblCellMar>
          <w:top w:w="0" w:type="dxa"/>
          <w:left w:w="0" w:type="dxa"/>
          <w:bottom w:w="0" w:type="dxa"/>
          <w:right w:w="0" w:type="dxa"/>
        </w:tblCellMar>
      </w:tblPr>
      <w:tblGrid>
        <w:gridCol w:w="6880"/>
        <w:gridCol w:w="450"/>
        <w:gridCol w:w="290"/>
        <w:gridCol w:w="128"/>
        <w:gridCol w:w="564"/>
        <w:gridCol w:w="478"/>
        <w:gridCol w:w="522"/>
        <w:gridCol w:w="361"/>
        <w:gridCol w:w="532"/>
      </w:tblGrid>
      <w:tr>
        <w:trPr/>
        <w:tc>
          <w:tcPr>
            <w:tcW w:w="688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rPr/>
            </w:pPr>
            <w:r>
              <w:rPr/>
              <w:t> </w:t>
            </w:r>
          </w:p>
        </w:tc>
      </w:tr>
      <w:tr>
        <w:trPr/>
        <w:tc>
          <w:tcPr>
            <w:tcW w:w="688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Weighted</w:t>
            </w:r>
          </w:p>
        </w:tc>
      </w:tr>
      <w:tr>
        <w:trPr/>
        <w:tc>
          <w:tcPr>
            <w:tcW w:w="688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Average</w:t>
            </w:r>
          </w:p>
        </w:tc>
      </w:tr>
      <w:tr>
        <w:trPr/>
        <w:tc>
          <w:tcPr>
            <w:tcW w:w="688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Grant Date</w:t>
            </w:r>
          </w:p>
        </w:tc>
      </w:tr>
      <w:tr>
        <w:trPr/>
        <w:tc>
          <w:tcPr>
            <w:tcW w:w="688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982" w:type="dxa"/>
            <w:gridSpan w:val="3"/>
            <w:tcBorders>
              <w:bottom w:val="single" w:sz="2" w:space="0" w:color="000000"/>
            </w:tcBorders>
            <w:shd w:fill="auto" w:val="clear"/>
            <w:tcMar>
              <w:bottom w:w="28" w:type="dxa"/>
            </w:tcMar>
            <w:vAlign w:val="bottom"/>
          </w:tcPr>
          <w:p>
            <w:pPr>
              <w:pStyle w:val="TableContents"/>
              <w:spacing w:before="0" w:after="283"/>
              <w:jc w:val="center"/>
              <w:rPr/>
            </w:pPr>
            <w:r>
              <w:rPr/>
              <w:t>Units</w:t>
            </w:r>
          </w:p>
        </w:tc>
        <w:tc>
          <w:tcPr>
            <w:tcW w:w="478" w:type="dxa"/>
            <w:tcBorders/>
            <w:shd w:fill="auto" w:val="clear"/>
            <w:vAlign w:val="bottom"/>
          </w:tcPr>
          <w:p>
            <w:pPr>
              <w:pStyle w:val="TableContents"/>
              <w:spacing w:before="0" w:after="283"/>
              <w:rPr/>
            </w:pPr>
            <w:r>
              <w:rPr/>
              <w:t> </w:t>
            </w:r>
          </w:p>
        </w:tc>
        <w:tc>
          <w:tcPr>
            <w:tcW w:w="1415" w:type="dxa"/>
            <w:gridSpan w:val="3"/>
            <w:tcBorders>
              <w:bottom w:val="single" w:sz="2" w:space="0" w:color="000000"/>
            </w:tcBorders>
            <w:shd w:fill="auto" w:val="clear"/>
            <w:tcMar>
              <w:bottom w:w="28" w:type="dxa"/>
            </w:tcMar>
            <w:vAlign w:val="bottom"/>
          </w:tcPr>
          <w:p>
            <w:pPr>
              <w:pStyle w:val="TableContents"/>
              <w:spacing w:before="0" w:after="283"/>
              <w:jc w:val="center"/>
              <w:rPr/>
            </w:pPr>
            <w:r>
              <w:rPr/>
              <w:t>Fair Value</w:t>
            </w:r>
          </w:p>
        </w:tc>
      </w:tr>
      <w:tr>
        <w:trPr/>
        <w:tc>
          <w:tcPr>
            <w:tcW w:w="6880" w:type="dxa"/>
            <w:tcBorders/>
            <w:shd w:fill="CCEEFF" w:val="clear"/>
            <w:vAlign w:val="bottom"/>
          </w:tcPr>
          <w:p>
            <w:pPr>
              <w:pStyle w:val="TableContents"/>
              <w:spacing w:before="0" w:after="0"/>
              <w:ind w:left="225" w:right="0" w:hanging="225"/>
              <w:rPr/>
            </w:pPr>
            <w:r>
              <w:rPr/>
              <w:t>Outstanding at January 1, 2007</w:t>
            </w:r>
          </w:p>
        </w:tc>
        <w:tc>
          <w:tcPr>
            <w:tcW w:w="45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3.0</w:t>
            </w:r>
          </w:p>
        </w:tc>
        <w:tc>
          <w:tcPr>
            <w:tcW w:w="478" w:type="dxa"/>
            <w:tcBorders/>
            <w:shd w:fill="CCEEFF" w:val="clear"/>
            <w:vAlign w:val="bottom"/>
          </w:tcPr>
          <w:p>
            <w:pPr>
              <w:pStyle w:val="TableContents"/>
              <w:spacing w:before="0" w:after="283"/>
              <w:rPr/>
            </w:pPr>
            <w:r>
              <w:rPr/>
              <w:t> </w:t>
            </w:r>
          </w:p>
        </w:tc>
        <w:tc>
          <w:tcPr>
            <w:tcW w:w="1415" w:type="dxa"/>
            <w:gridSpan w:val="3"/>
            <w:tcBorders/>
            <w:shd w:fill="CCEEFF" w:val="clear"/>
            <w:vAlign w:val="bottom"/>
          </w:tcPr>
          <w:p>
            <w:pPr>
              <w:pStyle w:val="TableContents"/>
              <w:spacing w:before="0" w:after="283"/>
              <w:jc w:val="center"/>
              <w:rPr/>
            </w:pPr>
            <w:r>
              <w:rPr/>
              <w:t>$31.94</w:t>
            </w:r>
          </w:p>
        </w:tc>
      </w:tr>
      <w:tr>
        <w:trPr/>
        <w:tc>
          <w:tcPr>
            <w:tcW w:w="6880" w:type="dxa"/>
            <w:tcBorders/>
            <w:shd w:fill="auto" w:val="clear"/>
            <w:vAlign w:val="bottom"/>
          </w:tcPr>
          <w:p>
            <w:pPr>
              <w:pStyle w:val="TableContents"/>
              <w:spacing w:before="0" w:after="0"/>
              <w:ind w:left="450" w:right="0" w:hanging="225"/>
              <w:rPr/>
            </w:pPr>
            <w:r>
              <w:rPr/>
              <w:t>Granted</w:t>
            </w:r>
          </w:p>
        </w:tc>
        <w:tc>
          <w:tcPr>
            <w:tcW w:w="45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1.5</w:t>
            </w:r>
          </w:p>
        </w:tc>
        <w:tc>
          <w:tcPr>
            <w:tcW w:w="478" w:type="dxa"/>
            <w:tcBorders/>
            <w:shd w:fill="auto" w:val="clear"/>
            <w:vAlign w:val="bottom"/>
          </w:tcPr>
          <w:p>
            <w:pPr>
              <w:pStyle w:val="TableContents"/>
              <w:spacing w:before="0" w:after="283"/>
              <w:rPr/>
            </w:pPr>
            <w:r>
              <w:rPr/>
              <w:t> </w:t>
            </w:r>
          </w:p>
        </w:tc>
        <w:tc>
          <w:tcPr>
            <w:tcW w:w="1415" w:type="dxa"/>
            <w:gridSpan w:val="3"/>
            <w:tcBorders/>
            <w:shd w:fill="auto" w:val="clear"/>
            <w:vAlign w:val="bottom"/>
          </w:tcPr>
          <w:p>
            <w:pPr>
              <w:pStyle w:val="TableContents"/>
              <w:spacing w:before="0" w:after="283"/>
              <w:jc w:val="center"/>
              <w:rPr/>
            </w:pPr>
            <w:r>
              <w:rPr/>
              <w:t>$44.18</w:t>
            </w:r>
          </w:p>
        </w:tc>
      </w:tr>
      <w:tr>
        <w:trPr/>
        <w:tc>
          <w:tcPr>
            <w:tcW w:w="6880" w:type="dxa"/>
            <w:tcBorders/>
            <w:shd w:fill="CCEEFF" w:val="clear"/>
            <w:vAlign w:val="bottom"/>
          </w:tcPr>
          <w:p>
            <w:pPr>
              <w:pStyle w:val="TableContents"/>
              <w:spacing w:before="0" w:after="0"/>
              <w:ind w:left="450" w:right="0" w:hanging="225"/>
              <w:rPr/>
            </w:pPr>
            <w:r>
              <w:rPr/>
              <w:t>Vested</w:t>
            </w:r>
          </w:p>
        </w:tc>
        <w:tc>
          <w:tcPr>
            <w:tcW w:w="45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(0.7</w:t>
            </w:r>
          </w:p>
        </w:tc>
        <w:tc>
          <w:tcPr>
            <w:tcW w:w="478" w:type="dxa"/>
            <w:tcBorders/>
            <w:shd w:fill="CCEEFF" w:val="clear"/>
            <w:vAlign w:val="bottom"/>
          </w:tcPr>
          <w:p>
            <w:pPr>
              <w:pStyle w:val="TableContents"/>
              <w:spacing w:before="0" w:after="283"/>
              <w:rPr/>
            </w:pPr>
            <w:r>
              <w:rPr/>
              <w:t>)</w:t>
            </w:r>
          </w:p>
        </w:tc>
        <w:tc>
          <w:tcPr>
            <w:tcW w:w="1415" w:type="dxa"/>
            <w:gridSpan w:val="3"/>
            <w:tcBorders/>
            <w:shd w:fill="CCEEFF" w:val="clear"/>
            <w:vAlign w:val="bottom"/>
          </w:tcPr>
          <w:p>
            <w:pPr>
              <w:pStyle w:val="TableContents"/>
              <w:spacing w:before="0" w:after="283"/>
              <w:jc w:val="center"/>
              <w:rPr/>
            </w:pPr>
            <w:r>
              <w:rPr/>
              <w:t>$34.86</w:t>
            </w:r>
          </w:p>
        </w:tc>
      </w:tr>
      <w:tr>
        <w:trPr/>
        <w:tc>
          <w:tcPr>
            <w:tcW w:w="6880" w:type="dxa"/>
            <w:tcBorders/>
            <w:shd w:fill="auto" w:val="clear"/>
            <w:vAlign w:val="bottom"/>
          </w:tcPr>
          <w:p>
            <w:pPr>
              <w:pStyle w:val="TableContents"/>
              <w:spacing w:before="0" w:after="0"/>
              <w:ind w:left="450" w:right="0" w:hanging="225"/>
              <w:rPr/>
            </w:pPr>
            <w:r>
              <w:rPr/>
              <w:t>Cancelled or forfeited</w:t>
            </w:r>
          </w:p>
        </w:tc>
        <w:tc>
          <w:tcPr>
            <w:tcW w:w="45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(0.2</w:t>
            </w:r>
          </w:p>
        </w:tc>
        <w:tc>
          <w:tcPr>
            <w:tcW w:w="478" w:type="dxa"/>
            <w:tcBorders/>
            <w:shd w:fill="auto" w:val="clear"/>
            <w:vAlign w:val="bottom"/>
          </w:tcPr>
          <w:p>
            <w:pPr>
              <w:pStyle w:val="TableContents"/>
              <w:spacing w:before="0" w:after="283"/>
              <w:rPr/>
            </w:pPr>
            <w:r>
              <w:rPr/>
              <w:t>)</w:t>
            </w:r>
          </w:p>
        </w:tc>
        <w:tc>
          <w:tcPr>
            <w:tcW w:w="1415" w:type="dxa"/>
            <w:gridSpan w:val="3"/>
            <w:tcBorders/>
            <w:shd w:fill="auto" w:val="clear"/>
            <w:vAlign w:val="bottom"/>
          </w:tcPr>
          <w:p>
            <w:pPr>
              <w:pStyle w:val="TableContents"/>
              <w:spacing w:before="0" w:after="283"/>
              <w:jc w:val="center"/>
              <w:rPr/>
            </w:pPr>
            <w:r>
              <w:rPr/>
              <w:t>$37.20</w:t>
            </w:r>
          </w:p>
        </w:tc>
      </w:tr>
      <w:tr>
        <w:trPr/>
        <w:tc>
          <w:tcPr>
            <w:tcW w:w="6880" w:type="dxa"/>
            <w:tcBorders/>
            <w:shd w:fill="auto" w:val="clear"/>
            <w:vAlign w:val="center"/>
          </w:tcPr>
          <w:p>
            <w:pPr>
              <w:pStyle w:val="TableContents"/>
              <w:spacing w:before="0" w:after="0"/>
              <w:ind w:left="225" w:right="0" w:hanging="225"/>
              <w:rPr/>
            </w:pPr>
            <w:r>
              <w:rPr/>
              <w:t> </w:t>
            </w:r>
          </w:p>
        </w:tc>
        <w:tc>
          <w:tcPr>
            <w:tcW w:w="450" w:type="dxa"/>
            <w:tcBorders/>
            <w:shd w:fill="auto" w:val="clear"/>
            <w:vAlign w:val="center"/>
          </w:tcPr>
          <w:p>
            <w:pPr>
              <w:pStyle w:val="TableContents"/>
              <w:spacing w:before="0" w:after="283"/>
              <w:rPr/>
            </w:pPr>
            <w:r>
              <w:rPr/>
              <w:t> </w:t>
            </w:r>
          </w:p>
        </w:tc>
        <w:tc>
          <w:tcPr>
            <w:tcW w:w="290"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64"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478" w:type="dxa"/>
            <w:tcBorders/>
            <w:shd w:fill="auto" w:val="clear"/>
            <w:vAlign w:val="center"/>
          </w:tcPr>
          <w:p>
            <w:pPr>
              <w:pStyle w:val="TableContents"/>
              <w:spacing w:before="0" w:after="283"/>
              <w:rPr/>
            </w:pPr>
            <w:r>
              <w:rPr/>
              <w:t> </w:t>
            </w:r>
          </w:p>
        </w:tc>
        <w:tc>
          <w:tcPr>
            <w:tcW w:w="522"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532" w:type="dxa"/>
            <w:tcBorders/>
            <w:shd w:fill="auto" w:val="clear"/>
            <w:vAlign w:val="center"/>
          </w:tcPr>
          <w:p>
            <w:pPr>
              <w:pStyle w:val="TableContents"/>
              <w:spacing w:before="0" w:after="283"/>
              <w:rPr/>
            </w:pPr>
            <w:r>
              <w:rPr/>
              <w:t> </w:t>
            </w:r>
          </w:p>
        </w:tc>
      </w:tr>
      <w:tr>
        <w:trPr/>
        <w:tc>
          <w:tcPr>
            <w:tcW w:w="6880" w:type="dxa"/>
            <w:tcBorders/>
            <w:shd w:fill="CCEEFF" w:val="clear"/>
            <w:vAlign w:val="bottom"/>
          </w:tcPr>
          <w:p>
            <w:pPr>
              <w:pStyle w:val="TableContents"/>
              <w:spacing w:before="0" w:after="0"/>
              <w:ind w:left="225" w:right="0" w:hanging="225"/>
              <w:rPr/>
            </w:pPr>
            <w:r>
              <w:rPr/>
              <w:t>Outstanding at September 30, 2007</w:t>
            </w:r>
          </w:p>
        </w:tc>
        <w:tc>
          <w:tcPr>
            <w:tcW w:w="45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3.6</w:t>
            </w:r>
          </w:p>
        </w:tc>
        <w:tc>
          <w:tcPr>
            <w:tcW w:w="478" w:type="dxa"/>
            <w:tcBorders/>
            <w:shd w:fill="CCEEFF" w:val="clear"/>
            <w:vAlign w:val="bottom"/>
          </w:tcPr>
          <w:p>
            <w:pPr>
              <w:pStyle w:val="TableContents"/>
              <w:spacing w:before="0" w:after="283"/>
              <w:rPr/>
            </w:pPr>
            <w:r>
              <w:rPr/>
              <w:t> </w:t>
            </w:r>
          </w:p>
        </w:tc>
        <w:tc>
          <w:tcPr>
            <w:tcW w:w="1415" w:type="dxa"/>
            <w:gridSpan w:val="3"/>
            <w:tcBorders/>
            <w:shd w:fill="CCEEFF" w:val="clear"/>
            <w:vAlign w:val="bottom"/>
          </w:tcPr>
          <w:p>
            <w:pPr>
              <w:pStyle w:val="TableContents"/>
              <w:spacing w:before="0" w:after="283"/>
              <w:jc w:val="center"/>
              <w:rPr/>
            </w:pPr>
            <w:r>
              <w:rPr/>
              <w:t>$36.26</w:t>
            </w:r>
          </w:p>
        </w:tc>
      </w:tr>
    </w:tbl>
    <w:p>
      <w:pPr>
        <w:pStyle w:val="TextBody"/>
        <w:spacing w:before="120" w:after="283"/>
        <w:jc w:val="left"/>
        <w:rPr/>
      </w:pPr>
      <w:r>
        <w:rPr/>
        <w:t>     </w:t>
      </w:r>
      <w:r>
        <w:rPr>
          <w:rFonts w:ascii="Times New Roman;Times;serif" w:hAnsi="Times New Roman;Times;serif"/>
          <w:sz w:val="17"/>
        </w:rPr>
        <w:t xml:space="preserve">Our accrued liability at September 30, 2007 related to all outstanding LTIP awards and DERs is approximately $47 million, which includes an accrual associated with our assessment that the distribution threshold of $3.50 is probable of occurring. We have not deemed a distribution of more than $3.50 to be probable.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Class B Units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August 29, 2007, the Board of Directors of Plains All American GP LLC authorized the issuance of 200,000 Class B units of Plains AAP, L.P., our general partner. At September 30, 2007, approximately 85,500 Class B restricted units have been granted and the remaining units are reserved for future grants. The Class B restricted units are earned in 25% increments upon us achieving annualized distribution levels of $3.50, $3.75, $4.00 and $4.50. When earned, the Class B units are entitled to participate in distributions paid to our general partner in excess of $11 million per quarter. Assuming all 200,000 Class B units were granted and earned, the maximum participation would be 8% of the general partner distribution in excess of $11.0 million each quarter. Although the entire economic burden of the Class B units, which are equity classified, are borne solely by the owners of our general partner and do not impact our cash or units outstanding, the intent of the Class B units is to provide a performance incentive and encourage retention for certain members of our senior management. Therefore, we recognize the grant date fair value of the Class B units as compensation expense over the service period. The expense is also reflected as a capital contribution and thus, results in a corresponding credit to the general partners capital account in our Condensed Consolidated Financial Statements. The expense and capital contribution for the three and nine months ended September 30, 2007 were approximately $1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Consolidated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refer to our LTIP Plans and the Class B units collectively as our Equity compensation plans. The table below summarizes the expense recognized and the value of vestings (settled both in units and cash) related to our equity compensation plans (in millions): </w:t>
      </w:r>
    </w:p>
    <w:tbl>
      <w:tblPr>
        <w:tblW w:w="5000" w:type="pct"/>
        <w:jc w:val="center"/>
        <w:tblInd w:w="0" w:type="dxa"/>
        <w:tblCellMar>
          <w:top w:w="0" w:type="dxa"/>
          <w:left w:w="0" w:type="dxa"/>
          <w:bottom w:w="0" w:type="dxa"/>
          <w:right w:w="0" w:type="dxa"/>
        </w:tblCellMar>
      </w:tblPr>
      <w:tblGrid>
        <w:gridCol w:w="3639"/>
        <w:gridCol w:w="306"/>
        <w:gridCol w:w="389"/>
        <w:gridCol w:w="597"/>
        <w:gridCol w:w="252"/>
        <w:gridCol w:w="352"/>
        <w:gridCol w:w="389"/>
        <w:gridCol w:w="803"/>
        <w:gridCol w:w="255"/>
        <w:gridCol w:w="306"/>
        <w:gridCol w:w="354"/>
        <w:gridCol w:w="693"/>
        <w:gridCol w:w="236"/>
        <w:gridCol w:w="336"/>
        <w:gridCol w:w="354"/>
        <w:gridCol w:w="692"/>
        <w:gridCol w:w="252"/>
      </w:tblGrid>
      <w:tr>
        <w:trPr/>
        <w:tc>
          <w:tcPr>
            <w:tcW w:w="363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692"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3037" w:type="dxa"/>
            <w:gridSpan w:val="7"/>
            <w:tcBorders/>
            <w:shd w:fill="auto" w:val="clear"/>
            <w:vAlign w:val="bottom"/>
          </w:tcPr>
          <w:p>
            <w:pPr>
              <w:pStyle w:val="TableContents"/>
              <w:spacing w:before="0" w:after="283"/>
              <w:jc w:val="center"/>
              <w:rPr>
                <w:b/>
              </w:rPr>
            </w:pPr>
            <w:r>
              <w:rPr>
                <w:b/>
              </w:rPr>
              <w:t>Three Months Ended</w:t>
            </w:r>
          </w:p>
        </w:tc>
        <w:tc>
          <w:tcPr>
            <w:tcW w:w="306" w:type="dxa"/>
            <w:tcBorders/>
            <w:shd w:fill="auto" w:val="clear"/>
            <w:vAlign w:val="bottom"/>
          </w:tcPr>
          <w:p>
            <w:pPr>
              <w:pStyle w:val="TableContents"/>
              <w:spacing w:before="0" w:after="283"/>
              <w:rPr/>
            </w:pPr>
            <w:r>
              <w:rPr/>
              <w:t> </w:t>
            </w:r>
          </w:p>
        </w:tc>
        <w:tc>
          <w:tcPr>
            <w:tcW w:w="2917" w:type="dxa"/>
            <w:gridSpan w:val="7"/>
            <w:tcBorders/>
            <w:shd w:fill="auto" w:val="clear"/>
            <w:vAlign w:val="bottom"/>
          </w:tcPr>
          <w:p>
            <w:pPr>
              <w:pStyle w:val="TableContents"/>
              <w:spacing w:before="0" w:after="283"/>
              <w:jc w:val="center"/>
              <w:rPr>
                <w:b/>
              </w:rPr>
            </w:pPr>
            <w:r>
              <w:rPr>
                <w:b/>
              </w:rPr>
              <w:t>Nine Months Ended</w:t>
            </w:r>
          </w:p>
        </w:tc>
      </w:tr>
      <w:tr>
        <w:trPr/>
        <w:tc>
          <w:tcPr>
            <w:tcW w:w="363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3037"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306" w:type="dxa"/>
            <w:tcBorders/>
            <w:shd w:fill="auto" w:val="clear"/>
            <w:vAlign w:val="bottom"/>
          </w:tcPr>
          <w:p>
            <w:pPr>
              <w:pStyle w:val="TableContents"/>
              <w:spacing w:before="0" w:after="283"/>
              <w:rPr/>
            </w:pPr>
            <w:r>
              <w:rPr/>
              <w:t> </w:t>
            </w:r>
          </w:p>
        </w:tc>
        <w:tc>
          <w:tcPr>
            <w:tcW w:w="2917"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r>
      <w:tr>
        <w:trPr/>
        <w:tc>
          <w:tcPr>
            <w:tcW w:w="3639"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23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352" w:type="dxa"/>
            <w:tcBorders/>
            <w:shd w:fill="auto" w:val="clear"/>
            <w:vAlign w:val="bottom"/>
          </w:tcPr>
          <w:p>
            <w:pPr>
              <w:pStyle w:val="TableContents"/>
              <w:spacing w:before="0" w:after="283"/>
              <w:rPr/>
            </w:pPr>
            <w:r>
              <w:rPr/>
              <w:t> </w:t>
            </w:r>
          </w:p>
        </w:tc>
        <w:tc>
          <w:tcPr>
            <w:tcW w:w="144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306" w:type="dxa"/>
            <w:tcBorders/>
            <w:shd w:fill="auto" w:val="clear"/>
            <w:vAlign w:val="bottom"/>
          </w:tcPr>
          <w:p>
            <w:pPr>
              <w:pStyle w:val="TableContents"/>
              <w:spacing w:before="0" w:after="283"/>
              <w:rPr/>
            </w:pPr>
            <w:r>
              <w:rPr/>
              <w:t> </w:t>
            </w:r>
          </w:p>
        </w:tc>
        <w:tc>
          <w:tcPr>
            <w:tcW w:w="128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336" w:type="dxa"/>
            <w:tcBorders/>
            <w:shd w:fill="auto" w:val="clear"/>
            <w:vAlign w:val="bottom"/>
          </w:tcPr>
          <w:p>
            <w:pPr>
              <w:pStyle w:val="TableContents"/>
              <w:spacing w:before="0" w:after="283"/>
              <w:rPr/>
            </w:pPr>
            <w:r>
              <w:rPr/>
              <w:t> </w:t>
            </w:r>
          </w:p>
        </w:tc>
        <w:tc>
          <w:tcPr>
            <w:tcW w:w="129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3639" w:type="dxa"/>
            <w:tcBorders/>
            <w:shd w:fill="CCEEFF" w:val="clear"/>
            <w:vAlign w:val="bottom"/>
          </w:tcPr>
          <w:p>
            <w:pPr>
              <w:pStyle w:val="TableContents"/>
              <w:spacing w:before="0" w:after="0"/>
              <w:ind w:left="225" w:right="0" w:hanging="225"/>
              <w:rPr/>
            </w:pPr>
            <w:r>
              <w:rPr/>
              <w:t>Equity compensation expense (1)</w:t>
            </w:r>
          </w:p>
        </w:tc>
        <w:tc>
          <w:tcPr>
            <w:tcW w:w="306"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pPr>
            <w:r>
              <w:rPr/>
              <w:t>$</w:t>
            </w:r>
          </w:p>
        </w:tc>
        <w:tc>
          <w:tcPr>
            <w:tcW w:w="597" w:type="dxa"/>
            <w:tcBorders/>
            <w:shd w:fill="CCEEFF" w:val="clear"/>
            <w:vAlign w:val="bottom"/>
          </w:tcPr>
          <w:p>
            <w:pPr>
              <w:pStyle w:val="TableContents"/>
              <w:spacing w:before="0" w:after="283"/>
              <w:jc w:val="right"/>
              <w:rPr/>
            </w:pPr>
            <w:r>
              <w:rPr/>
              <w:t>1.0</w:t>
            </w:r>
          </w:p>
        </w:tc>
        <w:tc>
          <w:tcPr>
            <w:tcW w:w="25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pPr>
            <w:r>
              <w:rPr/>
              <w:t>$</w:t>
            </w:r>
          </w:p>
        </w:tc>
        <w:tc>
          <w:tcPr>
            <w:tcW w:w="803" w:type="dxa"/>
            <w:tcBorders/>
            <w:shd w:fill="CCEEFF" w:val="clear"/>
            <w:vAlign w:val="bottom"/>
          </w:tcPr>
          <w:p>
            <w:pPr>
              <w:pStyle w:val="TableContents"/>
              <w:spacing w:before="0" w:after="283"/>
              <w:jc w:val="right"/>
              <w:rPr/>
            </w:pPr>
            <w:r>
              <w:rPr/>
              <w:t>10.3</w:t>
            </w:r>
          </w:p>
        </w:tc>
        <w:tc>
          <w:tcPr>
            <w:tcW w:w="255"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41.4</w:t>
            </w:r>
          </w:p>
        </w:tc>
        <w:tc>
          <w:tcPr>
            <w:tcW w:w="23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right"/>
              <w:rPr/>
            </w:pPr>
            <w:r>
              <w:rPr/>
              <w:t>$</w:t>
            </w:r>
          </w:p>
        </w:tc>
        <w:tc>
          <w:tcPr>
            <w:tcW w:w="692" w:type="dxa"/>
            <w:tcBorders/>
            <w:shd w:fill="CCEEFF" w:val="clear"/>
            <w:vAlign w:val="bottom"/>
          </w:tcPr>
          <w:p>
            <w:pPr>
              <w:pStyle w:val="TableContents"/>
              <w:spacing w:before="0" w:after="283"/>
              <w:jc w:val="right"/>
              <w:rPr/>
            </w:pPr>
            <w:r>
              <w:rPr/>
              <w:t>27.1</w:t>
            </w:r>
          </w:p>
        </w:tc>
        <w:tc>
          <w:tcPr>
            <w:tcW w:w="252" w:type="dxa"/>
            <w:tcBorders/>
            <w:shd w:fill="CCEEFF"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225" w:right="0" w:hanging="225"/>
              <w:rPr/>
            </w:pPr>
            <w:r>
              <w:rPr/>
              <w:t>LTIP unit vestings</w:t>
            </w:r>
          </w:p>
        </w:tc>
        <w:tc>
          <w:tcPr>
            <w:tcW w:w="30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jc w:val="right"/>
              <w:rPr/>
            </w:pPr>
            <w:r>
              <w:rPr/>
              <w:t>$</w:t>
            </w:r>
          </w:p>
        </w:tc>
        <w:tc>
          <w:tcPr>
            <w:tcW w:w="597" w:type="dxa"/>
            <w:tcBorders/>
            <w:shd w:fill="auto" w:val="clear"/>
            <w:vAlign w:val="bottom"/>
          </w:tcPr>
          <w:p>
            <w:pPr>
              <w:pStyle w:val="TableContents"/>
              <w:spacing w:before="0" w:after="283"/>
              <w:jc w:val="right"/>
              <w:rPr/>
            </w:pPr>
            <w:r>
              <w:rPr/>
              <w:t>0.5</w:t>
            </w:r>
          </w:p>
        </w:tc>
        <w:tc>
          <w:tcPr>
            <w:tcW w:w="25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jc w:val="right"/>
              <w:rPr/>
            </w:pPr>
            <w:r>
              <w:rPr/>
              <w:t>$</w:t>
            </w:r>
          </w:p>
        </w:tc>
        <w:tc>
          <w:tcPr>
            <w:tcW w:w="803" w:type="dxa"/>
            <w:tcBorders/>
            <w:shd w:fill="auto" w:val="clear"/>
            <w:vAlign w:val="bottom"/>
          </w:tcPr>
          <w:p>
            <w:pPr>
              <w:pStyle w:val="TableContents"/>
              <w:spacing w:before="0" w:after="283"/>
              <w:jc w:val="right"/>
              <w:rPr/>
            </w:pPr>
            <w:r>
              <w:rPr/>
              <w:t>1.0</w:t>
            </w:r>
          </w:p>
        </w:tc>
        <w:tc>
          <w:tcPr>
            <w:tcW w:w="25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pPr>
            <w:r>
              <w:rPr/>
              <w:t>$</w:t>
            </w:r>
          </w:p>
        </w:tc>
        <w:tc>
          <w:tcPr>
            <w:tcW w:w="693" w:type="dxa"/>
            <w:tcBorders/>
            <w:shd w:fill="auto" w:val="clear"/>
            <w:vAlign w:val="bottom"/>
          </w:tcPr>
          <w:p>
            <w:pPr>
              <w:pStyle w:val="TableContents"/>
              <w:spacing w:before="0" w:after="283"/>
              <w:jc w:val="right"/>
              <w:rPr/>
            </w:pPr>
            <w:r>
              <w:rPr/>
              <w:t>17.7</w:t>
            </w:r>
          </w:p>
        </w:tc>
        <w:tc>
          <w:tcPr>
            <w:tcW w:w="2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pPr>
            <w:r>
              <w:rPr/>
              <w:t>$</w:t>
            </w:r>
          </w:p>
        </w:tc>
        <w:tc>
          <w:tcPr>
            <w:tcW w:w="692" w:type="dxa"/>
            <w:tcBorders/>
            <w:shd w:fill="auto" w:val="clear"/>
            <w:vAlign w:val="bottom"/>
          </w:tcPr>
          <w:p>
            <w:pPr>
              <w:pStyle w:val="TableContents"/>
              <w:spacing w:before="0" w:after="283"/>
              <w:jc w:val="right"/>
              <w:rPr/>
            </w:pPr>
            <w:r>
              <w:rPr/>
              <w:t>1.0</w:t>
            </w:r>
          </w:p>
        </w:tc>
        <w:tc>
          <w:tcPr>
            <w:tcW w:w="252" w:type="dxa"/>
            <w:tcBorders/>
            <w:shd w:fill="auto" w:val="clear"/>
            <w:vAlign w:val="bottom"/>
          </w:tcPr>
          <w:p>
            <w:pPr>
              <w:pStyle w:val="TableContents"/>
              <w:spacing w:before="0" w:after="283"/>
              <w:rPr/>
            </w:pPr>
            <w:r>
              <w:rPr/>
              <w:t> </w:t>
            </w:r>
          </w:p>
        </w:tc>
      </w:tr>
      <w:tr>
        <w:trPr/>
        <w:tc>
          <w:tcPr>
            <w:tcW w:w="3639" w:type="dxa"/>
            <w:tcBorders/>
            <w:shd w:fill="CCEEFF" w:val="clear"/>
            <w:vAlign w:val="bottom"/>
          </w:tcPr>
          <w:p>
            <w:pPr>
              <w:pStyle w:val="TableContents"/>
              <w:spacing w:before="0" w:after="0"/>
              <w:ind w:left="225" w:right="0" w:hanging="225"/>
              <w:rPr/>
            </w:pPr>
            <w:r>
              <w:rPr/>
              <w:t>LTIP cash settled vestings</w:t>
            </w:r>
          </w:p>
        </w:tc>
        <w:tc>
          <w:tcPr>
            <w:tcW w:w="306"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pPr>
            <w:r>
              <w:rPr/>
              <w:t>$</w:t>
            </w:r>
          </w:p>
        </w:tc>
        <w:tc>
          <w:tcPr>
            <w:tcW w:w="597" w:type="dxa"/>
            <w:tcBorders/>
            <w:shd w:fill="CCEEFF" w:val="clear"/>
            <w:vAlign w:val="bottom"/>
          </w:tcPr>
          <w:p>
            <w:pPr>
              <w:pStyle w:val="TableContents"/>
              <w:spacing w:before="0" w:after="283"/>
              <w:jc w:val="right"/>
              <w:rPr/>
            </w:pPr>
            <w:r>
              <w:rPr/>
              <w:t>0.3</w:t>
            </w:r>
          </w:p>
        </w:tc>
        <w:tc>
          <w:tcPr>
            <w:tcW w:w="252"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jc w:val="right"/>
              <w:rPr/>
            </w:pPr>
            <w:r>
              <w:rPr/>
              <w:t>$</w:t>
            </w:r>
          </w:p>
        </w:tc>
        <w:tc>
          <w:tcPr>
            <w:tcW w:w="803" w:type="dxa"/>
            <w:tcBorders/>
            <w:shd w:fill="CCEEFF" w:val="clear"/>
            <w:vAlign w:val="bottom"/>
          </w:tcPr>
          <w:p>
            <w:pPr>
              <w:pStyle w:val="TableContents"/>
              <w:spacing w:before="0" w:after="283"/>
              <w:jc w:val="right"/>
              <w:rPr/>
            </w:pPr>
            <w:r>
              <w:rPr/>
              <w:t>0.2</w:t>
            </w:r>
          </w:p>
        </w:tc>
        <w:tc>
          <w:tcPr>
            <w:tcW w:w="255"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right"/>
              <w:rPr/>
            </w:pPr>
            <w:r>
              <w:rPr/>
              <w:t>$</w:t>
            </w:r>
          </w:p>
        </w:tc>
        <w:tc>
          <w:tcPr>
            <w:tcW w:w="693" w:type="dxa"/>
            <w:tcBorders/>
            <w:shd w:fill="CCEEFF" w:val="clear"/>
            <w:vAlign w:val="bottom"/>
          </w:tcPr>
          <w:p>
            <w:pPr>
              <w:pStyle w:val="TableContents"/>
              <w:spacing w:before="0" w:after="283"/>
              <w:jc w:val="right"/>
              <w:rPr/>
            </w:pPr>
            <w:r>
              <w:rPr/>
              <w:t>16.1</w:t>
            </w:r>
          </w:p>
        </w:tc>
        <w:tc>
          <w:tcPr>
            <w:tcW w:w="236"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right"/>
              <w:rPr/>
            </w:pPr>
            <w:r>
              <w:rPr/>
              <w:t>$</w:t>
            </w:r>
          </w:p>
        </w:tc>
        <w:tc>
          <w:tcPr>
            <w:tcW w:w="692" w:type="dxa"/>
            <w:tcBorders/>
            <w:shd w:fill="CCEEFF" w:val="clear"/>
            <w:vAlign w:val="bottom"/>
          </w:tcPr>
          <w:p>
            <w:pPr>
              <w:pStyle w:val="TableContents"/>
              <w:spacing w:before="0" w:after="283"/>
              <w:jc w:val="right"/>
              <w:rPr/>
            </w:pPr>
            <w:r>
              <w:rPr/>
              <w:t>0.6</w:t>
            </w:r>
          </w:p>
        </w:tc>
        <w:tc>
          <w:tcPr>
            <w:tcW w:w="252" w:type="dxa"/>
            <w:tcBorders/>
            <w:shd w:fill="CCEEFF" w:val="clear"/>
            <w:vAlign w:val="bottom"/>
          </w:tcPr>
          <w:p>
            <w:pPr>
              <w:pStyle w:val="TableContents"/>
              <w:spacing w:before="0" w:after="283"/>
              <w:rPr/>
            </w:pPr>
            <w:r>
              <w:rPr/>
              <w:t> </w:t>
            </w:r>
          </w:p>
        </w:tc>
      </w:tr>
      <w:tr>
        <w:trPr/>
        <w:tc>
          <w:tcPr>
            <w:tcW w:w="3639" w:type="dxa"/>
            <w:tcBorders/>
            <w:shd w:fill="auto" w:val="clear"/>
            <w:vAlign w:val="bottom"/>
          </w:tcPr>
          <w:p>
            <w:pPr>
              <w:pStyle w:val="TableContents"/>
              <w:spacing w:before="0" w:after="0"/>
              <w:ind w:left="225" w:right="0" w:hanging="225"/>
              <w:rPr/>
            </w:pPr>
            <w:r>
              <w:rPr/>
              <w:t>DER cash payments</w:t>
            </w:r>
          </w:p>
        </w:tc>
        <w:tc>
          <w:tcPr>
            <w:tcW w:w="306"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jc w:val="right"/>
              <w:rPr/>
            </w:pPr>
            <w:r>
              <w:rPr/>
              <w:t>$</w:t>
            </w:r>
          </w:p>
        </w:tc>
        <w:tc>
          <w:tcPr>
            <w:tcW w:w="597" w:type="dxa"/>
            <w:tcBorders/>
            <w:shd w:fill="auto" w:val="clear"/>
            <w:vAlign w:val="bottom"/>
          </w:tcPr>
          <w:p>
            <w:pPr>
              <w:pStyle w:val="TableContents"/>
              <w:spacing w:before="0" w:after="283"/>
              <w:jc w:val="right"/>
              <w:rPr/>
            </w:pPr>
            <w:r>
              <w:rPr/>
              <w:t>0.9</w:t>
            </w:r>
          </w:p>
        </w:tc>
        <w:tc>
          <w:tcPr>
            <w:tcW w:w="252"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jc w:val="right"/>
              <w:rPr/>
            </w:pPr>
            <w:r>
              <w:rPr/>
              <w:t>$</w:t>
            </w:r>
          </w:p>
        </w:tc>
        <w:tc>
          <w:tcPr>
            <w:tcW w:w="803" w:type="dxa"/>
            <w:tcBorders/>
            <w:shd w:fill="auto" w:val="clear"/>
            <w:vAlign w:val="bottom"/>
          </w:tcPr>
          <w:p>
            <w:pPr>
              <w:pStyle w:val="TableContents"/>
              <w:spacing w:before="0" w:after="283"/>
              <w:jc w:val="right"/>
              <w:rPr/>
            </w:pPr>
            <w:r>
              <w:rPr/>
              <w:t>0.9</w:t>
            </w:r>
          </w:p>
        </w:tc>
        <w:tc>
          <w:tcPr>
            <w:tcW w:w="255"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pPr>
            <w:r>
              <w:rPr/>
              <w:t>$</w:t>
            </w:r>
          </w:p>
        </w:tc>
        <w:tc>
          <w:tcPr>
            <w:tcW w:w="693" w:type="dxa"/>
            <w:tcBorders/>
            <w:shd w:fill="auto" w:val="clear"/>
            <w:vAlign w:val="bottom"/>
          </w:tcPr>
          <w:p>
            <w:pPr>
              <w:pStyle w:val="TableContents"/>
              <w:spacing w:before="0" w:after="283"/>
              <w:jc w:val="right"/>
              <w:rPr/>
            </w:pPr>
            <w:r>
              <w:rPr/>
              <w:t>3.4</w:t>
            </w:r>
          </w:p>
        </w:tc>
        <w:tc>
          <w:tcPr>
            <w:tcW w:w="236"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pPr>
            <w:r>
              <w:rPr/>
              <w:t>$</w:t>
            </w:r>
          </w:p>
        </w:tc>
        <w:tc>
          <w:tcPr>
            <w:tcW w:w="692" w:type="dxa"/>
            <w:tcBorders/>
            <w:shd w:fill="auto" w:val="clear"/>
            <w:vAlign w:val="bottom"/>
          </w:tcPr>
          <w:p>
            <w:pPr>
              <w:pStyle w:val="TableContents"/>
              <w:spacing w:before="0" w:after="283"/>
              <w:jc w:val="right"/>
              <w:rPr/>
            </w:pPr>
            <w:r>
              <w:rPr/>
              <w:t>2.1</w:t>
            </w:r>
          </w:p>
        </w:tc>
        <w:tc>
          <w:tcPr>
            <w:tcW w:w="252"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580"/>
        <w:gridCol w:w="2179"/>
        <w:gridCol w:w="1446"/>
      </w:tblGrid>
      <w:tr>
        <w:trPr/>
        <w:tc>
          <w:tcPr>
            <w:tcW w:w="6580"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r>
      <w:tr>
        <w:trPr/>
        <w:tc>
          <w:tcPr>
            <w:tcW w:w="6580" w:type="dxa"/>
            <w:tcBorders/>
            <w:shd w:fill="auto" w:val="clear"/>
          </w:tcPr>
          <w:p>
            <w:pPr>
              <w:pStyle w:val="TableContents"/>
              <w:spacing w:before="0" w:after="283"/>
              <w:jc w:val="left"/>
              <w:rPr/>
            </w:pPr>
            <w:r>
              <w:rPr/>
              <w:t>(1)</w:t>
            </w:r>
          </w:p>
        </w:tc>
        <w:tc>
          <w:tcPr>
            <w:tcW w:w="2179" w:type="dxa"/>
            <w:tcBorders/>
            <w:shd w:fill="auto" w:val="clear"/>
          </w:tcPr>
          <w:p>
            <w:pPr>
              <w:pStyle w:val="TableContents"/>
              <w:spacing w:before="0" w:after="283"/>
              <w:rPr/>
            </w:pPr>
            <w:r>
              <w:rPr/>
              <w:t> </w:t>
            </w:r>
          </w:p>
        </w:tc>
        <w:tc>
          <w:tcPr>
            <w:tcW w:w="1446" w:type="dxa"/>
            <w:tcBorders/>
            <w:shd w:fill="auto" w:val="clear"/>
          </w:tcPr>
          <w:p>
            <w:pPr>
              <w:pStyle w:val="TableContents"/>
              <w:spacing w:before="0" w:after="283"/>
              <w:rPr/>
            </w:pPr>
            <w:r>
              <w:rPr/>
              <w:t>The Partnerships closing unit price decreased from $63.65 at June 30, 2007 to $54.49 at September 30, 2007. As a result of the decrease in fair value associated with our outstanding LTIP awards, LTIP expense of approximately $8 million accrued in prior periods was reversed in the third quarter of 2007. Approximately $8 million of the charge for the first nine months of 2007 is associated with the Partnerships closing unit price increasing from $51.20 at December 31, 2006 to $54.49 at September 30,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As of September 30, 2007, the weighted average remaining contractual life of our outstanding equity compensation awards (that are currently considered probable of vesting) was approximately 3.3 years based on expected vesting dates. Based on the September 30, 2007 fair value measurement and probability assessment regarding future distributions, we expect to recognize approximately $76 million of additional expense over the life of our outstanding awards related to the remaining unrecognized fair value. This estimate is based on the closing market price of our limited partner units of $54.49 at September 30, 2007. Actual amounts may differ materially as a result of a change in market price and a change in probability assessment of future distributions. We estimate that the remaining fair value will be recognized in expense as shown below (in millions): </w:t>
      </w:r>
    </w:p>
    <w:tbl>
      <w:tblPr>
        <w:tblW w:w="5000" w:type="pct"/>
        <w:jc w:val="center"/>
        <w:tblInd w:w="0" w:type="dxa"/>
        <w:tblCellMar>
          <w:top w:w="0" w:type="dxa"/>
          <w:left w:w="0" w:type="dxa"/>
          <w:bottom w:w="0" w:type="dxa"/>
          <w:right w:w="0" w:type="dxa"/>
        </w:tblCellMar>
      </w:tblPr>
      <w:tblGrid>
        <w:gridCol w:w="7178"/>
        <w:gridCol w:w="434"/>
        <w:gridCol w:w="702"/>
        <w:gridCol w:w="1758"/>
        <w:gridCol w:w="133"/>
      </w:tblGrid>
      <w:tr>
        <w:trPr/>
        <w:tc>
          <w:tcPr>
            <w:tcW w:w="717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75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717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460" w:type="dxa"/>
            <w:gridSpan w:val="2"/>
            <w:tcBorders/>
            <w:shd w:fill="auto" w:val="clear"/>
            <w:vAlign w:val="bottom"/>
          </w:tcPr>
          <w:p>
            <w:pPr>
              <w:pStyle w:val="TableContents"/>
              <w:spacing w:before="0" w:after="283"/>
              <w:jc w:val="center"/>
              <w:rPr>
                <w:b/>
              </w:rPr>
            </w:pPr>
            <w:r>
              <w:rPr>
                <w:b/>
              </w:rPr>
              <w:t>Equity Compensation</w:t>
            </w:r>
          </w:p>
        </w:tc>
        <w:tc>
          <w:tcPr>
            <w:tcW w:w="133" w:type="dxa"/>
            <w:tcBorders/>
            <w:shd w:fill="auto" w:val="clear"/>
            <w:vAlign w:val="bottom"/>
          </w:tcPr>
          <w:p>
            <w:pPr>
              <w:pStyle w:val="TableContents"/>
              <w:spacing w:before="0" w:after="283"/>
              <w:rPr/>
            </w:pPr>
            <w:r>
              <w:rPr/>
              <w:t> </w:t>
            </w:r>
          </w:p>
        </w:tc>
      </w:tr>
      <w:tr>
        <w:trPr/>
        <w:tc>
          <w:tcPr>
            <w:tcW w:w="7178"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2460" w:type="dxa"/>
            <w:gridSpan w:val="2"/>
            <w:tcBorders/>
            <w:shd w:fill="auto" w:val="clear"/>
            <w:vAlign w:val="bottom"/>
          </w:tcPr>
          <w:p>
            <w:pPr>
              <w:pStyle w:val="TableContents"/>
              <w:spacing w:before="0" w:after="283"/>
              <w:jc w:val="center"/>
              <w:rPr>
                <w:b/>
              </w:rPr>
            </w:pPr>
            <w:r>
              <w:rPr>
                <w:b/>
              </w:rPr>
              <w:t>Plan Fair Value</w:t>
            </w:r>
          </w:p>
        </w:tc>
        <w:tc>
          <w:tcPr>
            <w:tcW w:w="133" w:type="dxa"/>
            <w:tcBorders/>
            <w:shd w:fill="auto" w:val="clear"/>
            <w:vAlign w:val="bottom"/>
          </w:tcPr>
          <w:p>
            <w:pPr>
              <w:pStyle w:val="TableContents"/>
              <w:spacing w:before="0" w:after="283"/>
              <w:rPr/>
            </w:pPr>
            <w:r>
              <w:rPr/>
              <w:t> </w:t>
            </w:r>
          </w:p>
        </w:tc>
      </w:tr>
      <w:tr>
        <w:trPr/>
        <w:tc>
          <w:tcPr>
            <w:tcW w:w="7178" w:type="dxa"/>
            <w:tcBorders>
              <w:bottom w:val="single" w:sz="2" w:space="0" w:color="000000"/>
            </w:tcBorders>
            <w:shd w:fill="auto" w:val="clear"/>
            <w:tcMar>
              <w:bottom w:w="28" w:type="dxa"/>
            </w:tcMar>
            <w:vAlign w:val="bottom"/>
          </w:tcPr>
          <w:p>
            <w:pPr>
              <w:pStyle w:val="TableContents"/>
              <w:spacing w:before="0" w:after="283"/>
              <w:jc w:val="left"/>
              <w:rPr>
                <w:b/>
              </w:rPr>
            </w:pPr>
            <w:r>
              <w:rPr>
                <w:b/>
              </w:rPr>
              <w:t>Year</w:t>
            </w:r>
          </w:p>
        </w:tc>
        <w:tc>
          <w:tcPr>
            <w:tcW w:w="434" w:type="dxa"/>
            <w:tcBorders/>
            <w:shd w:fill="auto" w:val="clear"/>
            <w:vAlign w:val="bottom"/>
          </w:tcPr>
          <w:p>
            <w:pPr>
              <w:pStyle w:val="TableContents"/>
              <w:spacing w:before="0" w:after="283"/>
              <w:rPr/>
            </w:pPr>
            <w:r>
              <w:rPr/>
              <w:t> </w:t>
            </w:r>
          </w:p>
        </w:tc>
        <w:tc>
          <w:tcPr>
            <w:tcW w:w="24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Amortization(1)</w:t>
            </w:r>
          </w:p>
        </w:tc>
        <w:tc>
          <w:tcPr>
            <w:tcW w:w="133" w:type="dxa"/>
            <w:tcBorders/>
            <w:shd w:fill="auto" w:val="clear"/>
            <w:vAlign w:val="bottom"/>
          </w:tcPr>
          <w:p>
            <w:pPr>
              <w:pStyle w:val="TableContents"/>
              <w:spacing w:before="0" w:after="283"/>
              <w:rPr/>
            </w:pPr>
            <w:r>
              <w:rPr/>
              <w:t> </w:t>
            </w:r>
          </w:p>
        </w:tc>
      </w:tr>
      <w:tr>
        <w:trPr/>
        <w:tc>
          <w:tcPr>
            <w:tcW w:w="7178" w:type="dxa"/>
            <w:tcBorders/>
            <w:shd w:fill="CCEEFF" w:val="clear"/>
            <w:vAlign w:val="bottom"/>
          </w:tcPr>
          <w:p>
            <w:pPr>
              <w:pStyle w:val="TableContents"/>
              <w:spacing w:before="0" w:after="0"/>
              <w:ind w:left="225" w:right="0" w:hanging="225"/>
              <w:rPr/>
            </w:pPr>
            <w:r>
              <w:rPr/>
              <w:t>2007 (2)</w:t>
            </w:r>
          </w:p>
        </w:tc>
        <w:tc>
          <w:tcPr>
            <w:tcW w:w="43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758" w:type="dxa"/>
            <w:tcBorders/>
            <w:shd w:fill="CCEEFF" w:val="clear"/>
            <w:vAlign w:val="bottom"/>
          </w:tcPr>
          <w:p>
            <w:pPr>
              <w:pStyle w:val="TableContents"/>
              <w:spacing w:before="0" w:after="283"/>
              <w:jc w:val="right"/>
              <w:rPr/>
            </w:pPr>
            <w:r>
              <w:rPr/>
              <w:t>8.1</w:t>
            </w:r>
          </w:p>
        </w:tc>
        <w:tc>
          <w:tcPr>
            <w:tcW w:w="133" w:type="dxa"/>
            <w:tcBorders/>
            <w:shd w:fill="CCEEFF" w:val="clear"/>
            <w:vAlign w:val="bottom"/>
          </w:tcPr>
          <w:p>
            <w:pPr>
              <w:pStyle w:val="TableContents"/>
              <w:spacing w:before="0" w:after="283"/>
              <w:rPr/>
            </w:pPr>
            <w:r>
              <w:rPr/>
              <w:t> </w:t>
            </w:r>
          </w:p>
        </w:tc>
      </w:tr>
      <w:tr>
        <w:trPr/>
        <w:tc>
          <w:tcPr>
            <w:tcW w:w="7178" w:type="dxa"/>
            <w:tcBorders/>
            <w:shd w:fill="auto" w:val="clear"/>
            <w:vAlign w:val="bottom"/>
          </w:tcPr>
          <w:p>
            <w:pPr>
              <w:pStyle w:val="TableContents"/>
              <w:spacing w:before="0" w:after="0"/>
              <w:ind w:left="225" w:right="0" w:hanging="225"/>
              <w:rPr/>
            </w:pPr>
            <w:r>
              <w:rPr/>
              <w:t>2008</w:t>
            </w:r>
          </w:p>
        </w:tc>
        <w:tc>
          <w:tcPr>
            <w:tcW w:w="43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758" w:type="dxa"/>
            <w:tcBorders/>
            <w:shd w:fill="auto" w:val="clear"/>
            <w:vAlign w:val="bottom"/>
          </w:tcPr>
          <w:p>
            <w:pPr>
              <w:pStyle w:val="TableContents"/>
              <w:spacing w:before="0" w:after="283"/>
              <w:jc w:val="right"/>
              <w:rPr/>
            </w:pPr>
            <w:r>
              <w:rPr/>
              <w:t>29.1</w:t>
            </w:r>
          </w:p>
        </w:tc>
        <w:tc>
          <w:tcPr>
            <w:tcW w:w="133" w:type="dxa"/>
            <w:tcBorders/>
            <w:shd w:fill="auto" w:val="clear"/>
            <w:vAlign w:val="bottom"/>
          </w:tcPr>
          <w:p>
            <w:pPr>
              <w:pStyle w:val="TableContents"/>
              <w:spacing w:before="0" w:after="283"/>
              <w:rPr/>
            </w:pPr>
            <w:r>
              <w:rPr/>
              <w:t> </w:t>
            </w:r>
          </w:p>
        </w:tc>
      </w:tr>
      <w:tr>
        <w:trPr/>
        <w:tc>
          <w:tcPr>
            <w:tcW w:w="7178" w:type="dxa"/>
            <w:tcBorders/>
            <w:shd w:fill="CCEEFF" w:val="clear"/>
            <w:vAlign w:val="bottom"/>
          </w:tcPr>
          <w:p>
            <w:pPr>
              <w:pStyle w:val="TableContents"/>
              <w:spacing w:before="0" w:after="0"/>
              <w:ind w:left="225" w:right="0" w:hanging="225"/>
              <w:rPr/>
            </w:pPr>
            <w:r>
              <w:rPr/>
              <w:t>2009</w:t>
            </w:r>
          </w:p>
        </w:tc>
        <w:tc>
          <w:tcPr>
            <w:tcW w:w="43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758" w:type="dxa"/>
            <w:tcBorders/>
            <w:shd w:fill="CCEEFF" w:val="clear"/>
            <w:vAlign w:val="bottom"/>
          </w:tcPr>
          <w:p>
            <w:pPr>
              <w:pStyle w:val="TableContents"/>
              <w:spacing w:before="0" w:after="283"/>
              <w:jc w:val="right"/>
              <w:rPr/>
            </w:pPr>
            <w:r>
              <w:rPr/>
              <w:t>19.9</w:t>
            </w:r>
          </w:p>
        </w:tc>
        <w:tc>
          <w:tcPr>
            <w:tcW w:w="133" w:type="dxa"/>
            <w:tcBorders/>
            <w:shd w:fill="CCEEFF" w:val="clear"/>
            <w:vAlign w:val="bottom"/>
          </w:tcPr>
          <w:p>
            <w:pPr>
              <w:pStyle w:val="TableContents"/>
              <w:spacing w:before="0" w:after="283"/>
              <w:rPr/>
            </w:pPr>
            <w:r>
              <w:rPr/>
              <w:t> </w:t>
            </w:r>
          </w:p>
        </w:tc>
      </w:tr>
      <w:tr>
        <w:trPr/>
        <w:tc>
          <w:tcPr>
            <w:tcW w:w="7178" w:type="dxa"/>
            <w:tcBorders/>
            <w:shd w:fill="auto" w:val="clear"/>
            <w:vAlign w:val="bottom"/>
          </w:tcPr>
          <w:p>
            <w:pPr>
              <w:pStyle w:val="TableContents"/>
              <w:spacing w:before="0" w:after="0"/>
              <w:ind w:left="225" w:right="0" w:hanging="225"/>
              <w:rPr/>
            </w:pPr>
            <w:r>
              <w:rPr/>
              <w:t>2010</w:t>
            </w:r>
          </w:p>
        </w:tc>
        <w:tc>
          <w:tcPr>
            <w:tcW w:w="43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758" w:type="dxa"/>
            <w:tcBorders/>
            <w:shd w:fill="auto" w:val="clear"/>
            <w:vAlign w:val="bottom"/>
          </w:tcPr>
          <w:p>
            <w:pPr>
              <w:pStyle w:val="TableContents"/>
              <w:spacing w:before="0" w:after="283"/>
              <w:jc w:val="right"/>
              <w:rPr/>
            </w:pPr>
            <w:r>
              <w:rPr/>
              <w:t>12.5</w:t>
            </w:r>
          </w:p>
        </w:tc>
        <w:tc>
          <w:tcPr>
            <w:tcW w:w="133" w:type="dxa"/>
            <w:tcBorders/>
            <w:shd w:fill="auto" w:val="clear"/>
            <w:vAlign w:val="bottom"/>
          </w:tcPr>
          <w:p>
            <w:pPr>
              <w:pStyle w:val="TableContents"/>
              <w:spacing w:before="0" w:after="283"/>
              <w:rPr/>
            </w:pPr>
            <w:r>
              <w:rPr/>
              <w:t> </w:t>
            </w:r>
          </w:p>
        </w:tc>
      </w:tr>
      <w:tr>
        <w:trPr/>
        <w:tc>
          <w:tcPr>
            <w:tcW w:w="7178" w:type="dxa"/>
            <w:tcBorders/>
            <w:shd w:fill="CCEEFF" w:val="clear"/>
            <w:vAlign w:val="bottom"/>
          </w:tcPr>
          <w:p>
            <w:pPr>
              <w:pStyle w:val="TableContents"/>
              <w:spacing w:before="0" w:after="0"/>
              <w:ind w:left="225" w:right="0" w:hanging="225"/>
              <w:rPr/>
            </w:pPr>
            <w:r>
              <w:rPr/>
              <w:t>2011</w:t>
            </w:r>
          </w:p>
        </w:tc>
        <w:tc>
          <w:tcPr>
            <w:tcW w:w="43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rPr/>
            </w:pPr>
            <w:r>
              <w:rPr/>
              <w:t> </w:t>
            </w:r>
          </w:p>
        </w:tc>
        <w:tc>
          <w:tcPr>
            <w:tcW w:w="1758" w:type="dxa"/>
            <w:tcBorders/>
            <w:shd w:fill="CCEEFF" w:val="clear"/>
            <w:vAlign w:val="bottom"/>
          </w:tcPr>
          <w:p>
            <w:pPr>
              <w:pStyle w:val="TableContents"/>
              <w:spacing w:before="0" w:after="283"/>
              <w:jc w:val="right"/>
              <w:rPr/>
            </w:pPr>
            <w:r>
              <w:rPr/>
              <w:t>4.1</w:t>
            </w:r>
          </w:p>
        </w:tc>
        <w:tc>
          <w:tcPr>
            <w:tcW w:w="133" w:type="dxa"/>
            <w:tcBorders/>
            <w:shd w:fill="CCEEFF" w:val="clear"/>
            <w:vAlign w:val="bottom"/>
          </w:tcPr>
          <w:p>
            <w:pPr>
              <w:pStyle w:val="TableContents"/>
              <w:spacing w:before="0" w:after="283"/>
              <w:rPr/>
            </w:pPr>
            <w:r>
              <w:rPr/>
              <w:t> </w:t>
            </w:r>
          </w:p>
        </w:tc>
      </w:tr>
      <w:tr>
        <w:trPr/>
        <w:tc>
          <w:tcPr>
            <w:tcW w:w="7178" w:type="dxa"/>
            <w:tcBorders/>
            <w:shd w:fill="auto" w:val="clear"/>
            <w:vAlign w:val="bottom"/>
          </w:tcPr>
          <w:p>
            <w:pPr>
              <w:pStyle w:val="TableContents"/>
              <w:spacing w:before="0" w:after="0"/>
              <w:ind w:left="225" w:right="0" w:hanging="225"/>
              <w:rPr/>
            </w:pPr>
            <w:r>
              <w:rPr/>
              <w:t>2012</w:t>
            </w:r>
          </w:p>
        </w:tc>
        <w:tc>
          <w:tcPr>
            <w:tcW w:w="434"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rPr/>
            </w:pPr>
            <w:r>
              <w:rPr/>
              <w:t> </w:t>
            </w:r>
          </w:p>
        </w:tc>
        <w:tc>
          <w:tcPr>
            <w:tcW w:w="1758" w:type="dxa"/>
            <w:tcBorders/>
            <w:shd w:fill="auto" w:val="clear"/>
            <w:vAlign w:val="bottom"/>
          </w:tcPr>
          <w:p>
            <w:pPr>
              <w:pStyle w:val="TableContents"/>
              <w:spacing w:before="0" w:after="283"/>
              <w:jc w:val="right"/>
              <w:rPr/>
            </w:pPr>
            <w:r>
              <w:rPr/>
              <w:t>2.2</w:t>
            </w:r>
          </w:p>
        </w:tc>
        <w:tc>
          <w:tcPr>
            <w:tcW w:w="133" w:type="dxa"/>
            <w:tcBorders/>
            <w:shd w:fill="auto" w:val="clear"/>
            <w:vAlign w:val="bottom"/>
          </w:tcPr>
          <w:p>
            <w:pPr>
              <w:pStyle w:val="TableContents"/>
              <w:spacing w:before="0" w:after="283"/>
              <w:rPr/>
            </w:pPr>
            <w:r>
              <w:rPr/>
              <w:t> </w:t>
            </w:r>
          </w:p>
        </w:tc>
      </w:tr>
      <w:tr>
        <w:trPr/>
        <w:tc>
          <w:tcPr>
            <w:tcW w:w="717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24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7178" w:type="dxa"/>
            <w:tcBorders/>
            <w:shd w:fill="CCEEFF" w:val="clear"/>
            <w:vAlign w:val="bottom"/>
          </w:tcPr>
          <w:p>
            <w:pPr>
              <w:pStyle w:val="TableContents"/>
              <w:spacing w:before="0" w:after="0"/>
              <w:ind w:left="450" w:right="0" w:hanging="225"/>
              <w:rPr/>
            </w:pPr>
            <w:r>
              <w:rPr/>
              <w:t>Total</w:t>
            </w:r>
          </w:p>
        </w:tc>
        <w:tc>
          <w:tcPr>
            <w:tcW w:w="434"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left"/>
              <w:rPr/>
            </w:pPr>
            <w:r>
              <w:rPr/>
              <w:t>$</w:t>
            </w:r>
          </w:p>
        </w:tc>
        <w:tc>
          <w:tcPr>
            <w:tcW w:w="1758" w:type="dxa"/>
            <w:tcBorders/>
            <w:shd w:fill="CCEEFF" w:val="clear"/>
            <w:vAlign w:val="bottom"/>
          </w:tcPr>
          <w:p>
            <w:pPr>
              <w:pStyle w:val="TableContents"/>
              <w:spacing w:before="0" w:after="283"/>
              <w:jc w:val="right"/>
              <w:rPr/>
            </w:pPr>
            <w:r>
              <w:rPr/>
              <w:t>75.9</w:t>
            </w:r>
          </w:p>
        </w:tc>
        <w:tc>
          <w:tcPr>
            <w:tcW w:w="133" w:type="dxa"/>
            <w:tcBorders/>
            <w:shd w:fill="CCEEFF" w:val="clear"/>
            <w:vAlign w:val="bottom"/>
          </w:tcPr>
          <w:p>
            <w:pPr>
              <w:pStyle w:val="TableContents"/>
              <w:spacing w:before="0" w:after="283"/>
              <w:rPr/>
            </w:pPr>
            <w:r>
              <w:rPr/>
              <w:t> </w:t>
            </w:r>
          </w:p>
        </w:tc>
      </w:tr>
      <w:tr>
        <w:trPr/>
        <w:tc>
          <w:tcPr>
            <w:tcW w:w="7178" w:type="dxa"/>
            <w:tcBorders/>
            <w:shd w:fill="auto" w:val="clear"/>
            <w:vAlign w:val="center"/>
          </w:tcPr>
          <w:p>
            <w:pPr>
              <w:pStyle w:val="TableContents"/>
              <w:spacing w:before="0" w:after="0"/>
              <w:ind w:left="225" w:right="0" w:hanging="225"/>
              <w:rPr/>
            </w:pPr>
            <w:r>
              <w:rPr/>
              <w:t> </w:t>
            </w:r>
          </w:p>
        </w:tc>
        <w:tc>
          <w:tcPr>
            <w:tcW w:w="434" w:type="dxa"/>
            <w:tcBorders/>
            <w:shd w:fill="auto" w:val="clear"/>
            <w:vAlign w:val="center"/>
          </w:tcPr>
          <w:p>
            <w:pPr>
              <w:pStyle w:val="TableContents"/>
              <w:spacing w:before="0" w:after="283"/>
              <w:rPr/>
            </w:pPr>
            <w:r>
              <w:rPr/>
              <w:t> </w:t>
            </w:r>
          </w:p>
        </w:tc>
        <w:tc>
          <w:tcPr>
            <w:tcW w:w="24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Amounts do not include fair value associated with awards containing performance conditions that are not considered to be probable of occurring at September 30, 2007.</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Includes equity compensation plan fair value amortization for the remaining three months of 2007.</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9Derivative Instruments and Hedging Activities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Summary of Financial Impact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derivative instruments we use consist primarily of futures and options contracts traded on the NYMEX, the ICE and over-the-counter, including commodity swap and option contracts entered into with financial institutions and other energy companies. </w:t>
      </w:r>
    </w:p>
    <w:p>
      <w:pPr>
        <w:pStyle w:val="TextBody"/>
        <w:spacing w:before="120" w:after="283"/>
        <w:jc w:val="left"/>
        <w:rPr/>
      </w:pPr>
      <w:r>
        <w:rPr/>
        <w:t>     </w:t>
      </w:r>
      <w:r>
        <w:rPr>
          <w:rFonts w:ascii="Times New Roman;Times;serif" w:hAnsi="Times New Roman;Times;serif"/>
          <w:sz w:val="17"/>
        </w:rPr>
        <w:t xml:space="preserve">A summary of the earnings impact of all derivative activities, including the change in fair value of open derivatives and settled derivatives taken to earnings, is as follows (in millions, losses designated in parentheses):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378"/>
        <w:gridCol w:w="143"/>
        <w:gridCol w:w="371"/>
        <w:gridCol w:w="1198"/>
        <w:gridCol w:w="269"/>
        <w:gridCol w:w="164"/>
        <w:gridCol w:w="237"/>
        <w:gridCol w:w="606"/>
        <w:gridCol w:w="177"/>
        <w:gridCol w:w="164"/>
        <w:gridCol w:w="237"/>
        <w:gridCol w:w="605"/>
        <w:gridCol w:w="182"/>
        <w:gridCol w:w="143"/>
        <w:gridCol w:w="426"/>
        <w:gridCol w:w="1200"/>
        <w:gridCol w:w="212"/>
        <w:gridCol w:w="168"/>
        <w:gridCol w:w="247"/>
        <w:gridCol w:w="637"/>
        <w:gridCol w:w="183"/>
        <w:gridCol w:w="168"/>
        <w:gridCol w:w="247"/>
        <w:gridCol w:w="636"/>
        <w:gridCol w:w="207"/>
      </w:tblGrid>
      <w:tr>
        <w:trPr/>
        <w:tc>
          <w:tcPr>
            <w:tcW w:w="13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r>
      <w:tr>
        <w:trPr/>
        <w:tc>
          <w:tcPr>
            <w:tcW w:w="13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210" w:type="dxa"/>
            <w:gridSpan w:val="11"/>
            <w:tcBorders/>
            <w:shd w:fill="auto" w:val="clear"/>
            <w:vAlign w:val="bottom"/>
          </w:tcPr>
          <w:p>
            <w:pPr>
              <w:pStyle w:val="TableContents"/>
              <w:spacing w:before="0" w:after="283"/>
              <w:jc w:val="center"/>
              <w:rPr>
                <w:b/>
              </w:rPr>
            </w:pPr>
            <w:r>
              <w:rPr>
                <w:b/>
              </w:rPr>
              <w:t>For the Three Months Ended</w:t>
            </w:r>
          </w:p>
        </w:tc>
        <w:tc>
          <w:tcPr>
            <w:tcW w:w="143" w:type="dxa"/>
            <w:tcBorders/>
            <w:shd w:fill="auto" w:val="clear"/>
            <w:vAlign w:val="bottom"/>
          </w:tcPr>
          <w:p>
            <w:pPr>
              <w:pStyle w:val="TableContents"/>
              <w:spacing w:before="0" w:after="283"/>
              <w:rPr/>
            </w:pPr>
            <w:r>
              <w:rPr/>
              <w:t> </w:t>
            </w:r>
          </w:p>
        </w:tc>
        <w:tc>
          <w:tcPr>
            <w:tcW w:w="4331" w:type="dxa"/>
            <w:gridSpan w:val="11"/>
            <w:tcBorders/>
            <w:shd w:fill="auto" w:val="clear"/>
            <w:vAlign w:val="bottom"/>
          </w:tcPr>
          <w:p>
            <w:pPr>
              <w:pStyle w:val="TableContents"/>
              <w:spacing w:before="0" w:after="283"/>
              <w:jc w:val="center"/>
              <w:rPr>
                <w:b/>
              </w:rPr>
            </w:pPr>
            <w:r>
              <w:rPr>
                <w:b/>
              </w:rPr>
              <w:t>For the Three Months Ended</w:t>
            </w:r>
          </w:p>
        </w:tc>
      </w:tr>
      <w:tr>
        <w:trPr/>
        <w:tc>
          <w:tcPr>
            <w:tcW w:w="13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210"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2007</w:t>
            </w:r>
          </w:p>
        </w:tc>
        <w:tc>
          <w:tcPr>
            <w:tcW w:w="143" w:type="dxa"/>
            <w:tcBorders/>
            <w:shd w:fill="auto" w:val="clear"/>
            <w:vAlign w:val="bottom"/>
          </w:tcPr>
          <w:p>
            <w:pPr>
              <w:pStyle w:val="TableContents"/>
              <w:spacing w:before="0" w:after="283"/>
              <w:rPr/>
            </w:pPr>
            <w:r>
              <w:rPr/>
              <w:t> </w:t>
            </w:r>
          </w:p>
        </w:tc>
        <w:tc>
          <w:tcPr>
            <w:tcW w:w="4331"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2006</w:t>
            </w:r>
          </w:p>
        </w:tc>
      </w:tr>
      <w:tr>
        <w:trPr/>
        <w:tc>
          <w:tcPr>
            <w:tcW w:w="13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838" w:type="dxa"/>
            <w:gridSpan w:val="3"/>
            <w:tcBorders/>
            <w:shd w:fill="auto" w:val="clear"/>
            <w:vAlign w:val="bottom"/>
          </w:tcPr>
          <w:p>
            <w:pPr>
              <w:pStyle w:val="TableContents"/>
              <w:spacing w:before="0" w:after="283"/>
              <w:jc w:val="center"/>
              <w:rPr>
                <w:b/>
              </w:rPr>
            </w:pPr>
            <w:r>
              <w:rPr>
                <w:b/>
              </w:rPr>
              <w:t>Mark-to-market,</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838" w:type="dxa"/>
            <w:gridSpan w:val="3"/>
            <w:tcBorders/>
            <w:shd w:fill="auto" w:val="clear"/>
            <w:vAlign w:val="bottom"/>
          </w:tcPr>
          <w:p>
            <w:pPr>
              <w:pStyle w:val="TableContents"/>
              <w:spacing w:before="0" w:after="283"/>
              <w:jc w:val="center"/>
              <w:rPr>
                <w:b/>
              </w:rPr>
            </w:pPr>
            <w:r>
              <w:rPr>
                <w:b/>
              </w:rPr>
              <w:t>Mark-to-market,</w:t>
            </w:r>
          </w:p>
        </w:tc>
        <w:tc>
          <w:tcPr>
            <w:tcW w:w="168" w:type="dxa"/>
            <w:tcBorders/>
            <w:shd w:fill="auto" w:val="clear"/>
            <w:vAlign w:val="bottom"/>
          </w:tcPr>
          <w:p>
            <w:pPr>
              <w:pStyle w:val="TableContents"/>
              <w:spacing w:before="0" w:after="283"/>
              <w:rPr/>
            </w:pPr>
            <w:r>
              <w:rPr/>
              <w:t> </w:t>
            </w:r>
          </w:p>
        </w:tc>
        <w:tc>
          <w:tcPr>
            <w:tcW w:w="1067" w:type="dxa"/>
            <w:gridSpan w:val="3"/>
            <w:tcBorders/>
            <w:shd w:fill="auto" w:val="clear"/>
            <w:vAlign w:val="bottom"/>
          </w:tcPr>
          <w:p>
            <w:pPr>
              <w:pStyle w:val="TableContents"/>
              <w:spacing w:before="0" w:after="283"/>
              <w:jc w:val="center"/>
              <w:rPr/>
            </w:pPr>
            <w:r>
              <w:rPr/>
              <w:t> </w:t>
            </w:r>
          </w:p>
        </w:tc>
        <w:tc>
          <w:tcPr>
            <w:tcW w:w="168" w:type="dxa"/>
            <w:tcBorders/>
            <w:shd w:fill="auto" w:val="clear"/>
            <w:vAlign w:val="bottom"/>
          </w:tcPr>
          <w:p>
            <w:pPr>
              <w:pStyle w:val="TableContents"/>
              <w:spacing w:before="0" w:after="283"/>
              <w:rPr/>
            </w:pPr>
            <w:r>
              <w:rPr/>
              <w:t> </w:t>
            </w:r>
          </w:p>
        </w:tc>
        <w:tc>
          <w:tcPr>
            <w:tcW w:w="1090" w:type="dxa"/>
            <w:gridSpan w:val="3"/>
            <w:tcBorders/>
            <w:shd w:fill="auto" w:val="clear"/>
            <w:vAlign w:val="bottom"/>
          </w:tcPr>
          <w:p>
            <w:pPr>
              <w:pStyle w:val="TableContents"/>
              <w:spacing w:before="0" w:after="283"/>
              <w:jc w:val="center"/>
              <w:rPr/>
            </w:pPr>
            <w:r>
              <w:rPr/>
              <w:t> </w:t>
            </w:r>
          </w:p>
        </w:tc>
      </w:tr>
      <w:tr>
        <w:trPr/>
        <w:tc>
          <w:tcPr>
            <w:tcW w:w="1378"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838" w:type="dxa"/>
            <w:gridSpan w:val="3"/>
            <w:tcBorders/>
            <w:shd w:fill="auto" w:val="clear"/>
            <w:vAlign w:val="bottom"/>
          </w:tcPr>
          <w:p>
            <w:pPr>
              <w:pStyle w:val="TableContents"/>
              <w:spacing w:before="0" w:after="283"/>
              <w:jc w:val="center"/>
              <w:rPr>
                <w:b/>
              </w:rPr>
            </w:pPr>
            <w:r>
              <w:rPr>
                <w:b/>
              </w:rPr>
              <w:t>net</w:t>
            </w:r>
          </w:p>
        </w:tc>
        <w:tc>
          <w:tcPr>
            <w:tcW w:w="164" w:type="dxa"/>
            <w:tcBorders/>
            <w:shd w:fill="auto" w:val="clear"/>
            <w:vAlign w:val="bottom"/>
          </w:tcPr>
          <w:p>
            <w:pPr>
              <w:pStyle w:val="TableContents"/>
              <w:spacing w:before="0" w:after="283"/>
              <w:rPr/>
            </w:pPr>
            <w:r>
              <w:rPr/>
              <w:t> </w:t>
            </w:r>
          </w:p>
        </w:tc>
        <w:tc>
          <w:tcPr>
            <w:tcW w:w="1020" w:type="dxa"/>
            <w:gridSpan w:val="3"/>
            <w:tcBorders/>
            <w:shd w:fill="auto" w:val="clear"/>
            <w:vAlign w:val="bottom"/>
          </w:tcPr>
          <w:p>
            <w:pPr>
              <w:pStyle w:val="TableContents"/>
              <w:spacing w:before="0" w:after="283"/>
              <w:jc w:val="center"/>
              <w:rPr>
                <w:b/>
              </w:rPr>
            </w:pPr>
            <w:r>
              <w:rPr>
                <w:b/>
              </w:rPr>
              <w:t>Settled</w:t>
            </w:r>
          </w:p>
        </w:tc>
        <w:tc>
          <w:tcPr>
            <w:tcW w:w="164" w:type="dxa"/>
            <w:tcBorders/>
            <w:shd w:fill="auto" w:val="clear"/>
            <w:vAlign w:val="bottom"/>
          </w:tcPr>
          <w:p>
            <w:pPr>
              <w:pStyle w:val="TableContents"/>
              <w:spacing w:before="0" w:after="283"/>
              <w:rPr/>
            </w:pPr>
            <w:r>
              <w:rPr/>
              <w:t> </w:t>
            </w:r>
          </w:p>
        </w:tc>
        <w:tc>
          <w:tcPr>
            <w:tcW w:w="1024" w:type="dxa"/>
            <w:gridSpan w:val="3"/>
            <w:tcBorders/>
            <w:shd w:fill="auto" w:val="clear"/>
            <w:vAlign w:val="bottom"/>
          </w:tcPr>
          <w:p>
            <w:pPr>
              <w:pStyle w:val="TableContents"/>
              <w:spacing w:before="0" w:after="283"/>
              <w:jc w:val="center"/>
              <w:rPr>
                <w:b/>
              </w:rPr>
            </w:pPr>
            <w:r>
              <w:rPr>
                <w:b/>
              </w:rPr>
              <w:t>Total</w:t>
            </w:r>
          </w:p>
        </w:tc>
        <w:tc>
          <w:tcPr>
            <w:tcW w:w="143" w:type="dxa"/>
            <w:tcBorders/>
            <w:shd w:fill="auto" w:val="clear"/>
            <w:vAlign w:val="bottom"/>
          </w:tcPr>
          <w:p>
            <w:pPr>
              <w:pStyle w:val="TableContents"/>
              <w:spacing w:before="0" w:after="283"/>
              <w:rPr/>
            </w:pPr>
            <w:r>
              <w:rPr/>
              <w:t> </w:t>
            </w:r>
          </w:p>
        </w:tc>
        <w:tc>
          <w:tcPr>
            <w:tcW w:w="1838" w:type="dxa"/>
            <w:gridSpan w:val="3"/>
            <w:tcBorders/>
            <w:shd w:fill="auto" w:val="clear"/>
            <w:vAlign w:val="bottom"/>
          </w:tcPr>
          <w:p>
            <w:pPr>
              <w:pStyle w:val="TableContents"/>
              <w:spacing w:before="0" w:after="283"/>
              <w:jc w:val="center"/>
              <w:rPr>
                <w:b/>
              </w:rPr>
            </w:pPr>
            <w:r>
              <w:rPr>
                <w:b/>
              </w:rPr>
              <w:t>net</w:t>
            </w:r>
          </w:p>
        </w:tc>
        <w:tc>
          <w:tcPr>
            <w:tcW w:w="168" w:type="dxa"/>
            <w:tcBorders/>
            <w:shd w:fill="auto" w:val="clear"/>
            <w:vAlign w:val="bottom"/>
          </w:tcPr>
          <w:p>
            <w:pPr>
              <w:pStyle w:val="TableContents"/>
              <w:spacing w:before="0" w:after="283"/>
              <w:rPr/>
            </w:pPr>
            <w:r>
              <w:rPr/>
              <w:t> </w:t>
            </w:r>
          </w:p>
        </w:tc>
        <w:tc>
          <w:tcPr>
            <w:tcW w:w="1067" w:type="dxa"/>
            <w:gridSpan w:val="3"/>
            <w:tcBorders/>
            <w:shd w:fill="auto" w:val="clear"/>
            <w:vAlign w:val="bottom"/>
          </w:tcPr>
          <w:p>
            <w:pPr>
              <w:pStyle w:val="TableContents"/>
              <w:spacing w:before="0" w:after="283"/>
              <w:jc w:val="center"/>
              <w:rPr>
                <w:b/>
              </w:rPr>
            </w:pPr>
            <w:r>
              <w:rPr>
                <w:b/>
              </w:rPr>
              <w:t>Settled</w:t>
            </w:r>
          </w:p>
        </w:tc>
        <w:tc>
          <w:tcPr>
            <w:tcW w:w="168" w:type="dxa"/>
            <w:tcBorders/>
            <w:shd w:fill="auto" w:val="clear"/>
            <w:vAlign w:val="bottom"/>
          </w:tcPr>
          <w:p>
            <w:pPr>
              <w:pStyle w:val="TableContents"/>
              <w:spacing w:before="0" w:after="283"/>
              <w:rPr/>
            </w:pPr>
            <w:r>
              <w:rPr/>
              <w:t> </w:t>
            </w:r>
          </w:p>
        </w:tc>
        <w:tc>
          <w:tcPr>
            <w:tcW w:w="1090" w:type="dxa"/>
            <w:gridSpan w:val="3"/>
            <w:tcBorders/>
            <w:shd w:fill="auto" w:val="clear"/>
            <w:vAlign w:val="bottom"/>
          </w:tcPr>
          <w:p>
            <w:pPr>
              <w:pStyle w:val="TableContents"/>
              <w:spacing w:before="0" w:after="283"/>
              <w:jc w:val="center"/>
              <w:rPr>
                <w:b/>
              </w:rPr>
            </w:pPr>
            <w:r>
              <w:rPr>
                <w:b/>
              </w:rPr>
              <w:t>Total</w:t>
            </w:r>
          </w:p>
        </w:tc>
      </w:tr>
      <w:tr>
        <w:trPr/>
        <w:tc>
          <w:tcPr>
            <w:tcW w:w="1378" w:type="dxa"/>
            <w:tcBorders/>
            <w:shd w:fill="CCEEFF" w:val="clear"/>
            <w:vAlign w:val="bottom"/>
          </w:tcPr>
          <w:p>
            <w:pPr>
              <w:pStyle w:val="TableContents"/>
              <w:spacing w:before="0" w:after="0"/>
              <w:ind w:left="225" w:right="0" w:hanging="225"/>
              <w:rPr/>
            </w:pPr>
            <w:r>
              <w:rPr/>
              <w:t>Commodity price risk hedging</w:t>
            </w:r>
          </w:p>
        </w:tc>
        <w:tc>
          <w:tcPr>
            <w:tcW w:w="143"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jc w:val="right"/>
              <w:rPr/>
            </w:pPr>
            <w:r>
              <w:rPr/>
              <w:t>$</w:t>
            </w:r>
          </w:p>
        </w:tc>
        <w:tc>
          <w:tcPr>
            <w:tcW w:w="1198" w:type="dxa"/>
            <w:tcBorders/>
            <w:shd w:fill="CCEEFF" w:val="clear"/>
            <w:vAlign w:val="bottom"/>
          </w:tcPr>
          <w:p>
            <w:pPr>
              <w:pStyle w:val="TableContents"/>
              <w:spacing w:before="0" w:after="283"/>
              <w:jc w:val="right"/>
              <w:rPr/>
            </w:pPr>
            <w:r>
              <w:rPr/>
              <w:t>(13.7</w:t>
            </w:r>
          </w:p>
        </w:tc>
        <w:tc>
          <w:tcPr>
            <w:tcW w:w="26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pPr>
            <w:r>
              <w:rPr/>
              <w:t>$</w:t>
            </w:r>
          </w:p>
        </w:tc>
        <w:tc>
          <w:tcPr>
            <w:tcW w:w="606" w:type="dxa"/>
            <w:tcBorders/>
            <w:shd w:fill="CCEEFF" w:val="clear"/>
            <w:vAlign w:val="bottom"/>
          </w:tcPr>
          <w:p>
            <w:pPr>
              <w:pStyle w:val="TableContents"/>
              <w:spacing w:before="0" w:after="283"/>
              <w:jc w:val="right"/>
              <w:rPr/>
            </w:pPr>
            <w:r>
              <w:rPr/>
              <w:t>38.2</w:t>
            </w:r>
          </w:p>
        </w:tc>
        <w:tc>
          <w:tcPr>
            <w:tcW w:w="17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pPr>
            <w:r>
              <w:rPr/>
              <w:t>$</w:t>
            </w:r>
          </w:p>
        </w:tc>
        <w:tc>
          <w:tcPr>
            <w:tcW w:w="605" w:type="dxa"/>
            <w:tcBorders/>
            <w:shd w:fill="CCEEFF" w:val="clear"/>
            <w:vAlign w:val="bottom"/>
          </w:tcPr>
          <w:p>
            <w:pPr>
              <w:pStyle w:val="TableContents"/>
              <w:spacing w:before="0" w:after="283"/>
              <w:jc w:val="right"/>
              <w:rPr/>
            </w:pPr>
            <w:r>
              <w:rPr/>
              <w:t>24.5</w:t>
            </w:r>
          </w:p>
        </w:tc>
        <w:tc>
          <w:tcPr>
            <w:tcW w:w="18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pPr>
            <w:r>
              <w:rPr/>
              <w:t>$</w:t>
            </w:r>
          </w:p>
        </w:tc>
        <w:tc>
          <w:tcPr>
            <w:tcW w:w="1200" w:type="dxa"/>
            <w:tcBorders/>
            <w:shd w:fill="CCEEFF" w:val="clear"/>
            <w:vAlign w:val="bottom"/>
          </w:tcPr>
          <w:p>
            <w:pPr>
              <w:pStyle w:val="TableContents"/>
              <w:spacing w:before="0" w:after="283"/>
              <w:jc w:val="right"/>
              <w:rPr/>
            </w:pPr>
            <w:r>
              <w:rPr/>
              <w:t>17.6</w:t>
            </w:r>
          </w:p>
        </w:tc>
        <w:tc>
          <w:tcPr>
            <w:tcW w:w="21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637" w:type="dxa"/>
            <w:tcBorders/>
            <w:shd w:fill="CCEEFF" w:val="clear"/>
            <w:vAlign w:val="bottom"/>
          </w:tcPr>
          <w:p>
            <w:pPr>
              <w:pStyle w:val="TableContents"/>
              <w:spacing w:before="0" w:after="283"/>
              <w:jc w:val="right"/>
              <w:rPr/>
            </w:pPr>
            <w:r>
              <w:rPr/>
              <w:t>70.3</w:t>
            </w:r>
          </w:p>
        </w:tc>
        <w:tc>
          <w:tcPr>
            <w:tcW w:w="18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636" w:type="dxa"/>
            <w:tcBorders/>
            <w:shd w:fill="CCEEFF" w:val="clear"/>
            <w:vAlign w:val="bottom"/>
          </w:tcPr>
          <w:p>
            <w:pPr>
              <w:pStyle w:val="TableContents"/>
              <w:spacing w:before="0" w:after="283"/>
              <w:jc w:val="right"/>
              <w:rPr/>
            </w:pPr>
            <w:r>
              <w:rPr/>
              <w:t>87.9</w:t>
            </w:r>
          </w:p>
        </w:tc>
        <w:tc>
          <w:tcPr>
            <w:tcW w:w="207" w:type="dxa"/>
            <w:tcBorders/>
            <w:shd w:fill="CCEEFF" w:val="clear"/>
            <w:vAlign w:val="bottom"/>
          </w:tcPr>
          <w:p>
            <w:pPr>
              <w:pStyle w:val="TableContents"/>
              <w:spacing w:before="0" w:after="283"/>
              <w:rPr/>
            </w:pPr>
            <w:r>
              <w:rPr/>
              <w:t> </w:t>
            </w:r>
          </w:p>
        </w:tc>
      </w:tr>
      <w:tr>
        <w:trPr/>
        <w:tc>
          <w:tcPr>
            <w:tcW w:w="1378" w:type="dxa"/>
            <w:tcBorders/>
            <w:shd w:fill="auto" w:val="clear"/>
            <w:vAlign w:val="bottom"/>
          </w:tcPr>
          <w:p>
            <w:pPr>
              <w:pStyle w:val="TableContents"/>
              <w:spacing w:before="0" w:after="0"/>
              <w:ind w:left="225" w:right="0" w:hanging="225"/>
              <w:rPr/>
            </w:pPr>
            <w:r>
              <w:rPr/>
              <w:t>Controlled trading program</w:t>
            </w:r>
          </w:p>
        </w:tc>
        <w:tc>
          <w:tcPr>
            <w:tcW w:w="143"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 </w:t>
            </w:r>
            <w:r>
              <w:rPr/>
              <w:t></w:t>
            </w:r>
          </w:p>
        </w:tc>
        <w:tc>
          <w:tcPr>
            <w:tcW w:w="269"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pPr>
            <w:r>
              <w:rPr/>
              <w:t> </w:t>
            </w:r>
          </w:p>
        </w:tc>
        <w:tc>
          <w:tcPr>
            <w:tcW w:w="606" w:type="dxa"/>
            <w:tcBorders/>
            <w:shd w:fill="auto" w:val="clear"/>
            <w:vAlign w:val="bottom"/>
          </w:tcPr>
          <w:p>
            <w:pPr>
              <w:pStyle w:val="TableContents"/>
              <w:spacing w:before="0" w:after="283"/>
              <w:jc w:val="right"/>
              <w:rPr/>
            </w:pPr>
            <w:r>
              <w:rPr/>
              <w:t>(0.4</w:t>
            </w:r>
          </w:p>
        </w:tc>
        <w:tc>
          <w:tcPr>
            <w:tcW w:w="17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jc w:val="right"/>
              <w:rPr/>
            </w:pPr>
            <w:r>
              <w:rPr/>
              <w:t> </w:t>
            </w:r>
          </w:p>
        </w:tc>
        <w:tc>
          <w:tcPr>
            <w:tcW w:w="605" w:type="dxa"/>
            <w:tcBorders/>
            <w:shd w:fill="auto" w:val="clear"/>
            <w:vAlign w:val="bottom"/>
          </w:tcPr>
          <w:p>
            <w:pPr>
              <w:pStyle w:val="TableContents"/>
              <w:spacing w:before="0" w:after="283"/>
              <w:jc w:val="right"/>
              <w:rPr/>
            </w:pPr>
            <w:r>
              <w:rPr/>
              <w:t>(0.4</w:t>
            </w:r>
          </w:p>
        </w:tc>
        <w:tc>
          <w:tcPr>
            <w:tcW w:w="182" w:type="dxa"/>
            <w:tcBorders/>
            <w:shd w:fill="auto" w:val="clear"/>
            <w:vAlign w:val="bottom"/>
          </w:tcPr>
          <w:p>
            <w:pPr>
              <w:pStyle w:val="TableContents"/>
              <w:spacing w:before="0" w:after="283"/>
              <w:rPr/>
            </w:pPr>
            <w:r>
              <w:rPr/>
              <w:t>)</w:t>
            </w:r>
          </w:p>
        </w:tc>
        <w:tc>
          <w:tcPr>
            <w:tcW w:w="14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w:t>
            </w:r>
          </w:p>
        </w:tc>
        <w:tc>
          <w:tcPr>
            <w:tcW w:w="21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w:t>
            </w:r>
          </w:p>
        </w:tc>
        <w:tc>
          <w:tcPr>
            <w:tcW w:w="18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w:t>
            </w:r>
          </w:p>
        </w:tc>
        <w:tc>
          <w:tcPr>
            <w:tcW w:w="207" w:type="dxa"/>
            <w:tcBorders/>
            <w:shd w:fill="auto" w:val="clear"/>
            <w:vAlign w:val="bottom"/>
          </w:tcPr>
          <w:p>
            <w:pPr>
              <w:pStyle w:val="TableContents"/>
              <w:spacing w:before="0" w:after="283"/>
              <w:rPr/>
            </w:pPr>
            <w:r>
              <w:rPr/>
              <w:t> </w:t>
            </w:r>
          </w:p>
        </w:tc>
      </w:tr>
      <w:tr>
        <w:trPr/>
        <w:tc>
          <w:tcPr>
            <w:tcW w:w="1378" w:type="dxa"/>
            <w:tcBorders/>
            <w:shd w:fill="CCEEFF" w:val="clear"/>
            <w:vAlign w:val="bottom"/>
          </w:tcPr>
          <w:p>
            <w:pPr>
              <w:pStyle w:val="TableContents"/>
              <w:spacing w:before="0" w:after="0"/>
              <w:ind w:left="225" w:right="0" w:hanging="225"/>
              <w:rPr/>
            </w:pPr>
            <w:r>
              <w:rPr/>
              <w:t>Interest rate risk hedging</w:t>
            </w:r>
          </w:p>
        </w:tc>
        <w:tc>
          <w:tcPr>
            <w:tcW w:w="143"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2.0</w:t>
            </w:r>
          </w:p>
        </w:tc>
        <w:tc>
          <w:tcPr>
            <w:tcW w:w="269"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pPr>
            <w:r>
              <w:rPr/>
              <w:t> </w:t>
            </w:r>
          </w:p>
        </w:tc>
        <w:tc>
          <w:tcPr>
            <w:tcW w:w="606" w:type="dxa"/>
            <w:tcBorders/>
            <w:shd w:fill="CCEEFF" w:val="clear"/>
            <w:vAlign w:val="bottom"/>
          </w:tcPr>
          <w:p>
            <w:pPr>
              <w:pStyle w:val="TableContents"/>
              <w:spacing w:before="0" w:after="283"/>
              <w:jc w:val="right"/>
              <w:rPr/>
            </w:pPr>
            <w:r>
              <w:rPr/>
              <w:t>(0.2</w:t>
            </w:r>
          </w:p>
        </w:tc>
        <w:tc>
          <w:tcPr>
            <w:tcW w:w="17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jc w:val="right"/>
              <w:rPr/>
            </w:pPr>
            <w:r>
              <w:rPr/>
              <w:t>1.8</w:t>
            </w:r>
          </w:p>
        </w:tc>
        <w:tc>
          <w:tcPr>
            <w:tcW w:w="18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t></w:t>
            </w:r>
          </w:p>
        </w:tc>
        <w:tc>
          <w:tcPr>
            <w:tcW w:w="21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 </w:t>
            </w:r>
          </w:p>
        </w:tc>
        <w:tc>
          <w:tcPr>
            <w:tcW w:w="637" w:type="dxa"/>
            <w:tcBorders/>
            <w:shd w:fill="CCEEFF" w:val="clear"/>
            <w:vAlign w:val="bottom"/>
          </w:tcPr>
          <w:p>
            <w:pPr>
              <w:pStyle w:val="TableContents"/>
              <w:spacing w:before="0" w:after="283"/>
              <w:jc w:val="right"/>
              <w:rPr/>
            </w:pPr>
            <w:r>
              <w:rPr/>
              <w:t>(0.4</w:t>
            </w:r>
          </w:p>
        </w:tc>
        <w:tc>
          <w:tcPr>
            <w:tcW w:w="183" w:type="dxa"/>
            <w:tcBorders/>
            <w:shd w:fill="CCEEFF" w:val="clear"/>
            <w:vAlign w:val="bottom"/>
          </w:tcPr>
          <w:p>
            <w:pPr>
              <w:pStyle w:val="TableContents"/>
              <w:spacing w:before="0" w:after="283"/>
              <w:rPr/>
            </w:pPr>
            <w:r>
              <w:rPr/>
              <w:t>)</w:t>
            </w:r>
          </w:p>
        </w:tc>
        <w:tc>
          <w:tcPr>
            <w:tcW w:w="16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 </w:t>
            </w:r>
          </w:p>
        </w:tc>
        <w:tc>
          <w:tcPr>
            <w:tcW w:w="636" w:type="dxa"/>
            <w:tcBorders/>
            <w:shd w:fill="CCEEFF" w:val="clear"/>
            <w:vAlign w:val="bottom"/>
          </w:tcPr>
          <w:p>
            <w:pPr>
              <w:pStyle w:val="TableContents"/>
              <w:spacing w:before="0" w:after="283"/>
              <w:jc w:val="right"/>
              <w:rPr/>
            </w:pPr>
            <w:r>
              <w:rPr/>
              <w:t>(0.4</w:t>
            </w:r>
          </w:p>
        </w:tc>
        <w:tc>
          <w:tcPr>
            <w:tcW w:w="207" w:type="dxa"/>
            <w:tcBorders/>
            <w:shd w:fill="CCEEFF" w:val="clear"/>
            <w:vAlign w:val="bottom"/>
          </w:tcPr>
          <w:p>
            <w:pPr>
              <w:pStyle w:val="TableContents"/>
              <w:spacing w:before="0" w:after="283"/>
              <w:rPr/>
            </w:pPr>
            <w:r>
              <w:rPr/>
              <w:t>)</w:t>
            </w:r>
          </w:p>
        </w:tc>
      </w:tr>
      <w:tr>
        <w:trPr/>
        <w:tc>
          <w:tcPr>
            <w:tcW w:w="1378" w:type="dxa"/>
            <w:tcBorders/>
            <w:shd w:fill="auto" w:val="clear"/>
            <w:vAlign w:val="bottom"/>
          </w:tcPr>
          <w:p>
            <w:pPr>
              <w:pStyle w:val="TableContents"/>
              <w:spacing w:before="0" w:after="0"/>
              <w:ind w:left="225" w:right="0" w:hanging="225"/>
              <w:rPr/>
            </w:pPr>
            <w:r>
              <w:rPr/>
              <w:t>Currency exchange rate risk hedging</w:t>
            </w:r>
          </w:p>
        </w:tc>
        <w:tc>
          <w:tcPr>
            <w:tcW w:w="143"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pPr>
            <w:r>
              <w:rPr/>
              <w:t> </w:t>
            </w:r>
          </w:p>
        </w:tc>
        <w:tc>
          <w:tcPr>
            <w:tcW w:w="1198" w:type="dxa"/>
            <w:tcBorders/>
            <w:shd w:fill="auto" w:val="clear"/>
            <w:vAlign w:val="bottom"/>
          </w:tcPr>
          <w:p>
            <w:pPr>
              <w:pStyle w:val="TableContents"/>
              <w:spacing w:before="0" w:after="283"/>
              <w:jc w:val="right"/>
              <w:rPr/>
            </w:pPr>
            <w:r>
              <w:rPr/>
              <w:t>(0.9</w:t>
            </w:r>
          </w:p>
        </w:tc>
        <w:tc>
          <w:tcPr>
            <w:tcW w:w="269"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pPr>
            <w:r>
              <w:rPr/>
              <w:t>4.2</w:t>
            </w:r>
          </w:p>
        </w:tc>
        <w:tc>
          <w:tcPr>
            <w:tcW w:w="17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right"/>
              <w:rPr/>
            </w:pPr>
            <w:r>
              <w:rPr/>
              <w:t>3.3</w:t>
            </w:r>
          </w:p>
        </w:tc>
        <w:tc>
          <w:tcPr>
            <w:tcW w:w="18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t>0.4</w:t>
            </w:r>
          </w:p>
        </w:tc>
        <w:tc>
          <w:tcPr>
            <w:tcW w:w="212"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pPr>
            <w:r>
              <w:rPr/>
              <w:t></w:t>
            </w:r>
          </w:p>
        </w:tc>
        <w:tc>
          <w:tcPr>
            <w:tcW w:w="183"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0.4</w:t>
            </w:r>
          </w:p>
        </w:tc>
        <w:tc>
          <w:tcPr>
            <w:tcW w:w="207" w:type="dxa"/>
            <w:tcBorders/>
            <w:shd w:fill="auto" w:val="clear"/>
            <w:vAlign w:val="bottom"/>
          </w:tcPr>
          <w:p>
            <w:pPr>
              <w:pStyle w:val="TableContents"/>
              <w:spacing w:before="0" w:after="283"/>
              <w:rPr/>
            </w:pPr>
            <w:r>
              <w:rPr/>
              <w:t> </w:t>
            </w:r>
          </w:p>
        </w:tc>
      </w:tr>
      <w:tr>
        <w:trPr/>
        <w:tc>
          <w:tcPr>
            <w:tcW w:w="1378"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4210"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rPr/>
            </w:pPr>
            <w:r>
              <w:rPr/>
              <w:t> </w:t>
            </w:r>
          </w:p>
        </w:tc>
        <w:tc>
          <w:tcPr>
            <w:tcW w:w="4331"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378" w:type="dxa"/>
            <w:tcBorders/>
            <w:shd w:fill="CCEEFF" w:val="clear"/>
            <w:vAlign w:val="bottom"/>
          </w:tcPr>
          <w:p>
            <w:pPr>
              <w:pStyle w:val="TableContents"/>
              <w:spacing w:before="0" w:after="0"/>
              <w:ind w:left="225" w:right="0" w:hanging="225"/>
              <w:rPr/>
            </w:pPr>
            <w:r>
              <w:rPr/>
              <w:t>Total</w:t>
            </w:r>
          </w:p>
        </w:tc>
        <w:tc>
          <w:tcPr>
            <w:tcW w:w="143"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jc w:val="right"/>
              <w:rPr/>
            </w:pPr>
            <w:r>
              <w:rPr/>
              <w:t>$</w:t>
            </w:r>
          </w:p>
        </w:tc>
        <w:tc>
          <w:tcPr>
            <w:tcW w:w="1198" w:type="dxa"/>
            <w:tcBorders/>
            <w:shd w:fill="CCEEFF" w:val="clear"/>
            <w:vAlign w:val="bottom"/>
          </w:tcPr>
          <w:p>
            <w:pPr>
              <w:pStyle w:val="TableContents"/>
              <w:spacing w:before="0" w:after="283"/>
              <w:jc w:val="right"/>
              <w:rPr/>
            </w:pPr>
            <w:r>
              <w:rPr/>
              <w:t>(12.6</w:t>
            </w:r>
          </w:p>
        </w:tc>
        <w:tc>
          <w:tcPr>
            <w:tcW w:w="269"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pPr>
            <w:r>
              <w:rPr/>
              <w:t>$</w:t>
            </w:r>
          </w:p>
        </w:tc>
        <w:tc>
          <w:tcPr>
            <w:tcW w:w="606" w:type="dxa"/>
            <w:tcBorders/>
            <w:shd w:fill="CCEEFF" w:val="clear"/>
            <w:vAlign w:val="bottom"/>
          </w:tcPr>
          <w:p>
            <w:pPr>
              <w:pStyle w:val="TableContents"/>
              <w:spacing w:before="0" w:after="283"/>
              <w:jc w:val="right"/>
              <w:rPr/>
            </w:pPr>
            <w:r>
              <w:rPr/>
              <w:t>41.8</w:t>
            </w:r>
          </w:p>
        </w:tc>
        <w:tc>
          <w:tcPr>
            <w:tcW w:w="17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jc w:val="right"/>
              <w:rPr/>
            </w:pPr>
            <w:r>
              <w:rPr/>
              <w:t>$</w:t>
            </w:r>
          </w:p>
        </w:tc>
        <w:tc>
          <w:tcPr>
            <w:tcW w:w="605" w:type="dxa"/>
            <w:tcBorders/>
            <w:shd w:fill="CCEEFF" w:val="clear"/>
            <w:vAlign w:val="bottom"/>
          </w:tcPr>
          <w:p>
            <w:pPr>
              <w:pStyle w:val="TableContents"/>
              <w:spacing w:before="0" w:after="283"/>
              <w:jc w:val="right"/>
              <w:rPr/>
            </w:pPr>
            <w:r>
              <w:rPr/>
              <w:t>29.2</w:t>
            </w:r>
          </w:p>
        </w:tc>
        <w:tc>
          <w:tcPr>
            <w:tcW w:w="18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pPr>
            <w:r>
              <w:rPr/>
              <w:t>$</w:t>
            </w:r>
          </w:p>
        </w:tc>
        <w:tc>
          <w:tcPr>
            <w:tcW w:w="1200" w:type="dxa"/>
            <w:tcBorders/>
            <w:shd w:fill="CCEEFF" w:val="clear"/>
            <w:vAlign w:val="bottom"/>
          </w:tcPr>
          <w:p>
            <w:pPr>
              <w:pStyle w:val="TableContents"/>
              <w:spacing w:before="0" w:after="283"/>
              <w:jc w:val="right"/>
              <w:rPr/>
            </w:pPr>
            <w:r>
              <w:rPr/>
              <w:t>18.0</w:t>
            </w:r>
          </w:p>
        </w:tc>
        <w:tc>
          <w:tcPr>
            <w:tcW w:w="212"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637" w:type="dxa"/>
            <w:tcBorders/>
            <w:shd w:fill="CCEEFF" w:val="clear"/>
            <w:vAlign w:val="bottom"/>
          </w:tcPr>
          <w:p>
            <w:pPr>
              <w:pStyle w:val="TableContents"/>
              <w:spacing w:before="0" w:after="283"/>
              <w:jc w:val="right"/>
              <w:rPr/>
            </w:pPr>
            <w:r>
              <w:rPr/>
              <w:t>69.9</w:t>
            </w:r>
          </w:p>
        </w:tc>
        <w:tc>
          <w:tcPr>
            <w:tcW w:w="183"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right"/>
              <w:rPr/>
            </w:pPr>
            <w:r>
              <w:rPr/>
              <w:t>$</w:t>
            </w:r>
          </w:p>
        </w:tc>
        <w:tc>
          <w:tcPr>
            <w:tcW w:w="636" w:type="dxa"/>
            <w:tcBorders/>
            <w:shd w:fill="CCEEFF" w:val="clear"/>
            <w:vAlign w:val="bottom"/>
          </w:tcPr>
          <w:p>
            <w:pPr>
              <w:pStyle w:val="TableContents"/>
              <w:spacing w:before="0" w:after="283"/>
              <w:jc w:val="right"/>
              <w:rPr/>
            </w:pPr>
            <w:r>
              <w:rPr/>
              <w:t>87.9</w:t>
            </w:r>
          </w:p>
        </w:tc>
        <w:tc>
          <w:tcPr>
            <w:tcW w:w="207" w:type="dxa"/>
            <w:tcBorders/>
            <w:shd w:fill="CCEEFF" w:val="clear"/>
            <w:vAlign w:val="bottom"/>
          </w:tcPr>
          <w:p>
            <w:pPr>
              <w:pStyle w:val="TableContents"/>
              <w:spacing w:before="0" w:after="283"/>
              <w:rPr/>
            </w:pPr>
            <w:r>
              <w:rPr/>
              <w:t> </w:t>
            </w:r>
          </w:p>
        </w:tc>
      </w:tr>
      <w:tr>
        <w:trPr/>
        <w:tc>
          <w:tcPr>
            <w:tcW w:w="1378"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4210"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c>
          <w:tcPr>
            <w:tcW w:w="143" w:type="dxa"/>
            <w:tcBorders/>
            <w:shd w:fill="auto" w:val="clear"/>
            <w:vAlign w:val="center"/>
          </w:tcPr>
          <w:p>
            <w:pPr>
              <w:pStyle w:val="TableContents"/>
              <w:spacing w:before="0" w:after="283"/>
              <w:rPr/>
            </w:pPr>
            <w:r>
              <w:rPr/>
              <w:t> </w:t>
            </w:r>
          </w:p>
        </w:tc>
        <w:tc>
          <w:tcPr>
            <w:tcW w:w="4331"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1408"/>
        <w:gridCol w:w="148"/>
        <w:gridCol w:w="374"/>
        <w:gridCol w:w="1198"/>
        <w:gridCol w:w="272"/>
        <w:gridCol w:w="159"/>
        <w:gridCol w:w="217"/>
        <w:gridCol w:w="674"/>
        <w:gridCol w:w="165"/>
        <w:gridCol w:w="159"/>
        <w:gridCol w:w="217"/>
        <w:gridCol w:w="674"/>
        <w:gridCol w:w="127"/>
        <w:gridCol w:w="148"/>
        <w:gridCol w:w="428"/>
        <w:gridCol w:w="1199"/>
        <w:gridCol w:w="216"/>
        <w:gridCol w:w="170"/>
        <w:gridCol w:w="242"/>
        <w:gridCol w:w="610"/>
        <w:gridCol w:w="180"/>
        <w:gridCol w:w="170"/>
        <w:gridCol w:w="242"/>
        <w:gridCol w:w="610"/>
        <w:gridCol w:w="198"/>
      </w:tblGrid>
      <w:tr>
        <w:trPr/>
        <w:tc>
          <w:tcPr>
            <w:tcW w:w="140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r>
      <w:tr>
        <w:trPr/>
        <w:tc>
          <w:tcPr>
            <w:tcW w:w="140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236" w:type="dxa"/>
            <w:gridSpan w:val="11"/>
            <w:tcBorders/>
            <w:shd w:fill="auto" w:val="clear"/>
            <w:vAlign w:val="bottom"/>
          </w:tcPr>
          <w:p>
            <w:pPr>
              <w:pStyle w:val="TableContents"/>
              <w:spacing w:before="0" w:after="283"/>
              <w:jc w:val="center"/>
              <w:rPr>
                <w:b/>
              </w:rPr>
            </w:pPr>
            <w:r>
              <w:rPr>
                <w:b/>
              </w:rPr>
              <w:t>For the Nine Months Ended</w:t>
            </w:r>
          </w:p>
        </w:tc>
        <w:tc>
          <w:tcPr>
            <w:tcW w:w="148" w:type="dxa"/>
            <w:tcBorders/>
            <w:shd w:fill="auto" w:val="clear"/>
            <w:vAlign w:val="bottom"/>
          </w:tcPr>
          <w:p>
            <w:pPr>
              <w:pStyle w:val="TableContents"/>
              <w:spacing w:before="0" w:after="283"/>
              <w:rPr/>
            </w:pPr>
            <w:r>
              <w:rPr/>
              <w:t> </w:t>
            </w:r>
          </w:p>
        </w:tc>
        <w:tc>
          <w:tcPr>
            <w:tcW w:w="4265" w:type="dxa"/>
            <w:gridSpan w:val="11"/>
            <w:tcBorders/>
            <w:shd w:fill="auto" w:val="clear"/>
            <w:vAlign w:val="bottom"/>
          </w:tcPr>
          <w:p>
            <w:pPr>
              <w:pStyle w:val="TableContents"/>
              <w:spacing w:before="0" w:after="283"/>
              <w:jc w:val="center"/>
              <w:rPr>
                <w:b/>
              </w:rPr>
            </w:pPr>
            <w:r>
              <w:rPr>
                <w:b/>
              </w:rPr>
              <w:t>For the Nine Months Ended</w:t>
            </w:r>
          </w:p>
        </w:tc>
      </w:tr>
      <w:tr>
        <w:trPr/>
        <w:tc>
          <w:tcPr>
            <w:tcW w:w="140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23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2007</w:t>
            </w:r>
          </w:p>
        </w:tc>
        <w:tc>
          <w:tcPr>
            <w:tcW w:w="148" w:type="dxa"/>
            <w:tcBorders/>
            <w:shd w:fill="auto" w:val="clear"/>
            <w:vAlign w:val="bottom"/>
          </w:tcPr>
          <w:p>
            <w:pPr>
              <w:pStyle w:val="TableContents"/>
              <w:spacing w:before="0" w:after="283"/>
              <w:rPr/>
            </w:pPr>
            <w:r>
              <w:rPr/>
              <w:t> </w:t>
            </w:r>
          </w:p>
        </w:tc>
        <w:tc>
          <w:tcPr>
            <w:tcW w:w="4265"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2006</w:t>
            </w:r>
          </w:p>
        </w:tc>
      </w:tr>
      <w:tr>
        <w:trPr/>
        <w:tc>
          <w:tcPr>
            <w:tcW w:w="140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844" w:type="dxa"/>
            <w:gridSpan w:val="3"/>
            <w:tcBorders/>
            <w:shd w:fill="auto" w:val="clear"/>
            <w:vAlign w:val="bottom"/>
          </w:tcPr>
          <w:p>
            <w:pPr>
              <w:pStyle w:val="TableContents"/>
              <w:spacing w:before="0" w:after="283"/>
              <w:jc w:val="center"/>
              <w:rPr>
                <w:b/>
              </w:rPr>
            </w:pPr>
            <w:r>
              <w:rPr>
                <w:b/>
              </w:rPr>
              <w:t>Mark-to-market,</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843" w:type="dxa"/>
            <w:gridSpan w:val="3"/>
            <w:tcBorders/>
            <w:shd w:fill="auto" w:val="clear"/>
            <w:vAlign w:val="bottom"/>
          </w:tcPr>
          <w:p>
            <w:pPr>
              <w:pStyle w:val="TableContents"/>
              <w:spacing w:before="0" w:after="283"/>
              <w:jc w:val="center"/>
              <w:rPr>
                <w:b/>
              </w:rPr>
            </w:pPr>
            <w:r>
              <w:rPr>
                <w:b/>
              </w:rPr>
              <w:t>Mark-to-market,</w:t>
            </w:r>
          </w:p>
        </w:tc>
        <w:tc>
          <w:tcPr>
            <w:tcW w:w="170" w:type="dxa"/>
            <w:tcBorders/>
            <w:shd w:fill="auto" w:val="clear"/>
            <w:vAlign w:val="bottom"/>
          </w:tcPr>
          <w:p>
            <w:pPr>
              <w:pStyle w:val="TableContents"/>
              <w:spacing w:before="0" w:after="283"/>
              <w:rPr/>
            </w:pPr>
            <w:r>
              <w:rPr/>
              <w:t> </w:t>
            </w:r>
          </w:p>
        </w:tc>
        <w:tc>
          <w:tcPr>
            <w:tcW w:w="1032" w:type="dxa"/>
            <w:gridSpan w:val="3"/>
            <w:tcBorders/>
            <w:shd w:fill="auto" w:val="clear"/>
            <w:vAlign w:val="bottom"/>
          </w:tcPr>
          <w:p>
            <w:pPr>
              <w:pStyle w:val="TableContents"/>
              <w:spacing w:before="0" w:after="283"/>
              <w:jc w:val="center"/>
              <w:rPr/>
            </w:pPr>
            <w:r>
              <w:rPr/>
              <w:t> </w:t>
            </w:r>
          </w:p>
        </w:tc>
        <w:tc>
          <w:tcPr>
            <w:tcW w:w="170" w:type="dxa"/>
            <w:tcBorders/>
            <w:shd w:fill="auto" w:val="clear"/>
            <w:vAlign w:val="bottom"/>
          </w:tcPr>
          <w:p>
            <w:pPr>
              <w:pStyle w:val="TableContents"/>
              <w:spacing w:before="0" w:after="283"/>
              <w:rPr/>
            </w:pPr>
            <w:r>
              <w:rPr/>
              <w:t> </w:t>
            </w:r>
          </w:p>
        </w:tc>
        <w:tc>
          <w:tcPr>
            <w:tcW w:w="1050" w:type="dxa"/>
            <w:gridSpan w:val="3"/>
            <w:tcBorders/>
            <w:shd w:fill="auto" w:val="clear"/>
            <w:vAlign w:val="bottom"/>
          </w:tcPr>
          <w:p>
            <w:pPr>
              <w:pStyle w:val="TableContents"/>
              <w:spacing w:before="0" w:after="283"/>
              <w:jc w:val="center"/>
              <w:rPr/>
            </w:pPr>
            <w:r>
              <w:rPr/>
              <w:t> </w:t>
            </w:r>
          </w:p>
        </w:tc>
      </w:tr>
      <w:tr>
        <w:trPr/>
        <w:tc>
          <w:tcPr>
            <w:tcW w:w="1408"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844" w:type="dxa"/>
            <w:gridSpan w:val="3"/>
            <w:tcBorders/>
            <w:shd w:fill="auto" w:val="clear"/>
            <w:vAlign w:val="bottom"/>
          </w:tcPr>
          <w:p>
            <w:pPr>
              <w:pStyle w:val="TableContents"/>
              <w:spacing w:before="0" w:after="283"/>
              <w:jc w:val="center"/>
              <w:rPr>
                <w:b/>
              </w:rPr>
            </w:pPr>
            <w:r>
              <w:rPr>
                <w:b/>
              </w:rPr>
              <w:t>net</w:t>
            </w:r>
          </w:p>
        </w:tc>
        <w:tc>
          <w:tcPr>
            <w:tcW w:w="159" w:type="dxa"/>
            <w:tcBorders/>
            <w:shd w:fill="auto" w:val="clear"/>
            <w:vAlign w:val="bottom"/>
          </w:tcPr>
          <w:p>
            <w:pPr>
              <w:pStyle w:val="TableContents"/>
              <w:spacing w:before="0" w:after="283"/>
              <w:rPr/>
            </w:pPr>
            <w:r>
              <w:rPr/>
              <w:t> </w:t>
            </w:r>
          </w:p>
        </w:tc>
        <w:tc>
          <w:tcPr>
            <w:tcW w:w="1056" w:type="dxa"/>
            <w:gridSpan w:val="3"/>
            <w:tcBorders/>
            <w:shd w:fill="auto" w:val="clear"/>
            <w:vAlign w:val="bottom"/>
          </w:tcPr>
          <w:p>
            <w:pPr>
              <w:pStyle w:val="TableContents"/>
              <w:spacing w:before="0" w:after="283"/>
              <w:jc w:val="center"/>
              <w:rPr>
                <w:b/>
              </w:rPr>
            </w:pPr>
            <w:r>
              <w:rPr>
                <w:b/>
              </w:rPr>
              <w:t>Settled</w:t>
            </w:r>
          </w:p>
        </w:tc>
        <w:tc>
          <w:tcPr>
            <w:tcW w:w="159" w:type="dxa"/>
            <w:tcBorders/>
            <w:shd w:fill="auto" w:val="clear"/>
            <w:vAlign w:val="bottom"/>
          </w:tcPr>
          <w:p>
            <w:pPr>
              <w:pStyle w:val="TableContents"/>
              <w:spacing w:before="0" w:after="283"/>
              <w:rPr/>
            </w:pPr>
            <w:r>
              <w:rPr/>
              <w:t> </w:t>
            </w:r>
          </w:p>
        </w:tc>
        <w:tc>
          <w:tcPr>
            <w:tcW w:w="1018" w:type="dxa"/>
            <w:gridSpan w:val="3"/>
            <w:tcBorders/>
            <w:shd w:fill="auto" w:val="clear"/>
            <w:vAlign w:val="bottom"/>
          </w:tcPr>
          <w:p>
            <w:pPr>
              <w:pStyle w:val="TableContents"/>
              <w:spacing w:before="0" w:after="283"/>
              <w:jc w:val="center"/>
              <w:rPr>
                <w:b/>
              </w:rPr>
            </w:pPr>
            <w:r>
              <w:rPr>
                <w:b/>
              </w:rPr>
              <w:t>Total</w:t>
            </w:r>
          </w:p>
        </w:tc>
        <w:tc>
          <w:tcPr>
            <w:tcW w:w="148" w:type="dxa"/>
            <w:tcBorders/>
            <w:shd w:fill="auto" w:val="clear"/>
            <w:vAlign w:val="bottom"/>
          </w:tcPr>
          <w:p>
            <w:pPr>
              <w:pStyle w:val="TableContents"/>
              <w:spacing w:before="0" w:after="283"/>
              <w:rPr/>
            </w:pPr>
            <w:r>
              <w:rPr/>
              <w:t> </w:t>
            </w:r>
          </w:p>
        </w:tc>
        <w:tc>
          <w:tcPr>
            <w:tcW w:w="1843" w:type="dxa"/>
            <w:gridSpan w:val="3"/>
            <w:tcBorders/>
            <w:shd w:fill="auto" w:val="clear"/>
            <w:vAlign w:val="bottom"/>
          </w:tcPr>
          <w:p>
            <w:pPr>
              <w:pStyle w:val="TableContents"/>
              <w:spacing w:before="0" w:after="283"/>
              <w:jc w:val="center"/>
              <w:rPr>
                <w:b/>
              </w:rPr>
            </w:pPr>
            <w:r>
              <w:rPr>
                <w:b/>
              </w:rPr>
              <w:t>net</w:t>
            </w:r>
          </w:p>
        </w:tc>
        <w:tc>
          <w:tcPr>
            <w:tcW w:w="170" w:type="dxa"/>
            <w:tcBorders/>
            <w:shd w:fill="auto" w:val="clear"/>
            <w:vAlign w:val="bottom"/>
          </w:tcPr>
          <w:p>
            <w:pPr>
              <w:pStyle w:val="TableContents"/>
              <w:spacing w:before="0" w:after="283"/>
              <w:rPr/>
            </w:pPr>
            <w:r>
              <w:rPr/>
              <w:t> </w:t>
            </w:r>
          </w:p>
        </w:tc>
        <w:tc>
          <w:tcPr>
            <w:tcW w:w="1032" w:type="dxa"/>
            <w:gridSpan w:val="3"/>
            <w:tcBorders/>
            <w:shd w:fill="auto" w:val="clear"/>
            <w:vAlign w:val="bottom"/>
          </w:tcPr>
          <w:p>
            <w:pPr>
              <w:pStyle w:val="TableContents"/>
              <w:spacing w:before="0" w:after="283"/>
              <w:jc w:val="center"/>
              <w:rPr>
                <w:b/>
              </w:rPr>
            </w:pPr>
            <w:r>
              <w:rPr>
                <w:b/>
              </w:rPr>
              <w:t>Settled</w:t>
            </w:r>
          </w:p>
        </w:tc>
        <w:tc>
          <w:tcPr>
            <w:tcW w:w="170" w:type="dxa"/>
            <w:tcBorders/>
            <w:shd w:fill="auto" w:val="clear"/>
            <w:vAlign w:val="bottom"/>
          </w:tcPr>
          <w:p>
            <w:pPr>
              <w:pStyle w:val="TableContents"/>
              <w:spacing w:before="0" w:after="283"/>
              <w:rPr/>
            </w:pPr>
            <w:r>
              <w:rPr/>
              <w:t> </w:t>
            </w:r>
          </w:p>
        </w:tc>
        <w:tc>
          <w:tcPr>
            <w:tcW w:w="1050" w:type="dxa"/>
            <w:gridSpan w:val="3"/>
            <w:tcBorders/>
            <w:shd w:fill="auto" w:val="clear"/>
            <w:vAlign w:val="bottom"/>
          </w:tcPr>
          <w:p>
            <w:pPr>
              <w:pStyle w:val="TableContents"/>
              <w:spacing w:before="0" w:after="283"/>
              <w:jc w:val="center"/>
              <w:rPr>
                <w:b/>
              </w:rPr>
            </w:pPr>
            <w:r>
              <w:rPr>
                <w:b/>
              </w:rPr>
              <w:t>Total</w:t>
            </w:r>
          </w:p>
        </w:tc>
      </w:tr>
      <w:tr>
        <w:trPr/>
        <w:tc>
          <w:tcPr>
            <w:tcW w:w="1408" w:type="dxa"/>
            <w:tcBorders/>
            <w:shd w:fill="CCEEFF" w:val="clear"/>
            <w:vAlign w:val="bottom"/>
          </w:tcPr>
          <w:p>
            <w:pPr>
              <w:pStyle w:val="TableContents"/>
              <w:spacing w:before="0" w:after="0"/>
              <w:ind w:left="225" w:right="0" w:hanging="225"/>
              <w:rPr/>
            </w:pPr>
            <w:r>
              <w:rPr/>
              <w:t>Commodity price risk hedging</w:t>
            </w:r>
          </w:p>
        </w:tc>
        <w:tc>
          <w:tcPr>
            <w:tcW w:w="14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98" w:type="dxa"/>
            <w:tcBorders/>
            <w:shd w:fill="CCEEFF" w:val="clear"/>
            <w:vAlign w:val="bottom"/>
          </w:tcPr>
          <w:p>
            <w:pPr>
              <w:pStyle w:val="TableContents"/>
              <w:spacing w:before="0" w:after="283"/>
              <w:jc w:val="right"/>
              <w:rPr/>
            </w:pPr>
            <w:r>
              <w:rPr/>
              <w:t>(19.4</w:t>
            </w:r>
          </w:p>
        </w:tc>
        <w:tc>
          <w:tcPr>
            <w:tcW w:w="272"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674" w:type="dxa"/>
            <w:tcBorders/>
            <w:shd w:fill="CCEEFF" w:val="clear"/>
            <w:vAlign w:val="bottom"/>
          </w:tcPr>
          <w:p>
            <w:pPr>
              <w:pStyle w:val="TableContents"/>
              <w:spacing w:before="0" w:after="283"/>
              <w:jc w:val="right"/>
              <w:rPr/>
            </w:pPr>
            <w:r>
              <w:rPr/>
              <w:t>120.4</w:t>
            </w:r>
          </w:p>
        </w:tc>
        <w:tc>
          <w:tcPr>
            <w:tcW w:w="16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674" w:type="dxa"/>
            <w:tcBorders/>
            <w:shd w:fill="CCEEFF" w:val="clear"/>
            <w:vAlign w:val="bottom"/>
          </w:tcPr>
          <w:p>
            <w:pPr>
              <w:pStyle w:val="TableContents"/>
              <w:spacing w:before="0" w:after="283"/>
              <w:jc w:val="right"/>
              <w:rPr/>
            </w:pPr>
            <w:r>
              <w:rPr/>
              <w:t>101.0</w:t>
            </w:r>
          </w:p>
        </w:tc>
        <w:tc>
          <w:tcPr>
            <w:tcW w:w="12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pPr>
            <w:r>
              <w:rPr/>
              <w:t>$</w:t>
            </w:r>
          </w:p>
        </w:tc>
        <w:tc>
          <w:tcPr>
            <w:tcW w:w="1199" w:type="dxa"/>
            <w:tcBorders/>
            <w:shd w:fill="CCEEFF" w:val="clear"/>
            <w:vAlign w:val="bottom"/>
          </w:tcPr>
          <w:p>
            <w:pPr>
              <w:pStyle w:val="TableContents"/>
              <w:spacing w:before="0" w:after="283"/>
              <w:jc w:val="right"/>
              <w:rPr/>
            </w:pPr>
            <w:r>
              <w:rPr/>
              <w:t>14.3</w:t>
            </w:r>
          </w:p>
        </w:tc>
        <w:tc>
          <w:tcPr>
            <w:tcW w:w="21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w:t>
            </w:r>
          </w:p>
        </w:tc>
        <w:tc>
          <w:tcPr>
            <w:tcW w:w="610" w:type="dxa"/>
            <w:tcBorders/>
            <w:shd w:fill="CCEEFF" w:val="clear"/>
            <w:vAlign w:val="bottom"/>
          </w:tcPr>
          <w:p>
            <w:pPr>
              <w:pStyle w:val="TableContents"/>
              <w:spacing w:before="0" w:after="283"/>
              <w:jc w:val="right"/>
              <w:rPr/>
            </w:pPr>
            <w:r>
              <w:rPr/>
              <w:t>66.4</w:t>
            </w:r>
          </w:p>
        </w:tc>
        <w:tc>
          <w:tcPr>
            <w:tcW w:w="18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w:t>
            </w:r>
          </w:p>
        </w:tc>
        <w:tc>
          <w:tcPr>
            <w:tcW w:w="610" w:type="dxa"/>
            <w:tcBorders/>
            <w:shd w:fill="CCEEFF" w:val="clear"/>
            <w:vAlign w:val="bottom"/>
          </w:tcPr>
          <w:p>
            <w:pPr>
              <w:pStyle w:val="TableContents"/>
              <w:spacing w:before="0" w:after="283"/>
              <w:jc w:val="right"/>
              <w:rPr/>
            </w:pPr>
            <w:r>
              <w:rPr/>
              <w:t>80.7</w:t>
            </w:r>
          </w:p>
        </w:tc>
        <w:tc>
          <w:tcPr>
            <w:tcW w:w="198" w:type="dxa"/>
            <w:tcBorders/>
            <w:shd w:fill="CCEEFF" w:val="clear"/>
            <w:vAlign w:val="bottom"/>
          </w:tcPr>
          <w:p>
            <w:pPr>
              <w:pStyle w:val="TableContents"/>
              <w:spacing w:before="0" w:after="283"/>
              <w:rPr/>
            </w:pPr>
            <w:r>
              <w:rPr/>
              <w:t> </w:t>
            </w:r>
          </w:p>
        </w:tc>
      </w:tr>
      <w:tr>
        <w:trPr/>
        <w:tc>
          <w:tcPr>
            <w:tcW w:w="1408" w:type="dxa"/>
            <w:tcBorders/>
            <w:shd w:fill="auto" w:val="clear"/>
            <w:vAlign w:val="bottom"/>
          </w:tcPr>
          <w:p>
            <w:pPr>
              <w:pStyle w:val="TableContents"/>
              <w:spacing w:before="0" w:after="0"/>
              <w:ind w:left="225" w:right="0" w:hanging="225"/>
              <w:rPr/>
            </w:pPr>
            <w:r>
              <w:rPr/>
              <w:t>Controlled trading program</w:t>
            </w:r>
          </w:p>
        </w:tc>
        <w:tc>
          <w:tcPr>
            <w:tcW w:w="14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27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0.5</w:t>
            </w:r>
          </w:p>
        </w:tc>
        <w:tc>
          <w:tcPr>
            <w:tcW w:w="16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0.5</w:t>
            </w:r>
          </w:p>
        </w:tc>
        <w:tc>
          <w:tcPr>
            <w:tcW w:w="12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w:t>
            </w:r>
          </w:p>
        </w:tc>
        <w:tc>
          <w:tcPr>
            <w:tcW w:w="2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pPr>
            <w:r>
              <w:rPr/>
              <w:t></w:t>
            </w:r>
          </w:p>
        </w:tc>
        <w:tc>
          <w:tcPr>
            <w:tcW w:w="18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pPr>
            <w:r>
              <w:rPr/>
              <w:t></w:t>
            </w:r>
          </w:p>
        </w:tc>
        <w:tc>
          <w:tcPr>
            <w:tcW w:w="198" w:type="dxa"/>
            <w:tcBorders/>
            <w:shd w:fill="auto" w:val="clear"/>
            <w:vAlign w:val="bottom"/>
          </w:tcPr>
          <w:p>
            <w:pPr>
              <w:pStyle w:val="TableContents"/>
              <w:spacing w:before="0" w:after="283"/>
              <w:rPr/>
            </w:pPr>
            <w:r>
              <w:rPr/>
              <w:t> </w:t>
            </w:r>
          </w:p>
        </w:tc>
      </w:tr>
      <w:tr>
        <w:trPr/>
        <w:tc>
          <w:tcPr>
            <w:tcW w:w="1408" w:type="dxa"/>
            <w:tcBorders/>
            <w:shd w:fill="CCEEFF" w:val="clear"/>
            <w:vAlign w:val="bottom"/>
          </w:tcPr>
          <w:p>
            <w:pPr>
              <w:pStyle w:val="TableContents"/>
              <w:spacing w:before="0" w:after="0"/>
              <w:ind w:left="225" w:right="0" w:hanging="225"/>
              <w:rPr/>
            </w:pPr>
            <w:r>
              <w:rPr/>
              <w:t>Interest rate risk hedging</w:t>
            </w:r>
          </w:p>
        </w:tc>
        <w:tc>
          <w:tcPr>
            <w:tcW w:w="14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1.7</w:t>
            </w:r>
          </w:p>
        </w:tc>
        <w:tc>
          <w:tcPr>
            <w:tcW w:w="27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 </w:t>
            </w:r>
          </w:p>
        </w:tc>
        <w:tc>
          <w:tcPr>
            <w:tcW w:w="674" w:type="dxa"/>
            <w:tcBorders/>
            <w:shd w:fill="CCEEFF" w:val="clear"/>
            <w:vAlign w:val="bottom"/>
          </w:tcPr>
          <w:p>
            <w:pPr>
              <w:pStyle w:val="TableContents"/>
              <w:spacing w:before="0" w:after="283"/>
              <w:jc w:val="right"/>
              <w:rPr/>
            </w:pPr>
            <w:r>
              <w:rPr/>
              <w:t>(0.6</w:t>
            </w:r>
          </w:p>
        </w:tc>
        <w:tc>
          <w:tcPr>
            <w:tcW w:w="165"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 </w:t>
            </w:r>
          </w:p>
        </w:tc>
        <w:tc>
          <w:tcPr>
            <w:tcW w:w="674" w:type="dxa"/>
            <w:tcBorders/>
            <w:shd w:fill="CCEEFF" w:val="clear"/>
            <w:vAlign w:val="bottom"/>
          </w:tcPr>
          <w:p>
            <w:pPr>
              <w:pStyle w:val="TableContents"/>
              <w:spacing w:before="0" w:after="283"/>
              <w:jc w:val="right"/>
              <w:rPr/>
            </w:pPr>
            <w:r>
              <w:rPr/>
              <w:t>1.1</w:t>
            </w:r>
          </w:p>
        </w:tc>
        <w:tc>
          <w:tcPr>
            <w:tcW w:w="127"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pPr>
            <w:r>
              <w:rPr/>
              <w:t></w:t>
            </w:r>
          </w:p>
        </w:tc>
        <w:tc>
          <w:tcPr>
            <w:tcW w:w="21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 </w:t>
            </w:r>
          </w:p>
        </w:tc>
        <w:tc>
          <w:tcPr>
            <w:tcW w:w="610" w:type="dxa"/>
            <w:tcBorders/>
            <w:shd w:fill="CCEEFF" w:val="clear"/>
            <w:vAlign w:val="bottom"/>
          </w:tcPr>
          <w:p>
            <w:pPr>
              <w:pStyle w:val="TableContents"/>
              <w:spacing w:before="0" w:after="283"/>
              <w:jc w:val="right"/>
              <w:rPr/>
            </w:pPr>
            <w:r>
              <w:rPr/>
              <w:t>(1.2</w:t>
            </w:r>
          </w:p>
        </w:tc>
        <w:tc>
          <w:tcPr>
            <w:tcW w:w="180" w:type="dxa"/>
            <w:tcBorders/>
            <w:shd w:fill="CCEEFF" w:val="clear"/>
            <w:vAlign w:val="bottom"/>
          </w:tcPr>
          <w:p>
            <w:pPr>
              <w:pStyle w:val="TableContents"/>
              <w:spacing w:before="0" w:after="283"/>
              <w:rPr/>
            </w:pPr>
            <w:r>
              <w:rPr/>
              <w:t>)</w:t>
            </w:r>
          </w:p>
        </w:tc>
        <w:tc>
          <w:tcPr>
            <w:tcW w:w="17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 </w:t>
            </w:r>
          </w:p>
        </w:tc>
        <w:tc>
          <w:tcPr>
            <w:tcW w:w="610" w:type="dxa"/>
            <w:tcBorders/>
            <w:shd w:fill="CCEEFF" w:val="clear"/>
            <w:vAlign w:val="bottom"/>
          </w:tcPr>
          <w:p>
            <w:pPr>
              <w:pStyle w:val="TableContents"/>
              <w:spacing w:before="0" w:after="283"/>
              <w:jc w:val="right"/>
              <w:rPr/>
            </w:pPr>
            <w:r>
              <w:rPr/>
              <w:t>(1.2</w:t>
            </w:r>
          </w:p>
        </w:tc>
        <w:tc>
          <w:tcPr>
            <w:tcW w:w="198" w:type="dxa"/>
            <w:tcBorders/>
            <w:shd w:fill="CCEEFF" w:val="clear"/>
            <w:vAlign w:val="bottom"/>
          </w:tcPr>
          <w:p>
            <w:pPr>
              <w:pStyle w:val="TableContents"/>
              <w:spacing w:before="0" w:after="283"/>
              <w:rPr/>
            </w:pPr>
            <w:r>
              <w:rPr/>
              <w:t>)</w:t>
            </w:r>
          </w:p>
        </w:tc>
      </w:tr>
      <w:tr>
        <w:trPr/>
        <w:tc>
          <w:tcPr>
            <w:tcW w:w="1408" w:type="dxa"/>
            <w:tcBorders/>
            <w:shd w:fill="auto" w:val="clear"/>
            <w:vAlign w:val="bottom"/>
          </w:tcPr>
          <w:p>
            <w:pPr>
              <w:pStyle w:val="TableContents"/>
              <w:spacing w:before="0" w:after="0"/>
              <w:ind w:left="225" w:right="0" w:hanging="225"/>
              <w:rPr/>
            </w:pPr>
            <w:r>
              <w:rPr/>
              <w:t>Currency exchange rate risk hedging</w:t>
            </w:r>
          </w:p>
        </w:tc>
        <w:tc>
          <w:tcPr>
            <w:tcW w:w="148"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2.9</w:t>
            </w:r>
          </w:p>
        </w:tc>
        <w:tc>
          <w:tcPr>
            <w:tcW w:w="27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4.0</w:t>
            </w:r>
          </w:p>
        </w:tc>
        <w:tc>
          <w:tcPr>
            <w:tcW w:w="16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pPr>
            <w:r>
              <w:rPr/>
              <w:t>6.9</w:t>
            </w:r>
          </w:p>
        </w:tc>
        <w:tc>
          <w:tcPr>
            <w:tcW w:w="12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1199" w:type="dxa"/>
            <w:tcBorders/>
            <w:shd w:fill="auto" w:val="clear"/>
            <w:vAlign w:val="bottom"/>
          </w:tcPr>
          <w:p>
            <w:pPr>
              <w:pStyle w:val="TableContents"/>
              <w:spacing w:before="0" w:after="283"/>
              <w:jc w:val="right"/>
              <w:rPr/>
            </w:pPr>
            <w:r>
              <w:rPr/>
              <w:t>0.6</w:t>
            </w:r>
          </w:p>
        </w:tc>
        <w:tc>
          <w:tcPr>
            <w:tcW w:w="21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pPr>
            <w:r>
              <w:rPr/>
              <w:t></w:t>
            </w:r>
          </w:p>
        </w:tc>
        <w:tc>
          <w:tcPr>
            <w:tcW w:w="18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jc w:val="right"/>
              <w:rPr/>
            </w:pPr>
            <w:r>
              <w:rPr/>
              <w:t>0.6</w:t>
            </w:r>
          </w:p>
        </w:tc>
        <w:tc>
          <w:tcPr>
            <w:tcW w:w="198" w:type="dxa"/>
            <w:tcBorders/>
            <w:shd w:fill="auto" w:val="clear"/>
            <w:vAlign w:val="bottom"/>
          </w:tcPr>
          <w:p>
            <w:pPr>
              <w:pStyle w:val="TableContents"/>
              <w:spacing w:before="0" w:after="283"/>
              <w:rPr/>
            </w:pPr>
            <w:r>
              <w:rPr/>
              <w:t> </w:t>
            </w:r>
          </w:p>
        </w:tc>
      </w:tr>
      <w:tr>
        <w:trPr/>
        <w:tc>
          <w:tcPr>
            <w:tcW w:w="1408"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4236"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265"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1408" w:type="dxa"/>
            <w:tcBorders/>
            <w:shd w:fill="CCEEFF" w:val="clear"/>
            <w:vAlign w:val="bottom"/>
          </w:tcPr>
          <w:p>
            <w:pPr>
              <w:pStyle w:val="TableContents"/>
              <w:spacing w:before="0" w:after="0"/>
              <w:ind w:left="225" w:right="0" w:hanging="225"/>
              <w:rPr/>
            </w:pPr>
            <w:r>
              <w:rPr/>
              <w:t>Total</w:t>
            </w:r>
          </w:p>
        </w:tc>
        <w:tc>
          <w:tcPr>
            <w:tcW w:w="148"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jc w:val="right"/>
              <w:rPr/>
            </w:pPr>
            <w:r>
              <w:rPr/>
              <w:t>$</w:t>
            </w:r>
          </w:p>
        </w:tc>
        <w:tc>
          <w:tcPr>
            <w:tcW w:w="1198" w:type="dxa"/>
            <w:tcBorders/>
            <w:shd w:fill="CCEEFF" w:val="clear"/>
            <w:vAlign w:val="bottom"/>
          </w:tcPr>
          <w:p>
            <w:pPr>
              <w:pStyle w:val="TableContents"/>
              <w:spacing w:before="0" w:after="283"/>
              <w:jc w:val="right"/>
              <w:rPr/>
            </w:pPr>
            <w:r>
              <w:rPr/>
              <w:t>(14.8</w:t>
            </w:r>
          </w:p>
        </w:tc>
        <w:tc>
          <w:tcPr>
            <w:tcW w:w="272" w:type="dxa"/>
            <w:tcBorders/>
            <w:shd w:fill="CCEEFF" w:val="clear"/>
            <w:vAlign w:val="bottom"/>
          </w:tcPr>
          <w:p>
            <w:pPr>
              <w:pStyle w:val="TableContents"/>
              <w:spacing w:before="0" w:after="283"/>
              <w:rPr/>
            </w:pPr>
            <w:r>
              <w:rPr/>
              <w:t>)</w:t>
            </w:r>
          </w:p>
        </w:tc>
        <w:tc>
          <w:tcPr>
            <w:tcW w:w="15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674" w:type="dxa"/>
            <w:tcBorders/>
            <w:shd w:fill="CCEEFF" w:val="clear"/>
            <w:vAlign w:val="bottom"/>
          </w:tcPr>
          <w:p>
            <w:pPr>
              <w:pStyle w:val="TableContents"/>
              <w:spacing w:before="0" w:after="283"/>
              <w:jc w:val="right"/>
              <w:rPr/>
            </w:pPr>
            <w:r>
              <w:rPr/>
              <w:t>124.3</w:t>
            </w:r>
          </w:p>
        </w:tc>
        <w:tc>
          <w:tcPr>
            <w:tcW w:w="16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right"/>
              <w:rPr/>
            </w:pPr>
            <w:r>
              <w:rPr/>
              <w:t>$</w:t>
            </w:r>
          </w:p>
        </w:tc>
        <w:tc>
          <w:tcPr>
            <w:tcW w:w="674" w:type="dxa"/>
            <w:tcBorders/>
            <w:shd w:fill="CCEEFF" w:val="clear"/>
            <w:vAlign w:val="bottom"/>
          </w:tcPr>
          <w:p>
            <w:pPr>
              <w:pStyle w:val="TableContents"/>
              <w:spacing w:before="0" w:after="283"/>
              <w:jc w:val="right"/>
              <w:rPr/>
            </w:pPr>
            <w:r>
              <w:rPr/>
              <w:t>109.5</w:t>
            </w:r>
          </w:p>
        </w:tc>
        <w:tc>
          <w:tcPr>
            <w:tcW w:w="12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pPr>
            <w:r>
              <w:rPr/>
              <w:t>$</w:t>
            </w:r>
          </w:p>
        </w:tc>
        <w:tc>
          <w:tcPr>
            <w:tcW w:w="1199" w:type="dxa"/>
            <w:tcBorders/>
            <w:shd w:fill="CCEEFF" w:val="clear"/>
            <w:vAlign w:val="bottom"/>
          </w:tcPr>
          <w:p>
            <w:pPr>
              <w:pStyle w:val="TableContents"/>
              <w:spacing w:before="0" w:after="283"/>
              <w:jc w:val="right"/>
              <w:rPr/>
            </w:pPr>
            <w:r>
              <w:rPr/>
              <w:t>14.9</w:t>
            </w:r>
          </w:p>
        </w:tc>
        <w:tc>
          <w:tcPr>
            <w:tcW w:w="21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w:t>
            </w:r>
          </w:p>
        </w:tc>
        <w:tc>
          <w:tcPr>
            <w:tcW w:w="610" w:type="dxa"/>
            <w:tcBorders/>
            <w:shd w:fill="CCEEFF" w:val="clear"/>
            <w:vAlign w:val="bottom"/>
          </w:tcPr>
          <w:p>
            <w:pPr>
              <w:pStyle w:val="TableContents"/>
              <w:spacing w:before="0" w:after="283"/>
              <w:jc w:val="right"/>
              <w:rPr/>
            </w:pPr>
            <w:r>
              <w:rPr/>
              <w:t>65.2</w:t>
            </w:r>
          </w:p>
        </w:tc>
        <w:tc>
          <w:tcPr>
            <w:tcW w:w="18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jc w:val="right"/>
              <w:rPr/>
            </w:pPr>
            <w:r>
              <w:rPr/>
              <w:t>$</w:t>
            </w:r>
          </w:p>
        </w:tc>
        <w:tc>
          <w:tcPr>
            <w:tcW w:w="610" w:type="dxa"/>
            <w:tcBorders/>
            <w:shd w:fill="CCEEFF" w:val="clear"/>
            <w:vAlign w:val="bottom"/>
          </w:tcPr>
          <w:p>
            <w:pPr>
              <w:pStyle w:val="TableContents"/>
              <w:spacing w:before="0" w:after="283"/>
              <w:jc w:val="right"/>
              <w:rPr/>
            </w:pPr>
            <w:r>
              <w:rPr/>
              <w:t>80.1</w:t>
            </w:r>
          </w:p>
        </w:tc>
        <w:tc>
          <w:tcPr>
            <w:tcW w:w="198" w:type="dxa"/>
            <w:tcBorders/>
            <w:shd w:fill="CCEEFF" w:val="clear"/>
            <w:vAlign w:val="bottom"/>
          </w:tcPr>
          <w:p>
            <w:pPr>
              <w:pStyle w:val="TableContents"/>
              <w:spacing w:before="0" w:after="283"/>
              <w:rPr/>
            </w:pPr>
            <w:r>
              <w:rPr/>
              <w:t> </w:t>
            </w:r>
          </w:p>
        </w:tc>
      </w:tr>
      <w:tr>
        <w:trPr/>
        <w:tc>
          <w:tcPr>
            <w:tcW w:w="1408"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4236"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c>
          <w:tcPr>
            <w:tcW w:w="148" w:type="dxa"/>
            <w:tcBorders/>
            <w:shd w:fill="auto" w:val="clear"/>
            <w:vAlign w:val="center"/>
          </w:tcPr>
          <w:p>
            <w:pPr>
              <w:pStyle w:val="TableContents"/>
              <w:spacing w:before="0" w:after="283"/>
              <w:rPr/>
            </w:pPr>
            <w:r>
              <w:rPr/>
              <w:t> </w:t>
            </w:r>
          </w:p>
        </w:tc>
        <w:tc>
          <w:tcPr>
            <w:tcW w:w="4265"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pPr>
      <w:r>
        <w:rPr/>
        <w:t>     </w:t>
      </w:r>
      <w:r>
        <w:rPr>
          <w:rFonts w:ascii="Times New Roman;Times;serif" w:hAnsi="Times New Roman;Times;serif"/>
          <w:sz w:val="17"/>
        </w:rPr>
        <w:t xml:space="preserve">The breakdown of the net mark-to-market impact to earnings between derivatives that do not qualify for hedge accounting and the ineffective portion of cash flow hedges is as follows (in millions, losses designated in parentheses): </w:t>
      </w:r>
    </w:p>
    <w:tbl>
      <w:tblPr>
        <w:tblW w:w="5000" w:type="pct"/>
        <w:jc w:val="center"/>
        <w:tblInd w:w="0" w:type="dxa"/>
        <w:tblCellMar>
          <w:top w:w="0" w:type="dxa"/>
          <w:left w:w="0" w:type="dxa"/>
          <w:bottom w:w="0" w:type="dxa"/>
          <w:right w:w="0" w:type="dxa"/>
        </w:tblCellMar>
      </w:tblPr>
      <w:tblGrid>
        <w:gridCol w:w="6023"/>
        <w:gridCol w:w="117"/>
        <w:gridCol w:w="188"/>
        <w:gridCol w:w="519"/>
        <w:gridCol w:w="201"/>
        <w:gridCol w:w="170"/>
        <w:gridCol w:w="188"/>
        <w:gridCol w:w="453"/>
        <w:gridCol w:w="117"/>
        <w:gridCol w:w="382"/>
        <w:gridCol w:w="188"/>
        <w:gridCol w:w="519"/>
        <w:gridCol w:w="201"/>
        <w:gridCol w:w="169"/>
        <w:gridCol w:w="188"/>
        <w:gridCol w:w="453"/>
        <w:gridCol w:w="129"/>
      </w:tblGrid>
      <w:tr>
        <w:trPr/>
        <w:tc>
          <w:tcPr>
            <w:tcW w:w="60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60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71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For the</w:t>
              <w:br/>
              <w:t>Three Months</w:t>
              <w:br/>
              <w:t>ended</w:t>
              <w:br/>
              <w:t>September 30,</w:t>
            </w:r>
          </w:p>
        </w:tc>
        <w:tc>
          <w:tcPr>
            <w:tcW w:w="11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71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For the</w:t>
              <w:br/>
              <w:t>Nine Months</w:t>
              <w:br/>
              <w:t>ended</w:t>
              <w:br/>
              <w:t>September 30,</w:t>
            </w:r>
          </w:p>
        </w:tc>
        <w:tc>
          <w:tcPr>
            <w:tcW w:w="129" w:type="dxa"/>
            <w:tcBorders/>
            <w:shd w:fill="auto" w:val="clear"/>
            <w:vAlign w:val="bottom"/>
          </w:tcPr>
          <w:p>
            <w:pPr>
              <w:pStyle w:val="TableContents"/>
              <w:spacing w:before="0" w:after="283"/>
              <w:rPr/>
            </w:pPr>
            <w:r>
              <w:rPr/>
              <w:t> </w:t>
            </w:r>
          </w:p>
        </w:tc>
      </w:tr>
      <w:tr>
        <w:trPr/>
        <w:tc>
          <w:tcPr>
            <w:tcW w:w="6023"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01"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0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01"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9" w:type="dxa"/>
            <w:tcBorders/>
            <w:shd w:fill="auto" w:val="clear"/>
            <w:vAlign w:val="bottom"/>
          </w:tcPr>
          <w:p>
            <w:pPr>
              <w:pStyle w:val="TableContents"/>
              <w:spacing w:before="0" w:after="283"/>
              <w:rPr/>
            </w:pPr>
            <w:r>
              <w:rPr/>
              <w:t> </w:t>
            </w:r>
          </w:p>
        </w:tc>
      </w:tr>
      <w:tr>
        <w:trPr/>
        <w:tc>
          <w:tcPr>
            <w:tcW w:w="6023" w:type="dxa"/>
            <w:tcBorders/>
            <w:shd w:fill="CCEEFF" w:val="clear"/>
            <w:vAlign w:val="bottom"/>
          </w:tcPr>
          <w:p>
            <w:pPr>
              <w:pStyle w:val="TableContents"/>
              <w:spacing w:before="0" w:after="0"/>
              <w:ind w:left="225" w:right="0" w:hanging="225"/>
              <w:rPr/>
            </w:pPr>
            <w:r>
              <w:rPr/>
              <w:t>Derivatives that do not qualify for hedge accounting</w:t>
            </w:r>
          </w:p>
        </w:tc>
        <w:tc>
          <w:tcPr>
            <w:tcW w:w="1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519" w:type="dxa"/>
            <w:tcBorders/>
            <w:shd w:fill="CCEEFF" w:val="clear"/>
            <w:vAlign w:val="bottom"/>
          </w:tcPr>
          <w:p>
            <w:pPr>
              <w:pStyle w:val="TableContents"/>
              <w:spacing w:before="0" w:after="283"/>
              <w:jc w:val="right"/>
              <w:rPr/>
            </w:pPr>
            <w:r>
              <w:rPr/>
              <w:t>(13.4</w:t>
            </w:r>
          </w:p>
        </w:tc>
        <w:tc>
          <w:tcPr>
            <w:tcW w:w="20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453" w:type="dxa"/>
            <w:tcBorders/>
            <w:shd w:fill="CCEEFF" w:val="clear"/>
            <w:vAlign w:val="bottom"/>
          </w:tcPr>
          <w:p>
            <w:pPr>
              <w:pStyle w:val="TableContents"/>
              <w:spacing w:before="0" w:after="283"/>
              <w:jc w:val="right"/>
              <w:rPr/>
            </w:pPr>
            <w:r>
              <w:rPr/>
              <w:t>17.3</w:t>
            </w:r>
          </w:p>
        </w:tc>
        <w:tc>
          <w:tcPr>
            <w:tcW w:w="11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519" w:type="dxa"/>
            <w:tcBorders/>
            <w:shd w:fill="CCEEFF" w:val="clear"/>
            <w:vAlign w:val="bottom"/>
          </w:tcPr>
          <w:p>
            <w:pPr>
              <w:pStyle w:val="TableContents"/>
              <w:spacing w:before="0" w:after="283"/>
              <w:jc w:val="right"/>
              <w:rPr/>
            </w:pPr>
            <w:r>
              <w:rPr/>
              <w:t>(14.2</w:t>
            </w:r>
          </w:p>
        </w:tc>
        <w:tc>
          <w:tcPr>
            <w:tcW w:w="20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453" w:type="dxa"/>
            <w:tcBorders/>
            <w:shd w:fill="CCEEFF" w:val="clear"/>
            <w:vAlign w:val="bottom"/>
          </w:tcPr>
          <w:p>
            <w:pPr>
              <w:pStyle w:val="TableContents"/>
              <w:spacing w:before="0" w:after="283"/>
              <w:jc w:val="right"/>
              <w:rPr/>
            </w:pPr>
            <w:r>
              <w:rPr/>
              <w:t>13.7</w:t>
            </w:r>
          </w:p>
        </w:tc>
        <w:tc>
          <w:tcPr>
            <w:tcW w:w="129" w:type="dxa"/>
            <w:tcBorders/>
            <w:shd w:fill="CCEEFF" w:val="clear"/>
            <w:vAlign w:val="bottom"/>
          </w:tcPr>
          <w:p>
            <w:pPr>
              <w:pStyle w:val="TableContents"/>
              <w:spacing w:before="0" w:after="283"/>
              <w:rPr/>
            </w:pPr>
            <w:r>
              <w:rPr/>
              <w:t> </w:t>
            </w:r>
          </w:p>
        </w:tc>
      </w:tr>
      <w:tr>
        <w:trPr/>
        <w:tc>
          <w:tcPr>
            <w:tcW w:w="6023" w:type="dxa"/>
            <w:tcBorders/>
            <w:shd w:fill="auto" w:val="clear"/>
            <w:vAlign w:val="bottom"/>
          </w:tcPr>
          <w:p>
            <w:pPr>
              <w:pStyle w:val="TableContents"/>
              <w:spacing w:before="0" w:after="0"/>
              <w:ind w:left="225" w:right="0" w:hanging="225"/>
              <w:rPr/>
            </w:pPr>
            <w:r>
              <w:rPr/>
              <w:t>Ineffective portion of cash flow hedges</w:t>
            </w:r>
          </w:p>
        </w:tc>
        <w:tc>
          <w:tcPr>
            <w:tcW w:w="117"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jc w:val="right"/>
              <w:rPr/>
            </w:pPr>
            <w:r>
              <w:rPr/>
              <w:t>0.8 </w:t>
            </w:r>
          </w:p>
        </w:tc>
        <w:tc>
          <w:tcPr>
            <w:tcW w:w="201"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pPr>
            <w:r>
              <w:rPr/>
              <w:t>0.7</w:t>
            </w:r>
          </w:p>
        </w:tc>
        <w:tc>
          <w:tcPr>
            <w:tcW w:w="117"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jc w:val="right"/>
              <w:rPr/>
            </w:pPr>
            <w:r>
              <w:rPr/>
              <w:t>(0.6</w:t>
            </w:r>
          </w:p>
        </w:tc>
        <w:tc>
          <w:tcPr>
            <w:tcW w:w="201" w:type="dxa"/>
            <w:tcBorders/>
            <w:shd w:fill="auto" w:val="clear"/>
            <w:vAlign w:val="bottom"/>
          </w:tcPr>
          <w:p>
            <w:pPr>
              <w:pStyle w:val="TableContents"/>
              <w:spacing w:before="0" w:after="283"/>
              <w:rPr/>
            </w:pPr>
            <w:r>
              <w:rPr/>
              <w:t>)</w:t>
            </w:r>
          </w:p>
        </w:tc>
        <w:tc>
          <w:tcPr>
            <w:tcW w:w="16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453" w:type="dxa"/>
            <w:tcBorders/>
            <w:shd w:fill="auto" w:val="clear"/>
            <w:vAlign w:val="bottom"/>
          </w:tcPr>
          <w:p>
            <w:pPr>
              <w:pStyle w:val="TableContents"/>
              <w:spacing w:before="0" w:after="283"/>
              <w:jc w:val="right"/>
              <w:rPr/>
            </w:pPr>
            <w:r>
              <w:rPr/>
              <w:t>1.2</w:t>
            </w:r>
          </w:p>
        </w:tc>
        <w:tc>
          <w:tcPr>
            <w:tcW w:w="129" w:type="dxa"/>
            <w:tcBorders/>
            <w:shd w:fill="auto" w:val="clear"/>
            <w:vAlign w:val="bottom"/>
          </w:tcPr>
          <w:p>
            <w:pPr>
              <w:pStyle w:val="TableContents"/>
              <w:spacing w:before="0" w:after="283"/>
              <w:rPr/>
            </w:pPr>
            <w:r>
              <w:rPr/>
              <w:t> </w:t>
            </w:r>
          </w:p>
        </w:tc>
      </w:tr>
      <w:tr>
        <w:trPr/>
        <w:tc>
          <w:tcPr>
            <w:tcW w:w="6023" w:type="dxa"/>
            <w:tcBorders/>
            <w:shd w:fill="auto" w:val="clear"/>
            <w:vAlign w:val="center"/>
          </w:tcPr>
          <w:p>
            <w:pPr>
              <w:pStyle w:val="TableContents"/>
              <w:spacing w:before="0" w:after="0"/>
              <w:ind w:left="225" w:right="0" w:hanging="225"/>
              <w:rPr/>
            </w:pPr>
            <w:r>
              <w:rPr/>
              <w:t> </w:t>
            </w:r>
          </w:p>
        </w:tc>
        <w:tc>
          <w:tcPr>
            <w:tcW w:w="117" w:type="dxa"/>
            <w:tcBorders/>
            <w:shd w:fill="auto" w:val="clear"/>
            <w:vAlign w:val="center"/>
          </w:tcPr>
          <w:p>
            <w:pPr>
              <w:pStyle w:val="TableContents"/>
              <w:spacing w:before="0" w:after="283"/>
              <w:rPr/>
            </w:pPr>
            <w:r>
              <w:rPr/>
              <w:t> </w:t>
            </w:r>
          </w:p>
        </w:tc>
        <w:tc>
          <w:tcPr>
            <w:tcW w:w="7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70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6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6023" w:type="dxa"/>
            <w:tcBorders/>
            <w:shd w:fill="CCEEFF" w:val="clear"/>
            <w:vAlign w:val="bottom"/>
          </w:tcPr>
          <w:p>
            <w:pPr>
              <w:pStyle w:val="TableContents"/>
              <w:spacing w:before="0" w:after="0"/>
              <w:ind w:left="225" w:right="0" w:hanging="225"/>
              <w:rPr/>
            </w:pPr>
            <w:r>
              <w:rPr/>
              <w:t>Total</w:t>
            </w:r>
          </w:p>
        </w:tc>
        <w:tc>
          <w:tcPr>
            <w:tcW w:w="117"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519" w:type="dxa"/>
            <w:tcBorders/>
            <w:shd w:fill="CCEEFF" w:val="clear"/>
            <w:vAlign w:val="bottom"/>
          </w:tcPr>
          <w:p>
            <w:pPr>
              <w:pStyle w:val="TableContents"/>
              <w:spacing w:before="0" w:after="283"/>
              <w:jc w:val="right"/>
              <w:rPr/>
            </w:pPr>
            <w:r>
              <w:rPr/>
              <w:t>(12.6</w:t>
            </w:r>
          </w:p>
        </w:tc>
        <w:tc>
          <w:tcPr>
            <w:tcW w:w="201"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453" w:type="dxa"/>
            <w:tcBorders/>
            <w:shd w:fill="CCEEFF" w:val="clear"/>
            <w:vAlign w:val="bottom"/>
          </w:tcPr>
          <w:p>
            <w:pPr>
              <w:pStyle w:val="TableContents"/>
              <w:spacing w:before="0" w:after="283"/>
              <w:jc w:val="right"/>
              <w:rPr/>
            </w:pPr>
            <w:r>
              <w:rPr/>
              <w:t>18.0</w:t>
            </w:r>
          </w:p>
        </w:tc>
        <w:tc>
          <w:tcPr>
            <w:tcW w:w="117"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519" w:type="dxa"/>
            <w:tcBorders/>
            <w:shd w:fill="CCEEFF" w:val="clear"/>
            <w:vAlign w:val="bottom"/>
          </w:tcPr>
          <w:p>
            <w:pPr>
              <w:pStyle w:val="TableContents"/>
              <w:spacing w:before="0" w:after="283"/>
              <w:jc w:val="right"/>
              <w:rPr/>
            </w:pPr>
            <w:r>
              <w:rPr/>
              <w:t>(14.8</w:t>
            </w:r>
          </w:p>
        </w:tc>
        <w:tc>
          <w:tcPr>
            <w:tcW w:w="201"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453" w:type="dxa"/>
            <w:tcBorders/>
            <w:shd w:fill="CCEEFF" w:val="clear"/>
            <w:vAlign w:val="bottom"/>
          </w:tcPr>
          <w:p>
            <w:pPr>
              <w:pStyle w:val="TableContents"/>
              <w:spacing w:before="0" w:after="283"/>
              <w:jc w:val="right"/>
              <w:rPr/>
            </w:pPr>
            <w:r>
              <w:rPr/>
              <w:t>14.9</w:t>
            </w:r>
          </w:p>
        </w:tc>
        <w:tc>
          <w:tcPr>
            <w:tcW w:w="129" w:type="dxa"/>
            <w:tcBorders/>
            <w:shd w:fill="CCEEFF" w:val="clear"/>
            <w:vAlign w:val="bottom"/>
          </w:tcPr>
          <w:p>
            <w:pPr>
              <w:pStyle w:val="TableContents"/>
              <w:spacing w:before="0" w:after="283"/>
              <w:rPr/>
            </w:pPr>
            <w:r>
              <w:rPr/>
              <w:t> </w:t>
            </w:r>
          </w:p>
        </w:tc>
      </w:tr>
      <w:tr>
        <w:trPr/>
        <w:tc>
          <w:tcPr>
            <w:tcW w:w="6023" w:type="dxa"/>
            <w:tcBorders/>
            <w:shd w:fill="auto" w:val="clear"/>
            <w:vAlign w:val="center"/>
          </w:tcPr>
          <w:p>
            <w:pPr>
              <w:pStyle w:val="TableContents"/>
              <w:spacing w:before="0" w:after="0"/>
              <w:ind w:left="225" w:right="0" w:hanging="225"/>
              <w:rPr/>
            </w:pPr>
            <w:r>
              <w:rPr/>
              <w:t> </w:t>
            </w:r>
          </w:p>
        </w:tc>
        <w:tc>
          <w:tcPr>
            <w:tcW w:w="117" w:type="dxa"/>
            <w:tcBorders/>
            <w:shd w:fill="auto" w:val="clear"/>
            <w:vAlign w:val="center"/>
          </w:tcPr>
          <w:p>
            <w:pPr>
              <w:pStyle w:val="TableContents"/>
              <w:spacing w:before="0" w:after="283"/>
              <w:rPr/>
            </w:pPr>
            <w:r>
              <w:rPr/>
              <w:t> </w:t>
            </w:r>
          </w:p>
        </w:tc>
        <w:tc>
          <w:tcPr>
            <w:tcW w:w="7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6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rPr/>
            </w:pPr>
            <w:r>
              <w:rPr/>
              <w:t> </w:t>
            </w:r>
          </w:p>
        </w:tc>
        <w:tc>
          <w:tcPr>
            <w:tcW w:w="70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1"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6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Derivatives that do not qualify for hedge accounting consist of (i) derivatives that are an effective element of our risk management strategy but are not consistently effective to qualify for hedge accounting pursuant to SFAS No. 133, Accounting For Derivative Instruments and Hedging Activities, as amended (SFAS 133), as they do not sufficiently correlate with the underlying transaction and (ii) certain transactions that have not been designated as hedges. </w:t>
      </w:r>
    </w:p>
    <w:p>
      <w:pPr>
        <w:pStyle w:val="TextBody"/>
        <w:spacing w:before="120" w:after="283"/>
        <w:jc w:val="left"/>
        <w:rPr/>
      </w:pPr>
      <w:r>
        <w:rPr/>
        <w:t>     </w:t>
      </w:r>
      <w:r>
        <w:rPr>
          <w:rFonts w:ascii="Times New Roman;Times;serif" w:hAnsi="Times New Roman;Times;serif"/>
          <w:sz w:val="17"/>
        </w:rPr>
        <w:t xml:space="preserve">The following table summarizes the net assets and liabilities on our condensed consolidated balance sheet that are related to the fair value of our open derivative positions (in millions):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5989"/>
        <w:gridCol w:w="395"/>
        <w:gridCol w:w="320"/>
        <w:gridCol w:w="1270"/>
        <w:gridCol w:w="144"/>
        <w:gridCol w:w="395"/>
        <w:gridCol w:w="309"/>
        <w:gridCol w:w="1233"/>
        <w:gridCol w:w="150"/>
      </w:tblGrid>
      <w:tr>
        <w:trPr/>
        <w:tc>
          <w:tcPr>
            <w:tcW w:w="598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7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r>
      <w:tr>
        <w:trPr/>
        <w:tc>
          <w:tcPr>
            <w:tcW w:w="598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jc w:val="center"/>
              <w:rPr>
                <w:b/>
              </w:rPr>
            </w:pPr>
            <w:r>
              <w:rPr>
                <w:b/>
              </w:rPr>
              <w:t>September 30,</w:t>
            </w:r>
          </w:p>
        </w:tc>
        <w:tc>
          <w:tcPr>
            <w:tcW w:w="14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2" w:type="dxa"/>
            <w:gridSpan w:val="2"/>
            <w:tcBorders/>
            <w:shd w:fill="auto" w:val="clear"/>
            <w:vAlign w:val="bottom"/>
          </w:tcPr>
          <w:p>
            <w:pPr>
              <w:pStyle w:val="TableContents"/>
              <w:spacing w:before="0" w:after="283"/>
              <w:jc w:val="center"/>
              <w:rPr>
                <w:b/>
              </w:rPr>
            </w:pPr>
            <w:r>
              <w:rPr>
                <w:b/>
              </w:rPr>
              <w:t>December 31,</w:t>
            </w:r>
          </w:p>
        </w:tc>
        <w:tc>
          <w:tcPr>
            <w:tcW w:w="150" w:type="dxa"/>
            <w:tcBorders/>
            <w:shd w:fill="auto" w:val="clear"/>
            <w:vAlign w:val="bottom"/>
          </w:tcPr>
          <w:p>
            <w:pPr>
              <w:pStyle w:val="TableContents"/>
              <w:spacing w:before="0" w:after="283"/>
              <w:rPr/>
            </w:pPr>
            <w:r>
              <w:rPr/>
              <w:t> </w:t>
            </w:r>
          </w:p>
        </w:tc>
      </w:tr>
      <w:tr>
        <w:trPr/>
        <w:tc>
          <w:tcPr>
            <w:tcW w:w="5989"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5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50" w:type="dxa"/>
            <w:tcBorders/>
            <w:shd w:fill="auto" w:val="clear"/>
            <w:vAlign w:val="bottom"/>
          </w:tcPr>
          <w:p>
            <w:pPr>
              <w:pStyle w:val="TableContents"/>
              <w:spacing w:before="0" w:after="283"/>
              <w:rPr/>
            </w:pPr>
            <w:r>
              <w:rPr/>
              <w:t> </w:t>
            </w:r>
          </w:p>
        </w:tc>
      </w:tr>
      <w:tr>
        <w:trPr/>
        <w:tc>
          <w:tcPr>
            <w:tcW w:w="5989" w:type="dxa"/>
            <w:tcBorders/>
            <w:shd w:fill="CCEEFF" w:val="clear"/>
            <w:vAlign w:val="bottom"/>
          </w:tcPr>
          <w:p>
            <w:pPr>
              <w:pStyle w:val="TableContents"/>
              <w:spacing w:before="0" w:after="0"/>
              <w:ind w:left="225" w:right="0" w:hanging="225"/>
              <w:rPr/>
            </w:pPr>
            <w:r>
              <w:rPr/>
              <w:t>Other current assets</w:t>
            </w:r>
          </w:p>
        </w:tc>
        <w:tc>
          <w:tcPr>
            <w:tcW w:w="3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1270" w:type="dxa"/>
            <w:tcBorders/>
            <w:shd w:fill="CCEEFF" w:val="clear"/>
            <w:vAlign w:val="bottom"/>
          </w:tcPr>
          <w:p>
            <w:pPr>
              <w:pStyle w:val="TableContents"/>
              <w:spacing w:before="0" w:after="283"/>
              <w:jc w:val="right"/>
              <w:rPr/>
            </w:pPr>
            <w:r>
              <w:rPr/>
              <w:t>37.4</w:t>
            </w:r>
          </w:p>
        </w:tc>
        <w:tc>
          <w:tcPr>
            <w:tcW w:w="14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left"/>
              <w:rPr/>
            </w:pPr>
            <w:r>
              <w:rPr/>
              <w:t>$</w:t>
            </w:r>
          </w:p>
        </w:tc>
        <w:tc>
          <w:tcPr>
            <w:tcW w:w="1233" w:type="dxa"/>
            <w:tcBorders/>
            <w:shd w:fill="CCEEFF" w:val="clear"/>
            <w:vAlign w:val="bottom"/>
          </w:tcPr>
          <w:p>
            <w:pPr>
              <w:pStyle w:val="TableContents"/>
              <w:spacing w:before="0" w:after="283"/>
              <w:jc w:val="right"/>
              <w:rPr/>
            </w:pPr>
            <w:r>
              <w:rPr/>
              <w:t>55.2</w:t>
            </w:r>
          </w:p>
        </w:tc>
        <w:tc>
          <w:tcPr>
            <w:tcW w:w="150" w:type="dxa"/>
            <w:tcBorders/>
            <w:shd w:fill="CCEEFF" w:val="clear"/>
            <w:vAlign w:val="bottom"/>
          </w:tcPr>
          <w:p>
            <w:pPr>
              <w:pStyle w:val="TableContents"/>
              <w:spacing w:before="0" w:after="283"/>
              <w:rPr/>
            </w:pPr>
            <w:r>
              <w:rPr/>
              <w:t> </w:t>
            </w:r>
          </w:p>
        </w:tc>
      </w:tr>
      <w:tr>
        <w:trPr/>
        <w:tc>
          <w:tcPr>
            <w:tcW w:w="5989" w:type="dxa"/>
            <w:tcBorders/>
            <w:shd w:fill="auto" w:val="clear"/>
            <w:vAlign w:val="center"/>
          </w:tcPr>
          <w:p>
            <w:pPr>
              <w:pStyle w:val="TableContents"/>
              <w:spacing w:before="0" w:after="283"/>
              <w:rPr/>
            </w:pPr>
            <w:r>
              <w:rPr/>
              <w:t> </w:t>
            </w:r>
          </w:p>
        </w:tc>
        <w:tc>
          <w:tcPr>
            <w:tcW w:w="4216" w:type="dxa"/>
            <w:gridSpan w:val="8"/>
            <w:tcBorders/>
            <w:shd w:fill="auto" w:val="clear"/>
          </w:tcPr>
          <w:p>
            <w:pPr>
              <w:pStyle w:val="TableContents"/>
              <w:spacing w:before="0" w:after="283"/>
              <w:rPr>
                <w:sz w:val="4"/>
                <w:szCs w:val="4"/>
              </w:rPr>
            </w:pPr>
            <w:r>
              <w:rPr>
                <w:sz w:val="4"/>
                <w:szCs w:val="4"/>
              </w:rPr>
            </w:r>
          </w:p>
        </w:tc>
      </w:tr>
      <w:tr>
        <w:trPr/>
        <w:tc>
          <w:tcPr>
            <w:tcW w:w="5989" w:type="dxa"/>
            <w:tcBorders/>
            <w:shd w:fill="auto" w:val="clear"/>
            <w:vAlign w:val="bottom"/>
          </w:tcPr>
          <w:p>
            <w:pPr>
              <w:pStyle w:val="TableContents"/>
              <w:spacing w:before="0" w:after="0"/>
              <w:ind w:left="225" w:right="0" w:hanging="225"/>
              <w:rPr/>
            </w:pPr>
            <w:r>
              <w:rPr/>
              <w:t>Other long-term assets</w:t>
            </w:r>
          </w:p>
        </w:tc>
        <w:tc>
          <w:tcPr>
            <w:tcW w:w="39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270" w:type="dxa"/>
            <w:tcBorders/>
            <w:shd w:fill="auto" w:val="clear"/>
            <w:vAlign w:val="bottom"/>
          </w:tcPr>
          <w:p>
            <w:pPr>
              <w:pStyle w:val="TableContents"/>
              <w:spacing w:before="0" w:after="283"/>
              <w:jc w:val="right"/>
              <w:rPr/>
            </w:pPr>
            <w:r>
              <w:rPr/>
              <w:t>9.3</w:t>
            </w:r>
          </w:p>
        </w:tc>
        <w:tc>
          <w:tcPr>
            <w:tcW w:w="14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right"/>
              <w:rPr/>
            </w:pPr>
            <w:r>
              <w:rPr/>
              <w:t>9.0</w:t>
            </w:r>
          </w:p>
        </w:tc>
        <w:tc>
          <w:tcPr>
            <w:tcW w:w="150" w:type="dxa"/>
            <w:tcBorders/>
            <w:shd w:fill="auto" w:val="clear"/>
            <w:vAlign w:val="bottom"/>
          </w:tcPr>
          <w:p>
            <w:pPr>
              <w:pStyle w:val="TableContents"/>
              <w:spacing w:before="0" w:after="283"/>
              <w:rPr/>
            </w:pPr>
            <w:r>
              <w:rPr/>
              <w:t> </w:t>
            </w:r>
          </w:p>
        </w:tc>
      </w:tr>
      <w:tr>
        <w:trPr/>
        <w:tc>
          <w:tcPr>
            <w:tcW w:w="5989" w:type="dxa"/>
            <w:tcBorders/>
            <w:shd w:fill="auto" w:val="clear"/>
            <w:vAlign w:val="center"/>
          </w:tcPr>
          <w:p>
            <w:pPr>
              <w:pStyle w:val="TableContents"/>
              <w:spacing w:before="0" w:after="283"/>
              <w:rPr/>
            </w:pPr>
            <w:r>
              <w:rPr/>
              <w:t> </w:t>
            </w:r>
          </w:p>
        </w:tc>
        <w:tc>
          <w:tcPr>
            <w:tcW w:w="4216" w:type="dxa"/>
            <w:gridSpan w:val="8"/>
            <w:tcBorders/>
            <w:shd w:fill="auto" w:val="clear"/>
          </w:tcPr>
          <w:p>
            <w:pPr>
              <w:pStyle w:val="TableContents"/>
              <w:spacing w:before="0" w:after="283"/>
              <w:rPr>
                <w:sz w:val="4"/>
                <w:szCs w:val="4"/>
              </w:rPr>
            </w:pPr>
            <w:r>
              <w:rPr>
                <w:sz w:val="4"/>
                <w:szCs w:val="4"/>
              </w:rPr>
            </w:r>
          </w:p>
        </w:tc>
      </w:tr>
      <w:tr>
        <w:trPr/>
        <w:tc>
          <w:tcPr>
            <w:tcW w:w="5989" w:type="dxa"/>
            <w:tcBorders/>
            <w:shd w:fill="CCEEFF" w:val="clear"/>
            <w:vAlign w:val="bottom"/>
          </w:tcPr>
          <w:p>
            <w:pPr>
              <w:pStyle w:val="TableContents"/>
              <w:spacing w:before="0" w:after="0"/>
              <w:ind w:left="225" w:right="0" w:hanging="225"/>
              <w:rPr/>
            </w:pPr>
            <w:r>
              <w:rPr/>
              <w:t>Other current liabilities</w:t>
            </w:r>
          </w:p>
        </w:tc>
        <w:tc>
          <w:tcPr>
            <w:tcW w:w="3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pPr>
            <w:r>
              <w:rPr/>
              <w:t>(94.2</w:t>
            </w:r>
          </w:p>
        </w:tc>
        <w:tc>
          <w:tcPr>
            <w:tcW w:w="144" w:type="dxa"/>
            <w:tcBorders/>
            <w:shd w:fill="CCEEFF" w:val="clear"/>
            <w:vAlign w:val="bottom"/>
          </w:tcPr>
          <w:p>
            <w:pPr>
              <w:pStyle w:val="TableContents"/>
              <w:spacing w:before="0" w:after="283"/>
              <w:rPr/>
            </w:pPr>
            <w:r>
              <w:rPr/>
              <w:t>)</w:t>
            </w:r>
          </w:p>
        </w:tc>
        <w:tc>
          <w:tcPr>
            <w:tcW w:w="39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left"/>
              <w:rPr/>
            </w:pPr>
            <w:r>
              <w:rPr/>
              <w:t> </w:t>
            </w:r>
          </w:p>
        </w:tc>
        <w:tc>
          <w:tcPr>
            <w:tcW w:w="1233" w:type="dxa"/>
            <w:tcBorders/>
            <w:shd w:fill="CCEEFF" w:val="clear"/>
            <w:vAlign w:val="bottom"/>
          </w:tcPr>
          <w:p>
            <w:pPr>
              <w:pStyle w:val="TableContents"/>
              <w:spacing w:before="0" w:after="283"/>
              <w:jc w:val="right"/>
              <w:rPr/>
            </w:pPr>
            <w:r>
              <w:rPr/>
              <w:t>(77.3</w:t>
            </w:r>
          </w:p>
        </w:tc>
        <w:tc>
          <w:tcPr>
            <w:tcW w:w="150" w:type="dxa"/>
            <w:tcBorders/>
            <w:shd w:fill="CCEEFF" w:val="clear"/>
            <w:vAlign w:val="bottom"/>
          </w:tcPr>
          <w:p>
            <w:pPr>
              <w:pStyle w:val="TableContents"/>
              <w:spacing w:before="0" w:after="283"/>
              <w:rPr/>
            </w:pPr>
            <w:r>
              <w:rPr/>
              <w:t>)</w:t>
            </w:r>
          </w:p>
        </w:tc>
      </w:tr>
      <w:tr>
        <w:trPr/>
        <w:tc>
          <w:tcPr>
            <w:tcW w:w="5989" w:type="dxa"/>
            <w:tcBorders/>
            <w:shd w:fill="auto" w:val="clear"/>
            <w:vAlign w:val="center"/>
          </w:tcPr>
          <w:p>
            <w:pPr>
              <w:pStyle w:val="TableContents"/>
              <w:spacing w:before="0" w:after="283"/>
              <w:rPr/>
            </w:pPr>
            <w:r>
              <w:rPr/>
              <w:t> </w:t>
            </w:r>
          </w:p>
        </w:tc>
        <w:tc>
          <w:tcPr>
            <w:tcW w:w="4216" w:type="dxa"/>
            <w:gridSpan w:val="8"/>
            <w:tcBorders/>
            <w:shd w:fill="auto" w:val="clear"/>
          </w:tcPr>
          <w:p>
            <w:pPr>
              <w:pStyle w:val="TableContents"/>
              <w:spacing w:before="0" w:after="283"/>
              <w:rPr>
                <w:sz w:val="4"/>
                <w:szCs w:val="4"/>
              </w:rPr>
            </w:pPr>
            <w:r>
              <w:rPr>
                <w:sz w:val="4"/>
                <w:szCs w:val="4"/>
              </w:rPr>
            </w:r>
          </w:p>
        </w:tc>
      </w:tr>
      <w:tr>
        <w:trPr/>
        <w:tc>
          <w:tcPr>
            <w:tcW w:w="5989" w:type="dxa"/>
            <w:tcBorders/>
            <w:shd w:fill="auto" w:val="clear"/>
            <w:vAlign w:val="bottom"/>
          </w:tcPr>
          <w:p>
            <w:pPr>
              <w:pStyle w:val="TableContents"/>
              <w:spacing w:before="0" w:after="0"/>
              <w:ind w:left="225" w:right="0" w:hanging="225"/>
              <w:rPr/>
            </w:pPr>
            <w:r>
              <w:rPr/>
              <w:t>Long-term debt under credit facilities and other (fair value hedge adjustment) (1)</w:t>
            </w:r>
          </w:p>
        </w:tc>
        <w:tc>
          <w:tcPr>
            <w:tcW w:w="39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 </w:t>
            </w:r>
          </w:p>
        </w:tc>
        <w:tc>
          <w:tcPr>
            <w:tcW w:w="1270" w:type="dxa"/>
            <w:tcBorders/>
            <w:shd w:fill="auto" w:val="clear"/>
            <w:vAlign w:val="bottom"/>
          </w:tcPr>
          <w:p>
            <w:pPr>
              <w:pStyle w:val="TableContents"/>
              <w:spacing w:before="0" w:after="283"/>
              <w:jc w:val="right"/>
              <w:rPr/>
            </w:pPr>
            <w:r>
              <w:rPr/>
              <w:t>1.4</w:t>
            </w:r>
          </w:p>
        </w:tc>
        <w:tc>
          <w:tcPr>
            <w:tcW w:w="144"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left"/>
              <w:rPr/>
            </w:pPr>
            <w:r>
              <w:rPr/>
              <w:t> </w:t>
            </w:r>
          </w:p>
        </w:tc>
        <w:tc>
          <w:tcPr>
            <w:tcW w:w="1233" w:type="dxa"/>
            <w:tcBorders/>
            <w:shd w:fill="auto" w:val="clear"/>
            <w:vAlign w:val="bottom"/>
          </w:tcPr>
          <w:p>
            <w:pPr>
              <w:pStyle w:val="TableContents"/>
              <w:spacing w:before="0" w:after="283"/>
              <w:jc w:val="right"/>
              <w:rPr/>
            </w:pPr>
            <w:r>
              <w:rPr/>
              <w:t></w:t>
            </w:r>
          </w:p>
        </w:tc>
        <w:tc>
          <w:tcPr>
            <w:tcW w:w="150" w:type="dxa"/>
            <w:tcBorders/>
            <w:shd w:fill="auto" w:val="clear"/>
            <w:vAlign w:val="bottom"/>
          </w:tcPr>
          <w:p>
            <w:pPr>
              <w:pStyle w:val="TableContents"/>
              <w:spacing w:before="0" w:after="283"/>
              <w:rPr>
                <w:sz w:val="4"/>
                <w:szCs w:val="4"/>
              </w:rPr>
            </w:pPr>
            <w:r>
              <w:rPr>
                <w:sz w:val="4"/>
                <w:szCs w:val="4"/>
              </w:rPr>
            </w:r>
          </w:p>
        </w:tc>
      </w:tr>
      <w:tr>
        <w:trPr/>
        <w:tc>
          <w:tcPr>
            <w:tcW w:w="5989" w:type="dxa"/>
            <w:tcBorders/>
            <w:shd w:fill="auto" w:val="clear"/>
            <w:vAlign w:val="center"/>
          </w:tcPr>
          <w:p>
            <w:pPr>
              <w:pStyle w:val="TableContents"/>
              <w:spacing w:before="0" w:after="283"/>
              <w:rPr/>
            </w:pPr>
            <w:r>
              <w:rPr/>
              <w:t> </w:t>
            </w:r>
          </w:p>
        </w:tc>
        <w:tc>
          <w:tcPr>
            <w:tcW w:w="4216" w:type="dxa"/>
            <w:gridSpan w:val="8"/>
            <w:tcBorders/>
            <w:shd w:fill="auto" w:val="clear"/>
          </w:tcPr>
          <w:p>
            <w:pPr>
              <w:pStyle w:val="TableContents"/>
              <w:spacing w:before="0" w:after="283"/>
              <w:rPr>
                <w:sz w:val="4"/>
                <w:szCs w:val="4"/>
              </w:rPr>
            </w:pPr>
            <w:r>
              <w:rPr>
                <w:sz w:val="4"/>
                <w:szCs w:val="4"/>
              </w:rPr>
            </w:r>
          </w:p>
        </w:tc>
      </w:tr>
      <w:tr>
        <w:trPr/>
        <w:tc>
          <w:tcPr>
            <w:tcW w:w="5989" w:type="dxa"/>
            <w:tcBorders/>
            <w:shd w:fill="CCEEFF" w:val="clear"/>
            <w:vAlign w:val="bottom"/>
          </w:tcPr>
          <w:p>
            <w:pPr>
              <w:pStyle w:val="TableContents"/>
              <w:spacing w:before="0" w:after="0"/>
              <w:ind w:left="225" w:right="0" w:hanging="225"/>
              <w:rPr/>
            </w:pPr>
            <w:r>
              <w:rPr/>
              <w:t>Other long-term liabilities and deferred credits</w:t>
            </w:r>
          </w:p>
        </w:tc>
        <w:tc>
          <w:tcPr>
            <w:tcW w:w="39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pPr>
            <w:r>
              <w:rPr/>
              <w:t>(19.4</w:t>
            </w:r>
          </w:p>
        </w:tc>
        <w:tc>
          <w:tcPr>
            <w:tcW w:w="144" w:type="dxa"/>
            <w:tcBorders/>
            <w:shd w:fill="CCEEFF" w:val="clear"/>
            <w:vAlign w:val="bottom"/>
          </w:tcPr>
          <w:p>
            <w:pPr>
              <w:pStyle w:val="TableContents"/>
              <w:spacing w:before="0" w:after="283"/>
              <w:rPr/>
            </w:pPr>
            <w:r>
              <w:rPr/>
              <w:t>)</w:t>
            </w:r>
          </w:p>
        </w:tc>
        <w:tc>
          <w:tcPr>
            <w:tcW w:w="39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left"/>
              <w:rPr/>
            </w:pPr>
            <w:r>
              <w:rPr/>
              <w:t> </w:t>
            </w:r>
          </w:p>
        </w:tc>
        <w:tc>
          <w:tcPr>
            <w:tcW w:w="1233" w:type="dxa"/>
            <w:tcBorders/>
            <w:shd w:fill="CCEEFF" w:val="clear"/>
            <w:vAlign w:val="bottom"/>
          </w:tcPr>
          <w:p>
            <w:pPr>
              <w:pStyle w:val="TableContents"/>
              <w:spacing w:before="0" w:after="283"/>
              <w:jc w:val="right"/>
              <w:rPr/>
            </w:pPr>
            <w:r>
              <w:rPr/>
              <w:t>(21.4</w:t>
            </w:r>
          </w:p>
        </w:tc>
        <w:tc>
          <w:tcPr>
            <w:tcW w:w="150" w:type="dxa"/>
            <w:tcBorders/>
            <w:shd w:fill="CCEEFF" w:val="clear"/>
            <w:vAlign w:val="bottom"/>
          </w:tcPr>
          <w:p>
            <w:pPr>
              <w:pStyle w:val="TableContents"/>
              <w:spacing w:before="0" w:after="283"/>
              <w:rPr/>
            </w:pPr>
            <w:r>
              <w:rPr/>
              <w:t>)</w:t>
            </w:r>
          </w:p>
        </w:tc>
      </w:tr>
      <w:tr>
        <w:trPr/>
        <w:tc>
          <w:tcPr>
            <w:tcW w:w="5989"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5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r>
      <w:tr>
        <w:trPr/>
        <w:tc>
          <w:tcPr>
            <w:tcW w:w="5989" w:type="dxa"/>
            <w:tcBorders/>
            <w:shd w:fill="auto" w:val="clear"/>
            <w:vAlign w:val="center"/>
          </w:tcPr>
          <w:p>
            <w:pPr>
              <w:pStyle w:val="TableContents"/>
              <w:spacing w:before="0" w:after="283"/>
              <w:rPr/>
            </w:pPr>
            <w:r>
              <w:rPr/>
              <w:t> </w:t>
            </w:r>
          </w:p>
        </w:tc>
        <w:tc>
          <w:tcPr>
            <w:tcW w:w="4216" w:type="dxa"/>
            <w:gridSpan w:val="8"/>
            <w:tcBorders/>
            <w:shd w:fill="auto" w:val="clear"/>
          </w:tcPr>
          <w:p>
            <w:pPr>
              <w:pStyle w:val="TableContents"/>
              <w:spacing w:before="0" w:after="283"/>
              <w:rPr>
                <w:sz w:val="4"/>
                <w:szCs w:val="4"/>
              </w:rPr>
            </w:pPr>
            <w:r>
              <w:rPr>
                <w:sz w:val="4"/>
                <w:szCs w:val="4"/>
              </w:rPr>
            </w:r>
          </w:p>
        </w:tc>
      </w:tr>
      <w:tr>
        <w:trPr/>
        <w:tc>
          <w:tcPr>
            <w:tcW w:w="5989" w:type="dxa"/>
            <w:tcBorders/>
            <w:shd w:fill="auto" w:val="clear"/>
            <w:vAlign w:val="bottom"/>
          </w:tcPr>
          <w:p>
            <w:pPr>
              <w:pStyle w:val="TableContents"/>
              <w:spacing w:before="0" w:after="0"/>
              <w:ind w:left="225" w:right="0" w:hanging="225"/>
              <w:rPr/>
            </w:pPr>
            <w:r>
              <w:rPr/>
              <w:t>Net asset (liability)</w:t>
            </w:r>
          </w:p>
        </w:tc>
        <w:tc>
          <w:tcPr>
            <w:tcW w:w="39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jc w:val="left"/>
              <w:rPr/>
            </w:pPr>
            <w:r>
              <w:rPr/>
              <w:t>$</w:t>
            </w:r>
          </w:p>
        </w:tc>
        <w:tc>
          <w:tcPr>
            <w:tcW w:w="1270" w:type="dxa"/>
            <w:tcBorders/>
            <w:shd w:fill="auto" w:val="clear"/>
            <w:vAlign w:val="bottom"/>
          </w:tcPr>
          <w:p>
            <w:pPr>
              <w:pStyle w:val="TableContents"/>
              <w:spacing w:before="0" w:after="283"/>
              <w:jc w:val="right"/>
              <w:rPr/>
            </w:pPr>
            <w:r>
              <w:rPr/>
              <w:t>(65.5</w:t>
            </w:r>
          </w:p>
        </w:tc>
        <w:tc>
          <w:tcPr>
            <w:tcW w:w="144" w:type="dxa"/>
            <w:tcBorders/>
            <w:shd w:fill="auto" w:val="clear"/>
            <w:vAlign w:val="bottom"/>
          </w:tcPr>
          <w:p>
            <w:pPr>
              <w:pStyle w:val="TableContents"/>
              <w:spacing w:before="0" w:after="283"/>
              <w:rPr/>
            </w:pPr>
            <w:r>
              <w:rPr/>
              <w:t>)</w:t>
            </w:r>
          </w:p>
        </w:tc>
        <w:tc>
          <w:tcPr>
            <w:tcW w:w="39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left"/>
              <w:rPr/>
            </w:pPr>
            <w:r>
              <w:rPr/>
              <w:t>$</w:t>
            </w:r>
          </w:p>
        </w:tc>
        <w:tc>
          <w:tcPr>
            <w:tcW w:w="1233" w:type="dxa"/>
            <w:tcBorders/>
            <w:shd w:fill="auto" w:val="clear"/>
            <w:vAlign w:val="bottom"/>
          </w:tcPr>
          <w:p>
            <w:pPr>
              <w:pStyle w:val="TableContents"/>
              <w:spacing w:before="0" w:after="283"/>
              <w:jc w:val="right"/>
              <w:rPr/>
            </w:pPr>
            <w:r>
              <w:rPr/>
              <w:t>(34.5</w:t>
            </w:r>
          </w:p>
        </w:tc>
        <w:tc>
          <w:tcPr>
            <w:tcW w:w="150" w:type="dxa"/>
            <w:tcBorders/>
            <w:shd w:fill="auto" w:val="clear"/>
            <w:vAlign w:val="bottom"/>
          </w:tcPr>
          <w:p>
            <w:pPr>
              <w:pStyle w:val="TableContents"/>
              <w:spacing w:before="0" w:after="283"/>
              <w:rPr/>
            </w:pPr>
            <w:r>
              <w:rPr/>
              <w:t>)</w:t>
            </w:r>
          </w:p>
        </w:tc>
      </w:tr>
      <w:tr>
        <w:trPr/>
        <w:tc>
          <w:tcPr>
            <w:tcW w:w="5989"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5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5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(1)</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Fair value hedge accounting was discounted subsequent to June 30, 2007. The outstanding balance will be amortized over the remaining life of the underlying debt.</w:t>
            </w:r>
          </w:p>
        </w:tc>
      </w:tr>
    </w:tbl>
    <w:p>
      <w:pPr>
        <w:pStyle w:val="TextBody"/>
        <w:spacing w:before="120" w:after="283"/>
        <w:jc w:val="left"/>
        <w:rPr/>
      </w:pPr>
      <w:r>
        <w:rPr/>
        <w:t>     </w:t>
      </w:r>
      <w:r>
        <w:rPr>
          <w:rFonts w:ascii="Times New Roman;Times;serif" w:hAnsi="Times New Roman;Times;serif"/>
          <w:sz w:val="17"/>
        </w:rPr>
        <w:t xml:space="preserve">The net liability related to the fair value of our open derivative positions consists of cumulative unrealized gains/losses recognized in earnings and cumulative unrealized gains/losses deferred to Accumulated Other Comprehensive Income (AOCI) as follows, by category (in millions, losses designated in parentheses): </w:t>
      </w:r>
    </w:p>
    <w:tbl>
      <w:tblPr>
        <w:tblW w:w="5000" w:type="pct"/>
        <w:jc w:val="center"/>
        <w:tblInd w:w="0" w:type="dxa"/>
        <w:tblCellMar>
          <w:top w:w="0" w:type="dxa"/>
          <w:left w:w="0" w:type="dxa"/>
          <w:bottom w:w="0" w:type="dxa"/>
          <w:right w:w="0" w:type="dxa"/>
        </w:tblCellMar>
      </w:tblPr>
      <w:tblGrid>
        <w:gridCol w:w="2007"/>
        <w:gridCol w:w="260"/>
        <w:gridCol w:w="283"/>
        <w:gridCol w:w="632"/>
        <w:gridCol w:w="233"/>
        <w:gridCol w:w="260"/>
        <w:gridCol w:w="288"/>
        <w:gridCol w:w="652"/>
        <w:gridCol w:w="236"/>
        <w:gridCol w:w="260"/>
        <w:gridCol w:w="254"/>
        <w:gridCol w:w="523"/>
        <w:gridCol w:w="211"/>
        <w:gridCol w:w="260"/>
        <w:gridCol w:w="283"/>
        <w:gridCol w:w="631"/>
        <w:gridCol w:w="233"/>
        <w:gridCol w:w="260"/>
        <w:gridCol w:w="288"/>
        <w:gridCol w:w="652"/>
        <w:gridCol w:w="236"/>
        <w:gridCol w:w="260"/>
        <w:gridCol w:w="254"/>
        <w:gridCol w:w="523"/>
        <w:gridCol w:w="226"/>
      </w:tblGrid>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r>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3832"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2007</w:t>
            </w:r>
          </w:p>
        </w:tc>
        <w:tc>
          <w:tcPr>
            <w:tcW w:w="260" w:type="dxa"/>
            <w:tcBorders/>
            <w:shd w:fill="auto" w:val="clear"/>
            <w:vAlign w:val="bottom"/>
          </w:tcPr>
          <w:p>
            <w:pPr>
              <w:pStyle w:val="TableContents"/>
              <w:spacing w:before="0" w:after="283"/>
              <w:rPr/>
            </w:pPr>
            <w:r>
              <w:rPr/>
              <w:t> </w:t>
            </w:r>
          </w:p>
        </w:tc>
        <w:tc>
          <w:tcPr>
            <w:tcW w:w="384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r>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48" w:type="dxa"/>
            <w:gridSpan w:val="3"/>
            <w:tcBorders/>
            <w:shd w:fill="auto" w:val="clear"/>
            <w:vAlign w:val="bottom"/>
          </w:tcPr>
          <w:p>
            <w:pPr>
              <w:pStyle w:val="TableContents"/>
              <w:spacing w:before="0" w:after="283"/>
              <w:jc w:val="center"/>
              <w:rPr>
                <w:b/>
              </w:rPr>
            </w:pPr>
            <w:r>
              <w:rPr>
                <w:b/>
              </w:rPr>
              <w:t>Net asset</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b/>
              </w:rPr>
            </w:pPr>
            <w:r>
              <w:rPr>
                <w:b/>
              </w:rPr>
              <w:t>Net asset</w:t>
            </w:r>
          </w:p>
        </w:tc>
        <w:tc>
          <w:tcPr>
            <w:tcW w:w="260" w:type="dxa"/>
            <w:tcBorders/>
            <w:shd w:fill="auto" w:val="clear"/>
            <w:vAlign w:val="bottom"/>
          </w:tcPr>
          <w:p>
            <w:pPr>
              <w:pStyle w:val="TableContents"/>
              <w:spacing w:before="0" w:after="283"/>
              <w:rPr/>
            </w:pPr>
            <w:r>
              <w:rPr/>
              <w:t> </w:t>
            </w:r>
          </w:p>
        </w:tc>
        <w:tc>
          <w:tcPr>
            <w:tcW w:w="1176" w:type="dxa"/>
            <w:gridSpan w:val="3"/>
            <w:tcBorders/>
            <w:shd w:fill="auto" w:val="clear"/>
            <w:vAlign w:val="bottom"/>
          </w:tcPr>
          <w:p>
            <w:pPr>
              <w:pStyle w:val="TableContents"/>
              <w:spacing w:before="0" w:after="283"/>
              <w:jc w:val="center"/>
              <w:rPr/>
            </w:pPr>
            <w:r>
              <w:rPr/>
              <w:t> </w:t>
            </w:r>
          </w:p>
        </w:tc>
        <w:tc>
          <w:tcPr>
            <w:tcW w:w="260" w:type="dxa"/>
            <w:tcBorders/>
            <w:shd w:fill="auto" w:val="clear"/>
            <w:vAlign w:val="bottom"/>
          </w:tcPr>
          <w:p>
            <w:pPr>
              <w:pStyle w:val="TableContents"/>
              <w:spacing w:before="0" w:after="283"/>
              <w:rPr/>
            </w:pPr>
            <w:r>
              <w:rPr/>
              <w:t> </w:t>
            </w:r>
          </w:p>
        </w:tc>
        <w:tc>
          <w:tcPr>
            <w:tcW w:w="1003" w:type="dxa"/>
            <w:gridSpan w:val="3"/>
            <w:tcBorders/>
            <w:shd w:fill="auto" w:val="clear"/>
            <w:vAlign w:val="bottom"/>
          </w:tcPr>
          <w:p>
            <w:pPr>
              <w:pStyle w:val="TableContents"/>
              <w:spacing w:before="0" w:after="283"/>
              <w:jc w:val="center"/>
              <w:rPr/>
            </w:pPr>
            <w:r>
              <w:rPr/>
              <w:t> </w:t>
            </w:r>
          </w:p>
        </w:tc>
      </w:tr>
      <w:tr>
        <w:trPr/>
        <w:tc>
          <w:tcPr>
            <w:tcW w:w="2007"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48" w:type="dxa"/>
            <w:gridSpan w:val="3"/>
            <w:tcBorders/>
            <w:shd w:fill="auto" w:val="clear"/>
            <w:vAlign w:val="bottom"/>
          </w:tcPr>
          <w:p>
            <w:pPr>
              <w:pStyle w:val="TableContents"/>
              <w:spacing w:before="0" w:after="283"/>
              <w:jc w:val="center"/>
              <w:rPr>
                <w:b/>
              </w:rPr>
            </w:pPr>
            <w:r>
              <w:rPr>
                <w:b/>
              </w:rPr>
              <w:t>(liability)</w:t>
            </w:r>
          </w:p>
        </w:tc>
        <w:tc>
          <w:tcPr>
            <w:tcW w:w="260" w:type="dxa"/>
            <w:tcBorders/>
            <w:shd w:fill="auto" w:val="clear"/>
            <w:vAlign w:val="bottom"/>
          </w:tcPr>
          <w:p>
            <w:pPr>
              <w:pStyle w:val="TableContents"/>
              <w:spacing w:before="0" w:after="283"/>
              <w:rPr/>
            </w:pPr>
            <w:r>
              <w:rPr/>
              <w:t> </w:t>
            </w:r>
          </w:p>
        </w:tc>
        <w:tc>
          <w:tcPr>
            <w:tcW w:w="1176" w:type="dxa"/>
            <w:gridSpan w:val="3"/>
            <w:tcBorders/>
            <w:shd w:fill="auto" w:val="clear"/>
            <w:vAlign w:val="bottom"/>
          </w:tcPr>
          <w:p>
            <w:pPr>
              <w:pStyle w:val="TableContents"/>
              <w:spacing w:before="0" w:after="283"/>
              <w:jc w:val="center"/>
              <w:rPr>
                <w:b/>
              </w:rPr>
            </w:pPr>
            <w:r>
              <w:rPr>
                <w:b/>
              </w:rPr>
              <w:t>Earnings</w:t>
            </w:r>
          </w:p>
        </w:tc>
        <w:tc>
          <w:tcPr>
            <w:tcW w:w="260" w:type="dxa"/>
            <w:tcBorders/>
            <w:shd w:fill="auto" w:val="clear"/>
            <w:vAlign w:val="bottom"/>
          </w:tcPr>
          <w:p>
            <w:pPr>
              <w:pStyle w:val="TableContents"/>
              <w:spacing w:before="0" w:after="283"/>
              <w:rPr/>
            </w:pPr>
            <w:r>
              <w:rPr/>
              <w:t> </w:t>
            </w:r>
          </w:p>
        </w:tc>
        <w:tc>
          <w:tcPr>
            <w:tcW w:w="988" w:type="dxa"/>
            <w:gridSpan w:val="3"/>
            <w:tcBorders/>
            <w:shd w:fill="auto" w:val="clear"/>
            <w:vAlign w:val="bottom"/>
          </w:tcPr>
          <w:p>
            <w:pPr>
              <w:pStyle w:val="TableContents"/>
              <w:spacing w:before="0" w:after="283"/>
              <w:jc w:val="center"/>
              <w:rPr>
                <w:b/>
              </w:rPr>
            </w:pPr>
            <w:r>
              <w:rPr>
                <w:b/>
              </w:rPr>
              <w:t>AOCI</w:t>
            </w:r>
          </w:p>
        </w:tc>
        <w:tc>
          <w:tcPr>
            <w:tcW w:w="260" w:type="dxa"/>
            <w:tcBorders/>
            <w:shd w:fill="auto" w:val="clear"/>
            <w:vAlign w:val="bottom"/>
          </w:tcPr>
          <w:p>
            <w:pPr>
              <w:pStyle w:val="TableContents"/>
              <w:spacing w:before="0" w:after="283"/>
              <w:rPr/>
            </w:pPr>
            <w:r>
              <w:rPr/>
              <w:t> </w:t>
            </w:r>
          </w:p>
        </w:tc>
        <w:tc>
          <w:tcPr>
            <w:tcW w:w="1147" w:type="dxa"/>
            <w:gridSpan w:val="3"/>
            <w:tcBorders/>
            <w:shd w:fill="auto" w:val="clear"/>
            <w:vAlign w:val="bottom"/>
          </w:tcPr>
          <w:p>
            <w:pPr>
              <w:pStyle w:val="TableContents"/>
              <w:spacing w:before="0" w:after="283"/>
              <w:jc w:val="center"/>
              <w:rPr>
                <w:b/>
              </w:rPr>
            </w:pPr>
            <w:r>
              <w:rPr>
                <w:b/>
              </w:rPr>
              <w:t>(liability)</w:t>
            </w:r>
          </w:p>
        </w:tc>
        <w:tc>
          <w:tcPr>
            <w:tcW w:w="260" w:type="dxa"/>
            <w:tcBorders/>
            <w:shd w:fill="auto" w:val="clear"/>
            <w:vAlign w:val="bottom"/>
          </w:tcPr>
          <w:p>
            <w:pPr>
              <w:pStyle w:val="TableContents"/>
              <w:spacing w:before="0" w:after="283"/>
              <w:rPr/>
            </w:pPr>
            <w:r>
              <w:rPr/>
              <w:t> </w:t>
            </w:r>
          </w:p>
        </w:tc>
        <w:tc>
          <w:tcPr>
            <w:tcW w:w="1176" w:type="dxa"/>
            <w:gridSpan w:val="3"/>
            <w:tcBorders/>
            <w:shd w:fill="auto" w:val="clear"/>
            <w:vAlign w:val="bottom"/>
          </w:tcPr>
          <w:p>
            <w:pPr>
              <w:pStyle w:val="TableContents"/>
              <w:spacing w:before="0" w:after="283"/>
              <w:jc w:val="center"/>
              <w:rPr>
                <w:b/>
              </w:rPr>
            </w:pPr>
            <w:r>
              <w:rPr>
                <w:b/>
              </w:rPr>
              <w:t>Earnings</w:t>
            </w:r>
          </w:p>
        </w:tc>
        <w:tc>
          <w:tcPr>
            <w:tcW w:w="260" w:type="dxa"/>
            <w:tcBorders/>
            <w:shd w:fill="auto" w:val="clear"/>
            <w:vAlign w:val="bottom"/>
          </w:tcPr>
          <w:p>
            <w:pPr>
              <w:pStyle w:val="TableContents"/>
              <w:spacing w:before="0" w:after="283"/>
              <w:rPr/>
            </w:pPr>
            <w:r>
              <w:rPr/>
              <w:t> </w:t>
            </w:r>
          </w:p>
        </w:tc>
        <w:tc>
          <w:tcPr>
            <w:tcW w:w="1003" w:type="dxa"/>
            <w:gridSpan w:val="3"/>
            <w:tcBorders/>
            <w:shd w:fill="auto" w:val="clear"/>
            <w:vAlign w:val="bottom"/>
          </w:tcPr>
          <w:p>
            <w:pPr>
              <w:pStyle w:val="TableContents"/>
              <w:spacing w:before="0" w:after="283"/>
              <w:jc w:val="center"/>
              <w:rPr>
                <w:b/>
              </w:rPr>
            </w:pPr>
            <w:r>
              <w:rPr>
                <w:b/>
              </w:rPr>
              <w:t>AOCI</w:t>
            </w:r>
          </w:p>
        </w:tc>
      </w:tr>
      <w:tr>
        <w:trPr/>
        <w:tc>
          <w:tcPr>
            <w:tcW w:w="2007" w:type="dxa"/>
            <w:tcBorders/>
            <w:shd w:fill="auto" w:val="clear"/>
            <w:vAlign w:val="center"/>
          </w:tcPr>
          <w:p>
            <w:pPr>
              <w:pStyle w:val="TableContents"/>
              <w:spacing w:before="0" w:after="283"/>
              <w:rPr/>
            </w:pPr>
            <w:r>
              <w:rPr/>
              <w:t> </w:t>
            </w:r>
          </w:p>
        </w:tc>
        <w:tc>
          <w:tcPr>
            <w:tcW w:w="8198" w:type="dxa"/>
            <w:gridSpan w:val="24"/>
            <w:tcBorders/>
            <w:shd w:fill="auto" w:val="clear"/>
          </w:tcPr>
          <w:p>
            <w:pPr>
              <w:pStyle w:val="TableContents"/>
              <w:spacing w:before="0" w:after="283"/>
              <w:rPr>
                <w:sz w:val="4"/>
                <w:szCs w:val="4"/>
              </w:rPr>
            </w:pPr>
            <w:r>
              <w:rPr>
                <w:sz w:val="4"/>
                <w:szCs w:val="4"/>
              </w:rPr>
            </w:r>
          </w:p>
        </w:tc>
      </w:tr>
      <w:tr>
        <w:trPr/>
        <w:tc>
          <w:tcPr>
            <w:tcW w:w="2007" w:type="dxa"/>
            <w:tcBorders/>
            <w:shd w:fill="CCEEFF" w:val="clear"/>
            <w:vAlign w:val="bottom"/>
          </w:tcPr>
          <w:p>
            <w:pPr>
              <w:pStyle w:val="TableContents"/>
              <w:spacing w:before="0" w:after="0"/>
              <w:ind w:left="225" w:right="0" w:hanging="225"/>
              <w:rPr/>
            </w:pPr>
            <w:r>
              <w:rPr/>
              <w:t>Commodity price-risk hedging</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2" w:type="dxa"/>
            <w:tcBorders/>
            <w:shd w:fill="CCEEFF" w:val="clear"/>
            <w:vAlign w:val="bottom"/>
          </w:tcPr>
          <w:p>
            <w:pPr>
              <w:pStyle w:val="TableContents"/>
              <w:spacing w:before="0" w:after="283"/>
              <w:jc w:val="right"/>
              <w:rPr/>
            </w:pPr>
            <w:r>
              <w:rPr/>
              <w:t>(67.0</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(38.2</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(28.8</w:t>
            </w:r>
          </w:p>
        </w:tc>
        <w:tc>
          <w:tcPr>
            <w:tcW w:w="211"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1" w:type="dxa"/>
            <w:tcBorders/>
            <w:shd w:fill="CCEEFF" w:val="clear"/>
            <w:vAlign w:val="bottom"/>
          </w:tcPr>
          <w:p>
            <w:pPr>
              <w:pStyle w:val="TableContents"/>
              <w:spacing w:before="0" w:after="283"/>
              <w:jc w:val="right"/>
              <w:rPr/>
            </w:pPr>
            <w:r>
              <w:rPr/>
              <w:t>(32.5</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(18.9</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(13.6</w:t>
            </w:r>
          </w:p>
        </w:tc>
        <w:tc>
          <w:tcPr>
            <w:tcW w:w="226" w:type="dxa"/>
            <w:tcBorders/>
            <w:shd w:fill="CCEEFF" w:val="clear"/>
            <w:vAlign w:val="bottom"/>
          </w:tcPr>
          <w:p>
            <w:pPr>
              <w:pStyle w:val="TableContents"/>
              <w:spacing w:before="0" w:after="283"/>
              <w:rPr/>
            </w:pPr>
            <w:r>
              <w:rPr/>
              <w:t>)</w:t>
            </w:r>
          </w:p>
        </w:tc>
      </w:tr>
      <w:tr>
        <w:trPr/>
        <w:tc>
          <w:tcPr>
            <w:tcW w:w="2007" w:type="dxa"/>
            <w:tcBorders/>
            <w:shd w:fill="auto" w:val="clear"/>
            <w:vAlign w:val="bottom"/>
          </w:tcPr>
          <w:p>
            <w:pPr>
              <w:pStyle w:val="TableContents"/>
              <w:spacing w:before="0" w:after="0"/>
              <w:ind w:left="225" w:right="0" w:hanging="225"/>
              <w:rPr/>
            </w:pPr>
            <w:r>
              <w:rPr/>
              <w:t>Controlled trading program</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2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631" w:type="dxa"/>
            <w:tcBorders/>
            <w:shd w:fill="auto" w:val="clear"/>
            <w:vAlign w:val="bottom"/>
          </w:tcPr>
          <w:p>
            <w:pPr>
              <w:pStyle w:val="TableContents"/>
              <w:spacing w:before="0" w:after="283"/>
              <w:jc w:val="right"/>
              <w:rPr/>
            </w:pPr>
            <w:r>
              <w:rPr/>
              <w:t></w:t>
            </w:r>
          </w:p>
        </w:tc>
        <w:tc>
          <w:tcPr>
            <w:tcW w:w="233"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r>
      <w:tr>
        <w:trPr/>
        <w:tc>
          <w:tcPr>
            <w:tcW w:w="2007" w:type="dxa"/>
            <w:tcBorders/>
            <w:shd w:fill="CCEEFF" w:val="clear"/>
            <w:vAlign w:val="bottom"/>
          </w:tcPr>
          <w:p>
            <w:pPr>
              <w:pStyle w:val="TableContents"/>
              <w:spacing w:before="0" w:after="0"/>
              <w:ind w:left="225" w:right="0" w:hanging="225"/>
              <w:rPr/>
            </w:pPr>
            <w:r>
              <w:rPr/>
              <w:t>Interest rate risk hedging</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jc w:val="right"/>
              <w:rPr/>
            </w:pPr>
            <w:r>
              <w:rPr/>
              <w:t>1.7</w:t>
            </w:r>
          </w:p>
        </w:tc>
        <w:tc>
          <w:tcPr>
            <w:tcW w:w="23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1.7</w:t>
            </w:r>
          </w:p>
        </w:tc>
        <w:tc>
          <w:tcPr>
            <w:tcW w:w="236"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21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631" w:type="dxa"/>
            <w:tcBorders/>
            <w:shd w:fill="CCEEFF" w:val="clear"/>
            <w:vAlign w:val="bottom"/>
          </w:tcPr>
          <w:p>
            <w:pPr>
              <w:pStyle w:val="TableContents"/>
              <w:spacing w:before="0" w:after="283"/>
              <w:jc w:val="right"/>
              <w:rPr/>
            </w:pPr>
            <w:r>
              <w:rPr/>
              <w:t></w:t>
            </w:r>
          </w:p>
        </w:tc>
        <w:tc>
          <w:tcPr>
            <w:tcW w:w="233"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652" w:type="dxa"/>
            <w:tcBorders/>
            <w:shd w:fill="CCEEFF" w:val="clear"/>
            <w:vAlign w:val="bottom"/>
          </w:tcPr>
          <w:p>
            <w:pPr>
              <w:pStyle w:val="TableContents"/>
              <w:spacing w:before="0" w:after="283"/>
              <w:jc w:val="right"/>
              <w:rPr/>
            </w:pPr>
            <w:r>
              <w:rPr/>
              <w:t></w:t>
            </w:r>
          </w:p>
        </w:tc>
        <w:tc>
          <w:tcPr>
            <w:tcW w:w="236"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jc w:val="right"/>
              <w:rPr/>
            </w:pPr>
            <w:r>
              <w:rPr/>
              <w:t></w:t>
            </w:r>
          </w:p>
        </w:tc>
        <w:tc>
          <w:tcPr>
            <w:tcW w:w="226" w:type="dxa"/>
            <w:tcBorders/>
            <w:shd w:fill="CCEEFF" w:val="clear"/>
            <w:vAlign w:val="bottom"/>
          </w:tcPr>
          <w:p>
            <w:pPr>
              <w:pStyle w:val="TableContents"/>
              <w:spacing w:before="0" w:after="283"/>
              <w:rPr/>
            </w:pPr>
            <w:r>
              <w:rPr/>
              <w:t> </w:t>
            </w:r>
          </w:p>
        </w:tc>
      </w:tr>
      <w:tr>
        <w:trPr/>
        <w:tc>
          <w:tcPr>
            <w:tcW w:w="2007" w:type="dxa"/>
            <w:tcBorders/>
            <w:shd w:fill="auto" w:val="clear"/>
            <w:vAlign w:val="bottom"/>
          </w:tcPr>
          <w:p>
            <w:pPr>
              <w:pStyle w:val="TableContents"/>
              <w:spacing w:before="0" w:after="0"/>
              <w:ind w:left="225" w:right="0" w:hanging="225"/>
              <w:rPr/>
            </w:pPr>
            <w:r>
              <w:rPr/>
              <w:t>Currency exchange rate risk hedging</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 </w:t>
            </w:r>
          </w:p>
        </w:tc>
        <w:tc>
          <w:tcPr>
            <w:tcW w:w="632" w:type="dxa"/>
            <w:tcBorders/>
            <w:shd w:fill="auto" w:val="clear"/>
            <w:vAlign w:val="bottom"/>
          </w:tcPr>
          <w:p>
            <w:pPr>
              <w:pStyle w:val="TableContents"/>
              <w:spacing w:before="0" w:after="283"/>
              <w:jc w:val="right"/>
              <w:rPr/>
            </w:pPr>
            <w:r>
              <w:rPr/>
              <w:t>(0.2</w:t>
            </w:r>
          </w:p>
        </w:tc>
        <w:tc>
          <w:tcPr>
            <w:tcW w:w="233" w:type="dxa"/>
            <w:tcBorders/>
            <w:shd w:fill="auto" w:val="clear"/>
            <w:vAlign w:val="bottom"/>
          </w:tcPr>
          <w:p>
            <w:pPr>
              <w:pStyle w:val="TableContents"/>
              <w:spacing w:before="0" w:after="283"/>
              <w:rPr/>
            </w:pPr>
            <w:r>
              <w:rPr/>
              <w:t>)</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52" w:type="dxa"/>
            <w:tcBorders/>
            <w:shd w:fill="auto" w:val="clear"/>
            <w:vAlign w:val="bottom"/>
          </w:tcPr>
          <w:p>
            <w:pPr>
              <w:pStyle w:val="TableContents"/>
              <w:spacing w:before="0" w:after="283"/>
              <w:jc w:val="right"/>
              <w:rPr/>
            </w:pPr>
            <w:r>
              <w:rPr/>
              <w:t>0.8</w:t>
            </w:r>
          </w:p>
        </w:tc>
        <w:tc>
          <w:tcPr>
            <w:tcW w:w="23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jc w:val="right"/>
              <w:rPr/>
            </w:pPr>
            <w:r>
              <w:rPr/>
              <w:t> </w:t>
            </w:r>
          </w:p>
        </w:tc>
        <w:tc>
          <w:tcPr>
            <w:tcW w:w="523" w:type="dxa"/>
            <w:tcBorders/>
            <w:shd w:fill="auto" w:val="clear"/>
            <w:vAlign w:val="bottom"/>
          </w:tcPr>
          <w:p>
            <w:pPr>
              <w:pStyle w:val="TableContents"/>
              <w:spacing w:before="0" w:after="283"/>
              <w:jc w:val="right"/>
              <w:rPr/>
            </w:pPr>
            <w:r>
              <w:rPr/>
              <w:t>(1.0</w:t>
            </w:r>
          </w:p>
        </w:tc>
        <w:tc>
          <w:tcPr>
            <w:tcW w:w="211" w:type="dxa"/>
            <w:tcBorders/>
            <w:shd w:fill="auto" w:val="clear"/>
            <w:vAlign w:val="bottom"/>
          </w:tcPr>
          <w:p>
            <w:pPr>
              <w:pStyle w:val="TableContents"/>
              <w:spacing w:before="0" w:after="283"/>
              <w:rPr/>
            </w:pPr>
            <w:r>
              <w:rPr/>
              <w:t>)</w:t>
            </w:r>
          </w:p>
        </w:tc>
        <w:tc>
          <w:tcPr>
            <w:tcW w:w="2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jc w:val="right"/>
              <w:rPr/>
            </w:pPr>
            <w:r>
              <w:rPr/>
              <w:t> </w:t>
            </w:r>
          </w:p>
        </w:tc>
        <w:tc>
          <w:tcPr>
            <w:tcW w:w="631" w:type="dxa"/>
            <w:tcBorders/>
            <w:shd w:fill="auto" w:val="clear"/>
            <w:vAlign w:val="bottom"/>
          </w:tcPr>
          <w:p>
            <w:pPr>
              <w:pStyle w:val="TableContents"/>
              <w:spacing w:before="0" w:after="283"/>
              <w:jc w:val="right"/>
              <w:rPr/>
            </w:pPr>
            <w:r>
              <w:rPr/>
              <w:t>(2.0</w:t>
            </w:r>
          </w:p>
        </w:tc>
        <w:tc>
          <w:tcPr>
            <w:tcW w:w="233" w:type="dxa"/>
            <w:tcBorders/>
            <w:shd w:fill="auto" w:val="clear"/>
            <w:vAlign w:val="bottom"/>
          </w:tcPr>
          <w:p>
            <w:pPr>
              <w:pStyle w:val="TableContents"/>
              <w:spacing w:before="0" w:after="283"/>
              <w:rPr/>
            </w:pPr>
            <w:r>
              <w:rPr/>
              <w:t>)</w:t>
            </w:r>
          </w:p>
        </w:tc>
        <w:tc>
          <w:tcPr>
            <w:tcW w:w="260"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right"/>
              <w:rPr/>
            </w:pPr>
            <w:r>
              <w:rPr/>
              <w:t> </w:t>
            </w:r>
          </w:p>
        </w:tc>
        <w:tc>
          <w:tcPr>
            <w:tcW w:w="652" w:type="dxa"/>
            <w:tcBorders/>
            <w:shd w:fill="auto" w:val="clear"/>
            <w:vAlign w:val="bottom"/>
          </w:tcPr>
          <w:p>
            <w:pPr>
              <w:pStyle w:val="TableContents"/>
              <w:spacing w:before="0" w:after="283"/>
              <w:jc w:val="right"/>
              <w:rPr/>
            </w:pPr>
            <w:r>
              <w:rPr/>
              <w:t>(2.0</w:t>
            </w:r>
          </w:p>
        </w:tc>
        <w:tc>
          <w:tcPr>
            <w:tcW w:w="236" w:type="dxa"/>
            <w:tcBorders/>
            <w:shd w:fill="auto" w:val="clear"/>
            <w:vAlign w:val="bottom"/>
          </w:tcPr>
          <w:p>
            <w:pPr>
              <w:pStyle w:val="TableContents"/>
              <w:spacing w:before="0" w:after="283"/>
              <w:rPr/>
            </w:pPr>
            <w:r>
              <w:rPr/>
              <w:t>)</w:t>
            </w:r>
          </w:p>
        </w:tc>
        <w:tc>
          <w:tcPr>
            <w:tcW w:w="2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jc w:val="right"/>
              <w:rPr/>
            </w:pPr>
            <w:r>
              <w:rPr/>
              <w:t></w:t>
            </w:r>
          </w:p>
        </w:tc>
        <w:tc>
          <w:tcPr>
            <w:tcW w:w="226" w:type="dxa"/>
            <w:tcBorders/>
            <w:shd w:fill="auto" w:val="clear"/>
            <w:vAlign w:val="bottom"/>
          </w:tcPr>
          <w:p>
            <w:pPr>
              <w:pStyle w:val="TableContents"/>
              <w:spacing w:before="0" w:after="283"/>
              <w:rPr/>
            </w:pPr>
            <w:r>
              <w:rPr/>
              <w:t> </w:t>
            </w:r>
          </w:p>
        </w:tc>
      </w:tr>
      <w:tr>
        <w:trPr/>
        <w:tc>
          <w:tcPr>
            <w:tcW w:w="2007"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832"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rPr/>
            </w:pPr>
            <w:r>
              <w:rPr/>
              <w:t> </w:t>
            </w:r>
          </w:p>
        </w:tc>
        <w:tc>
          <w:tcPr>
            <w:tcW w:w="3846" w:type="dxa"/>
            <w:gridSpan w:val="11"/>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007" w:type="dxa"/>
            <w:tcBorders/>
            <w:shd w:fill="CCEEFF" w:val="clear"/>
            <w:vAlign w:val="bottom"/>
          </w:tcPr>
          <w:p>
            <w:pPr>
              <w:pStyle w:val="TableContents"/>
              <w:spacing w:before="0" w:after="0"/>
              <w:ind w:left="225" w:right="0" w:hanging="225"/>
              <w:rPr/>
            </w:pPr>
            <w:r>
              <w:rPr/>
              <w:t> </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2" w:type="dxa"/>
            <w:tcBorders/>
            <w:shd w:fill="CCEEFF" w:val="clear"/>
            <w:vAlign w:val="bottom"/>
          </w:tcPr>
          <w:p>
            <w:pPr>
              <w:pStyle w:val="TableContents"/>
              <w:spacing w:before="0" w:after="283"/>
              <w:jc w:val="right"/>
              <w:rPr/>
            </w:pPr>
            <w:r>
              <w:rPr/>
              <w:t>(65.5</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(35.7</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(29.8</w:t>
            </w:r>
          </w:p>
        </w:tc>
        <w:tc>
          <w:tcPr>
            <w:tcW w:w="211"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jc w:val="right"/>
              <w:rPr/>
            </w:pPr>
            <w:r>
              <w:rPr/>
              <w:t>$</w:t>
            </w:r>
          </w:p>
        </w:tc>
        <w:tc>
          <w:tcPr>
            <w:tcW w:w="631" w:type="dxa"/>
            <w:tcBorders/>
            <w:shd w:fill="CCEEFF" w:val="clear"/>
            <w:vAlign w:val="bottom"/>
          </w:tcPr>
          <w:p>
            <w:pPr>
              <w:pStyle w:val="TableContents"/>
              <w:spacing w:before="0" w:after="283"/>
              <w:jc w:val="right"/>
              <w:rPr/>
            </w:pPr>
            <w:r>
              <w:rPr/>
              <w:t>(34.5</w:t>
            </w:r>
          </w:p>
        </w:tc>
        <w:tc>
          <w:tcPr>
            <w:tcW w:w="233"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right"/>
              <w:rPr/>
            </w:pPr>
            <w:r>
              <w:rPr/>
              <w:t>$</w:t>
            </w:r>
          </w:p>
        </w:tc>
        <w:tc>
          <w:tcPr>
            <w:tcW w:w="652" w:type="dxa"/>
            <w:tcBorders/>
            <w:shd w:fill="CCEEFF" w:val="clear"/>
            <w:vAlign w:val="bottom"/>
          </w:tcPr>
          <w:p>
            <w:pPr>
              <w:pStyle w:val="TableContents"/>
              <w:spacing w:before="0" w:after="283"/>
              <w:jc w:val="right"/>
              <w:rPr/>
            </w:pPr>
            <w:r>
              <w:rPr/>
              <w:t>(20.9</w:t>
            </w:r>
          </w:p>
        </w:tc>
        <w:tc>
          <w:tcPr>
            <w:tcW w:w="236" w:type="dxa"/>
            <w:tcBorders/>
            <w:shd w:fill="CCEEFF" w:val="clear"/>
            <w:vAlign w:val="bottom"/>
          </w:tcPr>
          <w:p>
            <w:pPr>
              <w:pStyle w:val="TableContents"/>
              <w:spacing w:before="0" w:after="283"/>
              <w:rPr/>
            </w:pPr>
            <w:r>
              <w:rPr/>
              <w:t>)</w:t>
            </w:r>
          </w:p>
        </w:tc>
        <w:tc>
          <w:tcPr>
            <w:tcW w:w="2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jc w:val="right"/>
              <w:rPr/>
            </w:pPr>
            <w:r>
              <w:rPr/>
              <w:t>$</w:t>
            </w:r>
          </w:p>
        </w:tc>
        <w:tc>
          <w:tcPr>
            <w:tcW w:w="523" w:type="dxa"/>
            <w:tcBorders/>
            <w:shd w:fill="CCEEFF" w:val="clear"/>
            <w:vAlign w:val="bottom"/>
          </w:tcPr>
          <w:p>
            <w:pPr>
              <w:pStyle w:val="TableContents"/>
              <w:spacing w:before="0" w:after="283"/>
              <w:jc w:val="right"/>
              <w:rPr/>
            </w:pPr>
            <w:r>
              <w:rPr/>
              <w:t>(13.6</w:t>
            </w:r>
          </w:p>
        </w:tc>
        <w:tc>
          <w:tcPr>
            <w:tcW w:w="226" w:type="dxa"/>
            <w:tcBorders/>
            <w:shd w:fill="CCEEFF" w:val="clear"/>
            <w:vAlign w:val="bottom"/>
          </w:tcPr>
          <w:p>
            <w:pPr>
              <w:pStyle w:val="TableContents"/>
              <w:spacing w:before="0" w:after="283"/>
              <w:rPr/>
            </w:pPr>
            <w:r>
              <w:rPr/>
              <w:t>)</w:t>
            </w:r>
          </w:p>
        </w:tc>
      </w:tr>
      <w:tr>
        <w:trPr/>
        <w:tc>
          <w:tcPr>
            <w:tcW w:w="2007"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832"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c>
          <w:tcPr>
            <w:tcW w:w="260" w:type="dxa"/>
            <w:tcBorders/>
            <w:shd w:fill="auto" w:val="clear"/>
            <w:vAlign w:val="center"/>
          </w:tcPr>
          <w:p>
            <w:pPr>
              <w:pStyle w:val="TableContents"/>
              <w:spacing w:before="0" w:after="283"/>
              <w:rPr/>
            </w:pPr>
            <w:r>
              <w:rPr/>
              <w:t> </w:t>
            </w:r>
          </w:p>
        </w:tc>
        <w:tc>
          <w:tcPr>
            <w:tcW w:w="3846" w:type="dxa"/>
            <w:gridSpan w:val="11"/>
            <w:tcBorders>
              <w:top w:val="double" w:sz="6" w:space="0" w:color="000000"/>
            </w:tcBorders>
            <w:shd w:fill="auto" w:val="clear"/>
            <w:tcMar>
              <w:top w:w="28" w:type="dxa"/>
            </w:tcMar>
            <w:vAlign w:val="center"/>
          </w:tcPr>
          <w:p>
            <w:pPr>
              <w:pStyle w:val="TableContents"/>
              <w:spacing w:before="0" w:after="283"/>
              <w:jc w:val="left"/>
              <w:rPr/>
            </w:pPr>
            <w:r>
              <w:rPr/>
              <w:t>     </w:t>
            </w:r>
          </w:p>
        </w:tc>
      </w:tr>
    </w:tbl>
    <w:p>
      <w:pPr>
        <w:pStyle w:val="TextBody"/>
        <w:spacing w:before="120" w:after="283"/>
        <w:jc w:val="left"/>
        <w:rPr/>
      </w:pPr>
      <w:r>
        <w:rPr/>
        <w:t>     </w:t>
      </w:r>
      <w:r>
        <w:rPr>
          <w:rFonts w:ascii="Times New Roman;Times;serif" w:hAnsi="Times New Roman;Times;serif"/>
          <w:sz w:val="17"/>
        </w:rPr>
        <w:t xml:space="preserve">In addition to the approximately $30 million of unrealized losses deferred to AOCI for open derivative positions, AOCI also includes a deferred loss of approximately $6 million that relates to terminated interest rate swaps that were cash settled in connection with the refinancing of debt agreements over the past five years. The deferred loss related to these instruments is being amortized to interest expense over the original terms of the terminated instruments. </w:t>
      </w:r>
    </w:p>
    <w:p>
      <w:pPr>
        <w:pStyle w:val="TextBody"/>
        <w:spacing w:before="120" w:after="283"/>
        <w:jc w:val="left"/>
        <w:rPr/>
      </w:pPr>
      <w:r>
        <w:rPr/>
        <w:t>     </w:t>
      </w:r>
      <w:r>
        <w:rPr>
          <w:rFonts w:ascii="Times New Roman;Times;serif" w:hAnsi="Times New Roman;Times;serif"/>
          <w:sz w:val="17"/>
        </w:rPr>
        <w:t xml:space="preserve">The total amount of deferred net losses recorded in AOCI is expected to be reclassified to future earnings, contemporaneously with the related physical purchase or delivery of the underlying commodity or payments of interest. Of the total net loss deferred in AOCI at September 30, 2007, a net loss of approximately $29 million will be reclassified into earnings in the next twelve months. The remaining net loss will be reclassified at various intervals (ending in 2016 for amounts related to our terminated interest rate swaps and 2008 for amounts related to our commodity price-risk hedging). Because a portion of these amounts is based on market prices at the current period end, actual amounts to be reclassified will differ and could vary materially as a result of changes in market conditions. During the three and nine months ended September 30, 2007, no amounts were reclassified to earnings from AOCI in connection with forecasted transactions that were no longer considered probable of occurring.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10Related Party Transactions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Crude Oil Purchases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Until August 12, 2005, Vulcan Energy owned 100% of Calumet Florida L.L.C. (Calumet). Until May 24, 2007, Calumet was owned by Vulcan Resources Florida, Inc., the majority of which is owned by Paul G. Allen. On May 24, 2007, Calumet was sold and ceased to be related to Vulcan. In the period from January 1, 2007 through May 24, 2007, we purchased crude oil from Calumet for approximately $17.2 million. In the third quarter and the first nine months of 2006, we purchased crude oil from Calumet for approximately $15.7 million and $38.3 million, respectively.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Gas Hedges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PAA/Vulcan is developing a natural gas storage facility through its wholly owned subsidiary, Pine Prairie Energy Center, LLC (Pine Prairie). Proper functioning of the Pine Prairie storage caverns will require a minimum operating inventory contained in the caverns at all times (referred to as base gas). During the first quarter of 2006, we arranged to provide the base gas for the storage facility to Pine Prairie at a price not to exceed $8.50 per million cubic feet. In conjunction with this arrangement, we executed hedges on the NYMEX for a price below $8.50 for the relevant delivery periods of 2008, 2009 and 2010. We recorded deferred revenue for receipt of a one-time fee of approximately $1 million for our services to own and manage the hedge positions and to deliver the natural gas.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11Income Taxes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U.S. and Canadian subsidiaries are not taxable entities in the U.S. and are not subject to U.S. federal or state income taxes because the tax effect of operations is passed through to our unitholders. However, certain of our Canadian subsidiaries are taxable entities in Canada and are subject to Canadian federal and provincial income taxes. Our provision for income taxes for the three and nine months ended September 30, 2007 reflects these Canadian federal and provincial taxes in addition to tax obligations under the Texas Margin Tax described below. </w:t>
      </w:r>
    </w:p>
    <w:p>
      <w:pPr>
        <w:pStyle w:val="TextBody"/>
        <w:spacing w:before="120" w:after="283"/>
        <w:jc w:val="left"/>
        <w:rPr/>
      </w:pPr>
      <w:r>
        <w:rPr/>
        <w:t>     </w:t>
      </w:r>
      <w:r>
        <w:rPr>
          <w:rFonts w:ascii="Times New Roman;Times;serif" w:hAnsi="Times New Roman;Times;serif"/>
          <w:sz w:val="17"/>
        </w:rPr>
        <w:t xml:space="preserve">In June 2007, Canadian legislation was passed that imposes Canadian tax on </w:t>
      </w:r>
      <w:r>
        <w:rPr>
          <w:rFonts w:ascii="Times New Roman;Times;serif" w:hAnsi="Times New Roman;Times;serif"/>
          <w:i/>
          <w:sz w:val="17"/>
        </w:rPr>
        <w:t xml:space="preserve">Specified Flow-Through Investments </w:t>
      </w:r>
      <w:r>
        <w:rPr>
          <w:rFonts w:ascii="Times New Roman;Times;serif" w:hAnsi="Times New Roman;Times;serif"/>
          <w:sz w:val="17"/>
        </w:rPr>
        <w:t xml:space="preserve">(SIFT). The legislation includes a safe harbor provision which grandfathers existing entities and delays the effective date of such legislation until 2011 subject to companies not exceeding the normal growth guidelines as defined in the legislation. Although limited guidance is currently available, we believe that it is more likely than not that our Canadian partnership will be considered a SIFT under the legislation and thus would be subject to the tax. We are currently within the normal growth guidelines as defined in the legislation, which delays the effective date for us until 2011. In conjunction with the passage of this legislation, we have recognized a net deferred income tax expense of approximately $11 million during the nine months ended September 30, 2007. This amount represents the estimated tax effect of temporary differences that exist at September 30, 2007 and are expected to reverse after the date that this legislation is effective for us based on the 31.5% tax rate that is expected to be in effect when these temporary differences reverse. Substantially all of this amount is related to differences between book basis and tax basis depreciation on applicable property and equipment. If and when facts and circumstances change, we will reassess our position and record adjustments as necessary. </w:t>
      </w:r>
    </w:p>
    <w:p>
      <w:pPr>
        <w:pStyle w:val="TextBody"/>
        <w:spacing w:before="120" w:after="283"/>
        <w:jc w:val="left"/>
        <w:rPr/>
      </w:pPr>
      <w:r>
        <w:rPr/>
        <w:t>     </w:t>
      </w:r>
      <w:r>
        <w:rPr>
          <w:rFonts w:ascii="Times New Roman;Times;serif" w:hAnsi="Times New Roman;Times;serif"/>
          <w:sz w:val="17"/>
        </w:rPr>
        <w:t xml:space="preserve">We adopted the provisions of FASB Interpretation No. 48, Accounting for Uncertainty in Income Taxes (FIN 48), an interpretation of SFAS No. 109 Accounting for Income Taxes, on January 1, 2007. The adoption of FIN 48 had no material impact on our financial statements. We recognize interest and penalties related to uncertain tax positions in income tax expense. At September 30, 2007, we have no material assets, liabilities or accrued interest associated with uncertain tax positions. </w:t>
      </w:r>
    </w:p>
    <w:p>
      <w:pPr>
        <w:pStyle w:val="TextBody"/>
        <w:spacing w:before="120" w:after="283"/>
        <w:jc w:val="left"/>
        <w:rPr/>
      </w:pPr>
      <w:r>
        <w:rPr/>
        <w:t>     </w:t>
      </w:r>
      <w:r>
        <w:rPr>
          <w:rFonts w:ascii="Times New Roman;Times;serif" w:hAnsi="Times New Roman;Times;serif"/>
          <w:sz w:val="17"/>
        </w:rPr>
        <w:t xml:space="preserve">We file income tax returns in Canadian federal and various provincial jurisdictions. Generally, we are no longer subject to Canadian federal and provincial income tax examinations for years before 2004.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b/>
          <w:sz w:val="17"/>
        </w:rPr>
      </w:pPr>
      <w:r>
        <w:rPr>
          <w:rFonts w:ascii="Times New Roman;Times;serif" w:hAnsi="Times New Roman;Times;serif"/>
          <w:b/>
          <w:sz w:val="17"/>
        </w:rPr>
        <w:t xml:space="preserve">Note 12Commitments and Contingencies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Litigation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Pipeline Releases. </w:t>
      </w:r>
      <w:r>
        <w:rPr>
          <w:rFonts w:ascii="Times New Roman;Times;serif" w:hAnsi="Times New Roman;Times;serif"/>
          <w:sz w:val="17"/>
        </w:rPr>
        <w:t xml:space="preserve">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U.S.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$3.0 million to $3.5 million. In cooperation with the appropriate state and federal environmental authorities, we have substantially completed our work with respect to site restoration, subject to some ongoing remediation at the Pecos River site. EPA has referred these two crude oil releases, as well as several other smaller releases, to the U.S. Department of Justice (the DOJ) for further investigation in connection with a possible civil penalty enforcement action under the Federal Clean Water Act. We are cooperating in the investigation.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the DOJ; however, we have no indication from EPA or the DOJ of what penalties might be sought. As a result, we are unable to estimate the range of a reasonably possible loss contingency in excess of our accrual. </w:t>
      </w:r>
    </w:p>
    <w:p>
      <w:pPr>
        <w:pStyle w:val="TextBody"/>
        <w:spacing w:before="120" w:after="283"/>
        <w:jc w:val="left"/>
        <w:rPr/>
      </w:pPr>
      <w:r>
        <w:rPr/>
        <w:t>     </w:t>
      </w:r>
      <w:r>
        <w:rPr>
          <w:rFonts w:ascii="Times New Roman;Times;serif" w:hAnsi="Times New Roman;Times;serif"/>
          <w:sz w:val="17"/>
        </w:rPr>
        <w:t xml:space="preserve">On November 15, 2006, we completed the acquisition of Pacific. The following is a summary of the more significant matters that relate to Pacific, its assets or operations. </w:t>
      </w:r>
    </w:p>
    <w:p>
      <w:pPr>
        <w:pStyle w:val="TextBody"/>
        <w:spacing w:before="120" w:after="283"/>
        <w:jc w:val="left"/>
        <w:rPr/>
      </w:pPr>
      <w:r>
        <w:rPr/>
        <w:t>     </w:t>
      </w:r>
      <w:r>
        <w:rPr>
          <w:rFonts w:ascii="Times New Roman;Times;serif" w:hAnsi="Times New Roman;Times;serif"/>
          <w:i/>
          <w:sz w:val="17"/>
        </w:rPr>
        <w:t xml:space="preserve">The People of the State of California v. Pacific Pipeline System, LLC (PPS). </w:t>
      </w:r>
      <w:r>
        <w:rPr>
          <w:rFonts w:ascii="Times New Roman;Times;serif" w:hAnsi="Times New Roman;Times;serif"/>
          <w:sz w:val="17"/>
        </w:rPr>
        <w:t xml:space="preserve">In March 2005, a release of approximately 3,400 barrels of crude oil occurred on Line 63, subsequently acquired by us in the Pacific merger. The release occurred when Line 63 was severed as a result of a landslide caused by heavy rainfall in the Pyramid Lake area of Los Angeles County. Total projected emergency response, remediation and restoration costs are approximately $26 million, substantially all of which had been incurred as of September 30, 2007. We expect to incur the remaining costs before the end of 2007. We anticipate that the majority of such costs will be covered under a pre-existing PPS pollution liability insurance policy. </w:t>
      </w:r>
    </w:p>
    <w:p>
      <w:pPr>
        <w:pStyle w:val="TextBody"/>
        <w:spacing w:before="120" w:after="283"/>
        <w:jc w:val="left"/>
        <w:rPr/>
      </w:pPr>
      <w:r>
        <w:rPr/>
        <w:t>     </w:t>
      </w:r>
      <w:r>
        <w:rPr>
          <w:rFonts w:ascii="Times New Roman;Times;serif" w:hAnsi="Times New Roman;Times;serif"/>
          <w:sz w:val="17"/>
        </w:rPr>
        <w:t xml:space="preserve">In March 2006, PPS, a subsidiary acquired in the Pacific merger, was served with a four-count misdemeanor criminal action in the Los Angeles Superior Court Case No. 6NW01020, which alleges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The fines that can be assessed against PPS for the violations of the strict liability statutes are based, in large measure, on the volume of unrecovered crude oil that was released into the environment, and, therefore, the maximum state fine, if any, that can be assessed is estimated to be approximately $1.1 million in the aggregate. This amount is subject to a downward adjustment with respect to actual volumes of recovered crude oil, and the State of California has the discretion to further reduce the fine, if any, after considering other mitigating factors. Because of the uncertainty associated with these factors, the final amount of the fine that will be assessed for the strict liability offenses cannot be ascertained. We will defend against these charges. In addition to these fines, the State of California has indicated that it may seek to recover approximately $150,000 in natural resource damages against PPS in connection with this matter. The mitigating factors may also serve as a basis for a downward adjustment of the natural resource damages amount. We believe that certain of the alleged violations are without merit and intend to defend against them, and that mitigating factors should apply. </w:t>
      </w:r>
    </w:p>
    <w:p>
      <w:pPr>
        <w:pStyle w:val="TextBody"/>
        <w:spacing w:before="120" w:after="283"/>
        <w:jc w:val="left"/>
        <w:rPr/>
      </w:pPr>
      <w:r>
        <w:rPr/>
        <w:t>     </w:t>
      </w:r>
      <w:r>
        <w:rPr>
          <w:rFonts w:ascii="Times New Roman;Times;serif" w:hAnsi="Times New Roman;Times;serif"/>
          <w:sz w:val="17"/>
        </w:rPr>
        <w:t xml:space="preserve">The EPA has referred this matter to the DOJ for the initiation of proceedings to assess civil penalties against PPS. We understand that the maximum permissible penalty, if any, that the EPA could assess under relevant statutes would be approximately $3.7 million. We believe that several mitigating circumstances and factors exist that could substantially reduce any penalty that might be imposed by the EPA, and intend to pursue discussions with the EPA regarding such mitigating circumstances and factors. Because of the uncertainty associated with these factors, the final amount of the penalty that will be assessed by the EPA cannot be ascertained. Discussions with the DOJ to resolve this matter have commenced.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i/>
          <w:sz w:val="17"/>
        </w:rPr>
        <w:t xml:space="preserve">Pacific Atlantic Terminals. </w:t>
      </w:r>
      <w:r>
        <w:rPr>
          <w:rFonts w:ascii="Times New Roman;Times;serif" w:hAnsi="Times New Roman;Times;serif"/>
          <w:sz w:val="17"/>
        </w:rPr>
        <w:t xml:space="preserve">In connection with the Pacific merger, we acquired Pacific Atlantic Terminals LLC (PAT), which is now one of our subsidiaries. PAT owns crude oil and refined products terminals in northern California and in the Philadelphia metropolitan area. In the process of integrating PATs assets into our operations, we identified certain aspects of the operations at the California terminals that appeared to be out of compliance with specifications under the relevant air quality permit. We conducted a prompt review of the circumstances and self-reported the apparent historical occurrences of non-compliance to the Bay Area Air Quality Management District. We are cooperating with the Districts review of these matters. Although we are currently unable to determine the outcome of the foregoing, at this time, we do not believe it will have a material impact on our financial condition, results of operations or cash flows. </w:t>
      </w:r>
    </w:p>
    <w:p>
      <w:pPr>
        <w:pStyle w:val="TextBody"/>
        <w:spacing w:before="120" w:after="283"/>
        <w:jc w:val="left"/>
        <w:rPr/>
      </w:pPr>
      <w:r>
        <w:rPr/>
        <w:t>     </w:t>
      </w:r>
      <w:r>
        <w:rPr>
          <w:rFonts w:ascii="Times New Roman;Times;serif" w:hAnsi="Times New Roman;Times;serif"/>
          <w:i/>
          <w:sz w:val="17"/>
        </w:rPr>
        <w:t xml:space="preserve">Other Pacific-Legacy Matters. </w:t>
      </w:r>
      <w:r>
        <w:rPr>
          <w:rFonts w:ascii="Times New Roman;Times;serif" w:hAnsi="Times New Roman;Times;serif"/>
          <w:sz w:val="17"/>
        </w:rPr>
        <w:t xml:space="preserve">Pacific had completed a number of acquisitions that had not been fully integrated prior to the merger with Plains. Accordingly, we have and may become aware of other matters involving the assets and operations acquired in the Pacific merger as they relate to compliance with environmental and safety regulations, which matters may result in the imposition of fines and penalties. For example, we have been informed by the EPA that terminals owned by Rocky Mountain Pipeline Systems LLC, one of the subsidiaries acquired in the Pacific merger, are purportedly out of compliance with certain regulatory documentation requirements. </w:t>
      </w:r>
    </w:p>
    <w:p>
      <w:pPr>
        <w:pStyle w:val="TextBody"/>
        <w:spacing w:before="120" w:after="283"/>
        <w:jc w:val="left"/>
        <w:rPr/>
      </w:pPr>
      <w:r>
        <w:rPr/>
        <w:t>     </w:t>
      </w:r>
      <w:r>
        <w:rPr>
          <w:rFonts w:ascii="Times New Roman;Times;serif" w:hAnsi="Times New Roman;Times;serif"/>
          <w:i/>
          <w:sz w:val="17"/>
        </w:rPr>
        <w:t xml:space="preserve">General. </w:t>
      </w:r>
      <w:r>
        <w:rPr>
          <w:rFonts w:ascii="Times New Roman;Times;serif" w:hAnsi="Times New Roman;Times;serif"/>
          <w:sz w:val="17"/>
        </w:rPr>
        <w:t xml:space="preserve">We, in the ordinary course of business, are a claimant and/or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or in the aggregate, will have a materially adverse effect on our financial condition, results of operations or cash flows. </w:t>
      </w:r>
    </w:p>
    <w:p>
      <w:pPr>
        <w:pStyle w:val="TextBody"/>
        <w:spacing w:before="120" w:after="283"/>
        <w:jc w:val="left"/>
        <w:rPr/>
      </w:pPr>
      <w:r>
        <w:rPr/>
        <w:t>     </w:t>
      </w:r>
      <w:r>
        <w:rPr>
          <w:rFonts w:ascii="Times New Roman;Times;serif" w:hAnsi="Times New Roman;Times;serif"/>
          <w:i/>
          <w:sz w:val="17"/>
        </w:rPr>
        <w:t xml:space="preserve">Environmental. </w:t>
      </w:r>
      <w:r>
        <w:rPr>
          <w:rFonts w:ascii="Times New Roman;Times;serif" w:hAnsi="Times New Roman;Times;serif"/>
          <w:sz w:val="17"/>
        </w:rPr>
        <w:t xml:space="preserve">We have in the past experienced and in the future likely will experience releases of crude oil into the environment from our pipeline and 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near-term post-acquisition period, however, the inclusion of additional miles of pipe in our operations may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including a Section 308 request received in late October 2007 with respect to a 400-barrel release of crude oil, a portion of which reached a tributary of the Colorado River in a remote area of West Texas. See also  Pipeline Releases above. </w:t>
      </w:r>
    </w:p>
    <w:p>
      <w:pPr>
        <w:pStyle w:val="TextBody"/>
        <w:spacing w:before="120" w:after="283"/>
        <w:jc w:val="left"/>
        <w:rPr/>
      </w:pPr>
      <w:r>
        <w:rPr/>
        <w:t>     </w:t>
      </w:r>
      <w:r>
        <w:rPr>
          <w:rFonts w:ascii="Times New Roman;Times;serif" w:hAnsi="Times New Roman;Times;serif"/>
          <w:sz w:val="17"/>
        </w:rPr>
        <w:t xml:space="preserve">At September 30, 2007, our reserve for environmental liabilities totaled approximately $37 million, of which approximately $16 million is classified as short-term and approximately $21 million is classified as long-term. At September 30, 2007, we have recorded receivables totaling approximately $8 million for amounts that are probable of recovery under insurance and from third parties under indemnification agreements. Although we believe our reserve is adequate, costs incurred in excess of this reserve may be higher and may potentially have a material adverse effect on our financial condition, results of operations or cash flows.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i/>
          <w:sz w:val="17"/>
        </w:rPr>
        <w:t xml:space="preserve">Other. </w:t>
      </w:r>
      <w:r>
        <w:rPr>
          <w:rFonts w:ascii="Times New Roman;Times;serif" w:hAnsi="Times New Roman;Times;serif"/>
          <w:sz w:val="17"/>
        </w:rPr>
        <w:t xml:space="preserve">A pipeline, terminal or other facility may experience damage as a result of an 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environmental insurance markets, this trend is expected to continue as we continue to grow and expand. As a result, we anticipate that we will elect to self-insure more of our environmental activities or incorporate higher retention in our insurance arrangements. </w:t>
      </w:r>
    </w:p>
    <w:p>
      <w:pPr>
        <w:pStyle w:val="TextBody"/>
        <w:spacing w:before="120" w:after="283"/>
        <w:jc w:val="left"/>
        <w:rPr/>
      </w:pPr>
      <w:r>
        <w:rPr/>
        <w:t>     </w:t>
      </w:r>
      <w:r>
        <w:rPr>
          <w:rFonts w:ascii="Times New Roman;Times;serif" w:hAnsi="Times New Roman;Times;serif"/>
          <w:sz w:val="17"/>
        </w:rPr>
        <w:t xml:space="preserve">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 results of operations or cash flows.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Regulation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substantial portion of PAAs petroleum pipelines and storage tanks in the United States are subject to regulation by the U.S. Department of Transportations (DOT) Pipeline and Hazardous Materials Safety Administration with respect to the design, installation, testing, construction, operation, replacement and management of pipeline and tank facilities. Comparable regulation exists in some states in which PAA conducts intrastate common carrier or private pipeline operations. Regulation in Canada is under the National Energy Board and provincial agencies. In addition, PAA must permit access to and copying of records, and must make certain reports available and provide information as required by the Secretary of Transportation. U.S. Federal pipeline safety rules also require pipeline operators to develop and maintain a written qualification program for individuals performing covered tasks on pipeline facilities. </w:t>
      </w:r>
    </w:p>
    <w:p>
      <w:pPr>
        <w:pStyle w:val="TextBody"/>
        <w:spacing w:before="120" w:after="283"/>
        <w:jc w:val="left"/>
        <w:rPr/>
      </w:pPr>
      <w:r>
        <w:rPr/>
        <w:t>     </w:t>
      </w:r>
      <w:r>
        <w:rPr>
          <w:rFonts w:ascii="Times New Roman;Times;serif" w:hAnsi="Times New Roman;Times;serif"/>
          <w:sz w:val="17"/>
        </w:rPr>
        <w:t xml:space="preserve">In 2001, the DOT adopted the initial pipeline integrity management rule, which required operators of jurisdictional pipelines transporting hazardous liquids to develop and follow an integrity management program that provides for continual assessment of the integrity of all pipeline segments that could affect so-called high consequence areas, including high population areas, areas that are sources of drinking water, ecological resource areas that are unusually sensitive to environmental damage from a pipeline release, and commercially navigable waterways. In December 2003, the DOT issued a final rule requiring natural gas pipeline operators to develop similar integrity management programs for gas transmission pipelines located in high consequence areas. Segments of PAAs pipelines transporting hazardous liquids and/or natural gas in high consequence areas are subject to these DOT rules and therefore obligate PAA to evaluate pipeline conditions by means of periodic internal inspection, pressure testing, or other equally effective assessment means, and to correct identified anomalies. If, as a result of PAAs evaluation process, PAA determines that there is a need to provide further protection to high consequence areas, then PAA will be required to implement additional spill prevention, mitigation and risk control measures for its pipelines. The DOT rules also require PAA to evaluate and, as necessary, improve its management and analysis processes for integrating available integrity related data relating to its pipeline segments and to remediate potential problems found as a result of the required assessment and evaluation process. Costs associated with this program were approximately $3 million in the third quarter of 2007 and $11 million for the first nine months of 2007. Based on currently available information, PAAs preliminary estimate for the remainder 2007 is approximately $5 million. The relative increase in program cost over the last few years is primarily attributable to pipeline segments acquired in recent years (including the Pacific and Link assets), which are subject to the rules. Certain of these costs are recurring in nature and thus will impact future periods. PAA will continue to refine its estimates as information from its assessments is collected. Although PAA believes that its pipeline operations are in substantial compliance with currently applicable regulatory requirements, PAA cannot predict the potential costs associated with additional, future regulation.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13Operating Segments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In the fourth quarter of 2006, we revised the manner in which we internally evaluate our segment performance and decide how to allocate resources to our segments. Prior period disclosures have been revised to reflect our change in segments. Our operations are conducted through three operating segments: (i) Transportation, (ii) Facilities and (iii) Marketing. </w:t>
      </w:r>
    </w:p>
    <w:p>
      <w:pPr>
        <w:pStyle w:val="TextBody"/>
        <w:spacing w:before="120" w:after="283"/>
        <w:jc w:val="left"/>
        <w:rPr/>
      </w:pPr>
      <w:r>
        <w:rPr/>
        <w:t>     </w:t>
      </w:r>
      <w:r>
        <w:rPr>
          <w:rFonts w:ascii="Times New Roman;Times;serif" w:hAnsi="Times New Roman;Times;serif"/>
          <w:sz w:val="17"/>
        </w:rPr>
        <w:t xml:space="preserve">Our Chief Operating Decision Maker (our Chief Executive Officer) evaluates segment performance based on a variety of measures including, but not limited to segment profit, segment volumes, segment profit per barrel and maintenance capital investment. We define segment profit as revenues and equity in earnings of unconsolidated entities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We compensate for this limitation by recognizing that depreciation and amortization are largely offset by repair and maintenance investments, which act to partially offset the age-related decline in the value of our principal fixed assets. These maintenance investments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 operating capacity are charged to expense as incurred. </w:t>
      </w:r>
    </w:p>
    <w:p>
      <w:pPr>
        <w:pStyle w:val="TextBody"/>
        <w:spacing w:before="120" w:after="283"/>
        <w:jc w:val="left"/>
        <w:rPr/>
      </w:pPr>
      <w:r>
        <w:rPr/>
        <w:t>     </w:t>
      </w:r>
      <w:r>
        <w:rPr>
          <w:rFonts w:ascii="Times New Roman;Times;serif" w:hAnsi="Times New Roman;Times;serif"/>
          <w:sz w:val="17"/>
        </w:rPr>
        <w:t xml:space="preserve">The following tables reflect certain financial data for each segment for the periods indicated (in millions):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3594"/>
        <w:gridCol w:w="294"/>
        <w:gridCol w:w="317"/>
        <w:gridCol w:w="1320"/>
        <w:gridCol w:w="99"/>
        <w:gridCol w:w="294"/>
        <w:gridCol w:w="234"/>
        <w:gridCol w:w="828"/>
        <w:gridCol w:w="99"/>
        <w:gridCol w:w="294"/>
        <w:gridCol w:w="197"/>
        <w:gridCol w:w="1031"/>
        <w:gridCol w:w="129"/>
        <w:gridCol w:w="294"/>
        <w:gridCol w:w="166"/>
        <w:gridCol w:w="874"/>
        <w:gridCol w:w="141"/>
      </w:tblGrid>
      <w:tr>
        <w:trPr/>
        <w:tc>
          <w:tcPr>
            <w:tcW w:w="359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359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0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2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41" w:type="dxa"/>
            <w:tcBorders/>
            <w:shd w:fill="auto" w:val="clear"/>
            <w:vAlign w:val="bottom"/>
          </w:tcPr>
          <w:p>
            <w:pPr>
              <w:pStyle w:val="TableContents"/>
              <w:spacing w:before="0" w:after="283"/>
              <w:rPr/>
            </w:pPr>
            <w:r>
              <w:rPr/>
              <w:t> </w:t>
            </w:r>
          </w:p>
        </w:tc>
      </w:tr>
      <w:tr>
        <w:trPr/>
        <w:tc>
          <w:tcPr>
            <w:tcW w:w="3594" w:type="dxa"/>
            <w:tcBorders/>
            <w:shd w:fill="CCEEFF" w:val="clear"/>
            <w:vAlign w:val="bottom"/>
          </w:tcPr>
          <w:p>
            <w:pPr>
              <w:pStyle w:val="TableContents"/>
              <w:spacing w:before="0" w:after="0"/>
              <w:ind w:left="225" w:right="0" w:hanging="225"/>
              <w:rPr>
                <w:b/>
              </w:rPr>
            </w:pPr>
            <w:r>
              <w:rPr>
                <w:b/>
              </w:rPr>
              <w:t>Three Months Ended September 30, 2007</w:t>
            </w:r>
          </w:p>
        </w:tc>
        <w:tc>
          <w:tcPr>
            <w:tcW w:w="294"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28"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3594" w:type="dxa"/>
            <w:tcBorders/>
            <w:shd w:fill="auto" w:val="clear"/>
            <w:vAlign w:val="bottom"/>
          </w:tcPr>
          <w:p>
            <w:pPr>
              <w:pStyle w:val="TableContents"/>
              <w:spacing w:before="0" w:after="0"/>
              <w:ind w:left="225" w:right="0" w:hanging="225"/>
              <w:rPr/>
            </w:pPr>
            <w:r>
              <w:rPr/>
              <w:t>Revenues:</w:t>
            </w:r>
          </w:p>
        </w:tc>
        <w:tc>
          <w:tcPr>
            <w:tcW w:w="294"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3594" w:type="dxa"/>
            <w:tcBorders/>
            <w:shd w:fill="CCEEFF" w:val="clear"/>
            <w:vAlign w:val="bottom"/>
          </w:tcPr>
          <w:p>
            <w:pPr>
              <w:pStyle w:val="TableContents"/>
              <w:spacing w:before="0" w:after="0"/>
              <w:ind w:left="450" w:right="0" w:hanging="225"/>
              <w:rPr/>
            </w:pPr>
            <w:r>
              <w:rPr/>
              <w:t xml:space="preserve">External Customers (1) </w:t>
            </w:r>
          </w:p>
        </w:tc>
        <w:tc>
          <w:tcPr>
            <w:tcW w:w="294"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106.7</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30.8</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5,661.5</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5,799.0</w:t>
            </w:r>
          </w:p>
        </w:tc>
        <w:tc>
          <w:tcPr>
            <w:tcW w:w="141" w:type="dxa"/>
            <w:tcBorders/>
            <w:shd w:fill="CCEEFF" w:val="clear"/>
            <w:vAlign w:val="bottom"/>
          </w:tcPr>
          <w:p>
            <w:pPr>
              <w:pStyle w:val="TableContents"/>
              <w:spacing w:before="0" w:after="283"/>
              <w:rPr/>
            </w:pPr>
            <w:r>
              <w:rPr/>
              <w:t> </w:t>
            </w:r>
          </w:p>
        </w:tc>
      </w:tr>
      <w:tr>
        <w:trPr/>
        <w:tc>
          <w:tcPr>
            <w:tcW w:w="3594" w:type="dxa"/>
            <w:tcBorders/>
            <w:shd w:fill="auto" w:val="clear"/>
            <w:vAlign w:val="bottom"/>
          </w:tcPr>
          <w:p>
            <w:pPr>
              <w:pStyle w:val="TableContents"/>
              <w:spacing w:before="0" w:after="0"/>
              <w:ind w:left="450" w:right="0" w:hanging="225"/>
              <w:rPr/>
            </w:pPr>
            <w:r>
              <w:rPr/>
              <w:t xml:space="preserve">Intersegment (2) </w:t>
            </w:r>
          </w:p>
        </w:tc>
        <w:tc>
          <w:tcPr>
            <w:tcW w:w="294"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91.4</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jc w:val="right"/>
              <w:rPr/>
            </w:pPr>
            <w:r>
              <w:rPr/>
              <w:t>23.2</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6.5</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pPr>
            <w:r>
              <w:rPr/>
              <w:t>121.1</w:t>
            </w:r>
          </w:p>
        </w:tc>
        <w:tc>
          <w:tcPr>
            <w:tcW w:w="141" w:type="dxa"/>
            <w:tcBorders/>
            <w:shd w:fill="auto" w:val="clear"/>
            <w:vAlign w:val="bottom"/>
          </w:tcPr>
          <w:p>
            <w:pPr>
              <w:pStyle w:val="TableContents"/>
              <w:spacing w:before="0" w:after="283"/>
              <w:rPr/>
            </w:pPr>
            <w:r>
              <w:rPr/>
              <w:t> </w:t>
            </w:r>
          </w:p>
        </w:tc>
      </w:tr>
      <w:tr>
        <w:trPr/>
        <w:tc>
          <w:tcPr>
            <w:tcW w:w="3594"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3594" w:type="dxa"/>
            <w:tcBorders/>
            <w:shd w:fill="CCEEFF" w:val="clear"/>
            <w:vAlign w:val="bottom"/>
          </w:tcPr>
          <w:p>
            <w:pPr>
              <w:pStyle w:val="TableContents"/>
              <w:spacing w:before="0" w:after="0"/>
              <w:ind w:left="675" w:right="0" w:hanging="225"/>
              <w:rPr/>
            </w:pPr>
            <w:r>
              <w:rPr/>
              <w:t>Total revenues of reportable segments</w:t>
            </w:r>
          </w:p>
        </w:tc>
        <w:tc>
          <w:tcPr>
            <w:tcW w:w="294"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198.1</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54.0</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5,668.0</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5,920.1</w:t>
            </w:r>
          </w:p>
        </w:tc>
        <w:tc>
          <w:tcPr>
            <w:tcW w:w="141" w:type="dxa"/>
            <w:tcBorders/>
            <w:shd w:fill="CCEEFF" w:val="clear"/>
            <w:vAlign w:val="bottom"/>
          </w:tcPr>
          <w:p>
            <w:pPr>
              <w:pStyle w:val="TableContents"/>
              <w:spacing w:before="0" w:after="283"/>
              <w:rPr/>
            </w:pPr>
            <w:r>
              <w:rPr/>
              <w:t> </w:t>
            </w:r>
          </w:p>
        </w:tc>
      </w:tr>
      <w:tr>
        <w:trPr/>
        <w:tc>
          <w:tcPr>
            <w:tcW w:w="3594"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3594" w:type="dxa"/>
            <w:tcBorders/>
            <w:shd w:fill="auto" w:val="clear"/>
            <w:vAlign w:val="bottom"/>
          </w:tcPr>
          <w:p>
            <w:pPr>
              <w:pStyle w:val="TableContents"/>
              <w:spacing w:before="0" w:after="0"/>
              <w:ind w:left="225" w:right="0" w:hanging="225"/>
              <w:rPr/>
            </w:pPr>
            <w:r>
              <w:rPr/>
              <w:t> </w:t>
            </w:r>
          </w:p>
        </w:tc>
        <w:tc>
          <w:tcPr>
            <w:tcW w:w="294"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8"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3594" w:type="dxa"/>
            <w:tcBorders/>
            <w:shd w:fill="auto" w:val="clear"/>
            <w:vAlign w:val="bottom"/>
          </w:tcPr>
          <w:p>
            <w:pPr>
              <w:pStyle w:val="TableContents"/>
              <w:spacing w:before="0" w:after="0"/>
              <w:ind w:left="225" w:right="0" w:hanging="225"/>
              <w:rPr/>
            </w:pPr>
            <w:r>
              <w:rPr/>
              <w:t>Equity earnings in unconsolidated entities</w:t>
            </w:r>
          </w:p>
        </w:tc>
        <w:tc>
          <w:tcPr>
            <w:tcW w:w="294"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1.5</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2.3</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w:t>
            </w:r>
          </w:p>
        </w:tc>
        <w:tc>
          <w:tcPr>
            <w:tcW w:w="12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3.8</w:t>
            </w:r>
          </w:p>
        </w:tc>
        <w:tc>
          <w:tcPr>
            <w:tcW w:w="141" w:type="dxa"/>
            <w:tcBorders/>
            <w:shd w:fill="auto" w:val="clear"/>
            <w:vAlign w:val="bottom"/>
          </w:tcPr>
          <w:p>
            <w:pPr>
              <w:pStyle w:val="TableContents"/>
              <w:spacing w:before="0" w:after="283"/>
              <w:rPr/>
            </w:pPr>
            <w:r>
              <w:rPr/>
              <w:t> </w:t>
            </w:r>
          </w:p>
        </w:tc>
      </w:tr>
      <w:tr>
        <w:trPr/>
        <w:tc>
          <w:tcPr>
            <w:tcW w:w="3594"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3594" w:type="dxa"/>
            <w:tcBorders/>
            <w:shd w:fill="CCEEFF" w:val="clear"/>
            <w:vAlign w:val="bottom"/>
          </w:tcPr>
          <w:p>
            <w:pPr>
              <w:pStyle w:val="TableContents"/>
              <w:spacing w:before="0" w:after="0"/>
              <w:ind w:left="225" w:right="0" w:hanging="225"/>
              <w:rPr/>
            </w:pPr>
            <w:r>
              <w:rPr/>
              <w:t xml:space="preserve">Segment profit (1)(3)(4) </w:t>
            </w:r>
          </w:p>
        </w:tc>
        <w:tc>
          <w:tcPr>
            <w:tcW w:w="294"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91.8</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28.7</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60.3</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180.8</w:t>
            </w:r>
          </w:p>
        </w:tc>
        <w:tc>
          <w:tcPr>
            <w:tcW w:w="141" w:type="dxa"/>
            <w:tcBorders/>
            <w:shd w:fill="CCEEFF" w:val="clear"/>
            <w:vAlign w:val="bottom"/>
          </w:tcPr>
          <w:p>
            <w:pPr>
              <w:pStyle w:val="TableContents"/>
              <w:spacing w:before="0" w:after="283"/>
              <w:rPr/>
            </w:pPr>
            <w:r>
              <w:rPr/>
              <w:t> </w:t>
            </w:r>
          </w:p>
        </w:tc>
      </w:tr>
      <w:tr>
        <w:trPr/>
        <w:tc>
          <w:tcPr>
            <w:tcW w:w="3594"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3594" w:type="dxa"/>
            <w:tcBorders/>
            <w:shd w:fill="auto" w:val="clear"/>
            <w:vAlign w:val="bottom"/>
          </w:tcPr>
          <w:p>
            <w:pPr>
              <w:pStyle w:val="TableContents"/>
              <w:spacing w:before="0" w:after="0"/>
              <w:ind w:left="225" w:right="0" w:hanging="225"/>
              <w:rPr/>
            </w:pPr>
            <w:r>
              <w:rPr/>
              <w:t xml:space="preserve">SFAS 133 impact (1) </w:t>
            </w:r>
          </w:p>
        </w:tc>
        <w:tc>
          <w:tcPr>
            <w:tcW w:w="294"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20"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8"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1" w:type="dxa"/>
            <w:tcBorders/>
            <w:shd w:fill="auto" w:val="clear"/>
            <w:vAlign w:val="bottom"/>
          </w:tcPr>
          <w:p>
            <w:pPr>
              <w:pStyle w:val="TableContents"/>
              <w:spacing w:before="0" w:after="283"/>
              <w:jc w:val="right"/>
              <w:rPr/>
            </w:pPr>
            <w:r>
              <w:rPr/>
              <w:t>(14.6</w:t>
            </w:r>
          </w:p>
        </w:tc>
        <w:tc>
          <w:tcPr>
            <w:tcW w:w="129" w:type="dxa"/>
            <w:tcBorders/>
            <w:shd w:fill="auto" w:val="clear"/>
            <w:vAlign w:val="bottom"/>
          </w:tcPr>
          <w:p>
            <w:pPr>
              <w:pStyle w:val="TableContents"/>
              <w:spacing w:before="0" w:after="283"/>
              <w:rPr/>
            </w:pPr>
            <w:r>
              <w:rPr/>
              <w:t>)</w:t>
            </w:r>
          </w:p>
        </w:tc>
        <w:tc>
          <w:tcPr>
            <w:tcW w:w="294"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874" w:type="dxa"/>
            <w:tcBorders/>
            <w:shd w:fill="auto" w:val="clear"/>
            <w:vAlign w:val="bottom"/>
          </w:tcPr>
          <w:p>
            <w:pPr>
              <w:pStyle w:val="TableContents"/>
              <w:spacing w:before="0" w:after="283"/>
              <w:jc w:val="right"/>
              <w:rPr/>
            </w:pPr>
            <w:r>
              <w:rPr/>
              <w:t>(14.6</w:t>
            </w:r>
          </w:p>
        </w:tc>
        <w:tc>
          <w:tcPr>
            <w:tcW w:w="141" w:type="dxa"/>
            <w:tcBorders/>
            <w:shd w:fill="auto" w:val="clear"/>
            <w:vAlign w:val="bottom"/>
          </w:tcPr>
          <w:p>
            <w:pPr>
              <w:pStyle w:val="TableContents"/>
              <w:spacing w:before="0" w:after="283"/>
              <w:rPr/>
            </w:pPr>
            <w:r>
              <w:rPr/>
              <w:t>)</w:t>
            </w:r>
          </w:p>
        </w:tc>
      </w:tr>
      <w:tr>
        <w:trPr/>
        <w:tc>
          <w:tcPr>
            <w:tcW w:w="3594"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3594" w:type="dxa"/>
            <w:tcBorders/>
            <w:shd w:fill="CCEEFF" w:val="clear"/>
            <w:vAlign w:val="bottom"/>
          </w:tcPr>
          <w:p>
            <w:pPr>
              <w:pStyle w:val="TableContents"/>
              <w:spacing w:before="0" w:after="0"/>
              <w:ind w:left="225" w:right="0" w:hanging="225"/>
              <w:rPr/>
            </w:pPr>
            <w:r>
              <w:rPr/>
              <w:t>Maintenance capital investment</w:t>
            </w:r>
          </w:p>
        </w:tc>
        <w:tc>
          <w:tcPr>
            <w:tcW w:w="294"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20" w:type="dxa"/>
            <w:tcBorders/>
            <w:shd w:fill="CCEEFF" w:val="clear"/>
            <w:vAlign w:val="bottom"/>
          </w:tcPr>
          <w:p>
            <w:pPr>
              <w:pStyle w:val="TableContents"/>
              <w:spacing w:before="0" w:after="283"/>
              <w:jc w:val="right"/>
              <w:rPr/>
            </w:pPr>
            <w:r>
              <w:rPr/>
              <w:t>9.2</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8" w:type="dxa"/>
            <w:tcBorders/>
            <w:shd w:fill="CCEEFF" w:val="clear"/>
            <w:vAlign w:val="bottom"/>
          </w:tcPr>
          <w:p>
            <w:pPr>
              <w:pStyle w:val="TableContents"/>
              <w:spacing w:before="0" w:after="283"/>
              <w:jc w:val="right"/>
              <w:rPr/>
            </w:pPr>
            <w:r>
              <w:rPr/>
              <w:t>0.2</w:t>
            </w:r>
          </w:p>
        </w:tc>
        <w:tc>
          <w:tcPr>
            <w:tcW w:w="9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1" w:type="dxa"/>
            <w:tcBorders/>
            <w:shd w:fill="CCEEFF" w:val="clear"/>
            <w:vAlign w:val="bottom"/>
          </w:tcPr>
          <w:p>
            <w:pPr>
              <w:pStyle w:val="TableContents"/>
              <w:spacing w:before="0" w:after="283"/>
              <w:jc w:val="right"/>
              <w:rPr/>
            </w:pPr>
            <w:r>
              <w:rPr/>
              <w:t>0.5</w:t>
            </w:r>
          </w:p>
        </w:tc>
        <w:tc>
          <w:tcPr>
            <w:tcW w:w="129"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874" w:type="dxa"/>
            <w:tcBorders/>
            <w:shd w:fill="CCEEFF" w:val="clear"/>
            <w:vAlign w:val="bottom"/>
          </w:tcPr>
          <w:p>
            <w:pPr>
              <w:pStyle w:val="TableContents"/>
              <w:spacing w:before="0" w:after="283"/>
              <w:jc w:val="right"/>
              <w:rPr/>
            </w:pPr>
            <w:r>
              <w:rPr/>
              <w:t>9.9</w:t>
            </w:r>
          </w:p>
        </w:tc>
        <w:tc>
          <w:tcPr>
            <w:tcW w:w="141" w:type="dxa"/>
            <w:tcBorders/>
            <w:shd w:fill="CCEEFF" w:val="clear"/>
            <w:vAlign w:val="bottom"/>
          </w:tcPr>
          <w:p>
            <w:pPr>
              <w:pStyle w:val="TableContents"/>
              <w:spacing w:before="0" w:after="283"/>
              <w:rPr/>
            </w:pPr>
            <w:r>
              <w:rPr/>
              <w:t> </w:t>
            </w:r>
          </w:p>
        </w:tc>
      </w:tr>
      <w:tr>
        <w:trPr/>
        <w:tc>
          <w:tcPr>
            <w:tcW w:w="3594" w:type="dxa"/>
            <w:tcBorders/>
            <w:shd w:fill="auto" w:val="clear"/>
            <w:vAlign w:val="center"/>
          </w:tcPr>
          <w:p>
            <w:pPr>
              <w:pStyle w:val="TableContents"/>
              <w:spacing w:before="0" w:after="0"/>
              <w:ind w:left="225" w:right="0" w:hanging="225"/>
              <w:rPr/>
            </w:pPr>
            <w:r>
              <w:rPr/>
              <w:t> </w:t>
            </w:r>
          </w:p>
        </w:tc>
        <w:tc>
          <w:tcPr>
            <w:tcW w:w="294" w:type="dxa"/>
            <w:tcBorders/>
            <w:shd w:fill="auto" w:val="clear"/>
            <w:vAlign w:val="center"/>
          </w:tcPr>
          <w:p>
            <w:pPr>
              <w:pStyle w:val="TableContents"/>
              <w:spacing w:before="0" w:after="283"/>
              <w:rPr/>
            </w:pPr>
            <w:r>
              <w:rPr/>
              <w:t> </w:t>
            </w:r>
          </w:p>
        </w:tc>
        <w:tc>
          <w:tcPr>
            <w:tcW w:w="16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294" w:type="dxa"/>
            <w:tcBorders/>
            <w:shd w:fill="auto" w:val="clear"/>
            <w:vAlign w:val="center"/>
          </w:tcPr>
          <w:p>
            <w:pPr>
              <w:pStyle w:val="TableContents"/>
              <w:spacing w:before="0" w:after="283"/>
              <w:rPr/>
            </w:pPr>
            <w:r>
              <w:rPr/>
              <w:t> </w:t>
            </w:r>
          </w:p>
        </w:tc>
        <w:tc>
          <w:tcPr>
            <w:tcW w:w="10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633"/>
        <w:gridCol w:w="298"/>
        <w:gridCol w:w="317"/>
        <w:gridCol w:w="1319"/>
        <w:gridCol w:w="100"/>
        <w:gridCol w:w="298"/>
        <w:gridCol w:w="234"/>
        <w:gridCol w:w="830"/>
        <w:gridCol w:w="100"/>
        <w:gridCol w:w="298"/>
        <w:gridCol w:w="197"/>
        <w:gridCol w:w="1032"/>
        <w:gridCol w:w="100"/>
        <w:gridCol w:w="298"/>
        <w:gridCol w:w="167"/>
        <w:gridCol w:w="875"/>
        <w:gridCol w:w="109"/>
      </w:tblGrid>
      <w:tr>
        <w:trPr/>
        <w:tc>
          <w:tcPr>
            <w:tcW w:w="3633"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6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2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9"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b/>
              </w:rPr>
            </w:pPr>
            <w:r>
              <w:rPr>
                <w:b/>
              </w:rPr>
              <w:t>Three Months Ended September 30, 2006</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319"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Revenues:</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450" w:right="0" w:hanging="225"/>
              <w:rPr/>
            </w:pPr>
            <w:r>
              <w:rPr/>
              <w:t>External Customers (1)</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86.7</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8.7</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4,430.1</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4,525.5</w:t>
            </w:r>
          </w:p>
        </w:tc>
        <w:tc>
          <w:tcPr>
            <w:tcW w:w="109" w:type="dxa"/>
            <w:tcBorders/>
            <w:shd w:fill="CCEEFF" w:val="clear"/>
            <w:vAlign w:val="bottom"/>
          </w:tcPr>
          <w:p>
            <w:pPr>
              <w:pStyle w:val="TableContents"/>
              <w:spacing w:before="0" w:after="283"/>
              <w:rPr/>
            </w:pPr>
            <w:r>
              <w:rPr/>
              <w:t> </w:t>
            </w:r>
          </w:p>
        </w:tc>
      </w:tr>
      <w:tr>
        <w:trPr/>
        <w:tc>
          <w:tcPr>
            <w:tcW w:w="3633" w:type="dxa"/>
            <w:tcBorders/>
            <w:shd w:fill="auto" w:val="clear"/>
            <w:vAlign w:val="bottom"/>
          </w:tcPr>
          <w:p>
            <w:pPr>
              <w:pStyle w:val="TableContents"/>
              <w:spacing w:before="0" w:after="0"/>
              <w:ind w:left="450" w:right="0" w:hanging="225"/>
              <w:rPr/>
            </w:pPr>
            <w:r>
              <w:rPr/>
              <w:t xml:space="preserve">Intersegment (2) </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19" w:type="dxa"/>
            <w:tcBorders/>
            <w:shd w:fill="auto" w:val="clear"/>
            <w:vAlign w:val="bottom"/>
          </w:tcPr>
          <w:p>
            <w:pPr>
              <w:pStyle w:val="TableContents"/>
              <w:spacing w:before="0" w:after="283"/>
              <w:jc w:val="right"/>
              <w:rPr/>
            </w:pPr>
            <w:r>
              <w:rPr/>
              <w:t>48.2</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pPr>
            <w:r>
              <w:rPr/>
              <w:t>12.6</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0.3</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pPr>
            <w:r>
              <w:rPr/>
              <w:t>61.1</w:t>
            </w:r>
          </w:p>
        </w:tc>
        <w:tc>
          <w:tcPr>
            <w:tcW w:w="109" w:type="dxa"/>
            <w:tcBorders/>
            <w:shd w:fill="auto"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675" w:right="0" w:hanging="225"/>
              <w:rPr/>
            </w:pPr>
            <w:r>
              <w:rPr/>
              <w:t>Total revenues of reportable segments</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134.9</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21.3</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4,430.4</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4,586.6</w:t>
            </w:r>
          </w:p>
        </w:tc>
        <w:tc>
          <w:tcPr>
            <w:tcW w:w="109" w:type="dxa"/>
            <w:tcBorders/>
            <w:shd w:fill="CCEEFF"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Equity earnings in unconsolidated entities</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0.2</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1.3</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1.5</w:t>
            </w:r>
          </w:p>
        </w:tc>
        <w:tc>
          <w:tcPr>
            <w:tcW w:w="109" w:type="dxa"/>
            <w:tcBorders/>
            <w:shd w:fill="auto"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pPr>
            <w:r>
              <w:rPr/>
              <w:t>Segment profit (1)(3)(4)</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53.3</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9.0</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76.2</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138.5</w:t>
            </w:r>
          </w:p>
        </w:tc>
        <w:tc>
          <w:tcPr>
            <w:tcW w:w="109" w:type="dxa"/>
            <w:tcBorders/>
            <w:shd w:fill="CCEEFF"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633" w:type="dxa"/>
            <w:tcBorders/>
            <w:shd w:fill="auto" w:val="clear"/>
            <w:vAlign w:val="bottom"/>
          </w:tcPr>
          <w:p>
            <w:pPr>
              <w:pStyle w:val="TableContents"/>
              <w:spacing w:before="0" w:after="0"/>
              <w:ind w:left="225" w:right="0" w:hanging="225"/>
              <w:rPr/>
            </w:pPr>
            <w:r>
              <w:rPr/>
              <w:t>SFAS 133 impact (1)</w:t>
            </w:r>
          </w:p>
        </w:tc>
        <w:tc>
          <w:tcPr>
            <w:tcW w:w="29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jc w:val="left"/>
              <w:rPr/>
            </w:pPr>
            <w:r>
              <w:rPr/>
              <w:t>$</w:t>
            </w:r>
          </w:p>
        </w:tc>
        <w:tc>
          <w:tcPr>
            <w:tcW w:w="1319"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30" w:type="dxa"/>
            <w:tcBorders/>
            <w:shd w:fill="auto" w:val="clear"/>
            <w:vAlign w:val="bottom"/>
          </w:tcPr>
          <w:p>
            <w:pPr>
              <w:pStyle w:val="TableContents"/>
              <w:spacing w:before="0" w:after="283"/>
              <w:jc w:val="right"/>
              <w:rPr/>
            </w:pPr>
            <w:r>
              <w:rPr/>
              <w:t></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17.9</w:t>
            </w:r>
          </w:p>
        </w:tc>
        <w:tc>
          <w:tcPr>
            <w:tcW w:w="100"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75" w:type="dxa"/>
            <w:tcBorders/>
            <w:shd w:fill="auto" w:val="clear"/>
            <w:vAlign w:val="bottom"/>
          </w:tcPr>
          <w:p>
            <w:pPr>
              <w:pStyle w:val="TableContents"/>
              <w:spacing w:before="0" w:after="283"/>
              <w:jc w:val="right"/>
              <w:rPr/>
            </w:pPr>
            <w:r>
              <w:rPr/>
              <w:t>17.9</w:t>
            </w:r>
          </w:p>
        </w:tc>
        <w:tc>
          <w:tcPr>
            <w:tcW w:w="109" w:type="dxa"/>
            <w:tcBorders/>
            <w:shd w:fill="auto"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633" w:type="dxa"/>
            <w:tcBorders/>
            <w:shd w:fill="CCEEFF" w:val="clear"/>
            <w:vAlign w:val="bottom"/>
          </w:tcPr>
          <w:p>
            <w:pPr>
              <w:pStyle w:val="TableContents"/>
              <w:spacing w:before="0" w:after="0"/>
              <w:ind w:left="225" w:right="0" w:hanging="225"/>
              <w:rPr/>
            </w:pPr>
            <w:r>
              <w:rPr/>
              <w:t>Maintenance capital investment</w:t>
            </w:r>
          </w:p>
        </w:tc>
        <w:tc>
          <w:tcPr>
            <w:tcW w:w="298"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jc w:val="left"/>
              <w:rPr/>
            </w:pPr>
            <w:r>
              <w:rPr/>
              <w:t>$</w:t>
            </w:r>
          </w:p>
        </w:tc>
        <w:tc>
          <w:tcPr>
            <w:tcW w:w="1319" w:type="dxa"/>
            <w:tcBorders/>
            <w:shd w:fill="CCEEFF" w:val="clear"/>
            <w:vAlign w:val="bottom"/>
          </w:tcPr>
          <w:p>
            <w:pPr>
              <w:pStyle w:val="TableContents"/>
              <w:spacing w:before="0" w:after="283"/>
              <w:jc w:val="right"/>
              <w:rPr/>
            </w:pPr>
            <w:r>
              <w:rPr/>
              <w:t>5.3</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30" w:type="dxa"/>
            <w:tcBorders/>
            <w:shd w:fill="CCEEFF" w:val="clear"/>
            <w:vAlign w:val="bottom"/>
          </w:tcPr>
          <w:p>
            <w:pPr>
              <w:pStyle w:val="TableContents"/>
              <w:spacing w:before="0" w:after="283"/>
              <w:jc w:val="right"/>
              <w:rPr/>
            </w:pPr>
            <w:r>
              <w:rPr/>
              <w:t>1.9</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1.0</w:t>
            </w:r>
          </w:p>
        </w:tc>
        <w:tc>
          <w:tcPr>
            <w:tcW w:w="10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75" w:type="dxa"/>
            <w:tcBorders/>
            <w:shd w:fill="CCEEFF" w:val="clear"/>
            <w:vAlign w:val="bottom"/>
          </w:tcPr>
          <w:p>
            <w:pPr>
              <w:pStyle w:val="TableContents"/>
              <w:spacing w:before="0" w:after="283"/>
              <w:jc w:val="right"/>
              <w:rPr/>
            </w:pPr>
            <w:r>
              <w:rPr/>
              <w:t>8.2</w:t>
            </w:r>
          </w:p>
        </w:tc>
        <w:tc>
          <w:tcPr>
            <w:tcW w:w="109" w:type="dxa"/>
            <w:tcBorders/>
            <w:shd w:fill="CCEEFF" w:val="clear"/>
            <w:vAlign w:val="bottom"/>
          </w:tcPr>
          <w:p>
            <w:pPr>
              <w:pStyle w:val="TableContents"/>
              <w:spacing w:before="0" w:after="283"/>
              <w:rPr/>
            </w:pPr>
            <w:r>
              <w:rPr/>
              <w:t> </w:t>
            </w:r>
          </w:p>
        </w:tc>
      </w:tr>
      <w:tr>
        <w:trPr/>
        <w:tc>
          <w:tcPr>
            <w:tcW w:w="3633" w:type="dxa"/>
            <w:tcBorders/>
            <w:shd w:fill="auto" w:val="clear"/>
            <w:vAlign w:val="center"/>
          </w:tcPr>
          <w:p>
            <w:pPr>
              <w:pStyle w:val="TableContents"/>
              <w:spacing w:before="0" w:after="0"/>
              <w:ind w:left="225" w:right="0" w:hanging="225"/>
              <w:rPr/>
            </w:pPr>
            <w:r>
              <w:rPr/>
              <w:t> </w:t>
            </w:r>
          </w:p>
        </w:tc>
        <w:tc>
          <w:tcPr>
            <w:tcW w:w="298" w:type="dxa"/>
            <w:tcBorders/>
            <w:shd w:fill="auto" w:val="clear"/>
            <w:vAlign w:val="center"/>
          </w:tcPr>
          <w:p>
            <w:pPr>
              <w:pStyle w:val="TableContents"/>
              <w:spacing w:before="0" w:after="283"/>
              <w:rPr/>
            </w:pPr>
            <w:r>
              <w:rPr/>
              <w:t> </w:t>
            </w:r>
          </w:p>
        </w:tc>
        <w:tc>
          <w:tcPr>
            <w:tcW w:w="16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2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298"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545"/>
        <w:gridCol w:w="289"/>
        <w:gridCol w:w="316"/>
        <w:gridCol w:w="1313"/>
        <w:gridCol w:w="98"/>
        <w:gridCol w:w="289"/>
        <w:gridCol w:w="201"/>
        <w:gridCol w:w="854"/>
        <w:gridCol w:w="98"/>
        <w:gridCol w:w="288"/>
        <w:gridCol w:w="178"/>
        <w:gridCol w:w="1043"/>
        <w:gridCol w:w="128"/>
        <w:gridCol w:w="289"/>
        <w:gridCol w:w="166"/>
        <w:gridCol w:w="970"/>
        <w:gridCol w:w="140"/>
      </w:tblGrid>
      <w:tr>
        <w:trPr/>
        <w:tc>
          <w:tcPr>
            <w:tcW w:w="354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354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9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12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1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40" w:type="dxa"/>
            <w:tcBorders/>
            <w:shd w:fill="auto" w:val="clear"/>
            <w:vAlign w:val="bottom"/>
          </w:tcPr>
          <w:p>
            <w:pPr>
              <w:pStyle w:val="TableContents"/>
              <w:spacing w:before="0" w:after="283"/>
              <w:rPr/>
            </w:pPr>
            <w:r>
              <w:rPr/>
              <w:t> </w:t>
            </w:r>
          </w:p>
        </w:tc>
      </w:tr>
      <w:tr>
        <w:trPr/>
        <w:tc>
          <w:tcPr>
            <w:tcW w:w="3545" w:type="dxa"/>
            <w:tcBorders/>
            <w:shd w:fill="CCEEFF" w:val="clear"/>
            <w:vAlign w:val="bottom"/>
          </w:tcPr>
          <w:p>
            <w:pPr>
              <w:pStyle w:val="TableContents"/>
              <w:spacing w:before="0" w:after="0"/>
              <w:ind w:left="225" w:right="0" w:hanging="225"/>
              <w:rPr>
                <w:b/>
              </w:rPr>
            </w:pPr>
            <w:r>
              <w:rPr>
                <w:b/>
              </w:rPr>
              <w:t>Nine Months Ended September 30, 2007</w:t>
            </w:r>
          </w:p>
        </w:tc>
        <w:tc>
          <w:tcPr>
            <w:tcW w:w="289"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54"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3545" w:type="dxa"/>
            <w:tcBorders/>
            <w:shd w:fill="auto" w:val="clear"/>
            <w:vAlign w:val="bottom"/>
          </w:tcPr>
          <w:p>
            <w:pPr>
              <w:pStyle w:val="TableContents"/>
              <w:spacing w:before="0" w:after="0"/>
              <w:ind w:left="225" w:right="0" w:hanging="225"/>
              <w:rPr/>
            </w:pPr>
            <w:r>
              <w:rPr/>
              <w:t>Revenues:</w:t>
            </w:r>
          </w:p>
        </w:tc>
        <w:tc>
          <w:tcPr>
            <w:tcW w:w="289"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3545" w:type="dxa"/>
            <w:tcBorders/>
            <w:shd w:fill="CCEEFF" w:val="clear"/>
            <w:vAlign w:val="bottom"/>
          </w:tcPr>
          <w:p>
            <w:pPr>
              <w:pStyle w:val="TableContents"/>
              <w:spacing w:before="0" w:after="0"/>
              <w:ind w:left="450" w:right="0" w:hanging="225"/>
              <w:rPr/>
            </w:pPr>
            <w:r>
              <w:rPr/>
              <w:t>External Customers (1)</w:t>
            </w:r>
          </w:p>
        </w:tc>
        <w:tc>
          <w:tcPr>
            <w:tcW w:w="289"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317.2</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87.3</w:t>
            </w:r>
          </w:p>
        </w:tc>
        <w:tc>
          <w:tcPr>
            <w:tcW w:w="9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13,541.8</w:t>
            </w:r>
          </w:p>
        </w:tc>
        <w:tc>
          <w:tcPr>
            <w:tcW w:w="12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13,946.3</w:t>
            </w:r>
          </w:p>
        </w:tc>
        <w:tc>
          <w:tcPr>
            <w:tcW w:w="140" w:type="dxa"/>
            <w:tcBorders/>
            <w:shd w:fill="CCEEFF" w:val="clear"/>
            <w:vAlign w:val="bottom"/>
          </w:tcPr>
          <w:p>
            <w:pPr>
              <w:pStyle w:val="TableContents"/>
              <w:spacing w:before="0" w:after="283"/>
              <w:rPr/>
            </w:pPr>
            <w:r>
              <w:rPr/>
              <w:t> </w:t>
            </w:r>
          </w:p>
        </w:tc>
      </w:tr>
      <w:tr>
        <w:trPr/>
        <w:tc>
          <w:tcPr>
            <w:tcW w:w="3545" w:type="dxa"/>
            <w:tcBorders/>
            <w:shd w:fill="auto" w:val="clear"/>
            <w:vAlign w:val="bottom"/>
          </w:tcPr>
          <w:p>
            <w:pPr>
              <w:pStyle w:val="TableContents"/>
              <w:spacing w:before="0" w:after="0"/>
              <w:ind w:left="450" w:right="0" w:hanging="225"/>
              <w:rPr/>
            </w:pPr>
            <w:r>
              <w:rPr/>
              <w:t xml:space="preserve">Intersegment (2) </w:t>
            </w:r>
          </w:p>
        </w:tc>
        <w:tc>
          <w:tcPr>
            <w:tcW w:w="289"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253.3</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jc w:val="right"/>
              <w:rPr/>
            </w:pPr>
            <w:r>
              <w:rPr/>
              <w:t>66.0</w:t>
            </w:r>
          </w:p>
        </w:tc>
        <w:tc>
          <w:tcPr>
            <w:tcW w:w="9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23.3</w:t>
            </w:r>
          </w:p>
        </w:tc>
        <w:tc>
          <w:tcPr>
            <w:tcW w:w="12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pPr>
            <w:r>
              <w:rPr/>
              <w:t>342.6</w:t>
            </w:r>
          </w:p>
        </w:tc>
        <w:tc>
          <w:tcPr>
            <w:tcW w:w="140" w:type="dxa"/>
            <w:tcBorders/>
            <w:shd w:fill="auto" w:val="clear"/>
            <w:vAlign w:val="bottom"/>
          </w:tcPr>
          <w:p>
            <w:pPr>
              <w:pStyle w:val="TableContents"/>
              <w:spacing w:before="0" w:after="283"/>
              <w:rPr/>
            </w:pPr>
            <w:r>
              <w:rPr/>
              <w:t> </w:t>
            </w:r>
          </w:p>
        </w:tc>
      </w:tr>
      <w:tr>
        <w:trPr/>
        <w:tc>
          <w:tcPr>
            <w:tcW w:w="3545"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45" w:type="dxa"/>
            <w:tcBorders/>
            <w:shd w:fill="CCEEFF" w:val="clear"/>
            <w:vAlign w:val="bottom"/>
          </w:tcPr>
          <w:p>
            <w:pPr>
              <w:pStyle w:val="TableContents"/>
              <w:spacing w:before="0" w:after="0"/>
              <w:ind w:left="675" w:right="0" w:hanging="225"/>
              <w:rPr/>
            </w:pPr>
            <w:r>
              <w:rPr/>
              <w:t>Total revenues of reportable segments</w:t>
            </w:r>
          </w:p>
        </w:tc>
        <w:tc>
          <w:tcPr>
            <w:tcW w:w="289"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570.5</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153.3</w:t>
            </w:r>
          </w:p>
        </w:tc>
        <w:tc>
          <w:tcPr>
            <w:tcW w:w="9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13,565.1</w:t>
            </w:r>
          </w:p>
        </w:tc>
        <w:tc>
          <w:tcPr>
            <w:tcW w:w="12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14,288.9</w:t>
            </w:r>
          </w:p>
        </w:tc>
        <w:tc>
          <w:tcPr>
            <w:tcW w:w="140" w:type="dxa"/>
            <w:tcBorders/>
            <w:shd w:fill="CCEEFF" w:val="clear"/>
            <w:vAlign w:val="bottom"/>
          </w:tcPr>
          <w:p>
            <w:pPr>
              <w:pStyle w:val="TableContents"/>
              <w:spacing w:before="0" w:after="283"/>
              <w:rPr/>
            </w:pPr>
            <w:r>
              <w:rPr/>
              <w:t> </w:t>
            </w:r>
          </w:p>
        </w:tc>
      </w:tr>
      <w:tr>
        <w:trPr/>
        <w:tc>
          <w:tcPr>
            <w:tcW w:w="3545"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45" w:type="dxa"/>
            <w:tcBorders/>
            <w:shd w:fill="auto" w:val="clear"/>
            <w:vAlign w:val="bottom"/>
          </w:tcPr>
          <w:p>
            <w:pPr>
              <w:pStyle w:val="TableContents"/>
              <w:spacing w:before="0" w:after="0"/>
              <w:ind w:left="225" w:right="0" w:hanging="225"/>
              <w:rPr/>
            </w:pPr>
            <w:r>
              <w:rPr/>
              <w:t>Equity earnings in unconsolidated entities</w:t>
            </w:r>
          </w:p>
        </w:tc>
        <w:tc>
          <w:tcPr>
            <w:tcW w:w="289"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jc w:val="left"/>
              <w:rPr/>
            </w:pPr>
            <w:r>
              <w:rPr/>
              <w:t>$</w:t>
            </w:r>
          </w:p>
        </w:tc>
        <w:tc>
          <w:tcPr>
            <w:tcW w:w="1313" w:type="dxa"/>
            <w:tcBorders/>
            <w:shd w:fill="auto" w:val="clear"/>
            <w:vAlign w:val="bottom"/>
          </w:tcPr>
          <w:p>
            <w:pPr>
              <w:pStyle w:val="TableContents"/>
              <w:spacing w:before="0" w:after="283"/>
              <w:jc w:val="right"/>
              <w:rPr/>
            </w:pPr>
            <w:r>
              <w:rPr/>
              <w:t>3.6</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8.8</w:t>
            </w:r>
          </w:p>
        </w:tc>
        <w:tc>
          <w:tcPr>
            <w:tcW w:w="9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2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12.4</w:t>
            </w:r>
          </w:p>
        </w:tc>
        <w:tc>
          <w:tcPr>
            <w:tcW w:w="140" w:type="dxa"/>
            <w:tcBorders/>
            <w:shd w:fill="auto" w:val="clear"/>
            <w:vAlign w:val="bottom"/>
          </w:tcPr>
          <w:p>
            <w:pPr>
              <w:pStyle w:val="TableContents"/>
              <w:spacing w:before="0" w:after="283"/>
              <w:rPr/>
            </w:pPr>
            <w:r>
              <w:rPr/>
              <w:t> </w:t>
            </w:r>
          </w:p>
        </w:tc>
      </w:tr>
      <w:tr>
        <w:trPr/>
        <w:tc>
          <w:tcPr>
            <w:tcW w:w="3545"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45" w:type="dxa"/>
            <w:tcBorders/>
            <w:shd w:fill="CCEEFF" w:val="clear"/>
            <w:vAlign w:val="bottom"/>
          </w:tcPr>
          <w:p>
            <w:pPr>
              <w:pStyle w:val="TableContents"/>
              <w:spacing w:before="0" w:after="0"/>
              <w:ind w:left="225" w:right="0" w:hanging="225"/>
              <w:rPr/>
            </w:pPr>
            <w:r>
              <w:rPr/>
              <w:t>Segment profit (1)(3)(4)</w:t>
            </w:r>
          </w:p>
        </w:tc>
        <w:tc>
          <w:tcPr>
            <w:tcW w:w="289"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244.6</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79.5</w:t>
            </w:r>
          </w:p>
        </w:tc>
        <w:tc>
          <w:tcPr>
            <w:tcW w:w="9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227.5</w:t>
            </w:r>
          </w:p>
        </w:tc>
        <w:tc>
          <w:tcPr>
            <w:tcW w:w="12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551.6</w:t>
            </w:r>
          </w:p>
        </w:tc>
        <w:tc>
          <w:tcPr>
            <w:tcW w:w="140" w:type="dxa"/>
            <w:tcBorders/>
            <w:shd w:fill="CCEEFF" w:val="clear"/>
            <w:vAlign w:val="bottom"/>
          </w:tcPr>
          <w:p>
            <w:pPr>
              <w:pStyle w:val="TableContents"/>
              <w:spacing w:before="0" w:after="283"/>
              <w:rPr/>
            </w:pPr>
            <w:r>
              <w:rPr/>
              <w:t> </w:t>
            </w:r>
          </w:p>
        </w:tc>
      </w:tr>
      <w:tr>
        <w:trPr/>
        <w:tc>
          <w:tcPr>
            <w:tcW w:w="3545"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45" w:type="dxa"/>
            <w:tcBorders/>
            <w:shd w:fill="auto" w:val="clear"/>
            <w:vAlign w:val="bottom"/>
          </w:tcPr>
          <w:p>
            <w:pPr>
              <w:pStyle w:val="TableContents"/>
              <w:spacing w:before="0" w:after="0"/>
              <w:ind w:left="225" w:right="0" w:hanging="225"/>
              <w:rPr/>
            </w:pPr>
            <w:r>
              <w:rPr/>
              <w:t>SFAS 133 impact (1)</w:t>
            </w:r>
          </w:p>
        </w:tc>
        <w:tc>
          <w:tcPr>
            <w:tcW w:w="289"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jc w:val="left"/>
              <w:rPr/>
            </w:pPr>
            <w:r>
              <w:rPr/>
              <w:t>$</w:t>
            </w:r>
          </w:p>
        </w:tc>
        <w:tc>
          <w:tcPr>
            <w:tcW w:w="1313"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w:t>
            </w:r>
          </w:p>
        </w:tc>
        <w:tc>
          <w:tcPr>
            <w:tcW w:w="854"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(16.5</w:t>
            </w:r>
          </w:p>
        </w:tc>
        <w:tc>
          <w:tcPr>
            <w:tcW w:w="128" w:type="dxa"/>
            <w:tcBorders/>
            <w:shd w:fill="auto" w:val="clear"/>
            <w:vAlign w:val="bottom"/>
          </w:tcPr>
          <w:p>
            <w:pPr>
              <w:pStyle w:val="TableContents"/>
              <w:spacing w:before="0" w:after="283"/>
              <w:rPr/>
            </w:pPr>
            <w:r>
              <w:rPr/>
              <w:t>)</w:t>
            </w:r>
          </w:p>
        </w:tc>
        <w:tc>
          <w:tcPr>
            <w:tcW w:w="289"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jc w:val="left"/>
              <w:rPr/>
            </w:pPr>
            <w:r>
              <w:rPr/>
              <w:t>$</w:t>
            </w:r>
          </w:p>
        </w:tc>
        <w:tc>
          <w:tcPr>
            <w:tcW w:w="970" w:type="dxa"/>
            <w:tcBorders/>
            <w:shd w:fill="auto" w:val="clear"/>
            <w:vAlign w:val="bottom"/>
          </w:tcPr>
          <w:p>
            <w:pPr>
              <w:pStyle w:val="TableContents"/>
              <w:spacing w:before="0" w:after="283"/>
              <w:jc w:val="right"/>
              <w:rPr/>
            </w:pPr>
            <w:r>
              <w:rPr/>
              <w:t>(16.5</w:t>
            </w:r>
          </w:p>
        </w:tc>
        <w:tc>
          <w:tcPr>
            <w:tcW w:w="140" w:type="dxa"/>
            <w:tcBorders/>
            <w:shd w:fill="auto" w:val="clear"/>
            <w:vAlign w:val="bottom"/>
          </w:tcPr>
          <w:p>
            <w:pPr>
              <w:pStyle w:val="TableContents"/>
              <w:spacing w:before="0" w:after="283"/>
              <w:rPr/>
            </w:pPr>
            <w:r>
              <w:rPr/>
              <w:t>)</w:t>
            </w:r>
          </w:p>
        </w:tc>
      </w:tr>
      <w:tr>
        <w:trPr/>
        <w:tc>
          <w:tcPr>
            <w:tcW w:w="3545"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3545" w:type="dxa"/>
            <w:tcBorders/>
            <w:shd w:fill="CCEEFF" w:val="clear"/>
            <w:vAlign w:val="bottom"/>
          </w:tcPr>
          <w:p>
            <w:pPr>
              <w:pStyle w:val="TableContents"/>
              <w:spacing w:before="0" w:after="0"/>
              <w:ind w:left="225" w:right="0" w:hanging="225"/>
              <w:rPr/>
            </w:pPr>
            <w:r>
              <w:rPr/>
              <w:t>Maintenance capital investment</w:t>
            </w:r>
          </w:p>
        </w:tc>
        <w:tc>
          <w:tcPr>
            <w:tcW w:w="289"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jc w:val="left"/>
              <w:rPr/>
            </w:pPr>
            <w:r>
              <w:rPr/>
              <w:t>$</w:t>
            </w:r>
          </w:p>
        </w:tc>
        <w:tc>
          <w:tcPr>
            <w:tcW w:w="1313" w:type="dxa"/>
            <w:tcBorders/>
            <w:shd w:fill="CCEEFF" w:val="clear"/>
            <w:vAlign w:val="bottom"/>
          </w:tcPr>
          <w:p>
            <w:pPr>
              <w:pStyle w:val="TableContents"/>
              <w:spacing w:before="0" w:after="283"/>
              <w:jc w:val="right"/>
              <w:rPr/>
            </w:pPr>
            <w:r>
              <w:rPr/>
              <w:t>21.6</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jc w:val="left"/>
              <w:rPr/>
            </w:pPr>
            <w:r>
              <w:rPr/>
              <w:t>$</w:t>
            </w:r>
          </w:p>
        </w:tc>
        <w:tc>
          <w:tcPr>
            <w:tcW w:w="854" w:type="dxa"/>
            <w:tcBorders/>
            <w:shd w:fill="CCEEFF" w:val="clear"/>
            <w:vAlign w:val="bottom"/>
          </w:tcPr>
          <w:p>
            <w:pPr>
              <w:pStyle w:val="TableContents"/>
              <w:spacing w:before="0" w:after="283"/>
              <w:jc w:val="right"/>
              <w:rPr/>
            </w:pPr>
            <w:r>
              <w:rPr/>
              <w:t>6.4</w:t>
            </w:r>
          </w:p>
        </w:tc>
        <w:tc>
          <w:tcPr>
            <w:tcW w:w="98"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3.6</w:t>
            </w:r>
          </w:p>
        </w:tc>
        <w:tc>
          <w:tcPr>
            <w:tcW w:w="12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w:t>
            </w:r>
          </w:p>
        </w:tc>
        <w:tc>
          <w:tcPr>
            <w:tcW w:w="970" w:type="dxa"/>
            <w:tcBorders/>
            <w:shd w:fill="CCEEFF" w:val="clear"/>
            <w:vAlign w:val="bottom"/>
          </w:tcPr>
          <w:p>
            <w:pPr>
              <w:pStyle w:val="TableContents"/>
              <w:spacing w:before="0" w:after="283"/>
              <w:jc w:val="right"/>
              <w:rPr/>
            </w:pPr>
            <w:r>
              <w:rPr/>
              <w:t>31.6</w:t>
            </w:r>
          </w:p>
        </w:tc>
        <w:tc>
          <w:tcPr>
            <w:tcW w:w="140" w:type="dxa"/>
            <w:tcBorders/>
            <w:shd w:fill="CCEEFF" w:val="clear"/>
            <w:vAlign w:val="bottom"/>
          </w:tcPr>
          <w:p>
            <w:pPr>
              <w:pStyle w:val="TableContents"/>
              <w:spacing w:before="0" w:after="283"/>
              <w:rPr/>
            </w:pPr>
            <w:r>
              <w:rPr/>
              <w:t> </w:t>
            </w:r>
          </w:p>
        </w:tc>
      </w:tr>
      <w:tr>
        <w:trPr/>
        <w:tc>
          <w:tcPr>
            <w:tcW w:w="3545" w:type="dxa"/>
            <w:tcBorders/>
            <w:shd w:fill="auto" w:val="clear"/>
            <w:vAlign w:val="center"/>
          </w:tcPr>
          <w:p>
            <w:pPr>
              <w:pStyle w:val="TableContents"/>
              <w:spacing w:before="0" w:after="0"/>
              <w:ind w:left="225" w:right="0" w:hanging="225"/>
              <w:rPr/>
            </w:pPr>
            <w:r>
              <w:rPr/>
              <w:t> </w:t>
            </w:r>
          </w:p>
        </w:tc>
        <w:tc>
          <w:tcPr>
            <w:tcW w:w="289"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8" w:type="dxa"/>
            <w:tcBorders/>
            <w:shd w:fill="auto" w:val="clear"/>
            <w:vAlign w:val="center"/>
          </w:tcPr>
          <w:p>
            <w:pPr>
              <w:pStyle w:val="TableContents"/>
              <w:spacing w:before="0" w:after="283"/>
              <w:rPr/>
            </w:pPr>
            <w:r>
              <w:rPr/>
              <w:t> </w:t>
            </w:r>
          </w:p>
        </w:tc>
        <w:tc>
          <w:tcPr>
            <w:tcW w:w="289" w:type="dxa"/>
            <w:tcBorders/>
            <w:shd w:fill="auto" w:val="clear"/>
            <w:vAlign w:val="center"/>
          </w:tcPr>
          <w:p>
            <w:pPr>
              <w:pStyle w:val="TableContents"/>
              <w:spacing w:before="0" w:after="283"/>
              <w:rPr/>
            </w:pPr>
            <w:r>
              <w:rPr/>
              <w:t> </w:t>
            </w:r>
          </w:p>
        </w:tc>
        <w:tc>
          <w:tcPr>
            <w:tcW w:w="11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566"/>
        <w:gridCol w:w="291"/>
        <w:gridCol w:w="318"/>
        <w:gridCol w:w="1321"/>
        <w:gridCol w:w="99"/>
        <w:gridCol w:w="291"/>
        <w:gridCol w:w="234"/>
        <w:gridCol w:w="827"/>
        <w:gridCol w:w="99"/>
        <w:gridCol w:w="290"/>
        <w:gridCol w:w="179"/>
        <w:gridCol w:w="1049"/>
        <w:gridCol w:w="99"/>
        <w:gridCol w:w="291"/>
        <w:gridCol w:w="167"/>
        <w:gridCol w:w="975"/>
        <w:gridCol w:w="109"/>
      </w:tblGrid>
      <w:tr>
        <w:trPr/>
        <w:tc>
          <w:tcPr>
            <w:tcW w:w="3566"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566"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3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Transportation</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0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Facilities</w:t>
            </w:r>
          </w:p>
        </w:tc>
        <w:tc>
          <w:tcPr>
            <w:tcW w:w="9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Marketing</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09" w:type="dxa"/>
            <w:tcBorders/>
            <w:shd w:fill="auto" w:val="clear"/>
            <w:vAlign w:val="bottom"/>
          </w:tcPr>
          <w:p>
            <w:pPr>
              <w:pStyle w:val="TableContents"/>
              <w:spacing w:before="0" w:after="283"/>
              <w:rPr/>
            </w:pPr>
            <w:r>
              <w:rPr/>
              <w:t> </w:t>
            </w:r>
          </w:p>
        </w:tc>
      </w:tr>
      <w:tr>
        <w:trPr/>
        <w:tc>
          <w:tcPr>
            <w:tcW w:w="3566" w:type="dxa"/>
            <w:tcBorders/>
            <w:shd w:fill="CCEEFF" w:val="clear"/>
            <w:vAlign w:val="bottom"/>
          </w:tcPr>
          <w:p>
            <w:pPr>
              <w:pStyle w:val="TableContents"/>
              <w:spacing w:before="0" w:after="0"/>
              <w:ind w:left="225" w:right="0" w:hanging="225"/>
              <w:rPr>
                <w:b/>
              </w:rPr>
            </w:pPr>
            <w:r>
              <w:rPr>
                <w:b/>
              </w:rPr>
              <w:t>Nine Months Ended September 30, 2006</w:t>
            </w:r>
          </w:p>
        </w:tc>
        <w:tc>
          <w:tcPr>
            <w:tcW w:w="29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4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r>
      <w:tr>
        <w:trPr/>
        <w:tc>
          <w:tcPr>
            <w:tcW w:w="3566" w:type="dxa"/>
            <w:tcBorders/>
            <w:shd w:fill="auto" w:val="clear"/>
            <w:vAlign w:val="bottom"/>
          </w:tcPr>
          <w:p>
            <w:pPr>
              <w:pStyle w:val="TableContents"/>
              <w:spacing w:before="0" w:after="0"/>
              <w:ind w:left="225" w:right="0" w:hanging="225"/>
              <w:rPr/>
            </w:pPr>
            <w:r>
              <w:rPr/>
              <w:t>Revenues:</w:t>
            </w:r>
          </w:p>
        </w:tc>
        <w:tc>
          <w:tcPr>
            <w:tcW w:w="29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r>
      <w:tr>
        <w:trPr/>
        <w:tc>
          <w:tcPr>
            <w:tcW w:w="3566" w:type="dxa"/>
            <w:tcBorders/>
            <w:shd w:fill="CCEEFF" w:val="clear"/>
            <w:vAlign w:val="bottom"/>
          </w:tcPr>
          <w:p>
            <w:pPr>
              <w:pStyle w:val="TableContents"/>
              <w:spacing w:before="0" w:after="0"/>
              <w:ind w:left="450" w:right="0" w:hanging="225"/>
              <w:rPr/>
            </w:pPr>
            <w:r>
              <w:rPr/>
              <w:t>External Customers (includes buy/sell revenues of $0, $0, and $4,761.9, respectively) (1) (5)</w:t>
            </w:r>
          </w:p>
        </w:tc>
        <w:tc>
          <w:tcPr>
            <w:tcW w:w="29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1" w:type="dxa"/>
            <w:tcBorders/>
            <w:shd w:fill="CCEEFF" w:val="clear"/>
            <w:vAlign w:val="bottom"/>
          </w:tcPr>
          <w:p>
            <w:pPr>
              <w:pStyle w:val="TableContents"/>
              <w:spacing w:before="0" w:after="283"/>
              <w:jc w:val="right"/>
              <w:rPr/>
            </w:pPr>
            <w:r>
              <w:rPr/>
              <w:t>244.0</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21.2</w:t>
            </w:r>
          </w:p>
        </w:tc>
        <w:tc>
          <w:tcPr>
            <w:tcW w:w="9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17,787.4</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18,052.6</w:t>
            </w:r>
          </w:p>
        </w:tc>
        <w:tc>
          <w:tcPr>
            <w:tcW w:w="109" w:type="dxa"/>
            <w:tcBorders/>
            <w:shd w:fill="CCEEFF" w:val="clear"/>
            <w:vAlign w:val="bottom"/>
          </w:tcPr>
          <w:p>
            <w:pPr>
              <w:pStyle w:val="TableContents"/>
              <w:spacing w:before="0" w:after="283"/>
              <w:rPr/>
            </w:pPr>
            <w:r>
              <w:rPr/>
              <w:t> </w:t>
            </w:r>
          </w:p>
        </w:tc>
      </w:tr>
      <w:tr>
        <w:trPr/>
        <w:tc>
          <w:tcPr>
            <w:tcW w:w="3566" w:type="dxa"/>
            <w:tcBorders/>
            <w:shd w:fill="auto" w:val="clear"/>
            <w:vAlign w:val="bottom"/>
          </w:tcPr>
          <w:p>
            <w:pPr>
              <w:pStyle w:val="TableContents"/>
              <w:spacing w:before="0" w:after="0"/>
              <w:ind w:left="450" w:right="0" w:hanging="225"/>
              <w:rPr/>
            </w:pPr>
            <w:r>
              <w:rPr/>
              <w:t xml:space="preserve">Intersegment (2) (5) </w:t>
            </w:r>
          </w:p>
        </w:tc>
        <w:tc>
          <w:tcPr>
            <w:tcW w:w="29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pPr>
            <w:r>
              <w:rPr/>
              <w:t>139.7</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33.4</w:t>
            </w:r>
          </w:p>
        </w:tc>
        <w:tc>
          <w:tcPr>
            <w:tcW w:w="9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jc w:val="right"/>
              <w:rPr/>
            </w:pPr>
            <w:r>
              <w:rPr/>
              <w:t>0.7</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173.8</w:t>
            </w:r>
          </w:p>
        </w:tc>
        <w:tc>
          <w:tcPr>
            <w:tcW w:w="109" w:type="dxa"/>
            <w:tcBorders/>
            <w:shd w:fill="auto" w:val="clear"/>
            <w:vAlign w:val="bottom"/>
          </w:tcPr>
          <w:p>
            <w:pPr>
              <w:pStyle w:val="TableContents"/>
              <w:spacing w:before="0" w:after="283"/>
              <w:rPr/>
            </w:pPr>
            <w:r>
              <w:rPr/>
              <w:t> </w:t>
            </w:r>
          </w:p>
        </w:tc>
      </w:tr>
      <w:tr>
        <w:trPr/>
        <w:tc>
          <w:tcPr>
            <w:tcW w:w="3566"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566" w:type="dxa"/>
            <w:tcBorders/>
            <w:shd w:fill="CCEEFF" w:val="clear"/>
            <w:vAlign w:val="bottom"/>
          </w:tcPr>
          <w:p>
            <w:pPr>
              <w:pStyle w:val="TableContents"/>
              <w:spacing w:before="0" w:after="0"/>
              <w:ind w:left="675" w:right="0" w:hanging="225"/>
              <w:rPr/>
            </w:pPr>
            <w:r>
              <w:rPr/>
              <w:t>Total revenues of reportable segments</w:t>
            </w:r>
          </w:p>
        </w:tc>
        <w:tc>
          <w:tcPr>
            <w:tcW w:w="29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1" w:type="dxa"/>
            <w:tcBorders/>
            <w:shd w:fill="CCEEFF" w:val="clear"/>
            <w:vAlign w:val="bottom"/>
          </w:tcPr>
          <w:p>
            <w:pPr>
              <w:pStyle w:val="TableContents"/>
              <w:spacing w:before="0" w:after="283"/>
              <w:jc w:val="right"/>
              <w:rPr/>
            </w:pPr>
            <w:r>
              <w:rPr/>
              <w:t>383.7</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54.6</w:t>
            </w:r>
          </w:p>
        </w:tc>
        <w:tc>
          <w:tcPr>
            <w:tcW w:w="9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17,788.1</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18,226.4</w:t>
            </w:r>
          </w:p>
        </w:tc>
        <w:tc>
          <w:tcPr>
            <w:tcW w:w="109" w:type="dxa"/>
            <w:tcBorders/>
            <w:shd w:fill="CCEEFF" w:val="clear"/>
            <w:vAlign w:val="bottom"/>
          </w:tcPr>
          <w:p>
            <w:pPr>
              <w:pStyle w:val="TableContents"/>
              <w:spacing w:before="0" w:after="283"/>
              <w:rPr/>
            </w:pPr>
            <w:r>
              <w:rPr/>
              <w:t> </w:t>
            </w:r>
          </w:p>
        </w:tc>
      </w:tr>
      <w:tr>
        <w:trPr/>
        <w:tc>
          <w:tcPr>
            <w:tcW w:w="3566"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566" w:type="dxa"/>
            <w:tcBorders/>
            <w:shd w:fill="auto" w:val="clear"/>
            <w:vAlign w:val="bottom"/>
          </w:tcPr>
          <w:p>
            <w:pPr>
              <w:pStyle w:val="TableContents"/>
              <w:spacing w:before="0" w:after="0"/>
              <w:ind w:left="225" w:right="0" w:hanging="225"/>
              <w:rPr/>
            </w:pPr>
            <w:r>
              <w:rPr/>
              <w:t>Equity earnings in unconsolidated entities</w:t>
            </w:r>
          </w:p>
        </w:tc>
        <w:tc>
          <w:tcPr>
            <w:tcW w:w="29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1" w:type="dxa"/>
            <w:tcBorders/>
            <w:shd w:fill="auto" w:val="clear"/>
            <w:vAlign w:val="bottom"/>
          </w:tcPr>
          <w:p>
            <w:pPr>
              <w:pStyle w:val="TableContents"/>
              <w:spacing w:before="0" w:after="283"/>
              <w:jc w:val="right"/>
              <w:rPr/>
            </w:pPr>
            <w:r>
              <w:rPr/>
              <w:t>1.0</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2.2</w:t>
            </w:r>
          </w:p>
        </w:tc>
        <w:tc>
          <w:tcPr>
            <w:tcW w:w="9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3.2</w:t>
            </w:r>
          </w:p>
        </w:tc>
        <w:tc>
          <w:tcPr>
            <w:tcW w:w="109" w:type="dxa"/>
            <w:tcBorders/>
            <w:shd w:fill="auto" w:val="clear"/>
            <w:vAlign w:val="bottom"/>
          </w:tcPr>
          <w:p>
            <w:pPr>
              <w:pStyle w:val="TableContents"/>
              <w:spacing w:before="0" w:after="283"/>
              <w:rPr/>
            </w:pPr>
            <w:r>
              <w:rPr/>
              <w:t> </w:t>
            </w:r>
          </w:p>
        </w:tc>
      </w:tr>
      <w:tr>
        <w:trPr/>
        <w:tc>
          <w:tcPr>
            <w:tcW w:w="3566"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566" w:type="dxa"/>
            <w:tcBorders/>
            <w:shd w:fill="CCEEFF" w:val="clear"/>
            <w:vAlign w:val="bottom"/>
          </w:tcPr>
          <w:p>
            <w:pPr>
              <w:pStyle w:val="TableContents"/>
              <w:spacing w:before="0" w:after="0"/>
              <w:ind w:left="225" w:right="0" w:hanging="225"/>
              <w:rPr/>
            </w:pPr>
            <w:r>
              <w:rPr/>
              <w:t>Segment profit (1)(3)(4)</w:t>
            </w:r>
          </w:p>
        </w:tc>
        <w:tc>
          <w:tcPr>
            <w:tcW w:w="29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1" w:type="dxa"/>
            <w:tcBorders/>
            <w:shd w:fill="CCEEFF" w:val="clear"/>
            <w:vAlign w:val="bottom"/>
          </w:tcPr>
          <w:p>
            <w:pPr>
              <w:pStyle w:val="TableContents"/>
              <w:spacing w:before="0" w:after="283"/>
              <w:jc w:val="right"/>
              <w:rPr/>
            </w:pPr>
            <w:r>
              <w:rPr/>
              <w:t>144.8</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19.6</w:t>
            </w:r>
          </w:p>
        </w:tc>
        <w:tc>
          <w:tcPr>
            <w:tcW w:w="9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187.3</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351.7</w:t>
            </w:r>
          </w:p>
        </w:tc>
        <w:tc>
          <w:tcPr>
            <w:tcW w:w="109" w:type="dxa"/>
            <w:tcBorders/>
            <w:shd w:fill="CCEEFF" w:val="clear"/>
            <w:vAlign w:val="bottom"/>
          </w:tcPr>
          <w:p>
            <w:pPr>
              <w:pStyle w:val="TableContents"/>
              <w:spacing w:before="0" w:after="283"/>
              <w:rPr/>
            </w:pPr>
            <w:r>
              <w:rPr/>
              <w:t> </w:t>
            </w:r>
          </w:p>
        </w:tc>
      </w:tr>
      <w:tr>
        <w:trPr/>
        <w:tc>
          <w:tcPr>
            <w:tcW w:w="3566"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566" w:type="dxa"/>
            <w:tcBorders/>
            <w:shd w:fill="auto" w:val="clear"/>
            <w:vAlign w:val="bottom"/>
          </w:tcPr>
          <w:p>
            <w:pPr>
              <w:pStyle w:val="TableContents"/>
              <w:spacing w:before="0" w:after="0"/>
              <w:ind w:left="225" w:right="0" w:hanging="225"/>
              <w:rPr/>
            </w:pPr>
            <w:r>
              <w:rPr/>
              <w:t>SFAS 133 impact (1)</w:t>
            </w:r>
          </w:p>
        </w:tc>
        <w:tc>
          <w:tcPr>
            <w:tcW w:w="29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jc w:val="left"/>
              <w:rPr/>
            </w:pPr>
            <w:r>
              <w:rPr/>
              <w:t>$</w:t>
            </w:r>
          </w:p>
        </w:tc>
        <w:tc>
          <w:tcPr>
            <w:tcW w:w="1321"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jc w:val="left"/>
              <w:rPr/>
            </w:pPr>
            <w:r>
              <w:rPr/>
              <w:t>$</w:t>
            </w:r>
          </w:p>
        </w:tc>
        <w:tc>
          <w:tcPr>
            <w:tcW w:w="827"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1049" w:type="dxa"/>
            <w:tcBorders/>
            <w:shd w:fill="auto" w:val="clear"/>
            <w:vAlign w:val="bottom"/>
          </w:tcPr>
          <w:p>
            <w:pPr>
              <w:pStyle w:val="TableContents"/>
              <w:spacing w:before="0" w:after="283"/>
              <w:jc w:val="right"/>
              <w:rPr/>
            </w:pPr>
            <w:r>
              <w:rPr/>
              <w:t>14.8</w:t>
            </w:r>
          </w:p>
        </w:tc>
        <w:tc>
          <w:tcPr>
            <w:tcW w:w="99"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975" w:type="dxa"/>
            <w:tcBorders/>
            <w:shd w:fill="auto" w:val="clear"/>
            <w:vAlign w:val="bottom"/>
          </w:tcPr>
          <w:p>
            <w:pPr>
              <w:pStyle w:val="TableContents"/>
              <w:spacing w:before="0" w:after="283"/>
              <w:jc w:val="right"/>
              <w:rPr/>
            </w:pPr>
            <w:r>
              <w:rPr/>
              <w:t>14.8</w:t>
            </w:r>
          </w:p>
        </w:tc>
        <w:tc>
          <w:tcPr>
            <w:tcW w:w="109" w:type="dxa"/>
            <w:tcBorders/>
            <w:shd w:fill="auto" w:val="clear"/>
            <w:vAlign w:val="bottom"/>
          </w:tcPr>
          <w:p>
            <w:pPr>
              <w:pStyle w:val="TableContents"/>
              <w:spacing w:before="0" w:after="283"/>
              <w:rPr/>
            </w:pPr>
            <w:r>
              <w:rPr/>
              <w:t> </w:t>
            </w:r>
          </w:p>
        </w:tc>
      </w:tr>
      <w:tr>
        <w:trPr/>
        <w:tc>
          <w:tcPr>
            <w:tcW w:w="3566"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r>
        <w:trPr/>
        <w:tc>
          <w:tcPr>
            <w:tcW w:w="3566" w:type="dxa"/>
            <w:tcBorders/>
            <w:shd w:fill="CCEEFF" w:val="clear"/>
            <w:vAlign w:val="bottom"/>
          </w:tcPr>
          <w:p>
            <w:pPr>
              <w:pStyle w:val="TableContents"/>
              <w:spacing w:before="0" w:after="0"/>
              <w:ind w:left="225" w:right="0" w:hanging="225"/>
              <w:rPr/>
            </w:pPr>
            <w:r>
              <w:rPr/>
              <w:t>Maintenance capital investment</w:t>
            </w:r>
          </w:p>
        </w:tc>
        <w:tc>
          <w:tcPr>
            <w:tcW w:w="291"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jc w:val="left"/>
              <w:rPr/>
            </w:pPr>
            <w:r>
              <w:rPr/>
              <w:t>$</w:t>
            </w:r>
          </w:p>
        </w:tc>
        <w:tc>
          <w:tcPr>
            <w:tcW w:w="1321" w:type="dxa"/>
            <w:tcBorders/>
            <w:shd w:fill="CCEEFF" w:val="clear"/>
            <w:vAlign w:val="bottom"/>
          </w:tcPr>
          <w:p>
            <w:pPr>
              <w:pStyle w:val="TableContents"/>
              <w:spacing w:before="0" w:after="283"/>
              <w:jc w:val="right"/>
              <w:rPr/>
            </w:pPr>
            <w:r>
              <w:rPr/>
              <w:t>11.7</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jc w:val="left"/>
              <w:rPr/>
            </w:pPr>
            <w:r>
              <w:rPr/>
              <w:t>$</w:t>
            </w:r>
          </w:p>
        </w:tc>
        <w:tc>
          <w:tcPr>
            <w:tcW w:w="827" w:type="dxa"/>
            <w:tcBorders/>
            <w:shd w:fill="CCEEFF" w:val="clear"/>
            <w:vAlign w:val="bottom"/>
          </w:tcPr>
          <w:p>
            <w:pPr>
              <w:pStyle w:val="TableContents"/>
              <w:spacing w:before="0" w:after="283"/>
              <w:jc w:val="right"/>
              <w:rPr/>
            </w:pPr>
            <w:r>
              <w:rPr/>
              <w:t>3.4</w:t>
            </w:r>
          </w:p>
        </w:tc>
        <w:tc>
          <w:tcPr>
            <w:tcW w:w="99"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w:t>
            </w:r>
          </w:p>
        </w:tc>
        <w:tc>
          <w:tcPr>
            <w:tcW w:w="1049" w:type="dxa"/>
            <w:tcBorders/>
            <w:shd w:fill="CCEEFF" w:val="clear"/>
            <w:vAlign w:val="bottom"/>
          </w:tcPr>
          <w:p>
            <w:pPr>
              <w:pStyle w:val="TableContents"/>
              <w:spacing w:before="0" w:after="283"/>
              <w:jc w:val="right"/>
              <w:rPr/>
            </w:pPr>
            <w:r>
              <w:rPr/>
              <w:t>2.2</w:t>
            </w:r>
          </w:p>
        </w:tc>
        <w:tc>
          <w:tcPr>
            <w:tcW w:w="99"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975" w:type="dxa"/>
            <w:tcBorders/>
            <w:shd w:fill="CCEEFF" w:val="clear"/>
            <w:vAlign w:val="bottom"/>
          </w:tcPr>
          <w:p>
            <w:pPr>
              <w:pStyle w:val="TableContents"/>
              <w:spacing w:before="0" w:after="283"/>
              <w:jc w:val="right"/>
              <w:rPr/>
            </w:pPr>
            <w:r>
              <w:rPr/>
              <w:t>17.3</w:t>
            </w:r>
          </w:p>
        </w:tc>
        <w:tc>
          <w:tcPr>
            <w:tcW w:w="109" w:type="dxa"/>
            <w:tcBorders/>
            <w:shd w:fill="CCEEFF" w:val="clear"/>
            <w:vAlign w:val="bottom"/>
          </w:tcPr>
          <w:p>
            <w:pPr>
              <w:pStyle w:val="TableContents"/>
              <w:spacing w:before="0" w:after="283"/>
              <w:rPr/>
            </w:pPr>
            <w:r>
              <w:rPr/>
              <w:t> </w:t>
            </w:r>
          </w:p>
        </w:tc>
      </w:tr>
      <w:tr>
        <w:trPr/>
        <w:tc>
          <w:tcPr>
            <w:tcW w:w="3566" w:type="dxa"/>
            <w:tcBorders/>
            <w:shd w:fill="auto" w:val="clear"/>
            <w:vAlign w:val="center"/>
          </w:tcPr>
          <w:p>
            <w:pPr>
              <w:pStyle w:val="TableContents"/>
              <w:spacing w:before="0" w:after="0"/>
              <w:ind w:left="225" w:right="0" w:hanging="225"/>
              <w:rPr/>
            </w:pPr>
            <w:r>
              <w:rPr/>
              <w:t> </w:t>
            </w:r>
          </w:p>
        </w:tc>
        <w:tc>
          <w:tcPr>
            <w:tcW w:w="291" w:type="dxa"/>
            <w:tcBorders/>
            <w:shd w:fill="auto" w:val="clear"/>
            <w:vAlign w:val="center"/>
          </w:tcPr>
          <w:p>
            <w:pPr>
              <w:pStyle w:val="TableContents"/>
              <w:spacing w:before="0" w:after="283"/>
              <w:rPr/>
            </w:pPr>
            <w:r>
              <w:rPr/>
              <w:t> </w:t>
            </w:r>
          </w:p>
        </w:tc>
        <w:tc>
          <w:tcPr>
            <w:tcW w:w="16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0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rPr/>
            </w:pPr>
            <w:r>
              <w:rPr/>
              <w:t> </w:t>
            </w:r>
          </w:p>
        </w:tc>
        <w:tc>
          <w:tcPr>
            <w:tcW w:w="11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14"/>
        <w:gridCol w:w="2205"/>
        <w:gridCol w:w="1386"/>
      </w:tblGrid>
      <w:tr>
        <w:trPr/>
        <w:tc>
          <w:tcPr>
            <w:tcW w:w="6614"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(1)</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Amounts related to SFAS 133 are included in revenues in the marketing segment and impact marketing segment profit.</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(2)</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Intersegment sales are intended to reflect arms-length transactions.</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(3)</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Marketing segment profit includes interest expense on contango purchases of approximately $13 million and $15 million for the three months ended September 30, 2007 and 2006, respectively, and approximately $38 million and $36 million for the nine months ended September 30, 2007 and 2006, respectively.</w:t>
            </w:r>
          </w:p>
        </w:tc>
      </w:tr>
      <w:tr>
        <w:trPr/>
        <w:tc>
          <w:tcPr>
            <w:tcW w:w="6614" w:type="dxa"/>
            <w:tcBorders/>
            <w:shd w:fill="auto" w:val="clear"/>
            <w:vAlign w:val="center"/>
          </w:tcPr>
          <w:p>
            <w:pPr>
              <w:pStyle w:val="TableContents"/>
              <w:spacing w:before="0" w:after="283"/>
              <w:rPr/>
            </w:pPr>
            <w:r>
              <w:rPr/>
              <w:t> </w:t>
            </w:r>
          </w:p>
        </w:tc>
        <w:tc>
          <w:tcPr>
            <w:tcW w:w="3591" w:type="dxa"/>
            <w:gridSpan w:val="2"/>
            <w:tcBorders/>
            <w:shd w:fill="auto" w:val="clear"/>
          </w:tcPr>
          <w:p>
            <w:pPr>
              <w:pStyle w:val="TableContents"/>
              <w:spacing w:before="0" w:after="283"/>
              <w:rPr>
                <w:sz w:val="4"/>
                <w:szCs w:val="4"/>
              </w:rPr>
            </w:pPr>
            <w:r>
              <w:rPr>
                <w:sz w:val="4"/>
                <w:szCs w:val="4"/>
              </w:rPr>
            </w:r>
          </w:p>
        </w:tc>
      </w:tr>
      <w:tr>
        <w:trPr/>
        <w:tc>
          <w:tcPr>
            <w:tcW w:w="6614" w:type="dxa"/>
            <w:tcBorders/>
            <w:shd w:fill="auto" w:val="clear"/>
          </w:tcPr>
          <w:p>
            <w:pPr>
              <w:pStyle w:val="TableContents"/>
              <w:spacing w:before="0" w:after="283"/>
              <w:jc w:val="left"/>
              <w:rPr/>
            </w:pPr>
            <w:r>
              <w:rPr/>
              <w:t>(4)</w:t>
            </w:r>
          </w:p>
        </w:tc>
        <w:tc>
          <w:tcPr>
            <w:tcW w:w="2205" w:type="dxa"/>
            <w:tcBorders/>
            <w:shd w:fill="auto" w:val="clear"/>
          </w:tcPr>
          <w:p>
            <w:pPr>
              <w:pStyle w:val="TableContents"/>
              <w:spacing w:before="0" w:after="283"/>
              <w:rPr/>
            </w:pPr>
            <w:r>
              <w:rPr/>
              <w:t> </w:t>
            </w:r>
          </w:p>
        </w:tc>
        <w:tc>
          <w:tcPr>
            <w:tcW w:w="1386" w:type="dxa"/>
            <w:tcBorders/>
            <w:shd w:fill="auto" w:val="clear"/>
          </w:tcPr>
          <w:p>
            <w:pPr>
              <w:pStyle w:val="TableContents"/>
              <w:spacing w:before="0" w:after="283"/>
              <w:rPr/>
            </w:pPr>
            <w:r>
              <w:rPr/>
              <w:t>The following table reconciles segment profit to consolidated income before cumulative effect of change in accounting principle (in millions):</w:t>
            </w:r>
          </w:p>
        </w:tc>
      </w:tr>
    </w:tbl>
    <w:tbl>
      <w:tblPr>
        <w:tblW w:w="5000" w:type="pct"/>
        <w:jc w:val="center"/>
        <w:tblInd w:w="0" w:type="dxa"/>
        <w:tblCellMar>
          <w:top w:w="0" w:type="dxa"/>
          <w:left w:w="0" w:type="dxa"/>
          <w:bottom w:w="0" w:type="dxa"/>
          <w:right w:w="0" w:type="dxa"/>
        </w:tblCellMar>
      </w:tblPr>
      <w:tblGrid>
        <w:gridCol w:w="4022"/>
        <w:gridCol w:w="361"/>
        <w:gridCol w:w="194"/>
        <w:gridCol w:w="842"/>
        <w:gridCol w:w="152"/>
        <w:gridCol w:w="377"/>
        <w:gridCol w:w="194"/>
        <w:gridCol w:w="845"/>
        <w:gridCol w:w="127"/>
        <w:gridCol w:w="361"/>
        <w:gridCol w:w="187"/>
        <w:gridCol w:w="881"/>
        <w:gridCol w:w="147"/>
        <w:gridCol w:w="373"/>
        <w:gridCol w:w="186"/>
        <w:gridCol w:w="818"/>
        <w:gridCol w:w="138"/>
      </w:tblGrid>
      <w:tr>
        <w:trPr/>
        <w:tc>
          <w:tcPr>
            <w:tcW w:w="402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604" w:type="dxa"/>
            <w:gridSpan w:val="6"/>
            <w:tcBorders/>
            <w:shd w:fill="auto" w:val="clear"/>
            <w:vAlign w:val="bottom"/>
          </w:tcPr>
          <w:p>
            <w:pPr>
              <w:pStyle w:val="TableContents"/>
              <w:spacing w:before="0" w:after="283"/>
              <w:jc w:val="center"/>
              <w:rPr>
                <w:b/>
              </w:rPr>
            </w:pPr>
            <w:r>
              <w:rPr>
                <w:b/>
              </w:rPr>
              <w:t>For the three months</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592" w:type="dxa"/>
            <w:gridSpan w:val="6"/>
            <w:tcBorders/>
            <w:shd w:fill="auto" w:val="clear"/>
            <w:vAlign w:val="bottom"/>
          </w:tcPr>
          <w:p>
            <w:pPr>
              <w:pStyle w:val="TableContents"/>
              <w:spacing w:before="0" w:after="283"/>
              <w:jc w:val="center"/>
              <w:rPr>
                <w:b/>
              </w:rPr>
            </w:pPr>
            <w:r>
              <w:rPr>
                <w:b/>
              </w:rPr>
              <w:t>For the nine months</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60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September 30,</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259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September 30,</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2"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03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Segment profit</w:t>
            </w:r>
          </w:p>
        </w:tc>
        <w:tc>
          <w:tcPr>
            <w:tcW w:w="36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180.8</w:t>
            </w:r>
          </w:p>
        </w:tc>
        <w:tc>
          <w:tcPr>
            <w:tcW w:w="152"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138.5</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551.6</w:t>
            </w:r>
          </w:p>
        </w:tc>
        <w:tc>
          <w:tcPr>
            <w:tcW w:w="14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351.7</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Depreciation and amortization</w:t>
            </w:r>
          </w:p>
        </w:tc>
        <w:tc>
          <w:tcPr>
            <w:tcW w:w="36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(42.9</w:t>
            </w:r>
          </w:p>
        </w:tc>
        <w:tc>
          <w:tcPr>
            <w:tcW w:w="152" w:type="dxa"/>
            <w:tcBorders/>
            <w:shd w:fill="auto" w:val="clear"/>
            <w:vAlign w:val="bottom"/>
          </w:tcPr>
          <w:p>
            <w:pPr>
              <w:pStyle w:val="TableContents"/>
              <w:spacing w:before="0" w:after="283"/>
              <w:rPr/>
            </w:pPr>
            <w:r>
              <w:rPr/>
              <w:t>)</w:t>
            </w:r>
          </w:p>
        </w:tc>
        <w:tc>
          <w:tcPr>
            <w:tcW w:w="3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(24.2</w:t>
            </w:r>
          </w:p>
        </w:tc>
        <w:tc>
          <w:tcPr>
            <w:tcW w:w="127" w:type="dxa"/>
            <w:tcBorders/>
            <w:shd w:fill="auto" w:val="clear"/>
            <w:vAlign w:val="bottom"/>
          </w:tcPr>
          <w:p>
            <w:pPr>
              <w:pStyle w:val="TableContents"/>
              <w:spacing w:before="0" w:after="283"/>
              <w:rPr/>
            </w:pPr>
            <w:r>
              <w:rPr/>
              <w:t>)</w:t>
            </w:r>
          </w:p>
        </w:tc>
        <w:tc>
          <w:tcPr>
            <w:tcW w:w="36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(134.9</w:t>
            </w:r>
          </w:p>
        </w:tc>
        <w:tc>
          <w:tcPr>
            <w:tcW w:w="147" w:type="dxa"/>
            <w:tcBorders/>
            <w:shd w:fill="auto" w:val="clear"/>
            <w:vAlign w:val="bottom"/>
          </w:tcPr>
          <w:p>
            <w:pPr>
              <w:pStyle w:val="TableContents"/>
              <w:spacing w:before="0" w:after="283"/>
              <w:rPr/>
            </w:pPr>
            <w:r>
              <w:rPr/>
              <w:t>)</w:t>
            </w:r>
          </w:p>
        </w:tc>
        <w:tc>
          <w:tcPr>
            <w:tcW w:w="37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818" w:type="dxa"/>
            <w:tcBorders/>
            <w:shd w:fill="auto" w:val="clear"/>
            <w:vAlign w:val="bottom"/>
          </w:tcPr>
          <w:p>
            <w:pPr>
              <w:pStyle w:val="TableContents"/>
              <w:spacing w:before="0" w:after="283"/>
              <w:jc w:val="right"/>
              <w:rPr/>
            </w:pPr>
            <w:r>
              <w:rPr/>
              <w:t>(67.1</w:t>
            </w:r>
          </w:p>
        </w:tc>
        <w:tc>
          <w:tcPr>
            <w:tcW w:w="138" w:type="dxa"/>
            <w:tcBorders/>
            <w:shd w:fill="auto" w:val="clear"/>
            <w:vAlign w:val="bottom"/>
          </w:tcPr>
          <w:p>
            <w:pPr>
              <w:pStyle w:val="TableContents"/>
              <w:spacing w:before="0" w:after="283"/>
              <w:rPr/>
            </w:pPr>
            <w:r>
              <w:rPr/>
              <w:t>)</w:t>
            </w:r>
          </w:p>
        </w:tc>
      </w:tr>
      <w:tr>
        <w:trPr/>
        <w:tc>
          <w:tcPr>
            <w:tcW w:w="4022" w:type="dxa"/>
            <w:tcBorders/>
            <w:shd w:fill="auto" w:val="clear"/>
            <w:vAlign w:val="bottom"/>
          </w:tcPr>
          <w:p>
            <w:pPr>
              <w:pStyle w:val="TableContents"/>
              <w:spacing w:before="0" w:after="0"/>
              <w:ind w:left="225" w:right="0" w:hanging="225"/>
              <w:rPr/>
            </w:pPr>
            <w:r>
              <w:rPr/>
              <w:t>Interest expense</w:t>
            </w:r>
          </w:p>
        </w:tc>
        <w:tc>
          <w:tcPr>
            <w:tcW w:w="36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(38.8</w:t>
            </w:r>
          </w:p>
        </w:tc>
        <w:tc>
          <w:tcPr>
            <w:tcW w:w="152" w:type="dxa"/>
            <w:tcBorders/>
            <w:shd w:fill="auto" w:val="clear"/>
            <w:vAlign w:val="bottom"/>
          </w:tcPr>
          <w:p>
            <w:pPr>
              <w:pStyle w:val="TableContents"/>
              <w:spacing w:before="0" w:after="283"/>
              <w:rPr/>
            </w:pPr>
            <w:r>
              <w:rPr/>
              <w:t>)</w:t>
            </w:r>
          </w:p>
        </w:tc>
        <w:tc>
          <w:tcPr>
            <w:tcW w:w="3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(19.2</w:t>
            </w:r>
          </w:p>
        </w:tc>
        <w:tc>
          <w:tcPr>
            <w:tcW w:w="127" w:type="dxa"/>
            <w:tcBorders/>
            <w:shd w:fill="auto" w:val="clear"/>
            <w:vAlign w:val="bottom"/>
          </w:tcPr>
          <w:p>
            <w:pPr>
              <w:pStyle w:val="TableContents"/>
              <w:spacing w:before="0" w:after="283"/>
              <w:rPr/>
            </w:pPr>
            <w:r>
              <w:rPr/>
              <w:t>)</w:t>
            </w:r>
          </w:p>
        </w:tc>
        <w:tc>
          <w:tcPr>
            <w:tcW w:w="36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(121.1</w:t>
            </w:r>
          </w:p>
        </w:tc>
        <w:tc>
          <w:tcPr>
            <w:tcW w:w="147" w:type="dxa"/>
            <w:tcBorders/>
            <w:shd w:fill="auto" w:val="clear"/>
            <w:vAlign w:val="bottom"/>
          </w:tcPr>
          <w:p>
            <w:pPr>
              <w:pStyle w:val="TableContents"/>
              <w:spacing w:before="0" w:after="283"/>
              <w:rPr/>
            </w:pPr>
            <w:r>
              <w:rPr/>
              <w:t>)</w:t>
            </w:r>
          </w:p>
        </w:tc>
        <w:tc>
          <w:tcPr>
            <w:tcW w:w="37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 </w:t>
            </w:r>
          </w:p>
        </w:tc>
        <w:tc>
          <w:tcPr>
            <w:tcW w:w="818" w:type="dxa"/>
            <w:tcBorders/>
            <w:shd w:fill="auto" w:val="clear"/>
            <w:vAlign w:val="bottom"/>
          </w:tcPr>
          <w:p>
            <w:pPr>
              <w:pStyle w:val="TableContents"/>
              <w:spacing w:before="0" w:after="283"/>
              <w:jc w:val="right"/>
              <w:rPr/>
            </w:pPr>
            <w:r>
              <w:rPr/>
              <w:t>(52.5</w:t>
            </w:r>
          </w:p>
        </w:tc>
        <w:tc>
          <w:tcPr>
            <w:tcW w:w="138" w:type="dxa"/>
            <w:tcBorders/>
            <w:shd w:fill="auto" w:val="clear"/>
            <w:vAlign w:val="bottom"/>
          </w:tcPr>
          <w:p>
            <w:pPr>
              <w:pStyle w:val="TableContents"/>
              <w:spacing w:before="0" w:after="283"/>
              <w:rPr/>
            </w:pPr>
            <w:r>
              <w:rPr/>
              <w:t>)</w:t>
            </w:r>
          </w:p>
        </w:tc>
      </w:tr>
      <w:tr>
        <w:trPr/>
        <w:tc>
          <w:tcPr>
            <w:tcW w:w="4022" w:type="dxa"/>
            <w:tcBorders/>
            <w:shd w:fill="auto" w:val="clear"/>
            <w:vAlign w:val="bottom"/>
          </w:tcPr>
          <w:p>
            <w:pPr>
              <w:pStyle w:val="TableContents"/>
              <w:spacing w:before="0" w:after="0"/>
              <w:ind w:left="225" w:right="0" w:hanging="225"/>
              <w:rPr/>
            </w:pPr>
            <w:r>
              <w:rPr/>
              <w:t>Interest income and other income (expense), net</w:t>
            </w:r>
          </w:p>
        </w:tc>
        <w:tc>
          <w:tcPr>
            <w:tcW w:w="36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2" w:type="dxa"/>
            <w:tcBorders/>
            <w:shd w:fill="auto" w:val="clear"/>
            <w:vAlign w:val="bottom"/>
          </w:tcPr>
          <w:p>
            <w:pPr>
              <w:pStyle w:val="TableContents"/>
              <w:spacing w:before="0" w:after="283"/>
              <w:jc w:val="right"/>
              <w:rPr/>
            </w:pPr>
            <w:r>
              <w:rPr/>
              <w:t>2.5</w:t>
            </w:r>
          </w:p>
        </w:tc>
        <w:tc>
          <w:tcPr>
            <w:tcW w:w="152"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0.3</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7.7</w:t>
            </w:r>
          </w:p>
        </w:tc>
        <w:tc>
          <w:tcPr>
            <w:tcW w:w="14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0.7</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Income tax expense</w:t>
            </w:r>
          </w:p>
        </w:tc>
        <w:tc>
          <w:tcPr>
            <w:tcW w:w="36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42" w:type="dxa"/>
            <w:tcBorders/>
            <w:shd w:fill="auto" w:val="clear"/>
            <w:vAlign w:val="bottom"/>
          </w:tcPr>
          <w:p>
            <w:pPr>
              <w:pStyle w:val="TableContents"/>
              <w:spacing w:before="0" w:after="283"/>
              <w:jc w:val="right"/>
              <w:rPr/>
            </w:pPr>
            <w:r>
              <w:rPr/>
              <w:t>(3.2</w:t>
            </w:r>
          </w:p>
        </w:tc>
        <w:tc>
          <w:tcPr>
            <w:tcW w:w="152" w:type="dxa"/>
            <w:tcBorders/>
            <w:shd w:fill="auto" w:val="clear"/>
            <w:vAlign w:val="bottom"/>
          </w:tcPr>
          <w:p>
            <w:pPr>
              <w:pStyle w:val="TableContents"/>
              <w:spacing w:before="0" w:after="283"/>
              <w:rPr/>
            </w:pPr>
            <w:r>
              <w:rPr/>
              <w:t>)</w:t>
            </w:r>
          </w:p>
        </w:tc>
        <w:tc>
          <w:tcPr>
            <w:tcW w:w="3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(15.4</w:t>
            </w:r>
          </w:p>
        </w:tc>
        <w:tc>
          <w:tcPr>
            <w:tcW w:w="147" w:type="dxa"/>
            <w:tcBorders/>
            <w:shd w:fill="auto" w:val="clear"/>
            <w:vAlign w:val="bottom"/>
          </w:tcPr>
          <w:p>
            <w:pPr>
              <w:pStyle w:val="TableContents"/>
              <w:spacing w:before="0" w:after="283"/>
              <w:rPr/>
            </w:pPr>
            <w:r>
              <w:rPr/>
              <w:t>)</w:t>
            </w:r>
          </w:p>
        </w:tc>
        <w:tc>
          <w:tcPr>
            <w:tcW w:w="37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818"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61" w:type="dxa"/>
            <w:tcBorders/>
            <w:shd w:fill="auto" w:val="clear"/>
            <w:vAlign w:val="center"/>
          </w:tcPr>
          <w:p>
            <w:pPr>
              <w:pStyle w:val="TableContents"/>
              <w:spacing w:before="0" w:after="283"/>
              <w:rPr/>
            </w:pPr>
            <w:r>
              <w:rPr/>
              <w:t> </w:t>
            </w:r>
          </w:p>
        </w:tc>
        <w:tc>
          <w:tcPr>
            <w:tcW w:w="10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0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0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022" w:type="dxa"/>
            <w:tcBorders/>
            <w:shd w:fill="auto" w:val="clear"/>
            <w:vAlign w:val="bottom"/>
          </w:tcPr>
          <w:p>
            <w:pPr>
              <w:pStyle w:val="TableContents"/>
              <w:spacing w:before="0" w:after="0"/>
              <w:ind w:left="225" w:right="0" w:hanging="225"/>
              <w:rPr/>
            </w:pPr>
            <w:r>
              <w:rPr/>
              <w:t>Income before cumulative effect of change in accounting principle</w:t>
            </w:r>
          </w:p>
        </w:tc>
        <w:tc>
          <w:tcPr>
            <w:tcW w:w="361"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42" w:type="dxa"/>
            <w:tcBorders/>
            <w:shd w:fill="auto" w:val="clear"/>
            <w:vAlign w:val="bottom"/>
          </w:tcPr>
          <w:p>
            <w:pPr>
              <w:pStyle w:val="TableContents"/>
              <w:spacing w:before="0" w:after="283"/>
              <w:jc w:val="right"/>
              <w:rPr/>
            </w:pPr>
            <w:r>
              <w:rPr/>
              <w:t>98.4</w:t>
            </w:r>
          </w:p>
        </w:tc>
        <w:tc>
          <w:tcPr>
            <w:tcW w:w="152"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95.4</w:t>
            </w:r>
          </w:p>
        </w:tc>
        <w:tc>
          <w:tcPr>
            <w:tcW w:w="127"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287.9</w:t>
            </w:r>
          </w:p>
        </w:tc>
        <w:tc>
          <w:tcPr>
            <w:tcW w:w="147"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jc w:val="left"/>
              <w:rPr/>
            </w:pPr>
            <w:r>
              <w:rPr/>
              <w:t>$</w:t>
            </w:r>
          </w:p>
        </w:tc>
        <w:tc>
          <w:tcPr>
            <w:tcW w:w="818" w:type="dxa"/>
            <w:tcBorders/>
            <w:shd w:fill="auto" w:val="clear"/>
            <w:vAlign w:val="bottom"/>
          </w:tcPr>
          <w:p>
            <w:pPr>
              <w:pStyle w:val="TableContents"/>
              <w:spacing w:before="0" w:after="283"/>
              <w:jc w:val="right"/>
              <w:rPr/>
            </w:pPr>
            <w:r>
              <w:rPr/>
              <w:t>232.8</w:t>
            </w:r>
          </w:p>
        </w:tc>
        <w:tc>
          <w:tcPr>
            <w:tcW w:w="138" w:type="dxa"/>
            <w:tcBorders/>
            <w:shd w:fill="auto" w:val="clear"/>
            <w:vAlign w:val="bottom"/>
          </w:tcPr>
          <w:p>
            <w:pPr>
              <w:pStyle w:val="TableContents"/>
              <w:spacing w:before="0" w:after="283"/>
              <w:rPr/>
            </w:pPr>
            <w:r>
              <w:rPr/>
              <w:t> </w:t>
            </w:r>
          </w:p>
        </w:tc>
      </w:tr>
      <w:tr>
        <w:trPr/>
        <w:tc>
          <w:tcPr>
            <w:tcW w:w="4022" w:type="dxa"/>
            <w:tcBorders/>
            <w:shd w:fill="auto" w:val="clear"/>
            <w:vAlign w:val="center"/>
          </w:tcPr>
          <w:p>
            <w:pPr>
              <w:pStyle w:val="TableContents"/>
              <w:spacing w:before="0" w:after="0"/>
              <w:ind w:left="225" w:right="0" w:hanging="225"/>
              <w:rPr/>
            </w:pPr>
            <w:r>
              <w:rPr/>
              <w:t> </w:t>
            </w:r>
          </w:p>
        </w:tc>
        <w:tc>
          <w:tcPr>
            <w:tcW w:w="361" w:type="dxa"/>
            <w:tcBorders/>
            <w:shd w:fill="auto" w:val="clear"/>
            <w:vAlign w:val="center"/>
          </w:tcPr>
          <w:p>
            <w:pPr>
              <w:pStyle w:val="TableContents"/>
              <w:spacing w:before="0" w:after="283"/>
              <w:rPr/>
            </w:pPr>
            <w:r>
              <w:rPr/>
              <w:t> </w:t>
            </w:r>
          </w:p>
        </w:tc>
        <w:tc>
          <w:tcPr>
            <w:tcW w:w="10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377" w:type="dxa"/>
            <w:tcBorders/>
            <w:shd w:fill="auto" w:val="clear"/>
            <w:vAlign w:val="center"/>
          </w:tcPr>
          <w:p>
            <w:pPr>
              <w:pStyle w:val="TableContents"/>
              <w:spacing w:before="0" w:after="283"/>
              <w:rPr/>
            </w:pPr>
            <w:r>
              <w:rPr/>
              <w:t> </w:t>
            </w:r>
          </w:p>
        </w:tc>
        <w:tc>
          <w:tcPr>
            <w:tcW w:w="10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61"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 </w:t>
            </w:r>
          </w:p>
        </w:tc>
        <w:tc>
          <w:tcPr>
            <w:tcW w:w="100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749"/>
        <w:gridCol w:w="2250"/>
        <w:gridCol w:w="1206"/>
      </w:tblGrid>
      <w:tr>
        <w:trPr/>
        <w:tc>
          <w:tcPr>
            <w:tcW w:w="6749"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6749" w:type="dxa"/>
            <w:tcBorders/>
            <w:shd w:fill="auto" w:val="clear"/>
          </w:tcPr>
          <w:p>
            <w:pPr>
              <w:pStyle w:val="TableContents"/>
              <w:spacing w:before="0" w:after="283"/>
              <w:jc w:val="left"/>
              <w:rPr/>
            </w:pPr>
            <w:r>
              <w:rPr/>
              <w:t>(5)</w:t>
            </w:r>
          </w:p>
        </w:tc>
        <w:tc>
          <w:tcPr>
            <w:tcW w:w="2250" w:type="dxa"/>
            <w:tcBorders/>
            <w:shd w:fill="auto" w:val="clear"/>
          </w:tcPr>
          <w:p>
            <w:pPr>
              <w:pStyle w:val="TableContents"/>
              <w:spacing w:before="0" w:after="283"/>
              <w:rPr/>
            </w:pPr>
            <w:r>
              <w:rPr/>
              <w:t> </w:t>
            </w:r>
          </w:p>
        </w:tc>
        <w:tc>
          <w:tcPr>
            <w:tcW w:w="1206" w:type="dxa"/>
            <w:tcBorders/>
            <w:shd w:fill="auto" w:val="clear"/>
          </w:tcPr>
          <w:p>
            <w:pPr>
              <w:pStyle w:val="TableContents"/>
              <w:spacing w:before="0" w:after="283"/>
              <w:rPr/>
            </w:pPr>
            <w:r>
              <w:rPr/>
              <w:t>The adoption of EITF 04-13 in 2006 resulted in inventory purchases and sales under buy/sell transactions, which historically would have been recorded gross as purchases and sales, to be treated as inventory exchanges in our consolidated statements of operations.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Note 14Recent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2007, the FASB issued SFAS No. 159, The Fair Value Option for Financial Assets and Financial Liabilities  including an amendment of FAS 115 (SFAS 159). SFAS 159 allows entities to choose, at specified election dates, to measure eligible financial assets and liabilities at fair value in situations in which they are not otherwise required to be measured at fair value. If a company elects the fair value option for an eligible item, changes in that items fair value in subsequent reporting periods must be recognized in current earnings. The provisions of SFAS 159 will be effective for fiscal years beginning after November 15, 2007. We are evaluating the impact of adoption of SFAS 159 but do not currently expect the adoption to have a material impact on our financial position, results of operations or cash flows. </w:t>
      </w:r>
    </w:p>
    <w:p>
      <w:pPr>
        <w:pStyle w:val="TextBody"/>
        <w:spacing w:before="120" w:after="283"/>
        <w:jc w:val="left"/>
        <w:rPr/>
      </w:pPr>
      <w:r>
        <w:rPr/>
        <w:t>     </w:t>
      </w:r>
      <w:r>
        <w:rPr>
          <w:rFonts w:ascii="Times New Roman;Times;serif" w:hAnsi="Times New Roman;Times;serif"/>
          <w:sz w:val="17"/>
        </w:rPr>
        <w:t xml:space="preserve">In December 2006, the FASB issued FASB Staff Position EITF 00-19-2, Accounting for Registration Payment Arrangements (the FSP). The FSP specifies that the contingent obligation to make future payments under a registration payment arrangement should be separately recognized and measured in accordance with FASB Statement No. 5 Accounting for Contingencies. The FSP was effective immediately for registration payment arrangements and the financial instruments subject to those arrangements entered into or modified subsequent to December 21, 2006. For registration payment arrangements and for the financial instruments subject to those arrangements that were entered into prior to December 21, 2006, the FSP is effective for fiscal years beginning after December 15, 2006. At September 30, 2007, we did not have any material contingent obligations under registration payment arrangements. </w:t>
      </w:r>
    </w:p>
    <w:p>
      <w:pPr>
        <w:pStyle w:val="TextBody"/>
        <w:spacing w:before="120" w:after="283"/>
        <w:jc w:val="left"/>
        <w:rPr/>
      </w:pPr>
      <w:r>
        <w:rPr/>
        <w:t>     </w:t>
      </w:r>
      <w:r>
        <w:rPr>
          <w:rFonts w:ascii="Times New Roman;Times;serif" w:hAnsi="Times New Roman;Times;serif"/>
          <w:sz w:val="17"/>
        </w:rPr>
        <w:t xml:space="preserve">In September 2006, the FASB issued SFAS No. 157, Fair Value Measurements (SFAS 157). SFAS 157 defines fair value, establishes a framework for measuring fair value and requires enhanced disclosures regarding fair value measurements. SFAS 157 does not add any new fair value measurements, but it does change current practice and is intended to increase consistency and comparability in such measurement. The provisions of SFAS 157 will be effective for financial statements issued for fiscal years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beginning after November 15, 2007 and interim periods within those fiscal years. The impact, if any, from the adoption of SFAS 157 in 2008 will depend on our assets and liabilities that are required to be measured at fair value at that time. </w:t>
      </w:r>
    </w:p>
    <w:p>
      <w:pPr>
        <w:pStyle w:val="TextBody"/>
        <w:spacing w:before="120" w:after="283"/>
        <w:jc w:val="left"/>
        <w:rPr/>
      </w:pPr>
      <w:r>
        <w:rPr/>
        <w:t>     </w:t>
      </w:r>
      <w:r>
        <w:rPr>
          <w:rFonts w:ascii="Times New Roman;Times;serif" w:hAnsi="Times New Roman;Times;serif"/>
          <w:sz w:val="17"/>
        </w:rPr>
        <w:t xml:space="preserve">In September 2006, the FASB issued FASB Staff Position AUG AIR-1, Accounting for Planned Major Maintenance Activities (FSP AUG AIR-1). FSP AUG AIR-1 prohibits the use of the accrue-in-advance method of accounting for planned major maintenance activities. FSP AUG AIR-1 is effective for the first fiscal year beginning after December 15, 2006. We expense major maintenance activities as incurred. The adoption of FSP AUG AIR-1 did not have any impact on our financial position, results of operations or cash flows. </w:t>
      </w:r>
    </w:p>
    <w:p>
      <w:pPr>
        <w:pStyle w:val="TextBody"/>
        <w:spacing w:before="120" w:after="283"/>
        <w:jc w:val="left"/>
        <w:rPr/>
      </w:pPr>
      <w:r>
        <w:rPr/>
        <w:t>     </w:t>
      </w:r>
      <w:r>
        <w:rPr>
          <w:rFonts w:ascii="Times New Roman;Times;serif" w:hAnsi="Times New Roman;Times;serif"/>
          <w:sz w:val="17"/>
        </w:rPr>
        <w:t xml:space="preserve">In June 2006, the EITF issued Issue No. 06-3, How Taxes Collected from Customers and Remitted to Governmental Authorities Should Be Presented in the Income Statement (That Is, Gross versus Net Presentation) (EITF 06-3). EITF 06-3 is effective for all periods beginning after December 15, 2006 and its scope includes any tax that is assessed by a governmental authority that is both imposed on and concurrent with a specific revenue-producing transaction between a seller and a customer. The EITF stated that it is an entitys accounting policy decision whether to present the taxes on a gross basis (within revenues and costs) or on a net basis (excluded from revenues) but that the accounting policy should be disclosed. If presented on a gross basis, an entity is required to report the amount of such taxes for each period for which an income statement is presented, if those amounts are significant. Our accounting policy is to present such taxes on a net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15  Supplemental Condensed Consolidating Financial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Some, but not all, of our 100% owned subsidiaries have issued full, unconditional, and joint and several guarantees of our Senior Notes. Given that certain, but not all, subsidiaries are guarantors of our Senior Notes, we are required to present the following supplemental condensed consolidating financial information. For purposes of the following footnote, the parent company is referred to as Plains All American. See Note 12 of Part IV of our 2006 Annual Report on Form 10-K for detail of which subsidiaries are classified as Guarantor Subsidiaries and which subsidiaries are classified as Non-Guarantor Subsidiaries. </w:t>
      </w:r>
    </w:p>
    <w:p>
      <w:pPr>
        <w:pStyle w:val="TextBody"/>
        <w:spacing w:before="120" w:after="283"/>
        <w:jc w:val="left"/>
        <w:rPr/>
      </w:pPr>
      <w:r>
        <w:rPr/>
        <w:t>     </w:t>
      </w:r>
      <w:r>
        <w:rPr>
          <w:rFonts w:ascii="Times New Roman;Times;serif" w:hAnsi="Times New Roman;Times;serif"/>
          <w:sz w:val="17"/>
        </w:rPr>
        <w:t xml:space="preserve">The following supplemental condensed consolidating financial information reflects Plains All Americans separate accounts, the combined accounts of the Guarantor Subsidiaries, the combined accounts of the Non-Guarantor Subsidiaries, the combined consolidating adjustments and eliminations and Plains All Americans consolidated accounts for the dates and periods indicated. For purposes of the following condensed consolidating information, Plains All Americans investments in its subsidiaries and the Guarantor Subsidiaries investments in their subsidiaries are accounted for under the equity method of accounting. </w:t>
      </w:r>
    </w:p>
    <w:tbl>
      <w:tblPr>
        <w:tblW w:w="5000" w:type="pct"/>
        <w:jc w:val="center"/>
        <w:tblInd w:w="0" w:type="dxa"/>
        <w:tblCellMar>
          <w:top w:w="0" w:type="dxa"/>
          <w:left w:w="0" w:type="dxa"/>
          <w:bottom w:w="0" w:type="dxa"/>
          <w:right w:w="0" w:type="dxa"/>
        </w:tblCellMar>
      </w:tblPr>
      <w:tblGrid>
        <w:gridCol w:w="2090"/>
        <w:gridCol w:w="173"/>
        <w:gridCol w:w="174"/>
        <w:gridCol w:w="917"/>
        <w:gridCol w:w="79"/>
        <w:gridCol w:w="173"/>
        <w:gridCol w:w="206"/>
        <w:gridCol w:w="1094"/>
        <w:gridCol w:w="79"/>
        <w:gridCol w:w="173"/>
        <w:gridCol w:w="324"/>
        <w:gridCol w:w="1323"/>
        <w:gridCol w:w="111"/>
        <w:gridCol w:w="173"/>
        <w:gridCol w:w="198"/>
        <w:gridCol w:w="1143"/>
        <w:gridCol w:w="111"/>
        <w:gridCol w:w="173"/>
        <w:gridCol w:w="223"/>
        <w:gridCol w:w="1175"/>
        <w:gridCol w:w="93"/>
      </w:tblGrid>
      <w:tr>
        <w:trPr/>
        <w:tc>
          <w:tcPr>
            <w:tcW w:w="209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849" w:type="dxa"/>
            <w:gridSpan w:val="18"/>
            <w:tcBorders/>
            <w:shd w:fill="auto" w:val="clear"/>
            <w:vAlign w:val="bottom"/>
          </w:tcPr>
          <w:p>
            <w:pPr>
              <w:pStyle w:val="TableContents"/>
              <w:spacing w:before="0" w:after="283"/>
              <w:jc w:val="center"/>
              <w:rPr>
                <w:b/>
              </w:rPr>
            </w:pPr>
            <w:r>
              <w:rPr>
                <w:b/>
              </w:rPr>
              <w:t>Condensed Consolidating Balance Sheet</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849"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September 30, 2007</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283"/>
              <w:jc w:val="center"/>
              <w:rPr>
                <w:b/>
              </w:rPr>
            </w:pPr>
            <w:r>
              <w:rPr>
                <w:b/>
              </w:rPr>
              <w:t>Plains</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00" w:type="dxa"/>
            <w:gridSpan w:val="2"/>
            <w:tcBorders/>
            <w:shd w:fill="auto" w:val="clear"/>
            <w:vAlign w:val="bottom"/>
          </w:tcPr>
          <w:p>
            <w:pPr>
              <w:pStyle w:val="TableContents"/>
              <w:spacing w:before="0" w:after="283"/>
              <w:jc w:val="center"/>
              <w:rPr>
                <w:b/>
              </w:rPr>
            </w:pPr>
            <w:r>
              <w:rPr>
                <w:b/>
              </w:rPr>
              <w:t>Combined</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647" w:type="dxa"/>
            <w:gridSpan w:val="2"/>
            <w:tcBorders/>
            <w:shd w:fill="auto" w:val="clear"/>
            <w:vAlign w:val="bottom"/>
          </w:tcPr>
          <w:p>
            <w:pPr>
              <w:pStyle w:val="TableContents"/>
              <w:spacing w:before="0" w:after="283"/>
              <w:jc w:val="center"/>
              <w:rPr>
                <w:b/>
              </w:rPr>
            </w:pPr>
            <w:r>
              <w:rPr>
                <w:b/>
              </w:rPr>
              <w:t>Combined</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41"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283"/>
              <w:jc w:val="center"/>
              <w:rPr>
                <w:b/>
              </w:rPr>
            </w:pPr>
            <w:r>
              <w:rPr>
                <w:b/>
              </w:rPr>
              <w:t>All</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00" w:type="dxa"/>
            <w:gridSpan w:val="2"/>
            <w:tcBorders/>
            <w:shd w:fill="auto" w:val="clear"/>
            <w:vAlign w:val="bottom"/>
          </w:tcPr>
          <w:p>
            <w:pPr>
              <w:pStyle w:val="TableContents"/>
              <w:spacing w:before="0" w:after="283"/>
              <w:jc w:val="center"/>
              <w:rPr>
                <w:b/>
              </w:rPr>
            </w:pPr>
            <w:r>
              <w:rPr>
                <w:b/>
              </w:rPr>
              <w:t>Guarantor</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647" w:type="dxa"/>
            <w:gridSpan w:val="2"/>
            <w:tcBorders/>
            <w:shd w:fill="auto" w:val="clear"/>
            <w:vAlign w:val="bottom"/>
          </w:tcPr>
          <w:p>
            <w:pPr>
              <w:pStyle w:val="TableContents"/>
              <w:spacing w:before="0" w:after="283"/>
              <w:jc w:val="center"/>
              <w:rPr>
                <w:b/>
              </w:rPr>
            </w:pPr>
            <w:r>
              <w:rPr>
                <w:b/>
              </w:rPr>
              <w:t>Non-Guarantor</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41"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6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4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7849" w:type="dxa"/>
            <w:gridSpan w:val="18"/>
            <w:tcBorders/>
            <w:shd w:fill="auto" w:val="clear"/>
            <w:vAlign w:val="bottom"/>
          </w:tcPr>
          <w:p>
            <w:pPr>
              <w:pStyle w:val="TableContents"/>
              <w:spacing w:before="0" w:after="283"/>
              <w:jc w:val="center"/>
              <w:rPr>
                <w:b/>
              </w:rPr>
            </w:pPr>
            <w:r>
              <w:rPr>
                <w:b/>
              </w:rPr>
              <w:t>(in millions)</w:t>
            </w:r>
          </w:p>
        </w:tc>
        <w:tc>
          <w:tcPr>
            <w:tcW w:w="93" w:type="dxa"/>
            <w:tcBorders/>
            <w:shd w:fill="auto" w:val="clear"/>
            <w:vAlign w:val="bottom"/>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225" w:right="0" w:hanging="225"/>
              <w:rPr/>
            </w:pPr>
            <w:r>
              <w:rPr/>
              <w:t>ASSETS</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Total current assets</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jc w:val="left"/>
              <w:rPr/>
            </w:pPr>
            <w:r>
              <w:rPr/>
              <w:t>$</w:t>
            </w:r>
          </w:p>
        </w:tc>
        <w:tc>
          <w:tcPr>
            <w:tcW w:w="917" w:type="dxa"/>
            <w:tcBorders/>
            <w:shd w:fill="auto" w:val="clear"/>
            <w:vAlign w:val="bottom"/>
          </w:tcPr>
          <w:p>
            <w:pPr>
              <w:pStyle w:val="TableContents"/>
              <w:spacing w:before="0" w:after="283"/>
              <w:jc w:val="right"/>
              <w:rPr/>
            </w:pPr>
            <w:r>
              <w:rPr/>
              <w:t>2,343.7</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094" w:type="dxa"/>
            <w:tcBorders/>
            <w:shd w:fill="auto" w:val="clear"/>
            <w:vAlign w:val="bottom"/>
          </w:tcPr>
          <w:p>
            <w:pPr>
              <w:pStyle w:val="TableContents"/>
              <w:spacing w:before="0" w:after="283"/>
              <w:jc w:val="right"/>
              <w:rPr/>
            </w:pPr>
            <w:r>
              <w:rPr/>
              <w:t>2,935.7</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jc w:val="left"/>
              <w:rPr/>
            </w:pPr>
            <w:r>
              <w:rPr/>
              <w:t>$</w:t>
            </w:r>
          </w:p>
        </w:tc>
        <w:tc>
          <w:tcPr>
            <w:tcW w:w="1323" w:type="dxa"/>
            <w:tcBorders/>
            <w:shd w:fill="auto" w:val="clear"/>
            <w:vAlign w:val="bottom"/>
          </w:tcPr>
          <w:p>
            <w:pPr>
              <w:pStyle w:val="TableContents"/>
              <w:spacing w:before="0" w:after="283"/>
              <w:jc w:val="right"/>
              <w:rPr/>
            </w:pPr>
            <w:r>
              <w:rPr/>
              <w:t>(4.5</w:t>
            </w:r>
          </w:p>
        </w:tc>
        <w:tc>
          <w:tcPr>
            <w:tcW w:w="111"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143" w:type="dxa"/>
            <w:tcBorders/>
            <w:shd w:fill="auto" w:val="clear"/>
            <w:vAlign w:val="bottom"/>
          </w:tcPr>
          <w:p>
            <w:pPr>
              <w:pStyle w:val="TableContents"/>
              <w:spacing w:before="0" w:after="283"/>
              <w:jc w:val="right"/>
              <w:rPr/>
            </w:pPr>
            <w:r>
              <w:rPr/>
              <w:t>(2,090.3</w:t>
            </w:r>
          </w:p>
        </w:tc>
        <w:tc>
          <w:tcPr>
            <w:tcW w:w="111"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jc w:val="left"/>
              <w:rPr/>
            </w:pPr>
            <w:r>
              <w:rPr/>
              <w:t>$</w:t>
            </w:r>
          </w:p>
        </w:tc>
        <w:tc>
          <w:tcPr>
            <w:tcW w:w="1175" w:type="dxa"/>
            <w:tcBorders/>
            <w:shd w:fill="auto" w:val="clear"/>
            <w:vAlign w:val="bottom"/>
          </w:tcPr>
          <w:p>
            <w:pPr>
              <w:pStyle w:val="TableContents"/>
              <w:spacing w:before="0" w:after="283"/>
              <w:jc w:val="right"/>
              <w:rPr/>
            </w:pPr>
            <w:r>
              <w:rPr/>
              <w:t>3,184.6</w:t>
            </w:r>
          </w:p>
        </w:tc>
        <w:tc>
          <w:tcPr>
            <w:tcW w:w="93" w:type="dxa"/>
            <w:tcBorders/>
            <w:shd w:fill="auto" w:val="clear"/>
            <w:vAlign w:val="bottom"/>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225" w:right="0" w:hanging="225"/>
              <w:rPr/>
            </w:pPr>
            <w:r>
              <w:rPr/>
              <w:t>Property plant and equipment, net</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3,647.9</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624.8</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4,272.7</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Other assets:</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225" w:right="0" w:hanging="225"/>
              <w:rPr/>
            </w:pPr>
            <w:r>
              <w:rPr/>
              <w:t>Investment in unconsolidated entities</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3,722.0</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848.8</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1143" w:type="dxa"/>
            <w:tcBorders/>
            <w:shd w:fill="CCEEFF" w:val="clear"/>
            <w:vAlign w:val="bottom"/>
          </w:tcPr>
          <w:p>
            <w:pPr>
              <w:pStyle w:val="TableContents"/>
              <w:spacing w:before="0" w:after="283"/>
              <w:jc w:val="right"/>
              <w:rPr/>
            </w:pPr>
            <w:r>
              <w:rPr/>
              <w:t>(4,357.9</w:t>
            </w:r>
          </w:p>
        </w:tc>
        <w:tc>
          <w:tcPr>
            <w:tcW w:w="111" w:type="dxa"/>
            <w:tcBorders/>
            <w:shd w:fill="CCEEFF" w:val="clear"/>
            <w:vAlign w:val="bottom"/>
          </w:tcPr>
          <w:p>
            <w:pPr>
              <w:pStyle w:val="TableContents"/>
              <w:spacing w:before="0" w:after="283"/>
              <w:rPr/>
            </w:pPr>
            <w:r>
              <w:rPr/>
              <w:t>)</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212.9</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Other assets</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21.3</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1,180.9</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314.8</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1,517.0</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6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450" w:right="0" w:hanging="225"/>
              <w:rPr/>
            </w:pPr>
            <w:r>
              <w:rPr/>
              <w:t>Total assets</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6,087.0</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094" w:type="dxa"/>
            <w:tcBorders/>
            <w:shd w:fill="CCEEFF" w:val="clear"/>
            <w:vAlign w:val="bottom"/>
          </w:tcPr>
          <w:p>
            <w:pPr>
              <w:pStyle w:val="TableContents"/>
              <w:spacing w:before="0" w:after="283"/>
              <w:jc w:val="right"/>
              <w:rPr/>
            </w:pPr>
            <w:r>
              <w:rPr/>
              <w:t>8,613.3</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935.1</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143" w:type="dxa"/>
            <w:tcBorders/>
            <w:shd w:fill="CCEEFF" w:val="clear"/>
            <w:vAlign w:val="bottom"/>
          </w:tcPr>
          <w:p>
            <w:pPr>
              <w:pStyle w:val="TableContents"/>
              <w:spacing w:before="0" w:after="283"/>
              <w:jc w:val="right"/>
              <w:rPr/>
            </w:pPr>
            <w:r>
              <w:rPr/>
              <w:t>(6,448.2</w:t>
            </w:r>
          </w:p>
        </w:tc>
        <w:tc>
          <w:tcPr>
            <w:tcW w:w="111" w:type="dxa"/>
            <w:tcBorders/>
            <w:shd w:fill="CCEEFF" w:val="clear"/>
            <w:vAlign w:val="bottom"/>
          </w:tcPr>
          <w:p>
            <w:pPr>
              <w:pStyle w:val="TableContents"/>
              <w:spacing w:before="0" w:after="283"/>
              <w:rPr/>
            </w:pPr>
            <w:r>
              <w:rPr/>
              <w:t>)</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9,187.2</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6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 </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LIABILITIES AND PARTNERS CAPITAL</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225" w:right="0" w:hanging="225"/>
              <w:rPr/>
            </w:pPr>
            <w:r>
              <w:rPr/>
              <w:t>Total current liabilities</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42.2</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094" w:type="dxa"/>
            <w:tcBorders/>
            <w:shd w:fill="CCEEFF" w:val="clear"/>
            <w:vAlign w:val="bottom"/>
          </w:tcPr>
          <w:p>
            <w:pPr>
              <w:pStyle w:val="TableContents"/>
              <w:spacing w:before="0" w:after="283"/>
              <w:jc w:val="right"/>
              <w:rPr/>
            </w:pPr>
            <w:r>
              <w:rPr/>
              <w:t>4,919.7</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148.5</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143" w:type="dxa"/>
            <w:tcBorders/>
            <w:shd w:fill="CCEEFF" w:val="clear"/>
            <w:vAlign w:val="bottom"/>
          </w:tcPr>
          <w:p>
            <w:pPr>
              <w:pStyle w:val="TableContents"/>
              <w:spacing w:before="0" w:after="283"/>
              <w:jc w:val="right"/>
              <w:rPr/>
            </w:pPr>
            <w:r>
              <w:rPr/>
              <w:t>(2,090.3</w:t>
            </w:r>
          </w:p>
        </w:tc>
        <w:tc>
          <w:tcPr>
            <w:tcW w:w="111" w:type="dxa"/>
            <w:tcBorders/>
            <w:shd w:fill="CCEEFF" w:val="clear"/>
            <w:vAlign w:val="bottom"/>
          </w:tcPr>
          <w:p>
            <w:pPr>
              <w:pStyle w:val="TableContents"/>
              <w:spacing w:before="0" w:after="283"/>
              <w:rPr/>
            </w:pPr>
            <w:r>
              <w:rPr/>
              <w:t>)</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3,020.1</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Other liabilities:</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225" w:right="0" w:hanging="225"/>
              <w:rPr/>
            </w:pPr>
            <w:r>
              <w:rPr/>
              <w:t>Long-term debt</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2,621.5</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2.7</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2,624.2</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Other long-term liabilities and deferred credits</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0.1</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118.6</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1.0</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119.7</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6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450" w:right="0" w:hanging="225"/>
              <w:rPr/>
            </w:pPr>
            <w:r>
              <w:rPr/>
              <w:t>Total liabilities</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2,663.8</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94" w:type="dxa"/>
            <w:tcBorders/>
            <w:shd w:fill="CCEEFF" w:val="clear"/>
            <w:vAlign w:val="bottom"/>
          </w:tcPr>
          <w:p>
            <w:pPr>
              <w:pStyle w:val="TableContents"/>
              <w:spacing w:before="0" w:after="283"/>
              <w:jc w:val="right"/>
              <w:rPr/>
            </w:pPr>
            <w:r>
              <w:rPr/>
              <w:t>5,041.0</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149.5</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143" w:type="dxa"/>
            <w:tcBorders/>
            <w:shd w:fill="CCEEFF" w:val="clear"/>
            <w:vAlign w:val="bottom"/>
          </w:tcPr>
          <w:p>
            <w:pPr>
              <w:pStyle w:val="TableContents"/>
              <w:spacing w:before="0" w:after="283"/>
              <w:jc w:val="right"/>
              <w:rPr/>
            </w:pPr>
            <w:r>
              <w:rPr/>
              <w:t>(2,090.3)</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5,764.0</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6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 </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Partners Capital</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3,423.2</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pPr>
            <w:r>
              <w:rPr/>
              <w:t>3,572.3</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785.6</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1143" w:type="dxa"/>
            <w:tcBorders/>
            <w:shd w:fill="auto" w:val="clear"/>
            <w:vAlign w:val="bottom"/>
          </w:tcPr>
          <w:p>
            <w:pPr>
              <w:pStyle w:val="TableContents"/>
              <w:spacing w:before="0" w:after="283"/>
              <w:jc w:val="right"/>
              <w:rPr/>
            </w:pPr>
            <w:r>
              <w:rPr/>
              <w:t>(4,357.9</w:t>
            </w:r>
          </w:p>
        </w:tc>
        <w:tc>
          <w:tcPr>
            <w:tcW w:w="111" w:type="dxa"/>
            <w:tcBorders/>
            <w:shd w:fill="auto" w:val="clear"/>
            <w:vAlign w:val="bottom"/>
          </w:tcPr>
          <w:p>
            <w:pPr>
              <w:pStyle w:val="TableContents"/>
              <w:spacing w:before="0" w:after="283"/>
              <w:rPr/>
            </w:pPr>
            <w:r>
              <w:rPr/>
              <w:t>)</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3,423.2</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bottom"/>
          </w:tcPr>
          <w:p>
            <w:pPr>
              <w:pStyle w:val="TableContents"/>
              <w:spacing w:before="0" w:after="0"/>
              <w:ind w:left="225" w:right="0" w:hanging="225"/>
              <w:rPr/>
            </w:pPr>
            <w:r>
              <w:rPr/>
              <w:t> </w:t>
            </w:r>
          </w:p>
        </w:tc>
        <w:tc>
          <w:tcPr>
            <w:tcW w:w="173"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143"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r>
      <w:tr>
        <w:trPr/>
        <w:tc>
          <w:tcPr>
            <w:tcW w:w="2090"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6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4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r>
        <w:trPr/>
        <w:tc>
          <w:tcPr>
            <w:tcW w:w="2090" w:type="dxa"/>
            <w:tcBorders/>
            <w:shd w:fill="CCEEFF" w:val="clear"/>
            <w:vAlign w:val="bottom"/>
          </w:tcPr>
          <w:p>
            <w:pPr>
              <w:pStyle w:val="TableContents"/>
              <w:spacing w:before="0" w:after="0"/>
              <w:ind w:left="225" w:right="0" w:hanging="225"/>
              <w:rPr/>
            </w:pPr>
            <w:r>
              <w:rPr/>
              <w:t>Total liabilities and partners capital</w:t>
            </w:r>
          </w:p>
        </w:tc>
        <w:tc>
          <w:tcPr>
            <w:tcW w:w="173"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jc w:val="left"/>
              <w:rPr/>
            </w:pPr>
            <w:r>
              <w:rPr/>
              <w:t>$</w:t>
            </w:r>
          </w:p>
        </w:tc>
        <w:tc>
          <w:tcPr>
            <w:tcW w:w="917" w:type="dxa"/>
            <w:tcBorders/>
            <w:shd w:fill="CCEEFF" w:val="clear"/>
            <w:vAlign w:val="bottom"/>
          </w:tcPr>
          <w:p>
            <w:pPr>
              <w:pStyle w:val="TableContents"/>
              <w:spacing w:before="0" w:after="283"/>
              <w:jc w:val="right"/>
              <w:rPr/>
            </w:pPr>
            <w:r>
              <w:rPr/>
              <w:t>6,087.0</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094" w:type="dxa"/>
            <w:tcBorders/>
            <w:shd w:fill="CCEEFF" w:val="clear"/>
            <w:vAlign w:val="bottom"/>
          </w:tcPr>
          <w:p>
            <w:pPr>
              <w:pStyle w:val="TableContents"/>
              <w:spacing w:before="0" w:after="283"/>
              <w:jc w:val="right"/>
              <w:rPr/>
            </w:pPr>
            <w:r>
              <w:rPr/>
              <w:t>8,613.3</w:t>
            </w:r>
          </w:p>
        </w:tc>
        <w:tc>
          <w:tcPr>
            <w:tcW w:w="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left"/>
              <w:rPr/>
            </w:pPr>
            <w:r>
              <w:rPr/>
              <w:t>$</w:t>
            </w:r>
          </w:p>
        </w:tc>
        <w:tc>
          <w:tcPr>
            <w:tcW w:w="1323" w:type="dxa"/>
            <w:tcBorders/>
            <w:shd w:fill="CCEEFF" w:val="clear"/>
            <w:vAlign w:val="bottom"/>
          </w:tcPr>
          <w:p>
            <w:pPr>
              <w:pStyle w:val="TableContents"/>
              <w:spacing w:before="0" w:after="283"/>
              <w:jc w:val="right"/>
              <w:rPr/>
            </w:pPr>
            <w:r>
              <w:rPr/>
              <w:t>935.1</w:t>
            </w:r>
          </w:p>
        </w:tc>
        <w:tc>
          <w:tcPr>
            <w:tcW w:w="111"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143" w:type="dxa"/>
            <w:tcBorders/>
            <w:shd w:fill="CCEEFF" w:val="clear"/>
            <w:vAlign w:val="bottom"/>
          </w:tcPr>
          <w:p>
            <w:pPr>
              <w:pStyle w:val="TableContents"/>
              <w:spacing w:before="0" w:after="283"/>
              <w:jc w:val="right"/>
              <w:rPr/>
            </w:pPr>
            <w:r>
              <w:rPr/>
              <w:t>(6,448.2</w:t>
            </w:r>
          </w:p>
        </w:tc>
        <w:tc>
          <w:tcPr>
            <w:tcW w:w="111" w:type="dxa"/>
            <w:tcBorders/>
            <w:shd w:fill="CCEEFF" w:val="clear"/>
            <w:vAlign w:val="bottom"/>
          </w:tcPr>
          <w:p>
            <w:pPr>
              <w:pStyle w:val="TableContents"/>
              <w:spacing w:before="0" w:after="283"/>
              <w:rPr/>
            </w:pPr>
            <w:r>
              <w:rPr/>
              <w:t>)</w:t>
            </w:r>
          </w:p>
        </w:tc>
        <w:tc>
          <w:tcPr>
            <w:tcW w:w="173"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jc w:val="left"/>
              <w:rPr/>
            </w:pPr>
            <w:r>
              <w:rPr/>
              <w:t>$</w:t>
            </w:r>
          </w:p>
        </w:tc>
        <w:tc>
          <w:tcPr>
            <w:tcW w:w="1175" w:type="dxa"/>
            <w:tcBorders/>
            <w:shd w:fill="CCEEFF" w:val="clear"/>
            <w:vAlign w:val="bottom"/>
          </w:tcPr>
          <w:p>
            <w:pPr>
              <w:pStyle w:val="TableContents"/>
              <w:spacing w:before="0" w:after="283"/>
              <w:jc w:val="right"/>
              <w:rPr/>
            </w:pPr>
            <w:r>
              <w:rPr/>
              <w:t>9,187.2</w:t>
            </w:r>
          </w:p>
        </w:tc>
        <w:tc>
          <w:tcPr>
            <w:tcW w:w="93" w:type="dxa"/>
            <w:tcBorders/>
            <w:shd w:fill="CCEEFF" w:val="clear"/>
            <w:vAlign w:val="bottom"/>
          </w:tcPr>
          <w:p>
            <w:pPr>
              <w:pStyle w:val="TableContents"/>
              <w:spacing w:before="0" w:after="283"/>
              <w:rPr/>
            </w:pPr>
            <w:r>
              <w:rPr/>
              <w:t> </w:t>
            </w:r>
          </w:p>
        </w:tc>
      </w:tr>
      <w:tr>
        <w:trPr/>
        <w:tc>
          <w:tcPr>
            <w:tcW w:w="2090" w:type="dxa"/>
            <w:tcBorders/>
            <w:shd w:fill="auto" w:val="clear"/>
            <w:vAlign w:val="center"/>
          </w:tcPr>
          <w:p>
            <w:pPr>
              <w:pStyle w:val="TableContents"/>
              <w:spacing w:before="0" w:after="0"/>
              <w:ind w:left="225" w:right="0" w:hanging="225"/>
              <w:rPr/>
            </w:pPr>
            <w:r>
              <w:rPr/>
              <w:t> </w:t>
            </w:r>
          </w:p>
        </w:tc>
        <w:tc>
          <w:tcPr>
            <w:tcW w:w="173" w:type="dxa"/>
            <w:tcBorders/>
            <w:shd w:fill="auto" w:val="clear"/>
            <w:vAlign w:val="center"/>
          </w:tcPr>
          <w:p>
            <w:pPr>
              <w:pStyle w:val="TableContents"/>
              <w:spacing w:before="0" w:after="283"/>
              <w:rPr/>
            </w:pPr>
            <w:r>
              <w:rPr/>
              <w:t> </w:t>
            </w:r>
          </w:p>
        </w:tc>
        <w:tc>
          <w:tcPr>
            <w:tcW w:w="10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6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4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3"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2124"/>
        <w:gridCol w:w="179"/>
        <w:gridCol w:w="173"/>
        <w:gridCol w:w="910"/>
        <w:gridCol w:w="79"/>
        <w:gridCol w:w="179"/>
        <w:gridCol w:w="204"/>
        <w:gridCol w:w="1084"/>
        <w:gridCol w:w="111"/>
        <w:gridCol w:w="179"/>
        <w:gridCol w:w="259"/>
        <w:gridCol w:w="1371"/>
        <w:gridCol w:w="79"/>
        <w:gridCol w:w="178"/>
        <w:gridCol w:w="197"/>
        <w:gridCol w:w="1132"/>
        <w:gridCol w:w="111"/>
        <w:gridCol w:w="179"/>
        <w:gridCol w:w="220"/>
        <w:gridCol w:w="1163"/>
        <w:gridCol w:w="94"/>
      </w:tblGrid>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08" w:type="dxa"/>
            <w:gridSpan w:val="18"/>
            <w:tcBorders/>
            <w:shd w:fill="auto" w:val="clear"/>
            <w:vAlign w:val="bottom"/>
          </w:tcPr>
          <w:p>
            <w:pPr>
              <w:pStyle w:val="TableContents"/>
              <w:spacing w:before="0" w:after="283"/>
              <w:jc w:val="center"/>
              <w:rPr>
                <w:b/>
              </w:rPr>
            </w:pPr>
            <w:r>
              <w:rPr>
                <w:b/>
              </w:rPr>
              <w:t>Condensed Consolidating Balance Sheet</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08"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2006</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Plains</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Combined</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Combined</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83"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All</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88" w:type="dxa"/>
            <w:gridSpan w:val="2"/>
            <w:tcBorders/>
            <w:shd w:fill="auto" w:val="clear"/>
            <w:vAlign w:val="bottom"/>
          </w:tcPr>
          <w:p>
            <w:pPr>
              <w:pStyle w:val="TableContents"/>
              <w:spacing w:before="0" w:after="283"/>
              <w:jc w:val="center"/>
              <w:rPr>
                <w:b/>
              </w:rPr>
            </w:pPr>
            <w:r>
              <w:rPr>
                <w:b/>
              </w:rPr>
              <w:t>Guarantor</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630" w:type="dxa"/>
            <w:gridSpan w:val="2"/>
            <w:tcBorders/>
            <w:shd w:fill="auto" w:val="clear"/>
            <w:vAlign w:val="bottom"/>
          </w:tcPr>
          <w:p>
            <w:pPr>
              <w:pStyle w:val="TableContents"/>
              <w:spacing w:before="0" w:after="283"/>
              <w:jc w:val="center"/>
              <w:rPr>
                <w:b/>
              </w:rPr>
            </w:pPr>
            <w:r>
              <w:rPr>
                <w:b/>
              </w:rPr>
              <w:t>Non-Guarantor</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shd w:fill="auto" w:val="clear"/>
            <w:vAlign w:val="bottom"/>
          </w:tcPr>
          <w:p>
            <w:pPr>
              <w:pStyle w:val="TableContents"/>
              <w:spacing w:before="0" w:after="283"/>
              <w:jc w:val="center"/>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83" w:type="dxa"/>
            <w:gridSpan w:val="2"/>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28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6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3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13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7808" w:type="dxa"/>
            <w:gridSpan w:val="18"/>
            <w:tcBorders/>
            <w:shd w:fill="auto" w:val="clear"/>
            <w:vAlign w:val="bottom"/>
          </w:tcPr>
          <w:p>
            <w:pPr>
              <w:pStyle w:val="TableContents"/>
              <w:spacing w:before="0" w:after="283"/>
              <w:jc w:val="center"/>
              <w:rPr>
                <w:b/>
              </w:rPr>
            </w:pPr>
            <w:r>
              <w:rPr>
                <w:b/>
              </w:rPr>
              <w:t>(in millions)</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ASSETS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Total current assets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jc w:val="left"/>
              <w:rPr/>
            </w:pPr>
            <w:r>
              <w:rPr/>
              <w:t>$</w:t>
            </w:r>
          </w:p>
        </w:tc>
        <w:tc>
          <w:tcPr>
            <w:tcW w:w="910" w:type="dxa"/>
            <w:tcBorders/>
            <w:shd w:fill="auto" w:val="clear"/>
            <w:vAlign w:val="bottom"/>
          </w:tcPr>
          <w:p>
            <w:pPr>
              <w:pStyle w:val="TableContents"/>
              <w:spacing w:before="0" w:after="283"/>
              <w:jc w:val="right"/>
              <w:rPr/>
            </w:pPr>
            <w:r>
              <w:rPr/>
              <w:t>2,573.8</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w:t>
            </w:r>
          </w:p>
        </w:tc>
        <w:tc>
          <w:tcPr>
            <w:tcW w:w="1084" w:type="dxa"/>
            <w:tcBorders/>
            <w:shd w:fill="auto" w:val="clear"/>
            <w:vAlign w:val="bottom"/>
          </w:tcPr>
          <w:p>
            <w:pPr>
              <w:pStyle w:val="TableContents"/>
              <w:spacing w:before="0" w:after="283"/>
              <w:jc w:val="right"/>
              <w:rPr/>
            </w:pPr>
            <w:r>
              <w:rPr/>
              <w:t>3,048.7</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371" w:type="dxa"/>
            <w:tcBorders/>
            <w:shd w:fill="auto" w:val="clear"/>
            <w:vAlign w:val="bottom"/>
          </w:tcPr>
          <w:p>
            <w:pPr>
              <w:pStyle w:val="TableContents"/>
              <w:spacing w:before="0" w:after="283"/>
              <w:jc w:val="right"/>
              <w:rPr/>
            </w:pPr>
            <w:r>
              <w:rPr/>
              <w:t>97.6</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w:t>
            </w:r>
          </w:p>
        </w:tc>
        <w:tc>
          <w:tcPr>
            <w:tcW w:w="1132" w:type="dxa"/>
            <w:tcBorders/>
            <w:shd w:fill="auto" w:val="clear"/>
            <w:vAlign w:val="bottom"/>
          </w:tcPr>
          <w:p>
            <w:pPr>
              <w:pStyle w:val="TableContents"/>
              <w:spacing w:before="0" w:after="283"/>
              <w:jc w:val="right"/>
              <w:rPr/>
            </w:pPr>
            <w:r>
              <w:rPr/>
              <w:t>(2,562.5</w:t>
            </w:r>
          </w:p>
        </w:tc>
        <w:tc>
          <w:tcPr>
            <w:tcW w:w="111" w:type="dxa"/>
            <w:tcBorders/>
            <w:shd w:fill="auto" w:val="clear"/>
            <w:vAlign w:val="bottom"/>
          </w:tcPr>
          <w:p>
            <w:pPr>
              <w:pStyle w:val="TableContents"/>
              <w:spacing w:before="0" w:after="283"/>
              <w:rPr/>
            </w:pPr>
            <w:r>
              <w:rPr/>
              <w:t>)</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jc w:val="left"/>
              <w:rPr/>
            </w:pPr>
            <w:r>
              <w:rPr/>
              <w:t>$</w:t>
            </w:r>
          </w:p>
        </w:tc>
        <w:tc>
          <w:tcPr>
            <w:tcW w:w="1163" w:type="dxa"/>
            <w:tcBorders/>
            <w:shd w:fill="auto" w:val="clear"/>
            <w:vAlign w:val="bottom"/>
          </w:tcPr>
          <w:p>
            <w:pPr>
              <w:pStyle w:val="TableContents"/>
              <w:spacing w:before="0" w:after="283"/>
              <w:jc w:val="right"/>
              <w:rPr/>
            </w:pPr>
            <w:r>
              <w:rPr/>
              <w:t>3,157.6</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Property plant and equipment, net</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3,226.9</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615.1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3,842.0</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assets: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Investment in unconsolidated entities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3,037.7</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731.3</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(3,586.0</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183.0</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assets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23.0</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1,197.9</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311.4</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1,532.3</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450" w:right="0" w:hanging="225"/>
              <w:rPr/>
            </w:pPr>
            <w:r>
              <w:rPr/>
              <w:t>Total assets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5,634.5</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8,204.8</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1,024.1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(6,148.5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3" w:type="dxa"/>
            <w:tcBorders/>
            <w:shd w:fill="CCEEFF" w:val="clear"/>
            <w:vAlign w:val="bottom"/>
          </w:tcPr>
          <w:p>
            <w:pPr>
              <w:pStyle w:val="TableContents"/>
              <w:spacing w:before="0" w:after="283"/>
              <w:jc w:val="right"/>
              <w:rPr/>
            </w:pPr>
            <w:r>
              <w:rPr/>
              <w:t>8,714.9</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LIABILITIES AND PARTNERS CAPITAL</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Total current liabilities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34.2</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5,355.9</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14.1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(2,379.5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3" w:type="dxa"/>
            <w:tcBorders/>
            <w:shd w:fill="CCEEFF" w:val="clear"/>
            <w:vAlign w:val="bottom"/>
          </w:tcPr>
          <w:p>
            <w:pPr>
              <w:pStyle w:val="TableContents"/>
              <w:spacing w:before="0" w:after="283"/>
              <w:jc w:val="right"/>
              <w:rPr/>
            </w:pPr>
            <w:r>
              <w:rPr/>
              <w:t>3,024.7</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liabilities: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Long-term debt</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2,623.2</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 </w:t>
            </w:r>
          </w:p>
        </w:tc>
        <w:tc>
          <w:tcPr>
            <w:tcW w:w="1084" w:type="dxa"/>
            <w:tcBorders/>
            <w:shd w:fill="CCEEFF" w:val="clear"/>
            <w:vAlign w:val="bottom"/>
          </w:tcPr>
          <w:p>
            <w:pPr>
              <w:pStyle w:val="TableContents"/>
              <w:spacing w:before="0" w:after="283"/>
              <w:jc w:val="right"/>
              <w:rPr/>
            </w:pPr>
            <w:r>
              <w:rPr/>
              <w:t>(273.3</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276.4</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2,626.3</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Other long-term liabilities and deferred credits</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0.3</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84.5</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2.3</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87.1</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450" w:right="0" w:hanging="225"/>
              <w:rPr/>
            </w:pPr>
            <w:r>
              <w:rPr/>
              <w:t>Total liabilities</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2,657.7</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5,167.1</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371" w:type="dxa"/>
            <w:tcBorders/>
            <w:shd w:fill="CCEEFF" w:val="clear"/>
            <w:vAlign w:val="bottom"/>
          </w:tcPr>
          <w:p>
            <w:pPr>
              <w:pStyle w:val="TableContents"/>
              <w:spacing w:before="0" w:after="283"/>
              <w:jc w:val="right"/>
              <w:rPr/>
            </w:pPr>
            <w:r>
              <w:rPr/>
              <w:t>292.8</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pPr>
            <w:r>
              <w:rPr/>
              <w:t>(2,379.5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163" w:type="dxa"/>
            <w:tcBorders/>
            <w:shd w:fill="CCEEFF" w:val="clear"/>
            <w:vAlign w:val="bottom"/>
          </w:tcPr>
          <w:p>
            <w:pPr>
              <w:pStyle w:val="TableContents"/>
              <w:spacing w:before="0" w:after="283"/>
              <w:jc w:val="right"/>
              <w:rPr/>
            </w:pPr>
            <w:r>
              <w:rPr/>
              <w:t>5,738.1</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Partners Capital</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2,976.8</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3,037.7</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jc w:val="right"/>
              <w:rPr/>
            </w:pPr>
            <w:r>
              <w:rPr/>
              <w:t>731.3</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(3,769.0</w:t>
            </w:r>
          </w:p>
        </w:tc>
        <w:tc>
          <w:tcPr>
            <w:tcW w:w="111" w:type="dxa"/>
            <w:tcBorders/>
            <w:shd w:fill="auto" w:val="clear"/>
            <w:vAlign w:val="bottom"/>
          </w:tcPr>
          <w:p>
            <w:pPr>
              <w:pStyle w:val="TableContents"/>
              <w:spacing w:before="0" w:after="283"/>
              <w:rPr/>
            </w:pPr>
            <w:r>
              <w:rPr/>
              <w:t>)</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jc w:val="right"/>
              <w:rPr/>
            </w:pPr>
            <w:r>
              <w:rPr/>
              <w:t>2,976.8</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bottom"/>
          </w:tcPr>
          <w:p>
            <w:pPr>
              <w:pStyle w:val="TableContents"/>
              <w:spacing w:before="0" w:after="0"/>
              <w:ind w:left="225" w:right="0" w:hanging="225"/>
              <w:rPr/>
            </w:pPr>
            <w:r>
              <w:rPr/>
              <w:t> </w:t>
            </w:r>
          </w:p>
        </w:tc>
        <w:tc>
          <w:tcPr>
            <w:tcW w:w="1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371"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163"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r>
        <w:trPr/>
        <w:tc>
          <w:tcPr>
            <w:tcW w:w="2124" w:type="dxa"/>
            <w:tcBorders/>
            <w:shd w:fill="CCEEFF" w:val="clear"/>
            <w:vAlign w:val="bottom"/>
          </w:tcPr>
          <w:p>
            <w:pPr>
              <w:pStyle w:val="TableContents"/>
              <w:spacing w:before="0" w:after="0"/>
              <w:ind w:left="225" w:right="0" w:hanging="225"/>
              <w:rPr/>
            </w:pPr>
            <w:r>
              <w:rPr/>
              <w:t>Total liabilities and partners capital</w:t>
            </w:r>
          </w:p>
        </w:tc>
        <w:tc>
          <w:tcPr>
            <w:tcW w:w="17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910" w:type="dxa"/>
            <w:tcBorders/>
            <w:shd w:fill="CCEEFF" w:val="clear"/>
            <w:vAlign w:val="bottom"/>
          </w:tcPr>
          <w:p>
            <w:pPr>
              <w:pStyle w:val="TableContents"/>
              <w:spacing w:before="0" w:after="283"/>
              <w:jc w:val="right"/>
              <w:rPr/>
            </w:pPr>
            <w:r>
              <w:rPr/>
              <w:t>5,634.5</w:t>
            </w:r>
          </w:p>
        </w:tc>
        <w:tc>
          <w:tcPr>
            <w:tcW w:w="79"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jc w:val="left"/>
              <w:rPr/>
            </w:pPr>
            <w:r>
              <w:rPr/>
              <w:t>$</w:t>
            </w:r>
          </w:p>
        </w:tc>
        <w:tc>
          <w:tcPr>
            <w:tcW w:w="1084" w:type="dxa"/>
            <w:tcBorders/>
            <w:shd w:fill="CCEEFF" w:val="clear"/>
            <w:vAlign w:val="bottom"/>
          </w:tcPr>
          <w:p>
            <w:pPr>
              <w:pStyle w:val="TableContents"/>
              <w:spacing w:before="0" w:after="283"/>
              <w:jc w:val="right"/>
              <w:rPr/>
            </w:pPr>
            <w:r>
              <w:rPr/>
              <w:t>8,204.8</w:t>
            </w:r>
          </w:p>
        </w:tc>
        <w:tc>
          <w:tcPr>
            <w:tcW w:w="111"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w:t>
            </w:r>
          </w:p>
        </w:tc>
        <w:tc>
          <w:tcPr>
            <w:tcW w:w="1371" w:type="dxa"/>
            <w:tcBorders/>
            <w:shd w:fill="CCEEFF" w:val="clear"/>
            <w:vAlign w:val="bottom"/>
          </w:tcPr>
          <w:p>
            <w:pPr>
              <w:pStyle w:val="TableContents"/>
              <w:spacing w:before="0" w:after="283"/>
              <w:jc w:val="right"/>
              <w:rPr/>
            </w:pPr>
            <w:r>
              <w:rPr/>
              <w:t>1,024.1</w:t>
            </w:r>
          </w:p>
        </w:tc>
        <w:tc>
          <w:tcPr>
            <w:tcW w:w="7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(6,148.5</w:t>
            </w:r>
          </w:p>
        </w:tc>
        <w:tc>
          <w:tcPr>
            <w:tcW w:w="111" w:type="dxa"/>
            <w:tcBorders/>
            <w:shd w:fill="CCEEFF" w:val="clear"/>
            <w:vAlign w:val="bottom"/>
          </w:tcPr>
          <w:p>
            <w:pPr>
              <w:pStyle w:val="TableContents"/>
              <w:spacing w:before="0" w:after="283"/>
              <w:rPr/>
            </w:pPr>
            <w:r>
              <w:rPr/>
              <w:t>)</w:t>
            </w:r>
          </w:p>
        </w:tc>
        <w:tc>
          <w:tcPr>
            <w:tcW w:w="179"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jc w:val="left"/>
              <w:rPr/>
            </w:pPr>
            <w:r>
              <w:rPr/>
              <w:t>$</w:t>
            </w:r>
          </w:p>
        </w:tc>
        <w:tc>
          <w:tcPr>
            <w:tcW w:w="1163" w:type="dxa"/>
            <w:tcBorders/>
            <w:shd w:fill="CCEEFF" w:val="clear"/>
            <w:vAlign w:val="bottom"/>
          </w:tcPr>
          <w:p>
            <w:pPr>
              <w:pStyle w:val="TableContents"/>
              <w:spacing w:before="0" w:after="283"/>
              <w:jc w:val="right"/>
              <w:rPr/>
            </w:pPr>
            <w:r>
              <w:rPr/>
              <w:t>8,714.9</w:t>
            </w:r>
          </w:p>
        </w:tc>
        <w:tc>
          <w:tcPr>
            <w:tcW w:w="94" w:type="dxa"/>
            <w:tcBorders/>
            <w:shd w:fill="CCEEFF" w:val="clear"/>
            <w:vAlign w:val="bottom"/>
          </w:tcPr>
          <w:p>
            <w:pPr>
              <w:pStyle w:val="TableContents"/>
              <w:spacing w:before="0" w:after="283"/>
              <w:rPr/>
            </w:pPr>
            <w:r>
              <w:rPr/>
              <w:t> </w:t>
            </w:r>
          </w:p>
        </w:tc>
      </w:tr>
      <w:tr>
        <w:trPr/>
        <w:tc>
          <w:tcPr>
            <w:tcW w:w="2124" w:type="dxa"/>
            <w:tcBorders/>
            <w:shd w:fill="auto" w:val="clear"/>
            <w:vAlign w:val="center"/>
          </w:tcPr>
          <w:p>
            <w:pPr>
              <w:pStyle w:val="TableContents"/>
              <w:spacing w:before="0" w:after="0"/>
              <w:ind w:left="225" w:right="0" w:hanging="225"/>
              <w:rPr/>
            </w:pPr>
            <w:r>
              <w:rPr/>
              <w:t> </w:t>
            </w:r>
          </w:p>
        </w:tc>
        <w:tc>
          <w:tcPr>
            <w:tcW w:w="179"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28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6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3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3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4" w:type="dxa"/>
            <w:tcBorders/>
            <w:shd w:fill="auto" w:val="clear"/>
            <w:vAlign w:val="cente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828"/>
        <w:gridCol w:w="140"/>
        <w:gridCol w:w="212"/>
        <w:gridCol w:w="870"/>
        <w:gridCol w:w="190"/>
        <w:gridCol w:w="149"/>
        <w:gridCol w:w="231"/>
        <w:gridCol w:w="1066"/>
        <w:gridCol w:w="190"/>
        <w:gridCol w:w="149"/>
        <w:gridCol w:w="390"/>
        <w:gridCol w:w="1267"/>
        <w:gridCol w:w="190"/>
        <w:gridCol w:w="149"/>
        <w:gridCol w:w="238"/>
        <w:gridCol w:w="1101"/>
        <w:gridCol w:w="122"/>
        <w:gridCol w:w="149"/>
        <w:gridCol w:w="248"/>
        <w:gridCol w:w="1150"/>
        <w:gridCol w:w="176"/>
      </w:tblGrid>
      <w:tr>
        <w:trPr/>
        <w:tc>
          <w:tcPr>
            <w:tcW w:w="18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1" w:type="dxa"/>
            <w:gridSpan w:val="18"/>
            <w:tcBorders/>
            <w:shd w:fill="auto" w:val="clear"/>
            <w:vAlign w:val="bottom"/>
          </w:tcPr>
          <w:p>
            <w:pPr>
              <w:pStyle w:val="TableContents"/>
              <w:spacing w:before="0" w:after="283"/>
              <w:jc w:val="center"/>
              <w:rPr>
                <w:b/>
              </w:rPr>
            </w:pPr>
            <w:r>
              <w:rPr>
                <w:b/>
              </w:rPr>
              <w:t>Condensed Consolidating Statement of Operations</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1"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September 30, 2007</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2" w:type="dxa"/>
            <w:gridSpan w:val="2"/>
            <w:tcBorders/>
            <w:shd w:fill="auto" w:val="clear"/>
            <w:vAlign w:val="bottom"/>
          </w:tcPr>
          <w:p>
            <w:pPr>
              <w:pStyle w:val="TableContents"/>
              <w:spacing w:before="0" w:after="283"/>
              <w:jc w:val="center"/>
              <w:rPr>
                <w:b/>
              </w:rPr>
            </w:pPr>
            <w:r>
              <w:rPr>
                <w:b/>
              </w:rPr>
              <w:t>Plains</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97" w:type="dxa"/>
            <w:gridSpan w:val="2"/>
            <w:tcBorders/>
            <w:shd w:fill="auto" w:val="clear"/>
            <w:vAlign w:val="bottom"/>
          </w:tcPr>
          <w:p>
            <w:pPr>
              <w:pStyle w:val="TableContents"/>
              <w:spacing w:before="0" w:after="283"/>
              <w:jc w:val="center"/>
              <w:rPr>
                <w:b/>
              </w:rPr>
            </w:pPr>
            <w:r>
              <w:rPr>
                <w:b/>
              </w:rPr>
              <w:t>Combined</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657" w:type="dxa"/>
            <w:gridSpan w:val="2"/>
            <w:tcBorders/>
            <w:shd w:fill="auto" w:val="clear"/>
            <w:vAlign w:val="bottom"/>
          </w:tcPr>
          <w:p>
            <w:pPr>
              <w:pStyle w:val="TableContents"/>
              <w:spacing w:before="0" w:after="283"/>
              <w:jc w:val="center"/>
              <w:rPr>
                <w:b/>
              </w:rPr>
            </w:pPr>
            <w:r>
              <w:rPr>
                <w:b/>
              </w:rPr>
              <w:t>Combined</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39" w:type="dxa"/>
            <w:gridSpan w:val="2"/>
            <w:tcBorders/>
            <w:shd w:fill="auto" w:val="clear"/>
            <w:vAlign w:val="bottom"/>
          </w:tcPr>
          <w:p>
            <w:pPr>
              <w:pStyle w:val="TableContents"/>
              <w:spacing w:before="0" w:after="283"/>
              <w:jc w:val="center"/>
              <w:rPr/>
            </w:pPr>
            <w:r>
              <w:rPr/>
              <w:t> </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pPr>
            <w:r>
              <w:rPr/>
              <w:t> </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2" w:type="dxa"/>
            <w:gridSpan w:val="2"/>
            <w:tcBorders/>
            <w:shd w:fill="auto" w:val="clear"/>
            <w:vAlign w:val="bottom"/>
          </w:tcPr>
          <w:p>
            <w:pPr>
              <w:pStyle w:val="TableContents"/>
              <w:spacing w:before="0" w:after="283"/>
              <w:jc w:val="center"/>
              <w:rPr>
                <w:b/>
              </w:rPr>
            </w:pPr>
            <w:r>
              <w:rPr>
                <w:b/>
              </w:rPr>
              <w:t>All</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97" w:type="dxa"/>
            <w:gridSpan w:val="2"/>
            <w:tcBorders/>
            <w:shd w:fill="auto" w:val="clear"/>
            <w:vAlign w:val="bottom"/>
          </w:tcPr>
          <w:p>
            <w:pPr>
              <w:pStyle w:val="TableContents"/>
              <w:spacing w:before="0" w:after="283"/>
              <w:jc w:val="center"/>
              <w:rPr>
                <w:b/>
              </w:rPr>
            </w:pPr>
            <w:r>
              <w:rPr>
                <w:b/>
              </w:rPr>
              <w:t>Guarantor</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657" w:type="dxa"/>
            <w:gridSpan w:val="2"/>
            <w:tcBorders/>
            <w:shd w:fill="auto" w:val="clear"/>
            <w:vAlign w:val="bottom"/>
          </w:tcPr>
          <w:p>
            <w:pPr>
              <w:pStyle w:val="TableContents"/>
              <w:spacing w:before="0" w:after="283"/>
              <w:jc w:val="center"/>
              <w:rPr>
                <w:b/>
              </w:rPr>
            </w:pPr>
            <w:r>
              <w:rPr>
                <w:b/>
              </w:rPr>
              <w:t>Non-Guarantor</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39" w:type="dxa"/>
            <w:gridSpan w:val="2"/>
            <w:tcBorders/>
            <w:shd w:fill="auto" w:val="clear"/>
            <w:vAlign w:val="bottom"/>
          </w:tcPr>
          <w:p>
            <w:pPr>
              <w:pStyle w:val="TableContents"/>
              <w:spacing w:before="0" w:after="283"/>
              <w:jc w:val="center"/>
              <w:rPr/>
            </w:pPr>
            <w:r>
              <w:rPr/>
              <w:t> </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8" w:type="dxa"/>
            <w:gridSpan w:val="2"/>
            <w:tcBorders/>
            <w:shd w:fill="auto" w:val="clear"/>
            <w:vAlign w:val="bottom"/>
          </w:tcPr>
          <w:p>
            <w:pPr>
              <w:pStyle w:val="TableContents"/>
              <w:spacing w:before="0" w:after="283"/>
              <w:jc w:val="center"/>
              <w:rPr/>
            </w:pPr>
            <w:r>
              <w:rPr/>
              <w:t> </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2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6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3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1" w:type="dxa"/>
            <w:gridSpan w:val="18"/>
            <w:tcBorders/>
            <w:shd w:fill="auto" w:val="clear"/>
            <w:vAlign w:val="bottom"/>
          </w:tcPr>
          <w:p>
            <w:pPr>
              <w:pStyle w:val="TableContents"/>
              <w:spacing w:before="0" w:after="283"/>
              <w:jc w:val="center"/>
              <w:rPr>
                <w:b/>
              </w:rPr>
            </w:pPr>
            <w:r>
              <w:rPr>
                <w:b/>
              </w:rPr>
              <w:t>(in millions)</w:t>
            </w:r>
          </w:p>
        </w:tc>
        <w:tc>
          <w:tcPr>
            <w:tcW w:w="17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Net operating revenues (1)</w:t>
            </w:r>
          </w:p>
        </w:tc>
        <w:tc>
          <w:tcPr>
            <w:tcW w:w="14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870" w:type="dxa"/>
            <w:tcBorders/>
            <w:shd w:fill="CCEEFF" w:val="clear"/>
            <w:vAlign w:val="bottom"/>
          </w:tcPr>
          <w:p>
            <w:pPr>
              <w:pStyle w:val="TableContents"/>
              <w:spacing w:before="0" w:after="283"/>
              <w:jc w:val="right"/>
              <w:rPr/>
            </w:pPr>
            <w:r>
              <w:rPr/>
              <w:t></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066" w:type="dxa"/>
            <w:tcBorders/>
            <w:shd w:fill="CCEEFF" w:val="clear"/>
            <w:vAlign w:val="bottom"/>
          </w:tcPr>
          <w:p>
            <w:pPr>
              <w:pStyle w:val="TableContents"/>
              <w:spacing w:before="0" w:after="283"/>
              <w:jc w:val="right"/>
              <w:rPr/>
            </w:pPr>
            <w:r>
              <w:rPr/>
              <w:t>312.2</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pPr>
            <w:r>
              <w:rPr/>
              <w:t>$</w:t>
            </w:r>
          </w:p>
        </w:tc>
        <w:tc>
          <w:tcPr>
            <w:tcW w:w="1267" w:type="dxa"/>
            <w:tcBorders/>
            <w:shd w:fill="CCEEFF" w:val="clear"/>
            <w:vAlign w:val="bottom"/>
          </w:tcPr>
          <w:p>
            <w:pPr>
              <w:pStyle w:val="TableContents"/>
              <w:spacing w:before="0" w:after="283"/>
              <w:jc w:val="right"/>
              <w:rPr/>
            </w:pPr>
            <w:r>
              <w:rPr/>
              <w:t>31.6</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jc w:val="left"/>
              <w:rPr/>
            </w:pPr>
            <w:r>
              <w:rPr/>
              <w:t>$</w:t>
            </w:r>
          </w:p>
        </w:tc>
        <w:tc>
          <w:tcPr>
            <w:tcW w:w="1101"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jc w:val="left"/>
              <w:rPr/>
            </w:pPr>
            <w:r>
              <w:rPr/>
              <w:t>$</w:t>
            </w:r>
          </w:p>
        </w:tc>
        <w:tc>
          <w:tcPr>
            <w:tcW w:w="1150" w:type="dxa"/>
            <w:tcBorders/>
            <w:shd w:fill="CCEEFF" w:val="clear"/>
            <w:vAlign w:val="bottom"/>
          </w:tcPr>
          <w:p>
            <w:pPr>
              <w:pStyle w:val="TableContents"/>
              <w:spacing w:before="0" w:after="283"/>
              <w:jc w:val="right"/>
              <w:rPr/>
            </w:pPr>
            <w:r>
              <w:rPr/>
              <w:t>343.8</w:t>
            </w:r>
          </w:p>
        </w:tc>
        <w:tc>
          <w:tcPr>
            <w:tcW w:w="17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Field operating costs</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(124.5</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(8.9</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(133.4</w:t>
            </w:r>
          </w:p>
        </w:tc>
        <w:tc>
          <w:tcPr>
            <w:tcW w:w="17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General and administrative expenses</w:t>
            </w:r>
          </w:p>
        </w:tc>
        <w:tc>
          <w:tcPr>
            <w:tcW w:w="14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(31.2</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(2.2</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(33.4</w:t>
            </w:r>
          </w:p>
        </w:tc>
        <w:tc>
          <w:tcPr>
            <w:tcW w:w="17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Depreciation and amortization</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(0.7</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(37.2</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(5.0</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(42.9</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140" w:type="dxa"/>
            <w:tcBorders/>
            <w:shd w:fill="auto" w:val="clear"/>
            <w:vAlign w:val="center"/>
          </w:tcPr>
          <w:p>
            <w:pPr>
              <w:pStyle w:val="TableContents"/>
              <w:spacing w:before="0" w:after="283"/>
              <w:rPr/>
            </w:pPr>
            <w:r>
              <w:rPr/>
              <w:t> </w:t>
            </w:r>
          </w:p>
        </w:tc>
        <w:tc>
          <w:tcPr>
            <w:tcW w:w="10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2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6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 </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Operating income</w:t>
            </w:r>
          </w:p>
        </w:tc>
        <w:tc>
          <w:tcPr>
            <w:tcW w:w="14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70" w:type="dxa"/>
            <w:tcBorders/>
            <w:shd w:fill="CCEEFF" w:val="clear"/>
            <w:vAlign w:val="bottom"/>
          </w:tcPr>
          <w:p>
            <w:pPr>
              <w:pStyle w:val="TableContents"/>
              <w:spacing w:before="0" w:after="283"/>
              <w:jc w:val="right"/>
              <w:rPr/>
            </w:pPr>
            <w:r>
              <w:rPr/>
              <w:t>(0.7</w:t>
            </w:r>
          </w:p>
        </w:tc>
        <w:tc>
          <w:tcPr>
            <w:tcW w:w="190" w:type="dxa"/>
            <w:tcBorders/>
            <w:shd w:fill="CCEEFF" w:val="clear"/>
            <w:vAlign w:val="bottom"/>
          </w:tcPr>
          <w:p>
            <w:pPr>
              <w:pStyle w:val="TableContents"/>
              <w:spacing w:before="0" w:after="283"/>
              <w:rPr/>
            </w:pPr>
            <w:r>
              <w:rPr/>
              <w:t>)</w:t>
            </w:r>
          </w:p>
        </w:tc>
        <w:tc>
          <w:tcPr>
            <w:tcW w:w="149"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119.3</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15.5</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134.1</w:t>
            </w:r>
          </w:p>
        </w:tc>
        <w:tc>
          <w:tcPr>
            <w:tcW w:w="17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140" w:type="dxa"/>
            <w:tcBorders/>
            <w:shd w:fill="auto" w:val="clear"/>
            <w:vAlign w:val="center"/>
          </w:tcPr>
          <w:p>
            <w:pPr>
              <w:pStyle w:val="TableContents"/>
              <w:spacing w:before="0" w:after="283"/>
              <w:rPr/>
            </w:pPr>
            <w:r>
              <w:rPr/>
              <w:t> </w:t>
            </w:r>
          </w:p>
        </w:tc>
        <w:tc>
          <w:tcPr>
            <w:tcW w:w="10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2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6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 </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Equity earnings in unconsolidated entities</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135.1</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17.0</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 </w:t>
            </w:r>
          </w:p>
        </w:tc>
        <w:tc>
          <w:tcPr>
            <w:tcW w:w="1101" w:type="dxa"/>
            <w:tcBorders/>
            <w:shd w:fill="auto" w:val="clear"/>
            <w:vAlign w:val="bottom"/>
          </w:tcPr>
          <w:p>
            <w:pPr>
              <w:pStyle w:val="TableContents"/>
              <w:spacing w:before="0" w:after="283"/>
              <w:jc w:val="right"/>
              <w:rPr/>
            </w:pPr>
            <w:r>
              <w:rPr/>
              <w:t>(148.3</w:t>
            </w:r>
          </w:p>
        </w:tc>
        <w:tc>
          <w:tcPr>
            <w:tcW w:w="122" w:type="dxa"/>
            <w:tcBorders/>
            <w:shd w:fill="auto" w:val="clear"/>
            <w:vAlign w:val="bottom"/>
          </w:tcPr>
          <w:p>
            <w:pPr>
              <w:pStyle w:val="TableContents"/>
              <w:spacing w:before="0" w:after="283"/>
              <w:rPr/>
            </w:pPr>
            <w:r>
              <w:rPr/>
              <w:t>)</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3.8</w:t>
            </w:r>
          </w:p>
        </w:tc>
        <w:tc>
          <w:tcPr>
            <w:tcW w:w="17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Interest expense</w:t>
            </w:r>
          </w:p>
        </w:tc>
        <w:tc>
          <w:tcPr>
            <w:tcW w:w="14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(38.5</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(0.3</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(38.8</w:t>
            </w:r>
          </w:p>
        </w:tc>
        <w:tc>
          <w:tcPr>
            <w:tcW w:w="176" w:type="dxa"/>
            <w:tcBorders/>
            <w:shd w:fill="CCEEFF" w:val="clear"/>
            <w:vAlign w:val="bottom"/>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Interest and other income (expense), net</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pPr>
            <w:r>
              <w:rPr/>
              <w:t>2.5</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101" w:type="dxa"/>
            <w:tcBorders/>
            <w:shd w:fill="auto" w:val="clear"/>
            <w:vAlign w:val="bottom"/>
          </w:tcPr>
          <w:p>
            <w:pPr>
              <w:pStyle w:val="TableContents"/>
              <w:spacing w:before="0" w:after="283"/>
              <w:jc w:val="right"/>
              <w:rPr/>
            </w:pPr>
            <w:r>
              <w:rPr/>
              <w:t></w:t>
            </w:r>
          </w:p>
        </w:tc>
        <w:tc>
          <w:tcPr>
            <w:tcW w:w="122"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2.5</w:t>
            </w:r>
          </w:p>
        </w:tc>
        <w:tc>
          <w:tcPr>
            <w:tcW w:w="176" w:type="dxa"/>
            <w:tcBorders/>
            <w:shd w:fill="auto" w:val="clear"/>
            <w:vAlign w:val="bottom"/>
          </w:tcPr>
          <w:p>
            <w:pPr>
              <w:pStyle w:val="TableContents"/>
              <w:spacing w:before="0" w:after="283"/>
              <w:rPr/>
            </w:pPr>
            <w:r>
              <w:rPr/>
              <w:t> </w:t>
            </w:r>
          </w:p>
        </w:tc>
      </w:tr>
      <w:tr>
        <w:trPr/>
        <w:tc>
          <w:tcPr>
            <w:tcW w:w="1828" w:type="dxa"/>
            <w:tcBorders/>
            <w:shd w:fill="CCEEFF" w:val="clear"/>
            <w:vAlign w:val="bottom"/>
          </w:tcPr>
          <w:p>
            <w:pPr>
              <w:pStyle w:val="TableContents"/>
              <w:spacing w:before="0" w:after="0"/>
              <w:ind w:left="225" w:right="0" w:hanging="225"/>
              <w:rPr/>
            </w:pPr>
            <w:r>
              <w:rPr/>
              <w:t>Income tax expense</w:t>
            </w:r>
          </w:p>
        </w:tc>
        <w:tc>
          <w:tcPr>
            <w:tcW w:w="14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pPr>
            <w:r>
              <w:rPr/>
              <w:t></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(3.2</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w:t>
            </w:r>
          </w:p>
        </w:tc>
        <w:tc>
          <w:tcPr>
            <w:tcW w:w="19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101"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(3.2</w:t>
            </w:r>
          </w:p>
        </w:tc>
        <w:tc>
          <w:tcPr>
            <w:tcW w:w="176" w:type="dxa"/>
            <w:tcBorders/>
            <w:shd w:fill="CCEEFF"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140" w:type="dxa"/>
            <w:tcBorders/>
            <w:shd w:fill="auto" w:val="clear"/>
            <w:vAlign w:val="center"/>
          </w:tcPr>
          <w:p>
            <w:pPr>
              <w:pStyle w:val="TableContents"/>
              <w:spacing w:before="0" w:after="283"/>
              <w:rPr/>
            </w:pPr>
            <w:r>
              <w:rPr/>
              <w:t> </w:t>
            </w:r>
          </w:p>
        </w:tc>
        <w:tc>
          <w:tcPr>
            <w:tcW w:w="10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2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6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r>
      <w:tr>
        <w:trPr/>
        <w:tc>
          <w:tcPr>
            <w:tcW w:w="1828" w:type="dxa"/>
            <w:tcBorders/>
            <w:shd w:fill="auto" w:val="clear"/>
            <w:vAlign w:val="bottom"/>
          </w:tcPr>
          <w:p>
            <w:pPr>
              <w:pStyle w:val="TableContents"/>
              <w:spacing w:before="0" w:after="0"/>
              <w:ind w:left="225" w:right="0" w:hanging="225"/>
              <w:rPr/>
            </w:pPr>
            <w:r>
              <w:rPr/>
              <w:t>Net income (loss)</w:t>
            </w:r>
          </w:p>
        </w:tc>
        <w:tc>
          <w:tcPr>
            <w:tcW w:w="14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70" w:type="dxa"/>
            <w:tcBorders/>
            <w:shd w:fill="auto" w:val="clear"/>
            <w:vAlign w:val="bottom"/>
          </w:tcPr>
          <w:p>
            <w:pPr>
              <w:pStyle w:val="TableContents"/>
              <w:spacing w:before="0" w:after="283"/>
              <w:jc w:val="right"/>
              <w:rPr/>
            </w:pPr>
            <w:r>
              <w:rPr/>
              <w:t>98.4</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066" w:type="dxa"/>
            <w:tcBorders/>
            <w:shd w:fill="auto" w:val="clear"/>
            <w:vAlign w:val="bottom"/>
          </w:tcPr>
          <w:p>
            <w:pPr>
              <w:pStyle w:val="TableContents"/>
              <w:spacing w:before="0" w:after="283"/>
              <w:jc w:val="right"/>
              <w:rPr/>
            </w:pPr>
            <w:r>
              <w:rPr/>
              <w:t>132.8</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jc w:val="left"/>
              <w:rPr/>
            </w:pPr>
            <w:r>
              <w:rPr/>
              <w:t>$</w:t>
            </w:r>
          </w:p>
        </w:tc>
        <w:tc>
          <w:tcPr>
            <w:tcW w:w="1267" w:type="dxa"/>
            <w:tcBorders/>
            <w:shd w:fill="auto" w:val="clear"/>
            <w:vAlign w:val="bottom"/>
          </w:tcPr>
          <w:p>
            <w:pPr>
              <w:pStyle w:val="TableContents"/>
              <w:spacing w:before="0" w:after="283"/>
              <w:jc w:val="right"/>
              <w:rPr/>
            </w:pPr>
            <w:r>
              <w:rPr/>
              <w:t>15.5</w:t>
            </w:r>
          </w:p>
        </w:tc>
        <w:tc>
          <w:tcPr>
            <w:tcW w:w="19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jc w:val="left"/>
              <w:rPr/>
            </w:pPr>
            <w:r>
              <w:rPr/>
              <w:t>$</w:t>
            </w:r>
          </w:p>
        </w:tc>
        <w:tc>
          <w:tcPr>
            <w:tcW w:w="1101" w:type="dxa"/>
            <w:tcBorders/>
            <w:shd w:fill="auto" w:val="clear"/>
            <w:vAlign w:val="bottom"/>
          </w:tcPr>
          <w:p>
            <w:pPr>
              <w:pStyle w:val="TableContents"/>
              <w:spacing w:before="0" w:after="283"/>
              <w:jc w:val="right"/>
              <w:rPr/>
            </w:pPr>
            <w:r>
              <w:rPr/>
              <w:t>(148.3</w:t>
            </w:r>
          </w:p>
        </w:tc>
        <w:tc>
          <w:tcPr>
            <w:tcW w:w="122" w:type="dxa"/>
            <w:tcBorders/>
            <w:shd w:fill="auto" w:val="clear"/>
            <w:vAlign w:val="bottom"/>
          </w:tcPr>
          <w:p>
            <w:pPr>
              <w:pStyle w:val="TableContents"/>
              <w:spacing w:before="0" w:after="283"/>
              <w:rPr/>
            </w:pPr>
            <w:r>
              <w:rPr/>
              <w:t>)</w:t>
            </w:r>
          </w:p>
        </w:tc>
        <w:tc>
          <w:tcPr>
            <w:tcW w:w="149"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jc w:val="left"/>
              <w:rPr/>
            </w:pPr>
            <w:r>
              <w:rPr/>
              <w:t>$</w:t>
            </w:r>
          </w:p>
        </w:tc>
        <w:tc>
          <w:tcPr>
            <w:tcW w:w="1150" w:type="dxa"/>
            <w:tcBorders/>
            <w:shd w:fill="auto" w:val="clear"/>
            <w:vAlign w:val="bottom"/>
          </w:tcPr>
          <w:p>
            <w:pPr>
              <w:pStyle w:val="TableContents"/>
              <w:spacing w:before="0" w:after="283"/>
              <w:jc w:val="right"/>
              <w:rPr/>
            </w:pPr>
            <w:r>
              <w:rPr/>
              <w:t>98.4</w:t>
            </w:r>
          </w:p>
        </w:tc>
        <w:tc>
          <w:tcPr>
            <w:tcW w:w="176" w:type="dxa"/>
            <w:tcBorders/>
            <w:shd w:fill="auto" w:val="clear"/>
            <w:vAlign w:val="bottom"/>
          </w:tcPr>
          <w:p>
            <w:pPr>
              <w:pStyle w:val="TableContents"/>
              <w:spacing w:before="0" w:after="283"/>
              <w:rPr/>
            </w:pPr>
            <w:r>
              <w:rPr/>
              <w:t> </w:t>
            </w:r>
          </w:p>
        </w:tc>
      </w:tr>
      <w:tr>
        <w:trPr/>
        <w:tc>
          <w:tcPr>
            <w:tcW w:w="1828" w:type="dxa"/>
            <w:tcBorders/>
            <w:shd w:fill="auto" w:val="clear"/>
            <w:vAlign w:val="center"/>
          </w:tcPr>
          <w:p>
            <w:pPr>
              <w:pStyle w:val="TableContents"/>
              <w:spacing w:before="0" w:after="0"/>
              <w:ind w:left="225" w:right="0" w:hanging="225"/>
              <w:rPr/>
            </w:pPr>
            <w:r>
              <w:rPr/>
              <w:t> </w:t>
            </w:r>
          </w:p>
        </w:tc>
        <w:tc>
          <w:tcPr>
            <w:tcW w:w="140" w:type="dxa"/>
            <w:tcBorders/>
            <w:shd w:fill="auto" w:val="clear"/>
            <w:vAlign w:val="center"/>
          </w:tcPr>
          <w:p>
            <w:pPr>
              <w:pStyle w:val="TableContents"/>
              <w:spacing w:before="0" w:after="283"/>
              <w:rPr/>
            </w:pPr>
            <w:r>
              <w:rPr/>
              <w:t> </w:t>
            </w:r>
          </w:p>
        </w:tc>
        <w:tc>
          <w:tcPr>
            <w:tcW w:w="10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2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6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9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3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6"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73"/>
        <w:gridCol w:w="2291"/>
        <w:gridCol w:w="1041"/>
      </w:tblGrid>
      <w:tr>
        <w:trPr/>
        <w:tc>
          <w:tcPr>
            <w:tcW w:w="6873"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6873" w:type="dxa"/>
            <w:tcBorders/>
            <w:shd w:fill="auto" w:val="clear"/>
          </w:tcPr>
          <w:p>
            <w:pPr>
              <w:pStyle w:val="TableContents"/>
              <w:spacing w:before="0" w:after="283"/>
              <w:jc w:val="left"/>
              <w:rPr/>
            </w:pPr>
            <w:r>
              <w:rPr/>
              <w:t>(1)</w:t>
            </w:r>
          </w:p>
        </w:tc>
        <w:tc>
          <w:tcPr>
            <w:tcW w:w="2291" w:type="dxa"/>
            <w:tcBorders/>
            <w:shd w:fill="auto" w:val="clear"/>
          </w:tcPr>
          <w:p>
            <w:pPr>
              <w:pStyle w:val="TableContents"/>
              <w:spacing w:before="0" w:after="283"/>
              <w:rPr/>
            </w:pPr>
            <w:r>
              <w:rPr/>
              <w:t> </w:t>
            </w:r>
          </w:p>
        </w:tc>
        <w:tc>
          <w:tcPr>
            <w:tcW w:w="1041" w:type="dxa"/>
            <w:tcBorders/>
            <w:shd w:fill="auto" w:val="clear"/>
          </w:tcPr>
          <w:p>
            <w:pPr>
              <w:pStyle w:val="TableContents"/>
              <w:spacing w:before="0" w:after="283"/>
              <w:rPr/>
            </w:pPr>
            <w:r>
              <w:rPr/>
              <w:t>Net operating revenues are calculated as Total revenues less Crude oil, refined products and LPG purchases and related costs.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871"/>
        <w:gridCol w:w="146"/>
        <w:gridCol w:w="192"/>
        <w:gridCol w:w="887"/>
        <w:gridCol w:w="180"/>
        <w:gridCol w:w="151"/>
        <w:gridCol w:w="230"/>
        <w:gridCol w:w="1063"/>
        <w:gridCol w:w="180"/>
        <w:gridCol w:w="151"/>
        <w:gridCol w:w="344"/>
        <w:gridCol w:w="1304"/>
        <w:gridCol w:w="180"/>
        <w:gridCol w:w="151"/>
        <w:gridCol w:w="239"/>
        <w:gridCol w:w="1097"/>
        <w:gridCol w:w="116"/>
        <w:gridCol w:w="151"/>
        <w:gridCol w:w="219"/>
        <w:gridCol w:w="1174"/>
        <w:gridCol w:w="179"/>
      </w:tblGrid>
      <w:tr>
        <w:trPr/>
        <w:tc>
          <w:tcPr>
            <w:tcW w:w="1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009" w:type="dxa"/>
            <w:gridSpan w:val="18"/>
            <w:tcBorders/>
            <w:shd w:fill="auto" w:val="clear"/>
            <w:vAlign w:val="bottom"/>
          </w:tcPr>
          <w:p>
            <w:pPr>
              <w:pStyle w:val="TableContents"/>
              <w:spacing w:before="0" w:after="283"/>
              <w:jc w:val="center"/>
              <w:rPr>
                <w:b/>
              </w:rPr>
            </w:pPr>
            <w:r>
              <w:rPr>
                <w:b/>
              </w:rPr>
              <w:t>Condensed Consolidating Statement of Operations</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009"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September 30, 2007</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jc w:val="center"/>
              <w:rPr>
                <w:b/>
              </w:rPr>
            </w:pPr>
            <w:r>
              <w:rPr>
                <w:b/>
              </w:rPr>
              <w:t>Plains</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b/>
              </w:rPr>
            </w:pPr>
            <w:r>
              <w:rPr>
                <w:b/>
              </w:rPr>
              <w:t>Combined</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648" w:type="dxa"/>
            <w:gridSpan w:val="2"/>
            <w:tcBorders/>
            <w:shd w:fill="auto" w:val="clear"/>
            <w:vAlign w:val="bottom"/>
          </w:tcPr>
          <w:p>
            <w:pPr>
              <w:pStyle w:val="TableContents"/>
              <w:spacing w:before="0" w:after="283"/>
              <w:jc w:val="center"/>
              <w:rPr>
                <w:b/>
              </w:rPr>
            </w:pPr>
            <w:r>
              <w:rPr>
                <w:b/>
              </w:rPr>
              <w:t>Combined</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36"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3" w:type="dxa"/>
            <w:gridSpan w:val="2"/>
            <w:tcBorders/>
            <w:shd w:fill="auto" w:val="clear"/>
            <w:vAlign w:val="bottom"/>
          </w:tcPr>
          <w:p>
            <w:pPr>
              <w:pStyle w:val="TableContents"/>
              <w:spacing w:before="0" w:after="283"/>
              <w:jc w:val="center"/>
              <w:rPr/>
            </w:pPr>
            <w:r>
              <w:rPr/>
              <w:t> </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79" w:type="dxa"/>
            <w:gridSpan w:val="2"/>
            <w:tcBorders/>
            <w:shd w:fill="auto" w:val="clear"/>
            <w:vAlign w:val="bottom"/>
          </w:tcPr>
          <w:p>
            <w:pPr>
              <w:pStyle w:val="TableContents"/>
              <w:spacing w:before="0" w:after="283"/>
              <w:jc w:val="center"/>
              <w:rPr>
                <w:b/>
              </w:rPr>
            </w:pPr>
            <w:r>
              <w:rPr>
                <w:b/>
              </w:rPr>
              <w:t>All</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93" w:type="dxa"/>
            <w:gridSpan w:val="2"/>
            <w:tcBorders/>
            <w:shd w:fill="auto" w:val="clear"/>
            <w:vAlign w:val="bottom"/>
          </w:tcPr>
          <w:p>
            <w:pPr>
              <w:pStyle w:val="TableContents"/>
              <w:spacing w:before="0" w:after="283"/>
              <w:jc w:val="center"/>
              <w:rPr>
                <w:b/>
              </w:rPr>
            </w:pPr>
            <w:r>
              <w:rPr>
                <w:b/>
              </w:rPr>
              <w:t>Guarantor</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648" w:type="dxa"/>
            <w:gridSpan w:val="2"/>
            <w:tcBorders/>
            <w:shd w:fill="auto" w:val="clear"/>
            <w:vAlign w:val="bottom"/>
          </w:tcPr>
          <w:p>
            <w:pPr>
              <w:pStyle w:val="TableContents"/>
              <w:spacing w:before="0" w:after="283"/>
              <w:jc w:val="center"/>
              <w:rPr>
                <w:b/>
              </w:rPr>
            </w:pPr>
            <w:r>
              <w:rPr>
                <w:b/>
              </w:rPr>
              <w:t>Non-Guarantor</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36"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3" w:type="dxa"/>
            <w:gridSpan w:val="2"/>
            <w:tcBorders/>
            <w:shd w:fill="auto" w:val="clear"/>
            <w:vAlign w:val="bottom"/>
          </w:tcPr>
          <w:p>
            <w:pPr>
              <w:pStyle w:val="TableContents"/>
              <w:spacing w:before="0" w:after="283"/>
              <w:jc w:val="center"/>
              <w:rPr/>
            </w:pPr>
            <w:r>
              <w:rPr/>
              <w:t> </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64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3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3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009" w:type="dxa"/>
            <w:gridSpan w:val="18"/>
            <w:tcBorders/>
            <w:shd w:fill="auto" w:val="clear"/>
            <w:vAlign w:val="bottom"/>
          </w:tcPr>
          <w:p>
            <w:pPr>
              <w:pStyle w:val="TableContents"/>
              <w:spacing w:before="0" w:after="283"/>
              <w:jc w:val="center"/>
              <w:rPr>
                <w:b/>
              </w:rPr>
            </w:pPr>
            <w:r>
              <w:rPr>
                <w:b/>
              </w:rPr>
              <w:t>(in millions)</w:t>
            </w:r>
          </w:p>
        </w:tc>
        <w:tc>
          <w:tcPr>
            <w:tcW w:w="179" w:type="dxa"/>
            <w:tcBorders/>
            <w:shd w:fill="auto" w:val="clear"/>
            <w:vAlign w:val="bottom"/>
          </w:tcPr>
          <w:p>
            <w:pPr>
              <w:pStyle w:val="TableContents"/>
              <w:spacing w:before="0" w:after="283"/>
              <w:rPr/>
            </w:pPr>
            <w:r>
              <w:rPr/>
              <w:t> </w:t>
            </w:r>
          </w:p>
        </w:tc>
      </w:tr>
      <w:tr>
        <w:trPr/>
        <w:tc>
          <w:tcPr>
            <w:tcW w:w="1871" w:type="dxa"/>
            <w:tcBorders/>
            <w:shd w:fill="CCEEFF" w:val="clear"/>
            <w:vAlign w:val="bottom"/>
          </w:tcPr>
          <w:p>
            <w:pPr>
              <w:pStyle w:val="TableContents"/>
              <w:spacing w:before="0" w:after="0"/>
              <w:ind w:left="225" w:right="0" w:hanging="225"/>
              <w:rPr/>
            </w:pPr>
            <w:r>
              <w:rPr/>
              <w:t>Net operating revenues (1)</w:t>
            </w:r>
          </w:p>
        </w:tc>
        <w:tc>
          <w:tcPr>
            <w:tcW w:w="14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063" w:type="dxa"/>
            <w:tcBorders/>
            <w:shd w:fill="CCEEFF" w:val="clear"/>
            <w:vAlign w:val="bottom"/>
          </w:tcPr>
          <w:p>
            <w:pPr>
              <w:pStyle w:val="TableContents"/>
              <w:spacing w:before="0" w:after="283"/>
              <w:jc w:val="right"/>
              <w:rPr/>
            </w:pPr>
            <w:r>
              <w:rPr/>
              <w:t>970.7</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left"/>
              <w:rPr/>
            </w:pPr>
            <w:r>
              <w:rPr/>
              <w:t>$</w:t>
            </w:r>
          </w:p>
        </w:tc>
        <w:tc>
          <w:tcPr>
            <w:tcW w:w="1304" w:type="dxa"/>
            <w:tcBorders/>
            <w:shd w:fill="CCEEFF" w:val="clear"/>
            <w:vAlign w:val="bottom"/>
          </w:tcPr>
          <w:p>
            <w:pPr>
              <w:pStyle w:val="TableContents"/>
              <w:spacing w:before="0" w:after="283"/>
              <w:jc w:val="right"/>
              <w:rPr/>
            </w:pPr>
            <w:r>
              <w:rPr/>
              <w:t>91.2</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097"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jc w:val="left"/>
              <w:rPr/>
            </w:pPr>
            <w:r>
              <w:rPr/>
              <w:t>$</w:t>
            </w:r>
          </w:p>
        </w:tc>
        <w:tc>
          <w:tcPr>
            <w:tcW w:w="1174" w:type="dxa"/>
            <w:tcBorders/>
            <w:shd w:fill="CCEEFF" w:val="clear"/>
            <w:vAlign w:val="bottom"/>
          </w:tcPr>
          <w:p>
            <w:pPr>
              <w:pStyle w:val="TableContents"/>
              <w:spacing w:before="0" w:after="283"/>
              <w:jc w:val="right"/>
              <w:rPr/>
            </w:pPr>
            <w:r>
              <w:rPr/>
              <w:t>1,061.9</w:t>
            </w:r>
          </w:p>
        </w:tc>
        <w:tc>
          <w:tcPr>
            <w:tcW w:w="179" w:type="dxa"/>
            <w:tcBorders/>
            <w:shd w:fill="CCEEFF"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Field operating costs</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(367.3</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(27.5</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(394.8</w:t>
            </w:r>
          </w:p>
        </w:tc>
        <w:tc>
          <w:tcPr>
            <w:tcW w:w="179" w:type="dxa"/>
            <w:tcBorders/>
            <w:shd w:fill="auto" w:val="clear"/>
            <w:vAlign w:val="bottom"/>
          </w:tcPr>
          <w:p>
            <w:pPr>
              <w:pStyle w:val="TableContents"/>
              <w:spacing w:before="0" w:after="283"/>
              <w:rPr/>
            </w:pPr>
            <w:r>
              <w:rPr/>
              <w:t>) </w:t>
            </w:r>
          </w:p>
        </w:tc>
      </w:tr>
      <w:tr>
        <w:trPr/>
        <w:tc>
          <w:tcPr>
            <w:tcW w:w="1871" w:type="dxa"/>
            <w:tcBorders/>
            <w:shd w:fill="CCEEFF" w:val="clear"/>
            <w:vAlign w:val="bottom"/>
          </w:tcPr>
          <w:p>
            <w:pPr>
              <w:pStyle w:val="TableContents"/>
              <w:spacing w:before="0" w:after="0"/>
              <w:ind w:left="225" w:right="0" w:hanging="225"/>
              <w:rPr/>
            </w:pPr>
            <w:r>
              <w:rPr/>
              <w:t>General and administrative expenses</w:t>
            </w:r>
          </w:p>
        </w:tc>
        <w:tc>
          <w:tcPr>
            <w:tcW w:w="14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(0.1</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(126.7</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(1.1</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(127.9</w:t>
            </w:r>
          </w:p>
        </w:tc>
        <w:tc>
          <w:tcPr>
            <w:tcW w:w="179" w:type="dxa"/>
            <w:tcBorders/>
            <w:shd w:fill="CCEEFF"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Depreciation and amortization</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(2.0</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(117.8</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(15.1</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(134.9</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center"/>
          </w:tcPr>
          <w:p>
            <w:pPr>
              <w:pStyle w:val="TableContents"/>
              <w:spacing w:before="0" w:after="0"/>
              <w:ind w:left="225" w:right="0" w:hanging="225"/>
              <w:rPr/>
            </w:pPr>
            <w:r>
              <w:rPr/>
              <w:t> </w:t>
            </w:r>
          </w:p>
        </w:tc>
        <w:tc>
          <w:tcPr>
            <w:tcW w:w="146"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6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9" w:type="dxa"/>
            <w:tcBorders/>
            <w:shd w:fill="auto" w:val="clear"/>
            <w:vAlign w:val="center"/>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 </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r>
      <w:tr>
        <w:trPr/>
        <w:tc>
          <w:tcPr>
            <w:tcW w:w="1871" w:type="dxa"/>
            <w:tcBorders/>
            <w:shd w:fill="CCEEFF" w:val="clear"/>
            <w:vAlign w:val="bottom"/>
          </w:tcPr>
          <w:p>
            <w:pPr>
              <w:pStyle w:val="TableContents"/>
              <w:spacing w:before="0" w:after="0"/>
              <w:ind w:left="225" w:right="0" w:hanging="225"/>
              <w:rPr/>
            </w:pPr>
            <w:r>
              <w:rPr/>
              <w:t>Operating income</w:t>
            </w:r>
          </w:p>
        </w:tc>
        <w:tc>
          <w:tcPr>
            <w:tcW w:w="14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283"/>
              <w:jc w:val="right"/>
              <w:rPr/>
            </w:pPr>
            <w:r>
              <w:rPr/>
              <w:t>(2.1</w:t>
            </w:r>
          </w:p>
        </w:tc>
        <w:tc>
          <w:tcPr>
            <w:tcW w:w="180" w:type="dxa"/>
            <w:tcBorders/>
            <w:shd w:fill="CCEEFF" w:val="clear"/>
            <w:vAlign w:val="bottom"/>
          </w:tcPr>
          <w:p>
            <w:pPr>
              <w:pStyle w:val="TableContents"/>
              <w:spacing w:before="0" w:after="283"/>
              <w:rPr/>
            </w:pPr>
            <w:r>
              <w:rPr/>
              <w:t>)</w:t>
            </w:r>
          </w:p>
        </w:tc>
        <w:tc>
          <w:tcPr>
            <w:tcW w:w="151"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358.9</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47.5</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404.3</w:t>
            </w:r>
          </w:p>
        </w:tc>
        <w:tc>
          <w:tcPr>
            <w:tcW w:w="179" w:type="dxa"/>
            <w:tcBorders/>
            <w:shd w:fill="CCEEFF" w:val="clear"/>
            <w:vAlign w:val="bottom"/>
          </w:tcPr>
          <w:p>
            <w:pPr>
              <w:pStyle w:val="TableContents"/>
              <w:spacing w:before="0" w:after="283"/>
              <w:rPr/>
            </w:pPr>
            <w:r>
              <w:rPr/>
              <w:t> </w:t>
            </w:r>
          </w:p>
        </w:tc>
      </w:tr>
      <w:tr>
        <w:trPr/>
        <w:tc>
          <w:tcPr>
            <w:tcW w:w="1871" w:type="dxa"/>
            <w:tcBorders/>
            <w:shd w:fill="auto" w:val="clear"/>
            <w:vAlign w:val="center"/>
          </w:tcPr>
          <w:p>
            <w:pPr>
              <w:pStyle w:val="TableContents"/>
              <w:spacing w:before="0" w:after="0"/>
              <w:ind w:left="225" w:right="0" w:hanging="225"/>
              <w:rPr/>
            </w:pPr>
            <w:r>
              <w:rPr/>
              <w:t> </w:t>
            </w:r>
          </w:p>
        </w:tc>
        <w:tc>
          <w:tcPr>
            <w:tcW w:w="146"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6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9" w:type="dxa"/>
            <w:tcBorders/>
            <w:shd w:fill="auto" w:val="clear"/>
            <w:vAlign w:val="center"/>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 </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Equity earnings in unconsolidated entities</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407.7</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51.1</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 </w:t>
            </w:r>
          </w:p>
        </w:tc>
        <w:tc>
          <w:tcPr>
            <w:tcW w:w="1097" w:type="dxa"/>
            <w:tcBorders/>
            <w:shd w:fill="auto" w:val="clear"/>
            <w:vAlign w:val="bottom"/>
          </w:tcPr>
          <w:p>
            <w:pPr>
              <w:pStyle w:val="TableContents"/>
              <w:spacing w:before="0" w:after="283"/>
              <w:jc w:val="right"/>
              <w:rPr/>
            </w:pPr>
            <w:r>
              <w:rPr/>
              <w:t>(446.4</w:t>
            </w:r>
          </w:p>
        </w:tc>
        <w:tc>
          <w:tcPr>
            <w:tcW w:w="116" w:type="dxa"/>
            <w:tcBorders/>
            <w:shd w:fill="auto" w:val="clear"/>
            <w:vAlign w:val="bottom"/>
          </w:tcPr>
          <w:p>
            <w:pPr>
              <w:pStyle w:val="TableContents"/>
              <w:spacing w:before="0" w:after="283"/>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12.4</w:t>
            </w:r>
          </w:p>
        </w:tc>
        <w:tc>
          <w:tcPr>
            <w:tcW w:w="179" w:type="dxa"/>
            <w:tcBorders/>
            <w:shd w:fill="auto" w:val="clear"/>
            <w:vAlign w:val="bottom"/>
          </w:tcPr>
          <w:p>
            <w:pPr>
              <w:pStyle w:val="TableContents"/>
              <w:spacing w:before="0" w:after="283"/>
              <w:rPr/>
            </w:pPr>
            <w:r>
              <w:rPr/>
              <w:t> </w:t>
            </w:r>
          </w:p>
        </w:tc>
      </w:tr>
      <w:tr>
        <w:trPr/>
        <w:tc>
          <w:tcPr>
            <w:tcW w:w="1871" w:type="dxa"/>
            <w:tcBorders/>
            <w:shd w:fill="CCEEFF" w:val="clear"/>
            <w:vAlign w:val="bottom"/>
          </w:tcPr>
          <w:p>
            <w:pPr>
              <w:pStyle w:val="TableContents"/>
              <w:spacing w:before="0" w:after="0"/>
              <w:ind w:left="225" w:right="0" w:hanging="225"/>
              <w:rPr/>
            </w:pPr>
            <w:r>
              <w:rPr/>
              <w:t>Interest expense</w:t>
            </w:r>
          </w:p>
        </w:tc>
        <w:tc>
          <w:tcPr>
            <w:tcW w:w="14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(120.7</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(0.4</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(121.1</w:t>
            </w:r>
          </w:p>
        </w:tc>
        <w:tc>
          <w:tcPr>
            <w:tcW w:w="179" w:type="dxa"/>
            <w:tcBorders/>
            <w:shd w:fill="CCEEFF"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Interest and other income (expense), net</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3.0</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4.7</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7.7</w:t>
            </w:r>
          </w:p>
        </w:tc>
        <w:tc>
          <w:tcPr>
            <w:tcW w:w="179" w:type="dxa"/>
            <w:tcBorders/>
            <w:shd w:fill="auto" w:val="clear"/>
            <w:vAlign w:val="bottom"/>
          </w:tcPr>
          <w:p>
            <w:pPr>
              <w:pStyle w:val="TableContents"/>
              <w:spacing w:before="0" w:after="283"/>
              <w:rPr/>
            </w:pPr>
            <w:r>
              <w:rPr/>
              <w:t> </w:t>
            </w:r>
          </w:p>
        </w:tc>
      </w:tr>
      <w:tr>
        <w:trPr/>
        <w:tc>
          <w:tcPr>
            <w:tcW w:w="1871" w:type="dxa"/>
            <w:tcBorders/>
            <w:shd w:fill="CCEEFF" w:val="clear"/>
            <w:vAlign w:val="bottom"/>
          </w:tcPr>
          <w:p>
            <w:pPr>
              <w:pStyle w:val="TableContents"/>
              <w:spacing w:before="0" w:after="0"/>
              <w:ind w:left="225" w:right="0" w:hanging="225"/>
              <w:rPr/>
            </w:pPr>
            <w:r>
              <w:rPr/>
              <w:t>Income tax expense</w:t>
            </w:r>
          </w:p>
        </w:tc>
        <w:tc>
          <w:tcPr>
            <w:tcW w:w="146"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(15.4</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w:t>
            </w:r>
          </w:p>
        </w:tc>
        <w:tc>
          <w:tcPr>
            <w:tcW w:w="18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7"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(15.4</w:t>
            </w:r>
          </w:p>
        </w:tc>
        <w:tc>
          <w:tcPr>
            <w:tcW w:w="179" w:type="dxa"/>
            <w:tcBorders/>
            <w:shd w:fill="CCEEFF" w:val="clear"/>
            <w:vAlign w:val="bottom"/>
          </w:tcPr>
          <w:p>
            <w:pPr>
              <w:pStyle w:val="TableContents"/>
              <w:spacing w:before="0" w:after="283"/>
              <w:rPr/>
            </w:pPr>
            <w:r>
              <w:rPr/>
              <w:t>) </w:t>
            </w:r>
          </w:p>
        </w:tc>
      </w:tr>
      <w:tr>
        <w:trPr/>
        <w:tc>
          <w:tcPr>
            <w:tcW w:w="1871" w:type="dxa"/>
            <w:tcBorders/>
            <w:shd w:fill="auto" w:val="clear"/>
            <w:vAlign w:val="center"/>
          </w:tcPr>
          <w:p>
            <w:pPr>
              <w:pStyle w:val="TableContents"/>
              <w:spacing w:before="0" w:after="0"/>
              <w:ind w:left="225" w:right="0" w:hanging="225"/>
              <w:rPr/>
            </w:pPr>
            <w:r>
              <w:rPr/>
              <w:t> </w:t>
            </w:r>
          </w:p>
        </w:tc>
        <w:tc>
          <w:tcPr>
            <w:tcW w:w="146"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2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64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3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79" w:type="dxa"/>
            <w:tcBorders/>
            <w:shd w:fill="auto" w:val="clear"/>
            <w:vAlign w:val="center"/>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 </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7"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bottom"/>
          </w:tcPr>
          <w:p>
            <w:pPr>
              <w:pStyle w:val="TableContents"/>
              <w:spacing w:before="0" w:after="0"/>
              <w:ind w:left="225" w:right="0" w:hanging="225"/>
              <w:rPr/>
            </w:pPr>
            <w:r>
              <w:rPr/>
              <w:t>Net income (loss)</w:t>
            </w:r>
          </w:p>
        </w:tc>
        <w:tc>
          <w:tcPr>
            <w:tcW w:w="146"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887" w:type="dxa"/>
            <w:tcBorders/>
            <w:shd w:fill="auto" w:val="clear"/>
            <w:vAlign w:val="bottom"/>
          </w:tcPr>
          <w:p>
            <w:pPr>
              <w:pStyle w:val="TableContents"/>
              <w:spacing w:before="0" w:after="283"/>
              <w:jc w:val="right"/>
              <w:rPr/>
            </w:pPr>
            <w:r>
              <w:rPr/>
              <w:t>287.9</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063" w:type="dxa"/>
            <w:tcBorders/>
            <w:shd w:fill="auto" w:val="clear"/>
            <w:vAlign w:val="bottom"/>
          </w:tcPr>
          <w:p>
            <w:pPr>
              <w:pStyle w:val="TableContents"/>
              <w:spacing w:before="0" w:after="283"/>
              <w:jc w:val="right"/>
              <w:rPr/>
            </w:pPr>
            <w:r>
              <w:rPr/>
              <w:t>398.9</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jc w:val="left"/>
              <w:rPr/>
            </w:pPr>
            <w:r>
              <w:rPr/>
              <w:t>$</w:t>
            </w:r>
          </w:p>
        </w:tc>
        <w:tc>
          <w:tcPr>
            <w:tcW w:w="1304" w:type="dxa"/>
            <w:tcBorders/>
            <w:shd w:fill="auto" w:val="clear"/>
            <w:vAlign w:val="bottom"/>
          </w:tcPr>
          <w:p>
            <w:pPr>
              <w:pStyle w:val="TableContents"/>
              <w:spacing w:before="0" w:after="283"/>
              <w:jc w:val="right"/>
              <w:rPr/>
            </w:pPr>
            <w:r>
              <w:rPr/>
              <w:t>47.5</w:t>
            </w:r>
          </w:p>
        </w:tc>
        <w:tc>
          <w:tcPr>
            <w:tcW w:w="18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097" w:type="dxa"/>
            <w:tcBorders/>
            <w:shd w:fill="auto" w:val="clear"/>
            <w:vAlign w:val="bottom"/>
          </w:tcPr>
          <w:p>
            <w:pPr>
              <w:pStyle w:val="TableContents"/>
              <w:spacing w:before="0" w:after="283"/>
              <w:jc w:val="right"/>
              <w:rPr/>
            </w:pPr>
            <w:r>
              <w:rPr/>
              <w:t>(446.4</w:t>
            </w:r>
          </w:p>
        </w:tc>
        <w:tc>
          <w:tcPr>
            <w:tcW w:w="116" w:type="dxa"/>
            <w:tcBorders/>
            <w:shd w:fill="auto" w:val="clear"/>
            <w:vAlign w:val="bottom"/>
          </w:tcPr>
          <w:p>
            <w:pPr>
              <w:pStyle w:val="TableContents"/>
              <w:spacing w:before="0" w:after="283"/>
              <w:rPr/>
            </w:pPr>
            <w:r>
              <w:rPr/>
              <w:t>)</w:t>
            </w:r>
          </w:p>
        </w:tc>
        <w:tc>
          <w:tcPr>
            <w:tcW w:w="151"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1174" w:type="dxa"/>
            <w:tcBorders/>
            <w:shd w:fill="auto" w:val="clear"/>
            <w:vAlign w:val="bottom"/>
          </w:tcPr>
          <w:p>
            <w:pPr>
              <w:pStyle w:val="TableContents"/>
              <w:spacing w:before="0" w:after="283"/>
              <w:jc w:val="right"/>
              <w:rPr/>
            </w:pPr>
            <w:r>
              <w:rPr/>
              <w:t>287.9</w:t>
            </w:r>
          </w:p>
        </w:tc>
        <w:tc>
          <w:tcPr>
            <w:tcW w:w="179" w:type="dxa"/>
            <w:tcBorders/>
            <w:shd w:fill="auto" w:val="clear"/>
            <w:vAlign w:val="bottom"/>
          </w:tcPr>
          <w:p>
            <w:pPr>
              <w:pStyle w:val="TableContents"/>
              <w:spacing w:before="0" w:after="283"/>
              <w:rPr/>
            </w:pPr>
            <w:r>
              <w:rPr/>
              <w:t> </w:t>
            </w:r>
          </w:p>
        </w:tc>
      </w:tr>
      <w:tr>
        <w:trPr/>
        <w:tc>
          <w:tcPr>
            <w:tcW w:w="1871" w:type="dxa"/>
            <w:tcBorders/>
            <w:shd w:fill="auto" w:val="clear"/>
            <w:vAlign w:val="center"/>
          </w:tcPr>
          <w:p>
            <w:pPr>
              <w:pStyle w:val="TableContents"/>
              <w:spacing w:before="0" w:after="0"/>
              <w:ind w:left="225" w:right="0" w:hanging="225"/>
              <w:rPr/>
            </w:pPr>
            <w:r>
              <w:rPr/>
              <w:t> </w:t>
            </w:r>
          </w:p>
        </w:tc>
        <w:tc>
          <w:tcPr>
            <w:tcW w:w="146"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2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64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3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13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79"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73"/>
        <w:gridCol w:w="2291"/>
        <w:gridCol w:w="1041"/>
      </w:tblGrid>
      <w:tr>
        <w:trPr/>
        <w:tc>
          <w:tcPr>
            <w:tcW w:w="6873"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r>
      <w:tr>
        <w:trPr/>
        <w:tc>
          <w:tcPr>
            <w:tcW w:w="6873" w:type="dxa"/>
            <w:tcBorders/>
            <w:shd w:fill="auto" w:val="clear"/>
          </w:tcPr>
          <w:p>
            <w:pPr>
              <w:pStyle w:val="TableContents"/>
              <w:spacing w:before="0" w:after="283"/>
              <w:jc w:val="left"/>
              <w:rPr/>
            </w:pPr>
            <w:r>
              <w:rPr/>
              <w:t>(1)</w:t>
            </w:r>
          </w:p>
        </w:tc>
        <w:tc>
          <w:tcPr>
            <w:tcW w:w="2291" w:type="dxa"/>
            <w:tcBorders/>
            <w:shd w:fill="auto" w:val="clear"/>
          </w:tcPr>
          <w:p>
            <w:pPr>
              <w:pStyle w:val="TableContents"/>
              <w:spacing w:before="0" w:after="283"/>
              <w:rPr/>
            </w:pPr>
            <w:r>
              <w:rPr/>
              <w:t> </w:t>
            </w:r>
          </w:p>
        </w:tc>
        <w:tc>
          <w:tcPr>
            <w:tcW w:w="1041" w:type="dxa"/>
            <w:tcBorders/>
            <w:shd w:fill="auto" w:val="clear"/>
          </w:tcPr>
          <w:p>
            <w:pPr>
              <w:pStyle w:val="TableContents"/>
              <w:spacing w:before="0" w:after="283"/>
              <w:rPr/>
            </w:pPr>
            <w:r>
              <w:rPr/>
              <w:t>Net operating revenues are calculated as Total revenues less Crude oil, refined products and LPG purchases and related costs.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949"/>
        <w:gridCol w:w="152"/>
        <w:gridCol w:w="193"/>
        <w:gridCol w:w="890"/>
        <w:gridCol w:w="127"/>
        <w:gridCol w:w="164"/>
        <w:gridCol w:w="230"/>
        <w:gridCol w:w="1065"/>
        <w:gridCol w:w="127"/>
        <w:gridCol w:w="164"/>
        <w:gridCol w:w="345"/>
        <w:gridCol w:w="1305"/>
        <w:gridCol w:w="127"/>
        <w:gridCol w:w="164"/>
        <w:gridCol w:w="239"/>
        <w:gridCol w:w="1098"/>
        <w:gridCol w:w="127"/>
        <w:gridCol w:w="164"/>
        <w:gridCol w:w="247"/>
        <w:gridCol w:w="1148"/>
        <w:gridCol w:w="180"/>
      </w:tblGrid>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24" w:type="dxa"/>
            <w:gridSpan w:val="18"/>
            <w:tcBorders/>
            <w:shd w:fill="auto" w:val="clear"/>
            <w:vAlign w:val="bottom"/>
          </w:tcPr>
          <w:p>
            <w:pPr>
              <w:pStyle w:val="TableContents"/>
              <w:spacing w:before="0" w:after="283"/>
              <w:jc w:val="center"/>
              <w:rPr>
                <w:b/>
              </w:rPr>
            </w:pPr>
            <w:r>
              <w:rPr>
                <w:b/>
              </w:rPr>
              <w:t>Condensed Consolidating Statements of Cash Flows</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24" w:type="dxa"/>
            <w:gridSpan w:val="18"/>
            <w:tcBorders>
              <w:bottom w:val="single" w:sz="2" w:space="0" w:color="000000"/>
            </w:tcBorders>
            <w:shd w:fill="auto" w:val="clear"/>
            <w:tcMar>
              <w:bottom w:w="28" w:type="dxa"/>
            </w:tcMar>
            <w:vAlign w:val="bottom"/>
          </w:tcPr>
          <w:p>
            <w:pPr>
              <w:pStyle w:val="TableContents"/>
              <w:spacing w:before="0" w:after="283"/>
              <w:jc w:val="center"/>
              <w:rPr>
                <w:b/>
              </w:rPr>
            </w:pPr>
            <w:r>
              <w:rPr>
                <w:b/>
              </w:rPr>
              <w:t>Nine Months Ended September 30, 2007</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Plains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jc w:val="center"/>
              <w:rPr>
                <w:b/>
              </w:rPr>
            </w:pPr>
            <w:r>
              <w:rPr>
                <w:b/>
              </w:rPr>
              <w:t>Combined</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50" w:type="dxa"/>
            <w:gridSpan w:val="2"/>
            <w:tcBorders/>
            <w:shd w:fill="auto" w:val="clear"/>
            <w:vAlign w:val="bottom"/>
          </w:tcPr>
          <w:p>
            <w:pPr>
              <w:pStyle w:val="TableContents"/>
              <w:spacing w:before="0" w:after="283"/>
              <w:jc w:val="center"/>
              <w:rPr>
                <w:b/>
              </w:rPr>
            </w:pPr>
            <w:r>
              <w:rPr>
                <w:b/>
              </w:rPr>
              <w:t>Combined</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083" w:type="dxa"/>
            <w:gridSpan w:val="2"/>
            <w:tcBorders/>
            <w:shd w:fill="auto" w:val="clear"/>
            <w:vAlign w:val="bottom"/>
          </w:tcPr>
          <w:p>
            <w:pPr>
              <w:pStyle w:val="TableContents"/>
              <w:spacing w:before="0" w:after="283"/>
              <w:jc w:val="center"/>
              <w:rPr>
                <w:b/>
              </w:rPr>
            </w:pPr>
            <w:r>
              <w:rPr>
                <w:b/>
              </w:rPr>
              <w:t>All</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jc w:val="center"/>
              <w:rPr>
                <w:b/>
              </w:rPr>
            </w:pPr>
            <w:r>
              <w:rPr>
                <w:b/>
              </w:rPr>
              <w:t>Guarantor</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50" w:type="dxa"/>
            <w:gridSpan w:val="2"/>
            <w:tcBorders/>
            <w:shd w:fill="auto" w:val="clear"/>
            <w:vAlign w:val="bottom"/>
          </w:tcPr>
          <w:p>
            <w:pPr>
              <w:pStyle w:val="TableContents"/>
              <w:spacing w:before="0" w:after="283"/>
              <w:jc w:val="center"/>
              <w:rPr>
                <w:b/>
              </w:rPr>
            </w:pPr>
            <w:r>
              <w:rPr>
                <w:b/>
              </w:rPr>
              <w:t>Non-Guarantor</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37" w:type="dxa"/>
            <w:gridSpan w:val="2"/>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95" w:type="dxa"/>
            <w:gridSpan w:val="2"/>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08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American</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6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Subsidiaries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3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924" w:type="dxa"/>
            <w:gridSpan w:val="18"/>
            <w:tcBorders/>
            <w:shd w:fill="auto" w:val="clear"/>
            <w:vAlign w:val="bottom"/>
          </w:tcPr>
          <w:p>
            <w:pPr>
              <w:pStyle w:val="TableContents"/>
              <w:spacing w:before="0" w:after="283"/>
              <w:jc w:val="center"/>
              <w:rPr>
                <w:b/>
              </w:rPr>
            </w:pPr>
            <w:r>
              <w:rPr>
                <w:b/>
              </w:rPr>
              <w:t>(in millions)</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FLOWS FROM OPERATING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Net income</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890" w:type="dxa"/>
            <w:tcBorders/>
            <w:shd w:fill="auto" w:val="clear"/>
            <w:vAlign w:val="bottom"/>
          </w:tcPr>
          <w:p>
            <w:pPr>
              <w:pStyle w:val="TableContents"/>
              <w:spacing w:before="0" w:after="283"/>
              <w:jc w:val="right"/>
              <w:rPr/>
            </w:pPr>
            <w:r>
              <w:rPr/>
              <w:t>287.9</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065" w:type="dxa"/>
            <w:tcBorders/>
            <w:shd w:fill="auto" w:val="clear"/>
            <w:vAlign w:val="bottom"/>
          </w:tcPr>
          <w:p>
            <w:pPr>
              <w:pStyle w:val="TableContents"/>
              <w:spacing w:before="0" w:after="283"/>
              <w:jc w:val="right"/>
              <w:rPr/>
            </w:pPr>
            <w:r>
              <w:rPr/>
              <w:t>398.9</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jc w:val="left"/>
              <w:rPr/>
            </w:pPr>
            <w:r>
              <w:rPr/>
              <w:t>$</w:t>
            </w:r>
          </w:p>
        </w:tc>
        <w:tc>
          <w:tcPr>
            <w:tcW w:w="1305" w:type="dxa"/>
            <w:tcBorders/>
            <w:shd w:fill="auto" w:val="clear"/>
            <w:vAlign w:val="bottom"/>
          </w:tcPr>
          <w:p>
            <w:pPr>
              <w:pStyle w:val="TableContents"/>
              <w:spacing w:before="0" w:after="283"/>
              <w:jc w:val="right"/>
              <w:rPr/>
            </w:pPr>
            <w:r>
              <w:rPr/>
              <w:t>47.5</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jc w:val="left"/>
              <w:rPr/>
            </w:pPr>
            <w:r>
              <w:rPr/>
              <w:t>$</w:t>
            </w:r>
          </w:p>
        </w:tc>
        <w:tc>
          <w:tcPr>
            <w:tcW w:w="1098" w:type="dxa"/>
            <w:tcBorders/>
            <w:shd w:fill="auto" w:val="clear"/>
            <w:vAlign w:val="bottom"/>
          </w:tcPr>
          <w:p>
            <w:pPr>
              <w:pStyle w:val="TableContents"/>
              <w:spacing w:before="0" w:after="283"/>
              <w:jc w:val="right"/>
              <w:rPr/>
            </w:pPr>
            <w:r>
              <w:rPr/>
              <w:t>(446.4</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w:t>
            </w:r>
          </w:p>
        </w:tc>
        <w:tc>
          <w:tcPr>
            <w:tcW w:w="1148" w:type="dxa"/>
            <w:tcBorders/>
            <w:shd w:fill="auto" w:val="clear"/>
            <w:vAlign w:val="bottom"/>
          </w:tcPr>
          <w:p>
            <w:pPr>
              <w:pStyle w:val="TableContents"/>
              <w:spacing w:before="0" w:after="283"/>
              <w:jc w:val="right"/>
              <w:rPr/>
            </w:pPr>
            <w:r>
              <w:rPr/>
              <w:t>287.9</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Adjustments to reconcile to cash flows from operating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Depreciation, amortization and other</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2.0</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117.8</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15.1</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134.9</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450" w:right="0" w:hanging="225"/>
              <w:rPr/>
            </w:pPr>
            <w:r>
              <w:rPr/>
              <w:t>SFAS 133 mark-to-market adjustment</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(1.7</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16.5</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14.8</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Gain on sale of investment assets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(3.9</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1148" w:type="dxa"/>
            <w:tcBorders/>
            <w:shd w:fill="auto" w:val="clear"/>
            <w:vAlign w:val="bottom"/>
          </w:tcPr>
          <w:p>
            <w:pPr>
              <w:pStyle w:val="TableContents"/>
              <w:spacing w:before="0" w:after="283"/>
              <w:jc w:val="right"/>
              <w:rPr/>
            </w:pPr>
            <w:r>
              <w:rPr/>
              <w:t>(3.9</w:t>
            </w:r>
          </w:p>
        </w:tc>
        <w:tc>
          <w:tcPr>
            <w:tcW w:w="180" w:type="dxa"/>
            <w:tcBorders/>
            <w:shd w:fill="auto" w:val="clear"/>
            <w:vAlign w:val="bottom"/>
          </w:tcPr>
          <w:p>
            <w:pPr>
              <w:pStyle w:val="TableContents"/>
              <w:spacing w:before="0" w:after="283"/>
              <w:rPr/>
            </w:pPr>
            <w:r>
              <w:rPr/>
              <w:t>)</w:t>
            </w:r>
          </w:p>
        </w:tc>
      </w:tr>
      <w:tr>
        <w:trPr/>
        <w:tc>
          <w:tcPr>
            <w:tcW w:w="1949" w:type="dxa"/>
            <w:tcBorders/>
            <w:shd w:fill="CCEEFF" w:val="clear"/>
            <w:vAlign w:val="bottom"/>
          </w:tcPr>
          <w:p>
            <w:pPr>
              <w:pStyle w:val="TableContents"/>
              <w:spacing w:before="0" w:after="0"/>
              <w:ind w:left="450" w:right="0" w:hanging="225"/>
              <w:rPr/>
            </w:pPr>
            <w:r>
              <w:rPr/>
              <w:t>Equity compensation charge</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41.4</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41.4</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Income tax expense</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15.4</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15.4</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450" w:right="0" w:hanging="225"/>
              <w:rPr/>
            </w:pPr>
            <w:r>
              <w:rPr/>
              <w:t>Noncash amortization of terminated interest rate hedging instruments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0.6</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0.6</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450" w:right="0" w:hanging="225"/>
              <w:rPr/>
            </w:pPr>
            <w:r>
              <w:rPr/>
              <w:t>Gain on foreign currency revaluation</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(3.2</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1148" w:type="dxa"/>
            <w:tcBorders/>
            <w:shd w:fill="auto" w:val="clear"/>
            <w:vAlign w:val="bottom"/>
          </w:tcPr>
          <w:p>
            <w:pPr>
              <w:pStyle w:val="TableContents"/>
              <w:spacing w:before="0" w:after="283"/>
              <w:jc w:val="right"/>
              <w:rPr/>
            </w:pPr>
            <w:r>
              <w:rPr/>
              <w:t>(3.2</w:t>
            </w:r>
          </w:p>
        </w:tc>
        <w:tc>
          <w:tcPr>
            <w:tcW w:w="180" w:type="dxa"/>
            <w:tcBorders/>
            <w:shd w:fill="auto" w:val="clear"/>
            <w:vAlign w:val="bottom"/>
          </w:tcPr>
          <w:p>
            <w:pPr>
              <w:pStyle w:val="TableContents"/>
              <w:spacing w:before="0" w:after="283"/>
              <w:rPr/>
            </w:pPr>
            <w:r>
              <w:rPr/>
              <w:t>)</w:t>
            </w:r>
          </w:p>
        </w:tc>
      </w:tr>
      <w:tr>
        <w:trPr/>
        <w:tc>
          <w:tcPr>
            <w:tcW w:w="1949" w:type="dxa"/>
            <w:tcBorders/>
            <w:shd w:fill="CCEEFF" w:val="clear"/>
            <w:vAlign w:val="bottom"/>
          </w:tcPr>
          <w:p>
            <w:pPr>
              <w:pStyle w:val="TableContents"/>
              <w:spacing w:before="0" w:after="0"/>
              <w:ind w:left="450" w:right="0" w:hanging="225"/>
              <w:rPr/>
            </w:pPr>
            <w:r>
              <w:rPr/>
              <w:t>Equity earnings in unconsolidated entities, net of distributions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(407.7</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(49.8</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446.4</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(11.1</w:t>
            </w:r>
          </w:p>
        </w:tc>
        <w:tc>
          <w:tcPr>
            <w:tcW w:w="180" w:type="dxa"/>
            <w:tcBorders/>
            <w:shd w:fill="CCEEFF" w:val="clear"/>
            <w:vAlign w:val="bottom"/>
          </w:tcPr>
          <w:p>
            <w:pPr>
              <w:pStyle w:val="TableContents"/>
              <w:spacing w:before="0" w:after="283"/>
              <w:rPr/>
            </w:pPr>
            <w:r>
              <w:rPr/>
              <w:t>)</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Net change in assets and liabilities, net of acquisitions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76.3</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453.8</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(38.4</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491.7</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675" w:right="0" w:hanging="225"/>
              <w:rPr/>
            </w:pPr>
            <w:r>
              <w:rPr/>
              <w:t>Net cash provided by (used in) operating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(42.6</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986.9</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24.2</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968.5</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CASH FLOWS FROM INVESTING ACTIVITIES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paid in connection with acquisition</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(69.2</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(69.2</w:t>
            </w:r>
          </w:p>
        </w:tc>
        <w:tc>
          <w:tcPr>
            <w:tcW w:w="180" w:type="dxa"/>
            <w:tcBorders/>
            <w:shd w:fill="CCEEFF" w:val="clear"/>
            <w:vAlign w:val="bottom"/>
          </w:tcPr>
          <w:p>
            <w:pPr>
              <w:pStyle w:val="TableContents"/>
              <w:spacing w:before="0" w:after="283"/>
              <w:rPr/>
            </w:pPr>
            <w:r>
              <w:rPr/>
              <w:t>)</w:t>
            </w:r>
          </w:p>
        </w:tc>
      </w:tr>
      <w:tr>
        <w:trPr/>
        <w:tc>
          <w:tcPr>
            <w:tcW w:w="1949" w:type="dxa"/>
            <w:tcBorders/>
            <w:shd w:fill="auto" w:val="clear"/>
            <w:vAlign w:val="bottom"/>
          </w:tcPr>
          <w:p>
            <w:pPr>
              <w:pStyle w:val="TableContents"/>
              <w:spacing w:before="0" w:after="0"/>
              <w:ind w:left="225" w:right="0" w:hanging="225"/>
              <w:rPr/>
            </w:pPr>
            <w:r>
              <w:rPr/>
              <w:t>Additions to property and equipment</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(377.6</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(24.2</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(401.8</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Investment in unconsolidated entities, net</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(9.3</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(9.3</w:t>
            </w:r>
          </w:p>
        </w:tc>
        <w:tc>
          <w:tcPr>
            <w:tcW w:w="180" w:type="dxa"/>
            <w:tcBorders/>
            <w:shd w:fill="CCEEFF" w:val="clear"/>
            <w:vAlign w:val="bottom"/>
          </w:tcPr>
          <w:p>
            <w:pPr>
              <w:pStyle w:val="TableContents"/>
              <w:spacing w:before="0" w:after="283"/>
              <w:rPr/>
            </w:pPr>
            <w:r>
              <w:rPr/>
              <w:t>)</w:t>
            </w:r>
          </w:p>
        </w:tc>
      </w:tr>
      <w:tr>
        <w:trPr/>
        <w:tc>
          <w:tcPr>
            <w:tcW w:w="1949" w:type="dxa"/>
            <w:tcBorders/>
            <w:shd w:fill="auto" w:val="clear"/>
            <w:vAlign w:val="bottom"/>
          </w:tcPr>
          <w:p>
            <w:pPr>
              <w:pStyle w:val="TableContents"/>
              <w:spacing w:before="0" w:after="0"/>
              <w:ind w:left="225" w:right="0" w:hanging="225"/>
              <w:rPr/>
            </w:pPr>
            <w:r>
              <w:rPr/>
              <w:t>Cash paid for linefill in assets owned</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(17.6</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1148" w:type="dxa"/>
            <w:tcBorders/>
            <w:shd w:fill="auto" w:val="clear"/>
            <w:vAlign w:val="bottom"/>
          </w:tcPr>
          <w:p>
            <w:pPr>
              <w:pStyle w:val="TableContents"/>
              <w:spacing w:before="0" w:after="283"/>
              <w:jc w:val="right"/>
              <w:rPr/>
            </w:pPr>
            <w:r>
              <w:rPr/>
              <w:t>(17.6</w:t>
            </w:r>
          </w:p>
        </w:tc>
        <w:tc>
          <w:tcPr>
            <w:tcW w:w="180" w:type="dxa"/>
            <w:tcBorders/>
            <w:shd w:fill="auto" w:val="clear"/>
            <w:vAlign w:val="bottom"/>
          </w:tcPr>
          <w:p>
            <w:pPr>
              <w:pStyle w:val="TableContents"/>
              <w:spacing w:before="0" w:after="283"/>
              <w:rPr/>
            </w:pPr>
            <w:r>
              <w:rPr/>
              <w:t>)</w:t>
            </w:r>
          </w:p>
        </w:tc>
      </w:tr>
      <w:tr>
        <w:trPr/>
        <w:tc>
          <w:tcPr>
            <w:tcW w:w="1949" w:type="dxa"/>
            <w:tcBorders/>
            <w:shd w:fill="CCEEFF" w:val="clear"/>
            <w:vAlign w:val="bottom"/>
          </w:tcPr>
          <w:p>
            <w:pPr>
              <w:pStyle w:val="TableContents"/>
              <w:spacing w:before="0" w:after="0"/>
              <w:ind w:left="225" w:right="0" w:hanging="225"/>
              <w:rPr/>
            </w:pPr>
            <w:r>
              <w:rPr/>
              <w:t>Proceeds from sales of assets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13.7</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13.7</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675" w:right="0" w:hanging="225"/>
              <w:rPr/>
            </w:pPr>
            <w:r>
              <w:rPr/>
              <w:t>Net cash used in investing activities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pPr>
            <w:r>
              <w:rPr/>
              <w:t>(9.3</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(450.7</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(24.2</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1148" w:type="dxa"/>
            <w:tcBorders/>
            <w:shd w:fill="auto" w:val="clear"/>
            <w:vAlign w:val="bottom"/>
          </w:tcPr>
          <w:p>
            <w:pPr>
              <w:pStyle w:val="TableContents"/>
              <w:spacing w:before="0" w:after="283"/>
              <w:jc w:val="right"/>
              <w:rPr/>
            </w:pPr>
            <w:r>
              <w:rPr/>
              <w:t>(484.2</w:t>
            </w:r>
          </w:p>
        </w:tc>
        <w:tc>
          <w:tcPr>
            <w:tcW w:w="180" w:type="dxa"/>
            <w:tcBorders/>
            <w:shd w:fill="auto" w:val="clear"/>
            <w:vAlign w:val="bottom"/>
          </w:tcPr>
          <w:p>
            <w:pPr>
              <w:pStyle w:val="TableContents"/>
              <w:spacing w:before="0" w:after="283"/>
              <w:rPr/>
            </w:pPr>
            <w:r>
              <w:rPr/>
              <w:t>)</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FLOWS FROM FINANCING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Net repayments on working capital revolving credit facility</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(125.6</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1148" w:type="dxa"/>
            <w:tcBorders/>
            <w:shd w:fill="auto" w:val="clear"/>
            <w:vAlign w:val="bottom"/>
          </w:tcPr>
          <w:p>
            <w:pPr>
              <w:pStyle w:val="TableContents"/>
              <w:spacing w:before="0" w:after="283"/>
              <w:jc w:val="right"/>
              <w:rPr/>
            </w:pPr>
            <w:r>
              <w:rPr/>
              <w:t>(125.6</w:t>
            </w:r>
          </w:p>
        </w:tc>
        <w:tc>
          <w:tcPr>
            <w:tcW w:w="180" w:type="dxa"/>
            <w:tcBorders/>
            <w:shd w:fill="auto" w:val="clear"/>
            <w:vAlign w:val="bottom"/>
          </w:tcPr>
          <w:p>
            <w:pPr>
              <w:pStyle w:val="TableContents"/>
              <w:spacing w:before="0" w:after="283"/>
              <w:rPr/>
            </w:pPr>
            <w:r>
              <w:rPr/>
              <w:t>)</w:t>
            </w:r>
          </w:p>
        </w:tc>
      </w:tr>
      <w:tr>
        <w:trPr/>
        <w:tc>
          <w:tcPr>
            <w:tcW w:w="1949" w:type="dxa"/>
            <w:tcBorders/>
            <w:shd w:fill="CCEEFF" w:val="clear"/>
            <w:vAlign w:val="bottom"/>
          </w:tcPr>
          <w:p>
            <w:pPr>
              <w:pStyle w:val="TableContents"/>
              <w:spacing w:before="0" w:after="0"/>
              <w:ind w:left="225" w:right="0" w:hanging="225"/>
              <w:rPr/>
            </w:pPr>
            <w:r>
              <w:rPr/>
              <w:t>Net repayments on short-term letter of credit and hedged inventory facility</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(417.5</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(417.5</w:t>
            </w:r>
          </w:p>
        </w:tc>
        <w:tc>
          <w:tcPr>
            <w:tcW w:w="180" w:type="dxa"/>
            <w:tcBorders/>
            <w:shd w:fill="CCEEFF" w:val="clear"/>
            <w:vAlign w:val="bottom"/>
          </w:tcPr>
          <w:p>
            <w:pPr>
              <w:pStyle w:val="TableContents"/>
              <w:spacing w:before="0" w:after="283"/>
              <w:rPr/>
            </w:pPr>
            <w:r>
              <w:rPr/>
              <w:t>)</w:t>
            </w:r>
          </w:p>
        </w:tc>
      </w:tr>
      <w:tr>
        <w:trPr/>
        <w:tc>
          <w:tcPr>
            <w:tcW w:w="1949" w:type="dxa"/>
            <w:tcBorders/>
            <w:shd w:fill="auto" w:val="clear"/>
            <w:vAlign w:val="bottom"/>
          </w:tcPr>
          <w:p>
            <w:pPr>
              <w:pStyle w:val="TableContents"/>
              <w:spacing w:before="0" w:after="0"/>
              <w:ind w:left="225" w:right="0" w:hanging="225"/>
              <w:rPr/>
            </w:pPr>
            <w:r>
              <w:rPr/>
              <w:t>Net proceeds from the issuance of common units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382.5</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382.5</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Distributions paid to unitholders and general partner</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(330.2</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(330.2</w:t>
            </w:r>
          </w:p>
        </w:tc>
        <w:tc>
          <w:tcPr>
            <w:tcW w:w="180" w:type="dxa"/>
            <w:tcBorders/>
            <w:shd w:fill="CCEEFF" w:val="clear"/>
            <w:vAlign w:val="bottom"/>
          </w:tcPr>
          <w:p>
            <w:pPr>
              <w:pStyle w:val="TableContents"/>
              <w:spacing w:before="0" w:after="283"/>
              <w:rPr/>
            </w:pPr>
            <w:r>
              <w:rPr/>
              <w:t>)</w:t>
            </w:r>
          </w:p>
        </w:tc>
      </w:tr>
      <w:tr>
        <w:trPr/>
        <w:tc>
          <w:tcPr>
            <w:tcW w:w="1949" w:type="dxa"/>
            <w:tcBorders/>
            <w:shd w:fill="auto" w:val="clear"/>
            <w:vAlign w:val="bottom"/>
          </w:tcPr>
          <w:p>
            <w:pPr>
              <w:pStyle w:val="TableContents"/>
              <w:spacing w:before="0" w:after="0"/>
              <w:ind w:left="225" w:right="0" w:hanging="225"/>
              <w:rPr/>
            </w:pPr>
            <w:r>
              <w:rPr/>
              <w:t>Other financing activities</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(0.5</w:t>
            </w:r>
          </w:p>
        </w:tc>
        <w:tc>
          <w:tcPr>
            <w:tcW w:w="127" w:type="dxa"/>
            <w:tcBorders/>
            <w:shd w:fill="auto" w:val="clear"/>
            <w:vAlign w:val="bottom"/>
          </w:tcPr>
          <w:p>
            <w:pPr>
              <w:pStyle w:val="TableContents"/>
              <w:spacing w:before="0" w:after="283"/>
              <w:rPr/>
            </w:pPr>
            <w:r>
              <w:rPr/>
              <w:t>)</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jc w:val="left"/>
              <w:rPr/>
            </w:pPr>
            <w:r>
              <w:rPr/>
              <w:t> </w:t>
            </w:r>
          </w:p>
        </w:tc>
        <w:tc>
          <w:tcPr>
            <w:tcW w:w="1148" w:type="dxa"/>
            <w:tcBorders/>
            <w:shd w:fill="auto" w:val="clear"/>
            <w:vAlign w:val="bottom"/>
          </w:tcPr>
          <w:p>
            <w:pPr>
              <w:pStyle w:val="TableContents"/>
              <w:spacing w:before="0" w:after="283"/>
              <w:jc w:val="right"/>
              <w:rPr/>
            </w:pPr>
            <w:r>
              <w:rPr/>
              <w:t>(0.5</w:t>
            </w:r>
          </w:p>
        </w:tc>
        <w:tc>
          <w:tcPr>
            <w:tcW w:w="180" w:type="dxa"/>
            <w:tcBorders/>
            <w:shd w:fill="auto" w:val="clear"/>
            <w:vAlign w:val="bottom"/>
          </w:tcPr>
          <w:p>
            <w:pPr>
              <w:pStyle w:val="TableContents"/>
              <w:spacing w:before="0" w:after="283"/>
              <w:rPr/>
            </w:pPr>
            <w:r>
              <w:rPr/>
              <w:t>)</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675" w:right="0" w:hanging="225"/>
              <w:rPr/>
            </w:pPr>
            <w:r>
              <w:rPr/>
              <w:t>Net cash provided by (used in) financing activities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pPr>
            <w:r>
              <w:rPr/>
              <w:t>52.3</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(543.6</w:t>
            </w:r>
          </w:p>
        </w:tc>
        <w:tc>
          <w:tcPr>
            <w:tcW w:w="127" w:type="dxa"/>
            <w:tcBorders/>
            <w:shd w:fill="CCEEFF" w:val="clear"/>
            <w:vAlign w:val="bottom"/>
          </w:tcPr>
          <w:p>
            <w:pPr>
              <w:pStyle w:val="TableContents"/>
              <w:spacing w:before="0" w:after="283"/>
              <w:rPr/>
            </w:pPr>
            <w:r>
              <w:rPr/>
              <w:t>)</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(491.3</w:t>
            </w:r>
          </w:p>
        </w:tc>
        <w:tc>
          <w:tcPr>
            <w:tcW w:w="180" w:type="dxa"/>
            <w:tcBorders/>
            <w:shd w:fill="CCEEFF" w:val="clear"/>
            <w:vAlign w:val="bottom"/>
          </w:tcPr>
          <w:p>
            <w:pPr>
              <w:pStyle w:val="TableContents"/>
              <w:spacing w:before="0" w:after="283"/>
              <w:rPr/>
            </w:pPr>
            <w:r>
              <w:rPr/>
              <w:t>)</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Effect of translation adjustment on cash</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8.2</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8.2</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bottom"/>
          </w:tcPr>
          <w:p>
            <w:pPr>
              <w:pStyle w:val="TableContents"/>
              <w:spacing w:before="0" w:after="0"/>
              <w:ind w:left="225" w:right="0" w:hanging="225"/>
              <w:rPr/>
            </w:pPr>
            <w:r>
              <w:rPr/>
              <w:t> </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Net increase (decrease) in cash and cash equivalents</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890" w:type="dxa"/>
            <w:tcBorders/>
            <w:shd w:fill="CCEEFF" w:val="clear"/>
            <w:vAlign w:val="bottom"/>
          </w:tcPr>
          <w:p>
            <w:pPr>
              <w:pStyle w:val="TableContents"/>
              <w:spacing w:before="0" w:after="283"/>
              <w:jc w:val="right"/>
              <w:rPr/>
            </w:pPr>
            <w:r>
              <w:rPr/>
              <w:t>0.4</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0.8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 </w:t>
            </w:r>
          </w:p>
        </w:tc>
        <w:tc>
          <w:tcPr>
            <w:tcW w:w="1148" w:type="dxa"/>
            <w:tcBorders/>
            <w:shd w:fill="CCEEFF" w:val="clear"/>
            <w:vAlign w:val="bottom"/>
          </w:tcPr>
          <w:p>
            <w:pPr>
              <w:pStyle w:val="TableContents"/>
              <w:spacing w:before="0" w:after="283"/>
              <w:jc w:val="right"/>
              <w:rPr/>
            </w:pPr>
            <w:r>
              <w:rPr/>
              <w:t>1.2</w:t>
            </w:r>
          </w:p>
        </w:tc>
        <w:tc>
          <w:tcPr>
            <w:tcW w:w="180" w:type="dxa"/>
            <w:tcBorders/>
            <w:shd w:fill="CCEEFF" w:val="clear"/>
            <w:vAlign w:val="bottom"/>
          </w:tcPr>
          <w:p>
            <w:pPr>
              <w:pStyle w:val="TableContents"/>
              <w:spacing w:before="0" w:after="283"/>
              <w:rPr>
                <w:sz w:val="4"/>
                <w:szCs w:val="4"/>
              </w:rPr>
            </w:pPr>
            <w:r>
              <w:rPr>
                <w:sz w:val="4"/>
                <w:szCs w:val="4"/>
              </w:rPr>
            </w:r>
          </w:p>
        </w:tc>
      </w:tr>
      <w:tr>
        <w:trPr/>
        <w:tc>
          <w:tcPr>
            <w:tcW w:w="1949" w:type="dxa"/>
            <w:tcBorders/>
            <w:shd w:fill="auto" w:val="clear"/>
            <w:vAlign w:val="bottom"/>
          </w:tcPr>
          <w:p>
            <w:pPr>
              <w:pStyle w:val="TableContents"/>
              <w:spacing w:before="0" w:after="0"/>
              <w:ind w:left="225" w:right="0" w:hanging="225"/>
              <w:rPr/>
            </w:pPr>
            <w:r>
              <w:rPr/>
              <w:t>Cash and cash equivalents, beginning of period</w:t>
            </w:r>
          </w:p>
        </w:tc>
        <w:tc>
          <w:tcPr>
            <w:tcW w:w="152"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pPr>
            <w:r>
              <w:rPr/>
              <w:t>2.3</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9.0</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05"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11.3</w:t>
            </w:r>
          </w:p>
        </w:tc>
        <w:tc>
          <w:tcPr>
            <w:tcW w:w="180" w:type="dxa"/>
            <w:tcBorders/>
            <w:shd w:fill="auto"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r>
        <w:trPr/>
        <w:tc>
          <w:tcPr>
            <w:tcW w:w="1949" w:type="dxa"/>
            <w:tcBorders/>
            <w:shd w:fill="CCEEFF" w:val="clear"/>
            <w:vAlign w:val="bottom"/>
          </w:tcPr>
          <w:p>
            <w:pPr>
              <w:pStyle w:val="TableContents"/>
              <w:spacing w:before="0" w:after="0"/>
              <w:ind w:left="225" w:right="0" w:hanging="225"/>
              <w:rPr/>
            </w:pPr>
            <w:r>
              <w:rPr/>
              <w:t>Cash and cash equivalents, end of period</w:t>
            </w:r>
          </w:p>
        </w:tc>
        <w:tc>
          <w:tcPr>
            <w:tcW w:w="152"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890" w:type="dxa"/>
            <w:tcBorders/>
            <w:shd w:fill="CCEEFF" w:val="clear"/>
            <w:vAlign w:val="bottom"/>
          </w:tcPr>
          <w:p>
            <w:pPr>
              <w:pStyle w:val="TableContents"/>
              <w:spacing w:before="0" w:after="283"/>
              <w:jc w:val="right"/>
              <w:rPr/>
            </w:pPr>
            <w:r>
              <w:rPr/>
              <w:t>2.7</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065" w:type="dxa"/>
            <w:tcBorders/>
            <w:shd w:fill="CCEEFF" w:val="clear"/>
            <w:vAlign w:val="bottom"/>
          </w:tcPr>
          <w:p>
            <w:pPr>
              <w:pStyle w:val="TableContents"/>
              <w:spacing w:before="0" w:after="283"/>
              <w:jc w:val="right"/>
              <w:rPr/>
            </w:pPr>
            <w:r>
              <w:rPr/>
              <w:t>9.8</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jc w:val="left"/>
              <w:rPr/>
            </w:pPr>
            <w:r>
              <w:rPr/>
              <w:t>$</w:t>
            </w:r>
          </w:p>
        </w:tc>
        <w:tc>
          <w:tcPr>
            <w:tcW w:w="1305"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jc w:val="left"/>
              <w:rPr/>
            </w:pPr>
            <w:r>
              <w:rPr/>
              <w:t>$</w:t>
            </w:r>
          </w:p>
        </w:tc>
        <w:tc>
          <w:tcPr>
            <w:tcW w:w="1098" w:type="dxa"/>
            <w:tcBorders/>
            <w:shd w:fill="CCEEFF" w:val="clear"/>
            <w:vAlign w:val="bottom"/>
          </w:tcPr>
          <w:p>
            <w:pPr>
              <w:pStyle w:val="TableContents"/>
              <w:spacing w:before="0" w:after="283"/>
              <w:jc w:val="right"/>
              <w:rPr/>
            </w:pPr>
            <w:r>
              <w:rPr/>
              <w:t></w:t>
            </w:r>
          </w:p>
        </w:tc>
        <w:tc>
          <w:tcPr>
            <w:tcW w:w="127"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jc w:val="left"/>
              <w:rPr/>
            </w:pPr>
            <w:r>
              <w:rPr/>
              <w:t>$</w:t>
            </w:r>
          </w:p>
        </w:tc>
        <w:tc>
          <w:tcPr>
            <w:tcW w:w="1148" w:type="dxa"/>
            <w:tcBorders/>
            <w:shd w:fill="CCEEFF" w:val="clear"/>
            <w:vAlign w:val="bottom"/>
          </w:tcPr>
          <w:p>
            <w:pPr>
              <w:pStyle w:val="TableContents"/>
              <w:spacing w:before="0" w:after="283"/>
              <w:jc w:val="right"/>
              <w:rPr/>
            </w:pPr>
            <w:r>
              <w:rPr/>
              <w:t>12.5</w:t>
            </w:r>
          </w:p>
        </w:tc>
        <w:tc>
          <w:tcPr>
            <w:tcW w:w="180" w:type="dxa"/>
            <w:tcBorders/>
            <w:shd w:fill="CCEEFF" w:val="clear"/>
            <w:vAlign w:val="bottom"/>
          </w:tcPr>
          <w:p>
            <w:pPr>
              <w:pStyle w:val="TableContents"/>
              <w:spacing w:before="0" w:after="283"/>
              <w:rPr/>
            </w:pPr>
            <w:r>
              <w:rPr/>
              <w:t> </w:t>
            </w:r>
          </w:p>
        </w:tc>
      </w:tr>
      <w:tr>
        <w:trPr/>
        <w:tc>
          <w:tcPr>
            <w:tcW w:w="1949" w:type="dxa"/>
            <w:tcBorders/>
            <w:shd w:fill="auto" w:val="clear"/>
            <w:vAlign w:val="center"/>
          </w:tcPr>
          <w:p>
            <w:pPr>
              <w:pStyle w:val="TableContents"/>
              <w:spacing w:before="0" w:after="0"/>
              <w:ind w:left="225" w:right="0" w:hanging="225"/>
              <w:rPr/>
            </w:pPr>
            <w:r>
              <w:rPr/>
              <w:t> </w:t>
            </w:r>
          </w:p>
        </w:tc>
        <w:tc>
          <w:tcPr>
            <w:tcW w:w="152" w:type="dxa"/>
            <w:tcBorders/>
            <w:shd w:fill="auto" w:val="clear"/>
            <w:vAlign w:val="center"/>
          </w:tcPr>
          <w:p>
            <w:pPr>
              <w:pStyle w:val="TableContents"/>
              <w:spacing w:before="0" w:after="283"/>
              <w:rPr/>
            </w:pPr>
            <w:r>
              <w:rPr/>
              <w:t> </w:t>
            </w:r>
          </w:p>
        </w:tc>
        <w:tc>
          <w:tcPr>
            <w:tcW w:w="10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2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6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3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13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8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three months and nine months ended September 30, 2006, the Non-Guarantor Subsidiaries were considered minor, as defined by Regulation S-X rule 3-10(h)(6). As a result, supplemental condensed consolidating financial information is not presented for those periods. </w:t>
      </w:r>
    </w:p>
    <w:p>
      <w:pPr>
        <w:pStyle w:val="TextBody"/>
        <w:spacing w:before="240" w:after="283"/>
        <w:jc w:val="left"/>
        <w:rPr>
          <w:rFonts w:ascii="Times New Roman;Times;serif" w:hAnsi="Times New Roman;Times;serif"/>
          <w:sz w:val="17"/>
        </w:rPr>
      </w:pPr>
      <w:bookmarkStart w:id="12" w:name="110"/>
      <w:bookmarkEnd w:id="12"/>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Introduction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discussion is intended to provide investors with an understanding of our financial condition and our results of operations and should be read in conjunction with our historical consolidated financial statements and accompanying notes and Managements Discussion and Analysis of Financial Condition and Results of Operations as presented in our 2006 Annual Report on Form 10-K. For more detailed information regarding the basis of presentation for the following financial information, see the Notes to the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Highlights  Third Quarter and First Nine Months of 2007</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636"/>
        <w:gridCol w:w="241"/>
        <w:gridCol w:w="326"/>
        <w:gridCol w:w="716"/>
        <w:gridCol w:w="202"/>
        <w:gridCol w:w="275"/>
        <w:gridCol w:w="326"/>
        <w:gridCol w:w="716"/>
        <w:gridCol w:w="207"/>
        <w:gridCol w:w="241"/>
        <w:gridCol w:w="178"/>
        <w:gridCol w:w="417"/>
        <w:gridCol w:w="441"/>
        <w:gridCol w:w="241"/>
        <w:gridCol w:w="291"/>
        <w:gridCol w:w="764"/>
        <w:gridCol w:w="185"/>
        <w:gridCol w:w="260"/>
        <w:gridCol w:w="291"/>
        <w:gridCol w:w="764"/>
        <w:gridCol w:w="196"/>
        <w:gridCol w:w="241"/>
        <w:gridCol w:w="178"/>
        <w:gridCol w:w="417"/>
        <w:gridCol w:w="455"/>
      </w:tblGrid>
      <w:tr>
        <w:trPr/>
        <w:tc>
          <w:tcPr>
            <w:tcW w:w="163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64"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r>
      <w:tr>
        <w:trPr/>
        <w:tc>
          <w:tcPr>
            <w:tcW w:w="163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768" w:type="dxa"/>
            <w:gridSpan w:val="7"/>
            <w:tcBorders/>
            <w:shd w:fill="auto" w:val="clear"/>
            <w:vAlign w:val="bottom"/>
          </w:tcPr>
          <w:p>
            <w:pPr>
              <w:pStyle w:val="TableContents"/>
              <w:spacing w:before="0" w:after="283"/>
              <w:jc w:val="center"/>
              <w:rPr>
                <w:b/>
              </w:rPr>
            </w:pPr>
            <w:r>
              <w:rPr>
                <w:b/>
              </w:rPr>
              <w:t>For the three months</w:t>
            </w:r>
          </w:p>
        </w:tc>
        <w:tc>
          <w:tcPr>
            <w:tcW w:w="24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441"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751" w:type="dxa"/>
            <w:gridSpan w:val="7"/>
            <w:tcBorders/>
            <w:shd w:fill="auto" w:val="clear"/>
            <w:vAlign w:val="bottom"/>
          </w:tcPr>
          <w:p>
            <w:pPr>
              <w:pStyle w:val="TableContents"/>
              <w:spacing w:before="0" w:after="283"/>
              <w:jc w:val="center"/>
              <w:rPr>
                <w:b/>
              </w:rPr>
            </w:pPr>
            <w:r>
              <w:rPr>
                <w:b/>
              </w:rPr>
              <w:t>For the nine months</w:t>
            </w:r>
          </w:p>
        </w:tc>
        <w:tc>
          <w:tcPr>
            <w:tcW w:w="1291" w:type="dxa"/>
            <w:gridSpan w:val="4"/>
            <w:tcBorders/>
            <w:shd w:fill="auto" w:val="clear"/>
          </w:tcPr>
          <w:p>
            <w:pPr>
              <w:pStyle w:val="TableContents"/>
              <w:spacing w:before="0" w:after="283"/>
              <w:rPr>
                <w:sz w:val="4"/>
                <w:szCs w:val="4"/>
              </w:rPr>
            </w:pPr>
            <w:r>
              <w:rPr>
                <w:sz w:val="4"/>
                <w:szCs w:val="4"/>
              </w:rPr>
            </w:r>
          </w:p>
        </w:tc>
      </w:tr>
      <w:tr>
        <w:trPr/>
        <w:tc>
          <w:tcPr>
            <w:tcW w:w="163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2768"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ended September 30,</w:t>
            </w:r>
          </w:p>
        </w:tc>
        <w:tc>
          <w:tcPr>
            <w:tcW w:w="241" w:type="dxa"/>
            <w:tcBorders/>
            <w:shd w:fill="auto" w:val="clear"/>
            <w:vAlign w:val="bottom"/>
          </w:tcPr>
          <w:p>
            <w:pPr>
              <w:pStyle w:val="TableContents"/>
              <w:spacing w:before="0" w:after="283"/>
              <w:rPr/>
            </w:pPr>
            <w:r>
              <w:rPr/>
              <w:t> </w:t>
            </w:r>
          </w:p>
        </w:tc>
        <w:tc>
          <w:tcPr>
            <w:tcW w:w="1036" w:type="dxa"/>
            <w:gridSpan w:val="3"/>
            <w:tcBorders/>
            <w:shd w:fill="auto" w:val="clear"/>
            <w:vAlign w:val="bottom"/>
          </w:tcPr>
          <w:p>
            <w:pPr>
              <w:pStyle w:val="TableContents"/>
              <w:spacing w:before="0" w:after="283"/>
              <w:jc w:val="center"/>
              <w:rPr>
                <w:b/>
              </w:rPr>
            </w:pPr>
            <w:r>
              <w:rPr>
                <w:b/>
              </w:rPr>
              <w:t>Change</w:t>
            </w:r>
          </w:p>
        </w:tc>
        <w:tc>
          <w:tcPr>
            <w:tcW w:w="241" w:type="dxa"/>
            <w:tcBorders/>
            <w:shd w:fill="auto" w:val="clear"/>
            <w:vAlign w:val="bottom"/>
          </w:tcPr>
          <w:p>
            <w:pPr>
              <w:pStyle w:val="TableContents"/>
              <w:spacing w:before="0" w:after="283"/>
              <w:rPr/>
            </w:pPr>
            <w:r>
              <w:rPr/>
              <w:t> </w:t>
            </w:r>
          </w:p>
        </w:tc>
        <w:tc>
          <w:tcPr>
            <w:tcW w:w="2751"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ended September 30,</w:t>
            </w:r>
          </w:p>
        </w:tc>
        <w:tc>
          <w:tcPr>
            <w:tcW w:w="241" w:type="dxa"/>
            <w:tcBorders/>
            <w:shd w:fill="auto" w:val="clear"/>
            <w:vAlign w:val="bottom"/>
          </w:tcPr>
          <w:p>
            <w:pPr>
              <w:pStyle w:val="TableContents"/>
              <w:spacing w:before="0" w:after="283"/>
              <w:rPr/>
            </w:pPr>
            <w:r>
              <w:rPr/>
              <w:t> </w:t>
            </w:r>
          </w:p>
        </w:tc>
        <w:tc>
          <w:tcPr>
            <w:tcW w:w="1050" w:type="dxa"/>
            <w:gridSpan w:val="3"/>
            <w:tcBorders/>
            <w:shd w:fill="auto" w:val="clear"/>
            <w:vAlign w:val="bottom"/>
          </w:tcPr>
          <w:p>
            <w:pPr>
              <w:pStyle w:val="TableContents"/>
              <w:spacing w:before="0" w:after="283"/>
              <w:jc w:val="center"/>
              <w:rPr>
                <w:b/>
              </w:rPr>
            </w:pPr>
            <w:r>
              <w:rPr>
                <w:b/>
              </w:rPr>
              <w:t>Change</w:t>
            </w:r>
          </w:p>
        </w:tc>
      </w:tr>
      <w:tr>
        <w:trPr/>
        <w:tc>
          <w:tcPr>
            <w:tcW w:w="163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24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75" w:type="dxa"/>
            <w:tcBorders/>
            <w:shd w:fill="auto" w:val="clear"/>
            <w:vAlign w:val="bottom"/>
          </w:tcPr>
          <w:p>
            <w:pPr>
              <w:pStyle w:val="TableContents"/>
              <w:spacing w:before="0" w:after="283"/>
              <w:rPr/>
            </w:pPr>
            <w:r>
              <w:rPr/>
              <w:t> </w:t>
            </w:r>
          </w:p>
        </w:tc>
        <w:tc>
          <w:tcPr>
            <w:tcW w:w="124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41" w:type="dxa"/>
            <w:tcBorders/>
            <w:shd w:fill="auto" w:val="clear"/>
            <w:vAlign w:val="bottom"/>
          </w:tcPr>
          <w:p>
            <w:pPr>
              <w:pStyle w:val="TableContents"/>
              <w:spacing w:before="0" w:after="283"/>
              <w:rPr/>
            </w:pPr>
            <w:r>
              <w:rPr/>
              <w:t> </w:t>
            </w:r>
          </w:p>
        </w:tc>
        <w:tc>
          <w:tcPr>
            <w:tcW w:w="103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241" w:type="dxa"/>
            <w:tcBorders/>
            <w:shd w:fill="auto" w:val="clear"/>
            <w:vAlign w:val="bottom"/>
          </w:tcPr>
          <w:p>
            <w:pPr>
              <w:pStyle w:val="TableContents"/>
              <w:spacing w:before="0" w:after="283"/>
              <w:rPr/>
            </w:pPr>
            <w:r>
              <w:rPr/>
              <w:t> </w:t>
            </w:r>
          </w:p>
        </w:tc>
        <w:tc>
          <w:tcPr>
            <w:tcW w:w="124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60" w:type="dxa"/>
            <w:tcBorders/>
            <w:shd w:fill="auto" w:val="clear"/>
            <w:vAlign w:val="bottom"/>
          </w:tcPr>
          <w:p>
            <w:pPr>
              <w:pStyle w:val="TableContents"/>
              <w:spacing w:before="0" w:after="283"/>
              <w:rPr/>
            </w:pPr>
            <w:r>
              <w:rPr/>
              <w:t> </w:t>
            </w:r>
          </w:p>
        </w:tc>
        <w:tc>
          <w:tcPr>
            <w:tcW w:w="125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41" w:type="dxa"/>
            <w:tcBorders/>
            <w:shd w:fill="auto" w:val="clear"/>
            <w:vAlign w:val="bottom"/>
          </w:tcPr>
          <w:p>
            <w:pPr>
              <w:pStyle w:val="TableContents"/>
              <w:spacing w:before="0" w:after="283"/>
              <w:rPr/>
            </w:pPr>
            <w:r>
              <w:rPr/>
              <w:t> </w:t>
            </w:r>
          </w:p>
        </w:tc>
        <w:tc>
          <w:tcPr>
            <w:tcW w:w="105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r>
      <w:tr>
        <w:trPr/>
        <w:tc>
          <w:tcPr>
            <w:tcW w:w="1636" w:type="dxa"/>
            <w:tcBorders/>
            <w:shd w:fill="CCEEFF" w:val="clear"/>
            <w:vAlign w:val="bottom"/>
          </w:tcPr>
          <w:p>
            <w:pPr>
              <w:pStyle w:val="TableContents"/>
              <w:spacing w:before="0" w:after="0"/>
              <w:ind w:left="225" w:right="0" w:hanging="225"/>
              <w:rPr/>
            </w:pPr>
            <w:r>
              <w:rPr/>
              <w:t>Net income (in millions)</w:t>
            </w:r>
          </w:p>
        </w:tc>
        <w:tc>
          <w:tcPr>
            <w:tcW w:w="24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right"/>
              <w:rPr/>
            </w:pPr>
            <w:r>
              <w:rPr/>
              <w:t>$</w:t>
            </w:r>
          </w:p>
        </w:tc>
        <w:tc>
          <w:tcPr>
            <w:tcW w:w="716" w:type="dxa"/>
            <w:tcBorders/>
            <w:shd w:fill="CCEEFF" w:val="clear"/>
            <w:vAlign w:val="bottom"/>
          </w:tcPr>
          <w:p>
            <w:pPr>
              <w:pStyle w:val="TableContents"/>
              <w:spacing w:before="0" w:after="283"/>
              <w:jc w:val="right"/>
              <w:rPr/>
            </w:pPr>
            <w:r>
              <w:rPr/>
              <w:t>98.4</w:t>
            </w:r>
          </w:p>
        </w:tc>
        <w:tc>
          <w:tcPr>
            <w:tcW w:w="202"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right"/>
              <w:rPr/>
            </w:pPr>
            <w:r>
              <w:rPr/>
              <w:t>$</w:t>
            </w:r>
          </w:p>
        </w:tc>
        <w:tc>
          <w:tcPr>
            <w:tcW w:w="716" w:type="dxa"/>
            <w:tcBorders/>
            <w:shd w:fill="CCEEFF" w:val="clear"/>
            <w:vAlign w:val="bottom"/>
          </w:tcPr>
          <w:p>
            <w:pPr>
              <w:pStyle w:val="TableContents"/>
              <w:spacing w:before="0" w:after="283"/>
              <w:jc w:val="right"/>
              <w:rPr/>
            </w:pPr>
            <w:r>
              <w:rPr/>
              <w:t>95.4</w:t>
            </w:r>
          </w:p>
        </w:tc>
        <w:tc>
          <w:tcPr>
            <w:tcW w:w="20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right"/>
              <w:rPr/>
            </w:pPr>
            <w:r>
              <w:rPr/>
              <w:t> </w:t>
            </w:r>
          </w:p>
        </w:tc>
        <w:tc>
          <w:tcPr>
            <w:tcW w:w="417" w:type="dxa"/>
            <w:tcBorders/>
            <w:shd w:fill="CCEEFF" w:val="clear"/>
            <w:vAlign w:val="bottom"/>
          </w:tcPr>
          <w:p>
            <w:pPr>
              <w:pStyle w:val="TableContents"/>
              <w:spacing w:before="0" w:after="283"/>
              <w:jc w:val="right"/>
              <w:rPr/>
            </w:pPr>
            <w:r>
              <w:rPr/>
              <w:t>3</w:t>
            </w:r>
          </w:p>
        </w:tc>
        <w:tc>
          <w:tcPr>
            <w:tcW w:w="441"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jc w:val="right"/>
              <w:rPr/>
            </w:pPr>
            <w:r>
              <w:rPr/>
              <w:t>$</w:t>
            </w:r>
          </w:p>
        </w:tc>
        <w:tc>
          <w:tcPr>
            <w:tcW w:w="764" w:type="dxa"/>
            <w:tcBorders/>
            <w:shd w:fill="CCEEFF" w:val="clear"/>
            <w:vAlign w:val="bottom"/>
          </w:tcPr>
          <w:p>
            <w:pPr>
              <w:pStyle w:val="TableContents"/>
              <w:spacing w:before="0" w:after="283"/>
              <w:jc w:val="right"/>
              <w:rPr/>
            </w:pPr>
            <w:r>
              <w:rPr/>
              <w:t>287.9</w:t>
            </w:r>
          </w:p>
        </w:tc>
        <w:tc>
          <w:tcPr>
            <w:tcW w:w="185"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jc w:val="right"/>
              <w:rPr/>
            </w:pPr>
            <w:r>
              <w:rPr/>
              <w:t>$</w:t>
            </w:r>
          </w:p>
        </w:tc>
        <w:tc>
          <w:tcPr>
            <w:tcW w:w="764" w:type="dxa"/>
            <w:tcBorders/>
            <w:shd w:fill="CCEEFF" w:val="clear"/>
            <w:vAlign w:val="bottom"/>
          </w:tcPr>
          <w:p>
            <w:pPr>
              <w:pStyle w:val="TableContents"/>
              <w:spacing w:before="0" w:after="283"/>
              <w:jc w:val="right"/>
              <w:rPr/>
            </w:pPr>
            <w:r>
              <w:rPr/>
              <w:t>239.1</w:t>
            </w:r>
          </w:p>
        </w:tc>
        <w:tc>
          <w:tcPr>
            <w:tcW w:w="19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right"/>
              <w:rPr/>
            </w:pPr>
            <w:r>
              <w:rPr/>
              <w:t> </w:t>
            </w:r>
          </w:p>
        </w:tc>
        <w:tc>
          <w:tcPr>
            <w:tcW w:w="417" w:type="dxa"/>
            <w:tcBorders/>
            <w:shd w:fill="CCEEFF" w:val="clear"/>
            <w:vAlign w:val="bottom"/>
          </w:tcPr>
          <w:p>
            <w:pPr>
              <w:pStyle w:val="TableContents"/>
              <w:spacing w:before="0" w:after="283"/>
              <w:jc w:val="right"/>
              <w:rPr/>
            </w:pPr>
            <w:r>
              <w:rPr/>
              <w:t>20</w:t>
            </w:r>
          </w:p>
        </w:tc>
        <w:tc>
          <w:tcPr>
            <w:tcW w:w="455" w:type="dxa"/>
            <w:tcBorders/>
            <w:shd w:fill="CCEEFF" w:val="clear"/>
            <w:vAlign w:val="bottom"/>
          </w:tcPr>
          <w:p>
            <w:pPr>
              <w:pStyle w:val="TableContents"/>
              <w:spacing w:before="0" w:after="283"/>
              <w:rPr/>
            </w:pPr>
            <w:r>
              <w:rPr/>
              <w:t>%</w:t>
            </w:r>
          </w:p>
        </w:tc>
      </w:tr>
      <w:tr>
        <w:trPr/>
        <w:tc>
          <w:tcPr>
            <w:tcW w:w="1636" w:type="dxa"/>
            <w:tcBorders/>
            <w:shd w:fill="auto" w:val="clear"/>
            <w:vAlign w:val="bottom"/>
          </w:tcPr>
          <w:p>
            <w:pPr>
              <w:pStyle w:val="TableContents"/>
              <w:spacing w:before="0" w:after="0"/>
              <w:ind w:left="225" w:right="0" w:hanging="225"/>
              <w:rPr/>
            </w:pPr>
            <w:r>
              <w:rPr/>
              <w:t>Earnings per basic limited partner unit (1)</w:t>
            </w:r>
          </w:p>
        </w:tc>
        <w:tc>
          <w:tcPr>
            <w:tcW w:w="241"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right"/>
              <w:rPr/>
            </w:pPr>
            <w:r>
              <w:rPr/>
              <w:t>$</w:t>
            </w:r>
          </w:p>
        </w:tc>
        <w:tc>
          <w:tcPr>
            <w:tcW w:w="716" w:type="dxa"/>
            <w:tcBorders/>
            <w:shd w:fill="auto" w:val="clear"/>
            <w:vAlign w:val="bottom"/>
          </w:tcPr>
          <w:p>
            <w:pPr>
              <w:pStyle w:val="TableContents"/>
              <w:spacing w:before="0" w:after="283"/>
              <w:jc w:val="right"/>
              <w:rPr/>
            </w:pPr>
            <w:r>
              <w:rPr/>
              <w:t>0.66</w:t>
            </w:r>
          </w:p>
        </w:tc>
        <w:tc>
          <w:tcPr>
            <w:tcW w:w="202"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326" w:type="dxa"/>
            <w:tcBorders/>
            <w:shd w:fill="auto" w:val="clear"/>
            <w:vAlign w:val="bottom"/>
          </w:tcPr>
          <w:p>
            <w:pPr>
              <w:pStyle w:val="TableContents"/>
              <w:spacing w:before="0" w:after="283"/>
              <w:jc w:val="right"/>
              <w:rPr/>
            </w:pPr>
            <w:r>
              <w:rPr/>
              <w:t>$</w:t>
            </w:r>
          </w:p>
        </w:tc>
        <w:tc>
          <w:tcPr>
            <w:tcW w:w="716" w:type="dxa"/>
            <w:tcBorders/>
            <w:shd w:fill="auto" w:val="clear"/>
            <w:vAlign w:val="bottom"/>
          </w:tcPr>
          <w:p>
            <w:pPr>
              <w:pStyle w:val="TableContents"/>
              <w:spacing w:before="0" w:after="283"/>
              <w:jc w:val="right"/>
              <w:rPr/>
            </w:pPr>
            <w:r>
              <w:rPr/>
              <w:t>0.90</w:t>
            </w:r>
          </w:p>
        </w:tc>
        <w:tc>
          <w:tcPr>
            <w:tcW w:w="20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(27</w:t>
            </w:r>
          </w:p>
        </w:tc>
        <w:tc>
          <w:tcPr>
            <w:tcW w:w="441" w:type="dxa"/>
            <w:tcBorders/>
            <w:shd w:fill="auto" w:val="clear"/>
            <w:vAlign w:val="bottom"/>
          </w:tcPr>
          <w:p>
            <w:pPr>
              <w:pStyle w:val="TableContents"/>
              <w:spacing w:before="0" w:after="283"/>
              <w:rPr/>
            </w:pPr>
            <w:r>
              <w:rPr/>
              <w:t>)%</w:t>
            </w:r>
          </w:p>
        </w:tc>
        <w:tc>
          <w:tcPr>
            <w:tcW w:w="241"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jc w:val="right"/>
              <w:rPr/>
            </w:pPr>
            <w:r>
              <w:rPr/>
              <w:t>$</w:t>
            </w:r>
          </w:p>
        </w:tc>
        <w:tc>
          <w:tcPr>
            <w:tcW w:w="764" w:type="dxa"/>
            <w:tcBorders/>
            <w:shd w:fill="auto" w:val="clear"/>
            <w:vAlign w:val="bottom"/>
          </w:tcPr>
          <w:p>
            <w:pPr>
              <w:pStyle w:val="TableContents"/>
              <w:spacing w:before="0" w:after="283"/>
              <w:jc w:val="right"/>
              <w:rPr/>
            </w:pPr>
            <w:r>
              <w:rPr/>
              <w:t>2.06</w:t>
            </w:r>
          </w:p>
        </w:tc>
        <w:tc>
          <w:tcPr>
            <w:tcW w:w="185"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jc w:val="right"/>
              <w:rPr/>
            </w:pPr>
            <w:r>
              <w:rPr/>
              <w:t>$</w:t>
            </w:r>
          </w:p>
        </w:tc>
        <w:tc>
          <w:tcPr>
            <w:tcW w:w="764" w:type="dxa"/>
            <w:tcBorders/>
            <w:shd w:fill="auto" w:val="clear"/>
            <w:vAlign w:val="bottom"/>
          </w:tcPr>
          <w:p>
            <w:pPr>
              <w:pStyle w:val="TableContents"/>
              <w:spacing w:before="0" w:after="283"/>
              <w:jc w:val="right"/>
              <w:rPr/>
            </w:pPr>
            <w:r>
              <w:rPr/>
              <w:t>2.45</w:t>
            </w:r>
          </w:p>
        </w:tc>
        <w:tc>
          <w:tcPr>
            <w:tcW w:w="196"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(16</w:t>
            </w:r>
          </w:p>
        </w:tc>
        <w:tc>
          <w:tcPr>
            <w:tcW w:w="455" w:type="dxa"/>
            <w:tcBorders/>
            <w:shd w:fill="auto" w:val="clear"/>
            <w:vAlign w:val="bottom"/>
          </w:tcPr>
          <w:p>
            <w:pPr>
              <w:pStyle w:val="TableContents"/>
              <w:spacing w:before="0" w:after="283"/>
              <w:rPr/>
            </w:pPr>
            <w:r>
              <w:rPr/>
              <w:t>)%</w:t>
            </w:r>
          </w:p>
        </w:tc>
      </w:tr>
      <w:tr>
        <w:trPr/>
        <w:tc>
          <w:tcPr>
            <w:tcW w:w="1636" w:type="dxa"/>
            <w:tcBorders/>
            <w:shd w:fill="CCEEFF" w:val="clear"/>
            <w:vAlign w:val="bottom"/>
          </w:tcPr>
          <w:p>
            <w:pPr>
              <w:pStyle w:val="TableContents"/>
              <w:spacing w:before="0" w:after="0"/>
              <w:ind w:left="225" w:right="0" w:hanging="225"/>
              <w:rPr/>
            </w:pPr>
            <w:r>
              <w:rPr/>
              <w:t>Earnings per diluted limited partner unit (1)</w:t>
            </w:r>
          </w:p>
        </w:tc>
        <w:tc>
          <w:tcPr>
            <w:tcW w:w="241"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right"/>
              <w:rPr/>
            </w:pPr>
            <w:r>
              <w:rPr/>
              <w:t>$</w:t>
            </w:r>
          </w:p>
        </w:tc>
        <w:tc>
          <w:tcPr>
            <w:tcW w:w="716" w:type="dxa"/>
            <w:tcBorders/>
            <w:shd w:fill="CCEEFF" w:val="clear"/>
            <w:vAlign w:val="bottom"/>
          </w:tcPr>
          <w:p>
            <w:pPr>
              <w:pStyle w:val="TableContents"/>
              <w:spacing w:before="0" w:after="283"/>
              <w:jc w:val="right"/>
              <w:rPr/>
            </w:pPr>
            <w:r>
              <w:rPr/>
              <w:t>0.66</w:t>
            </w:r>
          </w:p>
        </w:tc>
        <w:tc>
          <w:tcPr>
            <w:tcW w:w="202"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326" w:type="dxa"/>
            <w:tcBorders/>
            <w:shd w:fill="CCEEFF" w:val="clear"/>
            <w:vAlign w:val="bottom"/>
          </w:tcPr>
          <w:p>
            <w:pPr>
              <w:pStyle w:val="TableContents"/>
              <w:spacing w:before="0" w:after="283"/>
              <w:jc w:val="right"/>
              <w:rPr/>
            </w:pPr>
            <w:r>
              <w:rPr/>
              <w:t>$</w:t>
            </w:r>
          </w:p>
        </w:tc>
        <w:tc>
          <w:tcPr>
            <w:tcW w:w="716" w:type="dxa"/>
            <w:tcBorders/>
            <w:shd w:fill="CCEEFF" w:val="clear"/>
            <w:vAlign w:val="bottom"/>
          </w:tcPr>
          <w:p>
            <w:pPr>
              <w:pStyle w:val="TableContents"/>
              <w:spacing w:before="0" w:after="283"/>
              <w:jc w:val="right"/>
              <w:rPr/>
            </w:pPr>
            <w:r>
              <w:rPr/>
              <w:t>0.89</w:t>
            </w:r>
          </w:p>
        </w:tc>
        <w:tc>
          <w:tcPr>
            <w:tcW w:w="20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right"/>
              <w:rPr/>
            </w:pPr>
            <w:r>
              <w:rPr/>
              <w:t> </w:t>
            </w:r>
          </w:p>
        </w:tc>
        <w:tc>
          <w:tcPr>
            <w:tcW w:w="417" w:type="dxa"/>
            <w:tcBorders/>
            <w:shd w:fill="CCEEFF" w:val="clear"/>
            <w:vAlign w:val="bottom"/>
          </w:tcPr>
          <w:p>
            <w:pPr>
              <w:pStyle w:val="TableContents"/>
              <w:spacing w:before="0" w:after="283"/>
              <w:jc w:val="right"/>
              <w:rPr/>
            </w:pPr>
            <w:r>
              <w:rPr/>
              <w:t>(26</w:t>
            </w:r>
          </w:p>
        </w:tc>
        <w:tc>
          <w:tcPr>
            <w:tcW w:w="441" w:type="dxa"/>
            <w:tcBorders/>
            <w:shd w:fill="CCEEFF" w:val="clear"/>
            <w:vAlign w:val="bottom"/>
          </w:tcPr>
          <w:p>
            <w:pPr>
              <w:pStyle w:val="TableContents"/>
              <w:spacing w:before="0" w:after="283"/>
              <w:rPr/>
            </w:pPr>
            <w:r>
              <w:rPr/>
              <w:t>)%</w:t>
            </w:r>
          </w:p>
        </w:tc>
        <w:tc>
          <w:tcPr>
            <w:tcW w:w="241"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jc w:val="right"/>
              <w:rPr/>
            </w:pPr>
            <w:r>
              <w:rPr/>
              <w:t>$</w:t>
            </w:r>
          </w:p>
        </w:tc>
        <w:tc>
          <w:tcPr>
            <w:tcW w:w="764" w:type="dxa"/>
            <w:tcBorders/>
            <w:shd w:fill="CCEEFF" w:val="clear"/>
            <w:vAlign w:val="bottom"/>
          </w:tcPr>
          <w:p>
            <w:pPr>
              <w:pStyle w:val="TableContents"/>
              <w:spacing w:before="0" w:after="283"/>
              <w:jc w:val="right"/>
              <w:rPr/>
            </w:pPr>
            <w:r>
              <w:rPr/>
              <w:t>2.05</w:t>
            </w:r>
          </w:p>
        </w:tc>
        <w:tc>
          <w:tcPr>
            <w:tcW w:w="185"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jc w:val="right"/>
              <w:rPr/>
            </w:pPr>
            <w:r>
              <w:rPr/>
              <w:t>$</w:t>
            </w:r>
          </w:p>
        </w:tc>
        <w:tc>
          <w:tcPr>
            <w:tcW w:w="764" w:type="dxa"/>
            <w:tcBorders/>
            <w:shd w:fill="CCEEFF" w:val="clear"/>
            <w:vAlign w:val="bottom"/>
          </w:tcPr>
          <w:p>
            <w:pPr>
              <w:pStyle w:val="TableContents"/>
              <w:spacing w:before="0" w:after="283"/>
              <w:jc w:val="right"/>
              <w:rPr/>
            </w:pPr>
            <w:r>
              <w:rPr/>
              <w:t>2.43</w:t>
            </w:r>
          </w:p>
        </w:tc>
        <w:tc>
          <w:tcPr>
            <w:tcW w:w="196"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right"/>
              <w:rPr/>
            </w:pPr>
            <w:r>
              <w:rPr/>
              <w:t> </w:t>
            </w:r>
          </w:p>
        </w:tc>
        <w:tc>
          <w:tcPr>
            <w:tcW w:w="417" w:type="dxa"/>
            <w:tcBorders/>
            <w:shd w:fill="CCEEFF" w:val="clear"/>
            <w:vAlign w:val="bottom"/>
          </w:tcPr>
          <w:p>
            <w:pPr>
              <w:pStyle w:val="TableContents"/>
              <w:spacing w:before="0" w:after="283"/>
              <w:jc w:val="right"/>
              <w:rPr/>
            </w:pPr>
            <w:r>
              <w:rPr/>
              <w:t>(16</w:t>
            </w:r>
          </w:p>
        </w:tc>
        <w:tc>
          <w:tcPr>
            <w:tcW w:w="455"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266"/>
        <w:gridCol w:w="2088"/>
        <w:gridCol w:w="1851"/>
      </w:tblGrid>
      <w:tr>
        <w:trPr/>
        <w:tc>
          <w:tcPr>
            <w:tcW w:w="6266" w:type="dxa"/>
            <w:tcBorders/>
            <w:shd w:fill="auto" w:val="clear"/>
            <w:vAlign w:val="center"/>
          </w:tcPr>
          <w:p>
            <w:pPr>
              <w:pStyle w:val="TableContents"/>
              <w:spacing w:before="0" w:after="283"/>
              <w:rPr>
                <w:sz w:val="4"/>
                <w:szCs w:val="4"/>
              </w:rPr>
            </w:pPr>
            <w:r>
              <w:rPr>
                <w:sz w:val="4"/>
                <w:szCs w:val="4"/>
              </w:rPr>
            </w:r>
          </w:p>
        </w:tc>
        <w:tc>
          <w:tcPr>
            <w:tcW w:w="2088"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r>
      <w:tr>
        <w:trPr/>
        <w:tc>
          <w:tcPr>
            <w:tcW w:w="6266" w:type="dxa"/>
            <w:tcBorders/>
            <w:shd w:fill="auto" w:val="clear"/>
          </w:tcPr>
          <w:p>
            <w:pPr>
              <w:pStyle w:val="TableContents"/>
              <w:spacing w:before="0" w:after="283"/>
              <w:jc w:val="left"/>
              <w:rPr/>
            </w:pPr>
            <w:r>
              <w:rPr/>
              <w:t>(1)</w:t>
            </w:r>
          </w:p>
        </w:tc>
        <w:tc>
          <w:tcPr>
            <w:tcW w:w="2088" w:type="dxa"/>
            <w:tcBorders/>
            <w:shd w:fill="auto" w:val="clear"/>
          </w:tcPr>
          <w:p>
            <w:pPr>
              <w:pStyle w:val="TableContents"/>
              <w:spacing w:before="0" w:after="283"/>
              <w:rPr/>
            </w:pPr>
            <w:r>
              <w:rPr/>
              <w:t> </w:t>
            </w:r>
          </w:p>
        </w:tc>
        <w:tc>
          <w:tcPr>
            <w:tcW w:w="1851" w:type="dxa"/>
            <w:tcBorders/>
            <w:shd w:fill="auto" w:val="clear"/>
          </w:tcPr>
          <w:p>
            <w:pPr>
              <w:pStyle w:val="TableContents"/>
              <w:spacing w:before="0" w:after="283"/>
              <w:rPr/>
            </w:pPr>
            <w:r>
              <w:rPr/>
              <w:t>See Note 6 to our Condensed Consolidated Financial Statements for a discussion of the impact of Emerging Issues Task Force (EITF) Issue No. 03-06, Participating Securities and the Two-Class Method under Financial Accounting Standards Board (FASB) Statement No. 128.</w:t>
            </w:r>
          </w:p>
        </w:tc>
      </w:tr>
    </w:tbl>
    <w:p>
      <w:pPr>
        <w:pStyle w:val="TextBody"/>
        <w:spacing w:before="120" w:after="283"/>
        <w:jc w:val="left"/>
        <w:rPr/>
      </w:pPr>
      <w:r>
        <w:rPr/>
        <w:t>     </w:t>
      </w:r>
      <w:r>
        <w:rPr>
          <w:rFonts w:ascii="Times New Roman;Times;serif" w:hAnsi="Times New Roman;Times;serif"/>
          <w:sz w:val="17"/>
        </w:rPr>
        <w:t xml:space="preserve">Key items impacting the first nine months of 2007 include: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Income Statement</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Contributions from three acquisitions in 2007 and the November 2006 acquisition of Pacific Energy Partners L.P. (Pacific) as well as eight additional acquisitions throughout 2006.</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Favorable execution of our risk management strategies around our marketing assets in a market with a high level of crude oil volatility. See Outlook.</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Increased equity compensation plan expense of $41 million (compared to approximately $27 million for the first nine months of 2006), primarily resulting from additional Long - Term Incentive Plan ( LTIP) grants.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Deferred tax expense of approximately $11 million pertaining to recently enacted Canadian tax legislation.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An increase in costs and expenses associated with internal growth projects and acquisitions.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 net loss of approximately $8 million upon disposition of certain inactive assets.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 $9 million increase in equity earnings in unconsolidated entities.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 $4 million gain on the sale of a portion of our stock ownership in the NYMEX.</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2"/>
        <w:gridCol w:w="9390"/>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rPr/>
            </w:pPr>
            <w:r>
              <w:rPr/>
              <w:t>A loss of approximately $15 million related to the mark-to-market impact for derivative instruments (compared to a gain of approximately $15 million for the first nine months of 2006).</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Balance Sheet and Capital Structure</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completion of three acquisitions for aggregate consideration of approximately $69 million.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The sale of 6.3 million limited partner units in 2007 for net proceeds of approximately $383 million. Our earnings per unit data for the nine months ended September 30, 2007 compared to the corresponding period of 2006 is also impacted by the sale of 6.2 million limited partner units in December 2006 (for net proceeds of approximately $306 million) and the November 2006 issuance of 22.2 million limited partner units (valued at approximately $1 billion) in exchange for Pacific limited partner units as part of the Pacific acquisition.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Capital expenditures for internal growth projects of $392 million for the first nine months of 2007, which represent approximately 73% of the 2007 planned expansion capital expenditures.</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Acquisitions and Internal Growth Projects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capital expenditures incurred in the periods indicated (in millions): </w:t>
      </w:r>
    </w:p>
    <w:tbl>
      <w:tblPr>
        <w:tblW w:w="5000" w:type="pct"/>
        <w:jc w:val="center"/>
        <w:tblInd w:w="0" w:type="dxa"/>
        <w:tblCellMar>
          <w:top w:w="0" w:type="dxa"/>
          <w:left w:w="0" w:type="dxa"/>
          <w:bottom w:w="0" w:type="dxa"/>
          <w:right w:w="0" w:type="dxa"/>
        </w:tblCellMar>
      </w:tblPr>
      <w:tblGrid>
        <w:gridCol w:w="6941"/>
        <w:gridCol w:w="444"/>
        <w:gridCol w:w="194"/>
        <w:gridCol w:w="861"/>
        <w:gridCol w:w="129"/>
        <w:gridCol w:w="457"/>
        <w:gridCol w:w="194"/>
        <w:gridCol w:w="863"/>
        <w:gridCol w:w="122"/>
      </w:tblGrid>
      <w:tr>
        <w:trPr/>
        <w:tc>
          <w:tcPr>
            <w:tcW w:w="694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94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698" w:type="dxa"/>
            <w:gridSpan w:val="6"/>
            <w:tcBorders/>
            <w:shd w:fill="auto" w:val="clear"/>
            <w:vAlign w:val="bottom"/>
          </w:tcPr>
          <w:p>
            <w:pPr>
              <w:pStyle w:val="TableContents"/>
              <w:spacing w:before="0" w:after="283"/>
              <w:jc w:val="center"/>
              <w:rPr>
                <w:b/>
              </w:rPr>
            </w:pPr>
            <w:r>
              <w:rPr>
                <w:b/>
              </w:rPr>
              <w:t>Nine Months Ended</w:t>
            </w:r>
          </w:p>
        </w:tc>
        <w:tc>
          <w:tcPr>
            <w:tcW w:w="122" w:type="dxa"/>
            <w:tcBorders/>
            <w:shd w:fill="auto" w:val="clear"/>
            <w:vAlign w:val="bottom"/>
          </w:tcPr>
          <w:p>
            <w:pPr>
              <w:pStyle w:val="TableContents"/>
              <w:spacing w:before="0" w:after="283"/>
              <w:rPr/>
            </w:pPr>
            <w:r>
              <w:rPr/>
              <w:t> </w:t>
            </w:r>
          </w:p>
        </w:tc>
      </w:tr>
      <w:tr>
        <w:trPr/>
        <w:tc>
          <w:tcPr>
            <w:tcW w:w="694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698"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22" w:type="dxa"/>
            <w:tcBorders/>
            <w:shd w:fill="auto" w:val="clear"/>
            <w:vAlign w:val="bottom"/>
          </w:tcPr>
          <w:p>
            <w:pPr>
              <w:pStyle w:val="TableContents"/>
              <w:spacing w:before="0" w:after="283"/>
              <w:rPr/>
            </w:pPr>
            <w:r>
              <w:rPr/>
              <w:t> </w:t>
            </w:r>
          </w:p>
        </w:tc>
      </w:tr>
      <w:tr>
        <w:trPr/>
        <w:tc>
          <w:tcPr>
            <w:tcW w:w="694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9" w:type="dxa"/>
            <w:tcBorders>
              <w:bottom w:val="single" w:sz="2" w:space="0" w:color="000000"/>
            </w:tcBorders>
            <w:shd w:fill="auto" w:val="clear"/>
            <w:tcMar>
              <w:bottom w:w="28" w:type="dxa"/>
            </w:tcMar>
            <w:vAlign w:val="bottom"/>
          </w:tcPr>
          <w:p>
            <w:pPr>
              <w:pStyle w:val="TableContents"/>
              <w:spacing w:before="0" w:after="283"/>
              <w:rPr/>
            </w:pPr>
            <w:r>
              <w:rPr/>
              <w:t> </w:t>
            </w:r>
          </w:p>
        </w:tc>
        <w:tc>
          <w:tcPr>
            <w:tcW w:w="457" w:type="dxa"/>
            <w:tcBorders>
              <w:bottom w:val="single" w:sz="2" w:space="0" w:color="000000"/>
            </w:tcBorders>
            <w:shd w:fill="auto" w:val="clear"/>
            <w:tcMar>
              <w:bottom w:w="28" w:type="dxa"/>
            </w:tcMar>
            <w:vAlign w:val="bottom"/>
          </w:tcPr>
          <w:p>
            <w:pPr>
              <w:pStyle w:val="TableContents"/>
              <w:spacing w:before="0" w:after="283"/>
              <w:rPr/>
            </w:pPr>
            <w:r>
              <w:rPr/>
              <w:t> </w:t>
            </w:r>
          </w:p>
        </w:tc>
        <w:tc>
          <w:tcPr>
            <w:tcW w:w="10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2" w:type="dxa"/>
            <w:tcBorders/>
            <w:shd w:fill="auto" w:val="clear"/>
            <w:vAlign w:val="bottom"/>
          </w:tcPr>
          <w:p>
            <w:pPr>
              <w:pStyle w:val="TableContents"/>
              <w:spacing w:before="0" w:after="283"/>
              <w:rPr/>
            </w:pPr>
            <w:r>
              <w:rPr/>
              <w:t> </w:t>
            </w:r>
          </w:p>
        </w:tc>
      </w:tr>
      <w:tr>
        <w:trPr/>
        <w:tc>
          <w:tcPr>
            <w:tcW w:w="6941" w:type="dxa"/>
            <w:tcBorders/>
            <w:shd w:fill="CCEEFF" w:val="clear"/>
            <w:vAlign w:val="bottom"/>
          </w:tcPr>
          <w:p>
            <w:pPr>
              <w:pStyle w:val="TableContents"/>
              <w:spacing w:before="0" w:after="0"/>
              <w:ind w:left="225" w:right="0" w:hanging="225"/>
              <w:rPr/>
            </w:pPr>
            <w:r>
              <w:rPr/>
              <w:t>Acquisition capital</w:t>
            </w:r>
          </w:p>
        </w:tc>
        <w:tc>
          <w:tcPr>
            <w:tcW w:w="444"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61" w:type="dxa"/>
            <w:tcBorders/>
            <w:shd w:fill="CCEEFF" w:val="clear"/>
            <w:vAlign w:val="bottom"/>
          </w:tcPr>
          <w:p>
            <w:pPr>
              <w:pStyle w:val="TableContents"/>
              <w:spacing w:before="0" w:after="283"/>
              <w:jc w:val="right"/>
              <w:rPr/>
            </w:pPr>
            <w:r>
              <w:rPr/>
              <w:t>69.2</w:t>
            </w:r>
          </w:p>
        </w:tc>
        <w:tc>
          <w:tcPr>
            <w:tcW w:w="129"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566.6</w:t>
            </w:r>
          </w:p>
        </w:tc>
        <w:tc>
          <w:tcPr>
            <w:tcW w:w="122" w:type="dxa"/>
            <w:tcBorders/>
            <w:shd w:fill="CCEEFF" w:val="clear"/>
            <w:vAlign w:val="bottom"/>
          </w:tcPr>
          <w:p>
            <w:pPr>
              <w:pStyle w:val="TableContents"/>
              <w:spacing w:before="0" w:after="283"/>
              <w:rPr/>
            </w:pPr>
            <w:r>
              <w:rPr/>
              <w:t> </w:t>
            </w:r>
          </w:p>
        </w:tc>
      </w:tr>
      <w:tr>
        <w:trPr/>
        <w:tc>
          <w:tcPr>
            <w:tcW w:w="6941" w:type="dxa"/>
            <w:tcBorders/>
            <w:shd w:fill="auto" w:val="clear"/>
            <w:vAlign w:val="bottom"/>
          </w:tcPr>
          <w:p>
            <w:pPr>
              <w:pStyle w:val="TableContents"/>
              <w:spacing w:before="0" w:after="0"/>
              <w:ind w:left="225" w:right="0" w:hanging="225"/>
              <w:rPr/>
            </w:pPr>
            <w:r>
              <w:rPr/>
              <w:t>Investment in unconsolidated entities</w:t>
            </w:r>
          </w:p>
        </w:tc>
        <w:tc>
          <w:tcPr>
            <w:tcW w:w="44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9.3</w:t>
            </w:r>
          </w:p>
        </w:tc>
        <w:tc>
          <w:tcPr>
            <w:tcW w:w="12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10.0</w:t>
            </w:r>
          </w:p>
        </w:tc>
        <w:tc>
          <w:tcPr>
            <w:tcW w:w="122" w:type="dxa"/>
            <w:tcBorders/>
            <w:shd w:fill="auto" w:val="clear"/>
            <w:vAlign w:val="bottom"/>
          </w:tcPr>
          <w:p>
            <w:pPr>
              <w:pStyle w:val="TableContents"/>
              <w:spacing w:before="0" w:after="283"/>
              <w:rPr/>
            </w:pPr>
            <w:r>
              <w:rPr/>
              <w:t> </w:t>
            </w:r>
          </w:p>
        </w:tc>
      </w:tr>
      <w:tr>
        <w:trPr/>
        <w:tc>
          <w:tcPr>
            <w:tcW w:w="6941" w:type="dxa"/>
            <w:tcBorders/>
            <w:shd w:fill="CCEEFF" w:val="clear"/>
            <w:vAlign w:val="bottom"/>
          </w:tcPr>
          <w:p>
            <w:pPr>
              <w:pStyle w:val="TableContents"/>
              <w:spacing w:before="0" w:after="0"/>
              <w:ind w:left="225" w:right="0" w:hanging="225"/>
              <w:rPr/>
            </w:pPr>
            <w:r>
              <w:rPr/>
              <w:t>Internal growth projects</w:t>
            </w:r>
          </w:p>
        </w:tc>
        <w:tc>
          <w:tcPr>
            <w:tcW w:w="444"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392.3</w:t>
            </w:r>
          </w:p>
        </w:tc>
        <w:tc>
          <w:tcPr>
            <w:tcW w:w="129"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pPr>
            <w:r>
              <w:rPr/>
              <w:t>213.6</w:t>
            </w:r>
          </w:p>
        </w:tc>
        <w:tc>
          <w:tcPr>
            <w:tcW w:w="122" w:type="dxa"/>
            <w:tcBorders/>
            <w:shd w:fill="CCEEFF" w:val="clear"/>
            <w:vAlign w:val="bottom"/>
          </w:tcPr>
          <w:p>
            <w:pPr>
              <w:pStyle w:val="TableContents"/>
              <w:spacing w:before="0" w:after="283"/>
              <w:rPr/>
            </w:pPr>
            <w:r>
              <w:rPr/>
              <w:t> </w:t>
            </w:r>
          </w:p>
        </w:tc>
      </w:tr>
      <w:tr>
        <w:trPr/>
        <w:tc>
          <w:tcPr>
            <w:tcW w:w="6941" w:type="dxa"/>
            <w:tcBorders/>
            <w:shd w:fill="auto" w:val="clear"/>
            <w:vAlign w:val="bottom"/>
          </w:tcPr>
          <w:p>
            <w:pPr>
              <w:pStyle w:val="TableContents"/>
              <w:spacing w:before="0" w:after="0"/>
              <w:ind w:left="225" w:right="0" w:hanging="225"/>
              <w:rPr/>
            </w:pPr>
            <w:r>
              <w:rPr/>
              <w:t>Maintenance capital investment</w:t>
            </w:r>
          </w:p>
        </w:tc>
        <w:tc>
          <w:tcPr>
            <w:tcW w:w="444"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31.6</w:t>
            </w:r>
          </w:p>
        </w:tc>
        <w:tc>
          <w:tcPr>
            <w:tcW w:w="129" w:type="dxa"/>
            <w:tcBorders/>
            <w:shd w:fill="auto" w:val="clear"/>
            <w:vAlign w:val="bottom"/>
          </w:tcPr>
          <w:p>
            <w:pPr>
              <w:pStyle w:val="TableContents"/>
              <w:spacing w:before="0" w:after="283"/>
              <w:rPr/>
            </w:pPr>
            <w:r>
              <w:rPr/>
              <w:t> </w:t>
            </w:r>
          </w:p>
        </w:tc>
        <w:tc>
          <w:tcPr>
            <w:tcW w:w="457"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pPr>
            <w:r>
              <w:rPr/>
              <w:t>17.3</w:t>
            </w:r>
          </w:p>
        </w:tc>
        <w:tc>
          <w:tcPr>
            <w:tcW w:w="122" w:type="dxa"/>
            <w:tcBorders/>
            <w:shd w:fill="auto" w:val="clear"/>
            <w:vAlign w:val="bottom"/>
          </w:tcPr>
          <w:p>
            <w:pPr>
              <w:pStyle w:val="TableContents"/>
              <w:spacing w:before="0" w:after="283"/>
              <w:rPr/>
            </w:pPr>
            <w:r>
              <w:rPr/>
              <w:t> </w:t>
            </w:r>
          </w:p>
        </w:tc>
      </w:tr>
      <w:tr>
        <w:trPr/>
        <w:tc>
          <w:tcPr>
            <w:tcW w:w="6941" w:type="dxa"/>
            <w:tcBorders/>
            <w:shd w:fill="auto" w:val="clear"/>
            <w:vAlign w:val="center"/>
          </w:tcPr>
          <w:p>
            <w:pPr>
              <w:pStyle w:val="TableContents"/>
              <w:spacing w:before="0" w:after="0"/>
              <w:ind w:left="225" w:right="0" w:hanging="225"/>
              <w:rPr/>
            </w:pPr>
            <w:r>
              <w:rPr/>
              <w:t> </w:t>
            </w:r>
          </w:p>
        </w:tc>
        <w:tc>
          <w:tcPr>
            <w:tcW w:w="444"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5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941" w:type="dxa"/>
            <w:tcBorders/>
            <w:shd w:fill="CCEEFF" w:val="clear"/>
            <w:vAlign w:val="bottom"/>
          </w:tcPr>
          <w:p>
            <w:pPr>
              <w:pStyle w:val="TableContents"/>
              <w:spacing w:before="0" w:after="0"/>
              <w:ind w:left="225" w:right="0" w:hanging="225"/>
              <w:rPr/>
            </w:pPr>
            <w:r>
              <w:rPr/>
              <w:t> </w:t>
            </w:r>
          </w:p>
        </w:tc>
        <w:tc>
          <w:tcPr>
            <w:tcW w:w="444"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61" w:type="dxa"/>
            <w:tcBorders/>
            <w:shd w:fill="CCEEFF" w:val="clear"/>
            <w:vAlign w:val="bottom"/>
          </w:tcPr>
          <w:p>
            <w:pPr>
              <w:pStyle w:val="TableContents"/>
              <w:spacing w:before="0" w:after="283"/>
              <w:jc w:val="right"/>
              <w:rPr/>
            </w:pPr>
            <w:r>
              <w:rPr/>
              <w:t>502.4</w:t>
            </w:r>
          </w:p>
        </w:tc>
        <w:tc>
          <w:tcPr>
            <w:tcW w:w="129"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63" w:type="dxa"/>
            <w:tcBorders/>
            <w:shd w:fill="CCEEFF" w:val="clear"/>
            <w:vAlign w:val="bottom"/>
          </w:tcPr>
          <w:p>
            <w:pPr>
              <w:pStyle w:val="TableContents"/>
              <w:spacing w:before="0" w:after="283"/>
              <w:jc w:val="right"/>
              <w:rPr/>
            </w:pPr>
            <w:r>
              <w:rPr/>
              <w:t>807.5</w:t>
            </w:r>
          </w:p>
        </w:tc>
        <w:tc>
          <w:tcPr>
            <w:tcW w:w="122" w:type="dxa"/>
            <w:tcBorders/>
            <w:shd w:fill="CCEEFF" w:val="clear"/>
            <w:vAlign w:val="bottom"/>
          </w:tcPr>
          <w:p>
            <w:pPr>
              <w:pStyle w:val="TableContents"/>
              <w:spacing w:before="0" w:after="283"/>
              <w:rPr/>
            </w:pPr>
            <w:r>
              <w:rPr/>
              <w:t> </w:t>
            </w:r>
          </w:p>
        </w:tc>
      </w:tr>
      <w:tr>
        <w:trPr/>
        <w:tc>
          <w:tcPr>
            <w:tcW w:w="6941" w:type="dxa"/>
            <w:tcBorders/>
            <w:shd w:fill="auto" w:val="clear"/>
            <w:vAlign w:val="center"/>
          </w:tcPr>
          <w:p>
            <w:pPr>
              <w:pStyle w:val="TableContents"/>
              <w:spacing w:before="0" w:after="0"/>
              <w:ind w:left="225" w:right="0" w:hanging="225"/>
              <w:rPr/>
            </w:pPr>
            <w:r>
              <w:rPr/>
              <w:t> </w:t>
            </w:r>
          </w:p>
        </w:tc>
        <w:tc>
          <w:tcPr>
            <w:tcW w:w="444"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457" w:type="dxa"/>
            <w:tcBorders/>
            <w:shd w:fill="auto" w:val="clear"/>
            <w:vAlign w:val="center"/>
          </w:tcPr>
          <w:p>
            <w:pPr>
              <w:pStyle w:val="TableContents"/>
              <w:spacing w:before="0" w:after="283"/>
              <w:rPr/>
            </w:pPr>
            <w:r>
              <w:rPr/>
              <w:t> </w:t>
            </w:r>
          </w:p>
        </w:tc>
        <w:tc>
          <w:tcPr>
            <w:tcW w:w="10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Acquisitions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During the first nine months of 2007, we acquired (i) a commercial refined products supply and marketing business (reflected in our marketing segment) for approximately $8 million in cash (including approximately $7 million of goodwill), (ii) a trucking business (reflected in our transportation segment) for approximately $9 million in cash (including approximately $4 million of goodwill) and (iii) the Bumstead LPG storage facility located near Phoenix, Arizona (reflected in our facilities segment) for approximately $52 million in cash (there was no goodwill associated with this acquisition). The Bumstead facility has a working capacity of approximately 3.2 million barrels of LPG. Also, during the third quarter of 2007, we signed an agreement to acquire the Tirzah LPG storage facility and other assets located near York County, South Carolina for approximately $54 million. The acquisition closed on October 2, 2007 and will be reflected in our facilities segment. The Tirzah facility has a working capacity of approximately 1.4 million barrels. </w:t>
      </w:r>
    </w:p>
    <w:p>
      <w:pPr>
        <w:pStyle w:val="TextBody"/>
        <w:spacing w:before="120" w:after="283"/>
        <w:jc w:val="left"/>
        <w:rPr/>
      </w:pPr>
      <w:r>
        <w:rPr/>
        <w:t xml:space="preserve">      </w:t>
      </w:r>
      <w:r>
        <w:rPr>
          <w:rFonts w:ascii="Times New Roman;Times;serif" w:hAnsi="Times New Roman;Times;serif"/>
          <w:sz w:val="17"/>
        </w:rPr>
        <w:t xml:space="preserve">Certain adjustments related to the purchase price for the Pacific acquisition have been recorded in the first nine months of 2007, resulting in increased goodwill. The purchase price allocations related to the Pacific, Bumstead and Tirzah acquisitions are preliminary and subject to change, pending finalization of the valuation of the assets and liabilities acquired.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Internal Growth Projects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forecast approximately $540 million in capital expenditures for expansion projects during calendar year 2007, of which approximately $392 million was incurred in the first nine months. These projects include the construction and expansion of pipeline systems and crude oil and LPG storage facilities. Following are some of the more notable projects undertaken in 2007 and the estimated expenditures for the year (in millions): </w:t>
      </w:r>
    </w:p>
    <w:tbl>
      <w:tblPr>
        <w:tblW w:w="5000" w:type="pct"/>
        <w:jc w:val="center"/>
        <w:tblInd w:w="0" w:type="dxa"/>
        <w:tblCellMar>
          <w:top w:w="0" w:type="dxa"/>
          <w:left w:w="0" w:type="dxa"/>
          <w:bottom w:w="0" w:type="dxa"/>
          <w:right w:w="0" w:type="dxa"/>
        </w:tblCellMar>
      </w:tblPr>
      <w:tblGrid>
        <w:gridCol w:w="8822"/>
        <w:gridCol w:w="504"/>
        <w:gridCol w:w="140"/>
        <w:gridCol w:w="621"/>
        <w:gridCol w:w="118"/>
      </w:tblGrid>
      <w:tr>
        <w:trPr/>
        <w:tc>
          <w:tcPr>
            <w:tcW w:w="8822"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8822" w:type="dxa"/>
            <w:tcBorders>
              <w:bottom w:val="single" w:sz="2" w:space="0" w:color="000000"/>
            </w:tcBorders>
            <w:shd w:fill="auto" w:val="clear"/>
            <w:tcMar>
              <w:bottom w:w="28" w:type="dxa"/>
            </w:tcMar>
            <w:vAlign w:val="bottom"/>
          </w:tcPr>
          <w:p>
            <w:pPr>
              <w:pStyle w:val="TableContents"/>
              <w:spacing w:before="0" w:after="283"/>
              <w:jc w:val="left"/>
              <w:rPr>
                <w:b/>
              </w:rPr>
            </w:pPr>
            <w:r>
              <w:rPr>
                <w:b/>
              </w:rPr>
              <w:t>Projects</w:t>
            </w:r>
          </w:p>
        </w:tc>
        <w:tc>
          <w:tcPr>
            <w:tcW w:w="504" w:type="dxa"/>
            <w:tcBorders/>
            <w:shd w:fill="auto" w:val="clear"/>
            <w:vAlign w:val="bottom"/>
          </w:tcPr>
          <w:p>
            <w:pPr>
              <w:pStyle w:val="TableContents"/>
              <w:spacing w:before="0" w:after="283"/>
              <w:rPr/>
            </w:pPr>
            <w:r>
              <w:rPr/>
              <w:t> </w:t>
            </w:r>
          </w:p>
        </w:tc>
        <w:tc>
          <w:tcPr>
            <w:tcW w:w="76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8" w:type="dxa"/>
            <w:tcBorders/>
            <w:shd w:fill="auto" w:val="clear"/>
            <w:vAlign w:val="bottom"/>
          </w:tcPr>
          <w:p>
            <w:pPr>
              <w:pStyle w:val="TableContents"/>
              <w:spacing w:before="0" w:after="283"/>
              <w:rPr/>
            </w:pPr>
            <w:r>
              <w:rPr/>
              <w:t> </w:t>
            </w:r>
          </w:p>
        </w:tc>
      </w:tr>
      <w:tr>
        <w:trPr/>
        <w:tc>
          <w:tcPr>
            <w:tcW w:w="8822" w:type="dxa"/>
            <w:tcBorders/>
            <w:shd w:fill="CCEEFF" w:val="clear"/>
            <w:vAlign w:val="bottom"/>
          </w:tcPr>
          <w:p>
            <w:pPr>
              <w:pStyle w:val="TableContents"/>
              <w:spacing w:before="0" w:after="0"/>
              <w:ind w:left="225" w:right="0" w:hanging="225"/>
              <w:rPr/>
            </w:pPr>
            <w:r>
              <w:rPr/>
              <w:t>St. James, Louisiana Storage Facility (1)</w:t>
            </w:r>
          </w:p>
        </w:tc>
        <w:tc>
          <w:tcPr>
            <w:tcW w:w="5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621" w:type="dxa"/>
            <w:tcBorders/>
            <w:shd w:fill="CCEEFF" w:val="clear"/>
            <w:vAlign w:val="bottom"/>
          </w:tcPr>
          <w:p>
            <w:pPr>
              <w:pStyle w:val="TableContents"/>
              <w:spacing w:before="0" w:after="283"/>
              <w:jc w:val="right"/>
              <w:rPr/>
            </w:pPr>
            <w:r>
              <w:rPr/>
              <w:t>80.0</w:t>
            </w:r>
          </w:p>
        </w:tc>
        <w:tc>
          <w:tcPr>
            <w:tcW w:w="118" w:type="dxa"/>
            <w:tcBorders/>
            <w:shd w:fill="CCEEFF" w:val="clear"/>
            <w:vAlign w:val="bottom"/>
          </w:tcPr>
          <w:p>
            <w:pPr>
              <w:pStyle w:val="TableContents"/>
              <w:spacing w:before="0" w:after="283"/>
              <w:rPr/>
            </w:pPr>
            <w:r>
              <w:rPr/>
              <w:t> </w:t>
            </w:r>
          </w:p>
        </w:tc>
      </w:tr>
      <w:tr>
        <w:trPr/>
        <w:tc>
          <w:tcPr>
            <w:tcW w:w="8822" w:type="dxa"/>
            <w:tcBorders/>
            <w:shd w:fill="auto" w:val="clear"/>
            <w:vAlign w:val="bottom"/>
          </w:tcPr>
          <w:p>
            <w:pPr>
              <w:pStyle w:val="TableContents"/>
              <w:spacing w:before="0" w:after="0"/>
              <w:ind w:left="225" w:right="0" w:hanging="225"/>
              <w:rPr/>
            </w:pPr>
            <w:r>
              <w:rPr/>
              <w:t>Cheyenne Pipeline</w:t>
            </w:r>
          </w:p>
        </w:tc>
        <w:tc>
          <w:tcPr>
            <w:tcW w:w="5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pPr>
            <w:r>
              <w:rPr/>
              <w:t>68.0</w:t>
            </w:r>
          </w:p>
        </w:tc>
        <w:tc>
          <w:tcPr>
            <w:tcW w:w="118"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8753"/>
        <w:gridCol w:w="501"/>
        <w:gridCol w:w="146"/>
        <w:gridCol w:w="684"/>
        <w:gridCol w:w="121"/>
      </w:tblGrid>
      <w:tr>
        <w:trPr/>
        <w:tc>
          <w:tcPr>
            <w:tcW w:w="8753"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8753" w:type="dxa"/>
            <w:tcBorders>
              <w:bottom w:val="single" w:sz="2" w:space="0" w:color="000000"/>
            </w:tcBorders>
            <w:shd w:fill="auto" w:val="clear"/>
            <w:tcMar>
              <w:bottom w:w="28" w:type="dxa"/>
            </w:tcMar>
            <w:vAlign w:val="bottom"/>
          </w:tcPr>
          <w:p>
            <w:pPr>
              <w:pStyle w:val="TableContents"/>
              <w:spacing w:before="0" w:after="283"/>
              <w:jc w:val="left"/>
              <w:rPr>
                <w:b/>
              </w:rPr>
            </w:pPr>
            <w:r>
              <w:rPr>
                <w:b/>
              </w:rPr>
              <w:t>Projects</w:t>
            </w:r>
          </w:p>
        </w:tc>
        <w:tc>
          <w:tcPr>
            <w:tcW w:w="501"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21" w:type="dxa"/>
            <w:tcBorders/>
            <w:shd w:fill="auto" w:val="clear"/>
            <w:vAlign w:val="bottom"/>
          </w:tcPr>
          <w:p>
            <w:pPr>
              <w:pStyle w:val="TableContents"/>
              <w:spacing w:before="0" w:after="283"/>
              <w:rPr/>
            </w:pPr>
            <w:r>
              <w:rPr/>
              <w:t> </w:t>
            </w:r>
          </w:p>
        </w:tc>
      </w:tr>
      <w:tr>
        <w:trPr/>
        <w:tc>
          <w:tcPr>
            <w:tcW w:w="8753" w:type="dxa"/>
            <w:tcBorders/>
            <w:shd w:fill="CCEEFF" w:val="clear"/>
            <w:vAlign w:val="bottom"/>
          </w:tcPr>
          <w:p>
            <w:pPr>
              <w:pStyle w:val="TableContents"/>
              <w:spacing w:before="0" w:after="0"/>
              <w:ind w:left="225" w:right="0" w:hanging="225"/>
              <w:rPr/>
            </w:pPr>
            <w:r>
              <w:rPr/>
              <w:t>Salt Lake City Expansion (1)</w:t>
            </w:r>
          </w:p>
        </w:tc>
        <w:tc>
          <w:tcPr>
            <w:tcW w:w="5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55.0</w:t>
            </w:r>
          </w:p>
        </w:tc>
        <w:tc>
          <w:tcPr>
            <w:tcW w:w="121" w:type="dxa"/>
            <w:tcBorders/>
            <w:shd w:fill="CCEEFF" w:val="clear"/>
            <w:vAlign w:val="bottom"/>
          </w:tcPr>
          <w:p>
            <w:pPr>
              <w:pStyle w:val="TableContents"/>
              <w:spacing w:before="0" w:after="283"/>
              <w:rPr/>
            </w:pPr>
            <w:r>
              <w:rPr/>
              <w:t> </w:t>
            </w:r>
          </w:p>
        </w:tc>
      </w:tr>
      <w:tr>
        <w:trPr/>
        <w:tc>
          <w:tcPr>
            <w:tcW w:w="8753" w:type="dxa"/>
            <w:tcBorders/>
            <w:shd w:fill="auto" w:val="clear"/>
            <w:vAlign w:val="bottom"/>
          </w:tcPr>
          <w:p>
            <w:pPr>
              <w:pStyle w:val="TableContents"/>
              <w:spacing w:before="0" w:after="0"/>
              <w:ind w:left="225" w:right="0" w:hanging="225"/>
              <w:rPr/>
            </w:pPr>
            <w:r>
              <w:rPr/>
              <w:t>Cushing Tankage  Phase VI (1)</w:t>
            </w:r>
          </w:p>
        </w:tc>
        <w:tc>
          <w:tcPr>
            <w:tcW w:w="5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34.0</w:t>
            </w:r>
          </w:p>
        </w:tc>
        <w:tc>
          <w:tcPr>
            <w:tcW w:w="121" w:type="dxa"/>
            <w:tcBorders/>
            <w:shd w:fill="auto" w:val="clear"/>
            <w:vAlign w:val="bottom"/>
          </w:tcPr>
          <w:p>
            <w:pPr>
              <w:pStyle w:val="TableContents"/>
              <w:spacing w:before="0" w:after="283"/>
              <w:rPr/>
            </w:pPr>
            <w:r>
              <w:rPr/>
              <w:t> </w:t>
            </w:r>
          </w:p>
        </w:tc>
      </w:tr>
      <w:tr>
        <w:trPr/>
        <w:tc>
          <w:tcPr>
            <w:tcW w:w="8753" w:type="dxa"/>
            <w:tcBorders/>
            <w:shd w:fill="CCEEFF" w:val="clear"/>
            <w:vAlign w:val="bottom"/>
          </w:tcPr>
          <w:p>
            <w:pPr>
              <w:pStyle w:val="TableContents"/>
              <w:spacing w:before="0" w:after="0"/>
              <w:ind w:left="225" w:right="0" w:hanging="225"/>
              <w:rPr/>
            </w:pPr>
            <w:r>
              <w:rPr/>
              <w:t>Patoka Tankage (1)</w:t>
            </w:r>
          </w:p>
        </w:tc>
        <w:tc>
          <w:tcPr>
            <w:tcW w:w="5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32.0</w:t>
            </w:r>
          </w:p>
        </w:tc>
        <w:tc>
          <w:tcPr>
            <w:tcW w:w="121" w:type="dxa"/>
            <w:tcBorders/>
            <w:shd w:fill="CCEEFF" w:val="clear"/>
            <w:vAlign w:val="bottom"/>
          </w:tcPr>
          <w:p>
            <w:pPr>
              <w:pStyle w:val="TableContents"/>
              <w:spacing w:before="0" w:after="283"/>
              <w:rPr/>
            </w:pPr>
            <w:r>
              <w:rPr/>
              <w:t> </w:t>
            </w:r>
          </w:p>
        </w:tc>
      </w:tr>
      <w:tr>
        <w:trPr/>
        <w:tc>
          <w:tcPr>
            <w:tcW w:w="8753" w:type="dxa"/>
            <w:tcBorders/>
            <w:shd w:fill="auto" w:val="clear"/>
            <w:vAlign w:val="bottom"/>
          </w:tcPr>
          <w:p>
            <w:pPr>
              <w:pStyle w:val="TableContents"/>
              <w:spacing w:before="0" w:after="0"/>
              <w:ind w:left="225" w:right="0" w:hanging="225"/>
              <w:rPr/>
            </w:pPr>
            <w:r>
              <w:rPr/>
              <w:t>Martinez Terminal (1)</w:t>
            </w:r>
          </w:p>
        </w:tc>
        <w:tc>
          <w:tcPr>
            <w:tcW w:w="5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25.0</w:t>
            </w:r>
          </w:p>
        </w:tc>
        <w:tc>
          <w:tcPr>
            <w:tcW w:w="121" w:type="dxa"/>
            <w:tcBorders/>
            <w:shd w:fill="auto" w:val="clear"/>
            <w:vAlign w:val="bottom"/>
          </w:tcPr>
          <w:p>
            <w:pPr>
              <w:pStyle w:val="TableContents"/>
              <w:spacing w:before="0" w:after="283"/>
              <w:rPr/>
            </w:pPr>
            <w:r>
              <w:rPr/>
              <w:t> </w:t>
            </w:r>
          </w:p>
        </w:tc>
      </w:tr>
      <w:tr>
        <w:trPr/>
        <w:tc>
          <w:tcPr>
            <w:tcW w:w="8753" w:type="dxa"/>
            <w:tcBorders/>
            <w:shd w:fill="CCEEFF" w:val="clear"/>
            <w:vAlign w:val="bottom"/>
          </w:tcPr>
          <w:p>
            <w:pPr>
              <w:pStyle w:val="TableContents"/>
              <w:spacing w:before="0" w:after="0"/>
              <w:ind w:left="225" w:right="0" w:hanging="225"/>
              <w:rPr/>
            </w:pPr>
            <w:r>
              <w:rPr/>
              <w:t>Fort Laramie Tank Expansion (1)</w:t>
            </w:r>
          </w:p>
        </w:tc>
        <w:tc>
          <w:tcPr>
            <w:tcW w:w="5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21.0</w:t>
            </w:r>
          </w:p>
        </w:tc>
        <w:tc>
          <w:tcPr>
            <w:tcW w:w="121" w:type="dxa"/>
            <w:tcBorders/>
            <w:shd w:fill="CCEEFF" w:val="clear"/>
            <w:vAlign w:val="bottom"/>
          </w:tcPr>
          <w:p>
            <w:pPr>
              <w:pStyle w:val="TableContents"/>
              <w:spacing w:before="0" w:after="283"/>
              <w:rPr/>
            </w:pPr>
            <w:r>
              <w:rPr/>
              <w:t> </w:t>
            </w:r>
          </w:p>
        </w:tc>
      </w:tr>
      <w:tr>
        <w:trPr/>
        <w:tc>
          <w:tcPr>
            <w:tcW w:w="8753" w:type="dxa"/>
            <w:tcBorders/>
            <w:shd w:fill="auto" w:val="clear"/>
            <w:vAlign w:val="bottom"/>
          </w:tcPr>
          <w:p>
            <w:pPr>
              <w:pStyle w:val="TableContents"/>
              <w:spacing w:before="0" w:after="0"/>
              <w:ind w:left="225" w:right="0" w:hanging="225"/>
              <w:rPr/>
            </w:pPr>
            <w:r>
              <w:rPr/>
              <w:t>High Prairie Rail Terminal</w:t>
            </w:r>
          </w:p>
        </w:tc>
        <w:tc>
          <w:tcPr>
            <w:tcW w:w="5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12.0</w:t>
            </w:r>
          </w:p>
        </w:tc>
        <w:tc>
          <w:tcPr>
            <w:tcW w:w="121" w:type="dxa"/>
            <w:tcBorders/>
            <w:shd w:fill="auto" w:val="clear"/>
            <w:vAlign w:val="bottom"/>
          </w:tcPr>
          <w:p>
            <w:pPr>
              <w:pStyle w:val="TableContents"/>
              <w:spacing w:before="0" w:after="283"/>
              <w:rPr/>
            </w:pPr>
            <w:r>
              <w:rPr/>
              <w:t> </w:t>
            </w:r>
          </w:p>
        </w:tc>
      </w:tr>
      <w:tr>
        <w:trPr/>
        <w:tc>
          <w:tcPr>
            <w:tcW w:w="8753" w:type="dxa"/>
            <w:tcBorders/>
            <w:shd w:fill="CCEEFF" w:val="clear"/>
            <w:vAlign w:val="bottom"/>
          </w:tcPr>
          <w:p>
            <w:pPr>
              <w:pStyle w:val="TableContents"/>
              <w:spacing w:before="0" w:after="0"/>
              <w:ind w:left="225" w:right="0" w:hanging="225"/>
              <w:rPr/>
            </w:pPr>
            <w:r>
              <w:rPr/>
              <w:t>Paulsboro Expansion (1)</w:t>
            </w:r>
          </w:p>
        </w:tc>
        <w:tc>
          <w:tcPr>
            <w:tcW w:w="5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8.0</w:t>
            </w:r>
          </w:p>
        </w:tc>
        <w:tc>
          <w:tcPr>
            <w:tcW w:w="121" w:type="dxa"/>
            <w:tcBorders/>
            <w:shd w:fill="CCEEFF" w:val="clear"/>
            <w:vAlign w:val="bottom"/>
          </w:tcPr>
          <w:p>
            <w:pPr>
              <w:pStyle w:val="TableContents"/>
              <w:spacing w:before="0" w:after="283"/>
              <w:rPr/>
            </w:pPr>
            <w:r>
              <w:rPr/>
              <w:t> </w:t>
            </w:r>
          </w:p>
        </w:tc>
      </w:tr>
      <w:tr>
        <w:trPr/>
        <w:tc>
          <w:tcPr>
            <w:tcW w:w="8753" w:type="dxa"/>
            <w:tcBorders/>
            <w:shd w:fill="auto" w:val="clear"/>
            <w:vAlign w:val="bottom"/>
          </w:tcPr>
          <w:p>
            <w:pPr>
              <w:pStyle w:val="TableContents"/>
              <w:spacing w:before="0" w:after="0"/>
              <w:ind w:left="225" w:right="0" w:hanging="225"/>
              <w:rPr/>
            </w:pPr>
            <w:r>
              <w:rPr/>
              <w:t>Elk City to Calumet (1)</w:t>
            </w:r>
          </w:p>
        </w:tc>
        <w:tc>
          <w:tcPr>
            <w:tcW w:w="5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12.0</w:t>
            </w:r>
          </w:p>
        </w:tc>
        <w:tc>
          <w:tcPr>
            <w:tcW w:w="121" w:type="dxa"/>
            <w:tcBorders/>
            <w:shd w:fill="auto" w:val="clear"/>
            <w:vAlign w:val="bottom"/>
          </w:tcPr>
          <w:p>
            <w:pPr>
              <w:pStyle w:val="TableContents"/>
              <w:spacing w:before="0" w:after="283"/>
              <w:rPr/>
            </w:pPr>
            <w:r>
              <w:rPr/>
              <w:t> </w:t>
            </w:r>
          </w:p>
        </w:tc>
      </w:tr>
      <w:tr>
        <w:trPr/>
        <w:tc>
          <w:tcPr>
            <w:tcW w:w="8753" w:type="dxa"/>
            <w:tcBorders/>
            <w:shd w:fill="CCEEFF" w:val="clear"/>
            <w:vAlign w:val="bottom"/>
          </w:tcPr>
          <w:p>
            <w:pPr>
              <w:pStyle w:val="TableContents"/>
              <w:spacing w:before="0" w:after="0"/>
              <w:ind w:left="225" w:right="0" w:hanging="225"/>
              <w:rPr/>
            </w:pPr>
            <w:r>
              <w:rPr/>
              <w:t>Pier 400 (2)</w:t>
            </w:r>
          </w:p>
        </w:tc>
        <w:tc>
          <w:tcPr>
            <w:tcW w:w="5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7.0</w:t>
            </w:r>
          </w:p>
        </w:tc>
        <w:tc>
          <w:tcPr>
            <w:tcW w:w="121" w:type="dxa"/>
            <w:tcBorders/>
            <w:shd w:fill="CCEEFF" w:val="clear"/>
            <w:vAlign w:val="bottom"/>
          </w:tcPr>
          <w:p>
            <w:pPr>
              <w:pStyle w:val="TableContents"/>
              <w:spacing w:before="0" w:after="283"/>
              <w:rPr/>
            </w:pPr>
            <w:r>
              <w:rPr/>
              <w:t> </w:t>
            </w:r>
          </w:p>
        </w:tc>
      </w:tr>
      <w:tr>
        <w:trPr/>
        <w:tc>
          <w:tcPr>
            <w:tcW w:w="8753" w:type="dxa"/>
            <w:tcBorders/>
            <w:shd w:fill="auto" w:val="clear"/>
            <w:vAlign w:val="bottom"/>
          </w:tcPr>
          <w:p>
            <w:pPr>
              <w:pStyle w:val="TableContents"/>
              <w:spacing w:before="0" w:after="0"/>
              <w:ind w:left="225" w:right="0" w:hanging="225"/>
              <w:rPr/>
            </w:pPr>
            <w:r>
              <w:rPr/>
              <w:t>Kerrobert Tankage</w:t>
            </w:r>
          </w:p>
        </w:tc>
        <w:tc>
          <w:tcPr>
            <w:tcW w:w="5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jc w:val="right"/>
              <w:rPr/>
            </w:pPr>
            <w:r>
              <w:rPr/>
              <w:t>9.0</w:t>
            </w:r>
          </w:p>
        </w:tc>
        <w:tc>
          <w:tcPr>
            <w:tcW w:w="121" w:type="dxa"/>
            <w:tcBorders/>
            <w:shd w:fill="auto" w:val="clear"/>
            <w:vAlign w:val="bottom"/>
          </w:tcPr>
          <w:p>
            <w:pPr>
              <w:pStyle w:val="TableContents"/>
              <w:spacing w:before="0" w:after="283"/>
              <w:rPr/>
            </w:pPr>
            <w:r>
              <w:rPr/>
              <w:t> </w:t>
            </w:r>
          </w:p>
        </w:tc>
      </w:tr>
      <w:tr>
        <w:trPr/>
        <w:tc>
          <w:tcPr>
            <w:tcW w:w="8753" w:type="dxa"/>
            <w:tcBorders/>
            <w:shd w:fill="CCEEFF" w:val="clear"/>
            <w:vAlign w:val="bottom"/>
          </w:tcPr>
          <w:p>
            <w:pPr>
              <w:pStyle w:val="TableContents"/>
              <w:spacing w:before="0" w:after="0"/>
              <w:ind w:left="225" w:right="0" w:hanging="225"/>
              <w:rPr/>
            </w:pPr>
            <w:r>
              <w:rPr/>
              <w:t>Other Projects (3)</w:t>
            </w:r>
          </w:p>
        </w:tc>
        <w:tc>
          <w:tcPr>
            <w:tcW w:w="5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177.0</w:t>
            </w:r>
          </w:p>
        </w:tc>
        <w:tc>
          <w:tcPr>
            <w:tcW w:w="121" w:type="dxa"/>
            <w:tcBorders/>
            <w:shd w:fill="CCEEFF" w:val="clear"/>
            <w:vAlign w:val="bottom"/>
          </w:tcPr>
          <w:p>
            <w:pPr>
              <w:pStyle w:val="TableContents"/>
              <w:spacing w:before="0" w:after="283"/>
              <w:rPr/>
            </w:pPr>
            <w:r>
              <w:rPr/>
              <w:t> </w:t>
            </w:r>
          </w:p>
        </w:tc>
      </w:tr>
      <w:tr>
        <w:trPr/>
        <w:tc>
          <w:tcPr>
            <w:tcW w:w="8753" w:type="dxa"/>
            <w:tcBorders/>
            <w:shd w:fill="auto" w:val="clear"/>
            <w:vAlign w:val="center"/>
          </w:tcPr>
          <w:p>
            <w:pPr>
              <w:pStyle w:val="TableContents"/>
              <w:spacing w:before="0" w:after="0"/>
              <w:ind w:left="225" w:right="0" w:hanging="225"/>
              <w:rPr/>
            </w:pPr>
            <w:r>
              <w:rPr/>
              <w:t> </w:t>
            </w:r>
          </w:p>
        </w:tc>
        <w:tc>
          <w:tcPr>
            <w:tcW w:w="501" w:type="dxa"/>
            <w:tcBorders/>
            <w:shd w:fill="auto" w:val="clear"/>
            <w:vAlign w:val="center"/>
          </w:tcPr>
          <w:p>
            <w:pPr>
              <w:pStyle w:val="TableContents"/>
              <w:spacing w:before="0" w:after="283"/>
              <w:rPr/>
            </w:pPr>
            <w:r>
              <w:rPr/>
              <w:t> </w:t>
            </w:r>
          </w:p>
        </w:tc>
        <w:tc>
          <w:tcPr>
            <w:tcW w:w="8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r>
        <w:trPr/>
        <w:tc>
          <w:tcPr>
            <w:tcW w:w="8753" w:type="dxa"/>
            <w:tcBorders/>
            <w:shd w:fill="auto" w:val="clear"/>
            <w:vAlign w:val="bottom"/>
          </w:tcPr>
          <w:p>
            <w:pPr>
              <w:pStyle w:val="TableContents"/>
              <w:spacing w:before="0" w:after="0"/>
              <w:ind w:left="450" w:right="0" w:hanging="225"/>
              <w:rPr/>
            </w:pPr>
            <w:r>
              <w:rPr/>
              <w:t>Total</w:t>
            </w:r>
          </w:p>
        </w:tc>
        <w:tc>
          <w:tcPr>
            <w:tcW w:w="5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jc w:val="left"/>
              <w:rPr/>
            </w:pPr>
            <w:r>
              <w:rPr/>
              <w:t>$</w:t>
            </w:r>
          </w:p>
        </w:tc>
        <w:tc>
          <w:tcPr>
            <w:tcW w:w="684" w:type="dxa"/>
            <w:tcBorders/>
            <w:shd w:fill="auto" w:val="clear"/>
            <w:vAlign w:val="bottom"/>
          </w:tcPr>
          <w:p>
            <w:pPr>
              <w:pStyle w:val="TableContents"/>
              <w:spacing w:before="0" w:after="283"/>
              <w:jc w:val="right"/>
              <w:rPr/>
            </w:pPr>
            <w:r>
              <w:rPr/>
              <w:t>540.0</w:t>
            </w:r>
          </w:p>
        </w:tc>
        <w:tc>
          <w:tcPr>
            <w:tcW w:w="121" w:type="dxa"/>
            <w:tcBorders/>
            <w:shd w:fill="auto" w:val="clear"/>
            <w:vAlign w:val="bottom"/>
          </w:tcPr>
          <w:p>
            <w:pPr>
              <w:pStyle w:val="TableContents"/>
              <w:spacing w:before="0" w:after="283"/>
              <w:rPr/>
            </w:pPr>
            <w:r>
              <w:rPr/>
              <w:t> </w:t>
            </w:r>
          </w:p>
        </w:tc>
      </w:tr>
      <w:tr>
        <w:trPr/>
        <w:tc>
          <w:tcPr>
            <w:tcW w:w="8753" w:type="dxa"/>
            <w:tcBorders/>
            <w:shd w:fill="auto" w:val="clear"/>
            <w:vAlign w:val="center"/>
          </w:tcPr>
          <w:p>
            <w:pPr>
              <w:pStyle w:val="TableContents"/>
              <w:spacing w:before="0" w:after="0"/>
              <w:ind w:left="225" w:right="0" w:hanging="225"/>
              <w:rPr/>
            </w:pPr>
            <w:r>
              <w:rPr/>
              <w:t> </w:t>
            </w:r>
          </w:p>
        </w:tc>
        <w:tc>
          <w:tcPr>
            <w:tcW w:w="501" w:type="dxa"/>
            <w:tcBorders/>
            <w:shd w:fill="auto" w:val="clear"/>
            <w:vAlign w:val="center"/>
          </w:tcPr>
          <w:p>
            <w:pPr>
              <w:pStyle w:val="TableContents"/>
              <w:spacing w:before="0" w:after="283"/>
              <w:rPr/>
            </w:pPr>
            <w:r>
              <w:rPr/>
              <w:t> </w:t>
            </w:r>
          </w:p>
        </w:tc>
        <w:tc>
          <w:tcPr>
            <w:tcW w:w="8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1"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15"/>
        <w:gridCol w:w="2224"/>
        <w:gridCol w:w="1266"/>
      </w:tblGrid>
      <w:tr>
        <w:trPr/>
        <w:tc>
          <w:tcPr>
            <w:tcW w:w="6715"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(1)</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These projects will continue into 2008 and we expect to incur an additional $100 million to $110 million in 2008 with respect to such projects (primarily related to the Patoka Tankage and Paulsboro Expansion projects). We expect to have additional projects in 2008, but have not finalized our 2008 capital plan.</w:t>
            </w:r>
          </w:p>
        </w:tc>
      </w:tr>
      <w:tr>
        <w:trPr/>
        <w:tc>
          <w:tcPr>
            <w:tcW w:w="6715" w:type="dxa"/>
            <w:tcBorders/>
            <w:shd w:fill="auto" w:val="clear"/>
            <w:vAlign w:val="center"/>
          </w:tcPr>
          <w:p>
            <w:pPr>
              <w:pStyle w:val="TableContents"/>
              <w:spacing w:before="0" w:after="283"/>
              <w:rPr/>
            </w:pPr>
            <w:r>
              <w:rPr/>
              <w:t> </w:t>
            </w:r>
          </w:p>
        </w:tc>
        <w:tc>
          <w:tcPr>
            <w:tcW w:w="3490" w:type="dxa"/>
            <w:gridSpan w:val="2"/>
            <w:tcBorders/>
            <w:shd w:fill="auto" w:val="clea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(2)</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This project requires approval of a number of city and state regulatory agencies in California. Accordingly, the timing and amount of additional costs, if any, related to Pier 400 are not certain at this time.</w:t>
            </w:r>
          </w:p>
        </w:tc>
      </w:tr>
      <w:tr>
        <w:trPr/>
        <w:tc>
          <w:tcPr>
            <w:tcW w:w="6715" w:type="dxa"/>
            <w:tcBorders/>
            <w:shd w:fill="auto" w:val="clear"/>
            <w:vAlign w:val="center"/>
          </w:tcPr>
          <w:p>
            <w:pPr>
              <w:pStyle w:val="TableContents"/>
              <w:spacing w:before="0" w:after="283"/>
              <w:rPr/>
            </w:pPr>
            <w:r>
              <w:rPr/>
              <w:t> </w:t>
            </w:r>
          </w:p>
        </w:tc>
        <w:tc>
          <w:tcPr>
            <w:tcW w:w="3490" w:type="dxa"/>
            <w:gridSpan w:val="2"/>
            <w:tcBorders/>
            <w:shd w:fill="auto" w:val="clea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(3)</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 xml:space="preserve">Primarily pipeline connections, upgrades and truck stations as well as new tank construction and refurbishing. </w:t>
            </w:r>
          </w:p>
        </w:tc>
      </w:tr>
    </w:tbl>
    <w:p>
      <w:pPr>
        <w:pStyle w:val="TextBody"/>
        <w:spacing w:before="120" w:after="283"/>
        <w:jc w:val="left"/>
        <w:rPr/>
      </w:pPr>
      <w:r>
        <w:rPr/>
        <w:t>     </w:t>
      </w:r>
      <w:r>
        <w:rPr>
          <w:rFonts w:ascii="Times New Roman;Times;serif" w:hAnsi="Times New Roman;Times;serif"/>
          <w:sz w:val="17"/>
        </w:rPr>
        <w:t xml:space="preserve">We do not expect the majority of these projects to contribute significantly to net income or cash flow from operations in 2007, but expect them to have a more significant impact in late 2008. </w:t>
      </w:r>
    </w:p>
    <w:p>
      <w:pPr>
        <w:pStyle w:val="TextBody"/>
        <w:spacing w:before="120" w:after="283"/>
        <w:jc w:val="left"/>
        <w:rPr/>
      </w:pPr>
      <w:r>
        <w:rPr/>
        <w:t>     </w:t>
      </w:r>
      <w:r>
        <w:rPr>
          <w:rFonts w:ascii="Times New Roman;Times;serif" w:hAnsi="Times New Roman;Times;serif"/>
          <w:sz w:val="17"/>
        </w:rPr>
        <w:t xml:space="preserve">We forecast approximately $48 million in capital expenditures for maintenance projects during calendar year 2007, of which approximately $32 million was incurred in the first nine months.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Results of Operations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035"/>
        <w:gridCol w:w="351"/>
        <w:gridCol w:w="195"/>
        <w:gridCol w:w="847"/>
        <w:gridCol w:w="153"/>
        <w:gridCol w:w="367"/>
        <w:gridCol w:w="195"/>
        <w:gridCol w:w="850"/>
        <w:gridCol w:w="127"/>
        <w:gridCol w:w="351"/>
        <w:gridCol w:w="188"/>
        <w:gridCol w:w="887"/>
        <w:gridCol w:w="147"/>
        <w:gridCol w:w="364"/>
        <w:gridCol w:w="188"/>
        <w:gridCol w:w="822"/>
        <w:gridCol w:w="138"/>
      </w:tblGrid>
      <w:tr>
        <w:trPr/>
        <w:tc>
          <w:tcPr>
            <w:tcW w:w="403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03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607" w:type="dxa"/>
            <w:gridSpan w:val="6"/>
            <w:tcBorders/>
            <w:shd w:fill="auto" w:val="clear"/>
            <w:vAlign w:val="bottom"/>
          </w:tcPr>
          <w:p>
            <w:pPr>
              <w:pStyle w:val="TableContents"/>
              <w:spacing w:before="0" w:after="283"/>
              <w:jc w:val="center"/>
              <w:rPr>
                <w:b/>
              </w:rPr>
            </w:pPr>
            <w:r>
              <w:rPr>
                <w:b/>
              </w:rPr>
              <w:t>For the three months</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6" w:type="dxa"/>
            <w:gridSpan w:val="6"/>
            <w:tcBorders/>
            <w:shd w:fill="auto" w:val="clear"/>
            <w:vAlign w:val="bottom"/>
          </w:tcPr>
          <w:p>
            <w:pPr>
              <w:pStyle w:val="TableContents"/>
              <w:spacing w:before="0" w:after="283"/>
              <w:jc w:val="center"/>
              <w:rPr>
                <w:b/>
              </w:rPr>
            </w:pPr>
            <w:r>
              <w:rPr>
                <w:b/>
              </w:rPr>
              <w:t>For the nine months</w:t>
            </w:r>
          </w:p>
        </w:tc>
        <w:tc>
          <w:tcPr>
            <w:tcW w:w="138" w:type="dxa"/>
            <w:tcBorders/>
            <w:shd w:fill="auto" w:val="clear"/>
            <w:vAlign w:val="bottom"/>
          </w:tcPr>
          <w:p>
            <w:pPr>
              <w:pStyle w:val="TableContents"/>
              <w:spacing w:before="0" w:after="283"/>
              <w:rPr/>
            </w:pPr>
            <w:r>
              <w:rPr/>
              <w:t> </w:t>
            </w:r>
          </w:p>
        </w:tc>
      </w:tr>
      <w:tr>
        <w:trPr/>
        <w:tc>
          <w:tcPr>
            <w:tcW w:w="403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60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September 30,</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ended September 30,</w:t>
            </w:r>
          </w:p>
        </w:tc>
        <w:tc>
          <w:tcPr>
            <w:tcW w:w="138" w:type="dxa"/>
            <w:tcBorders/>
            <w:shd w:fill="auto" w:val="clear"/>
            <w:vAlign w:val="bottom"/>
          </w:tcPr>
          <w:p>
            <w:pPr>
              <w:pStyle w:val="TableContents"/>
              <w:spacing w:before="0" w:after="283"/>
              <w:rPr/>
            </w:pPr>
            <w:r>
              <w:rPr/>
              <w:t> </w:t>
            </w:r>
          </w:p>
        </w:tc>
      </w:tr>
      <w:tr>
        <w:trPr/>
        <w:tc>
          <w:tcPr>
            <w:tcW w:w="403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4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0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8" w:type="dxa"/>
            <w:tcBorders/>
            <w:shd w:fill="auto" w:val="clear"/>
            <w:vAlign w:val="bottom"/>
          </w:tcPr>
          <w:p>
            <w:pPr>
              <w:pStyle w:val="TableContents"/>
              <w:spacing w:before="0" w:after="283"/>
              <w:rPr/>
            </w:pPr>
            <w:r>
              <w:rPr/>
              <w:t> </w:t>
            </w:r>
          </w:p>
        </w:tc>
      </w:tr>
      <w:tr>
        <w:trPr/>
        <w:tc>
          <w:tcPr>
            <w:tcW w:w="4035"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607" w:type="dxa"/>
            <w:gridSpan w:val="6"/>
            <w:tcBorders/>
            <w:shd w:fill="auto" w:val="clear"/>
            <w:vAlign w:val="bottom"/>
          </w:tcPr>
          <w:p>
            <w:pPr>
              <w:pStyle w:val="TableContents"/>
              <w:spacing w:before="0" w:after="283"/>
              <w:jc w:val="center"/>
              <w:rPr/>
            </w:pPr>
            <w:r>
              <w:rPr/>
              <w:t>(in millions)</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596" w:type="dxa"/>
            <w:gridSpan w:val="6"/>
            <w:tcBorders/>
            <w:shd w:fill="auto" w:val="clear"/>
            <w:vAlign w:val="bottom"/>
          </w:tcPr>
          <w:p>
            <w:pPr>
              <w:pStyle w:val="TableContents"/>
              <w:spacing w:before="0" w:after="283"/>
              <w:jc w:val="center"/>
              <w:rPr/>
            </w:pPr>
            <w:r>
              <w:rPr/>
              <w:t>(in millions)</w:t>
            </w:r>
          </w:p>
        </w:tc>
        <w:tc>
          <w:tcPr>
            <w:tcW w:w="138" w:type="dxa"/>
            <w:tcBorders/>
            <w:shd w:fill="auto" w:val="clear"/>
            <w:vAlign w:val="bottom"/>
          </w:tcPr>
          <w:p>
            <w:pPr>
              <w:pStyle w:val="TableContents"/>
              <w:spacing w:before="0" w:after="283"/>
              <w:rPr/>
            </w:pPr>
            <w:r>
              <w:rPr/>
              <w:t> </w:t>
            </w:r>
          </w:p>
        </w:tc>
      </w:tr>
      <w:tr>
        <w:trPr/>
        <w:tc>
          <w:tcPr>
            <w:tcW w:w="4035" w:type="dxa"/>
            <w:tcBorders/>
            <w:shd w:fill="CCEEFF" w:val="clear"/>
            <w:vAlign w:val="bottom"/>
          </w:tcPr>
          <w:p>
            <w:pPr>
              <w:pStyle w:val="TableContents"/>
              <w:spacing w:before="0" w:after="0"/>
              <w:ind w:left="225" w:right="0" w:hanging="225"/>
              <w:rPr/>
            </w:pPr>
            <w:r>
              <w:rPr/>
              <w:t>Transportation segment profit</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91.8</w:t>
            </w:r>
          </w:p>
        </w:tc>
        <w:tc>
          <w:tcPr>
            <w:tcW w:w="153"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53.3</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244.6</w:t>
            </w:r>
          </w:p>
        </w:tc>
        <w:tc>
          <w:tcPr>
            <w:tcW w:w="14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144.8</w:t>
            </w:r>
          </w:p>
        </w:tc>
        <w:tc>
          <w:tcPr>
            <w:tcW w:w="138" w:type="dxa"/>
            <w:tcBorders/>
            <w:shd w:fill="CCEEFF" w:val="clear"/>
            <w:vAlign w:val="bottom"/>
          </w:tcPr>
          <w:p>
            <w:pPr>
              <w:pStyle w:val="TableContents"/>
              <w:spacing w:before="0" w:after="283"/>
              <w:rPr/>
            </w:pPr>
            <w:r>
              <w:rPr/>
              <w:t> </w:t>
            </w:r>
          </w:p>
        </w:tc>
      </w:tr>
      <w:tr>
        <w:trPr/>
        <w:tc>
          <w:tcPr>
            <w:tcW w:w="4035" w:type="dxa"/>
            <w:tcBorders/>
            <w:shd w:fill="auto" w:val="clear"/>
            <w:vAlign w:val="bottom"/>
          </w:tcPr>
          <w:p>
            <w:pPr>
              <w:pStyle w:val="TableContents"/>
              <w:spacing w:before="0" w:after="0"/>
              <w:ind w:left="225" w:right="0" w:hanging="225"/>
              <w:rPr/>
            </w:pPr>
            <w:r>
              <w:rPr/>
              <w:t>Facilities segment profit</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28.7</w:t>
            </w:r>
          </w:p>
        </w:tc>
        <w:tc>
          <w:tcPr>
            <w:tcW w:w="15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9.0</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79.5</w:t>
            </w:r>
          </w:p>
        </w:tc>
        <w:tc>
          <w:tcPr>
            <w:tcW w:w="14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19.6</w:t>
            </w:r>
          </w:p>
        </w:tc>
        <w:tc>
          <w:tcPr>
            <w:tcW w:w="138" w:type="dxa"/>
            <w:tcBorders/>
            <w:shd w:fill="auto" w:val="clear"/>
            <w:vAlign w:val="bottom"/>
          </w:tcPr>
          <w:p>
            <w:pPr>
              <w:pStyle w:val="TableContents"/>
              <w:spacing w:before="0" w:after="283"/>
              <w:rPr/>
            </w:pPr>
            <w:r>
              <w:rPr/>
              <w:t> </w:t>
            </w:r>
          </w:p>
        </w:tc>
      </w:tr>
      <w:tr>
        <w:trPr/>
        <w:tc>
          <w:tcPr>
            <w:tcW w:w="4035" w:type="dxa"/>
            <w:tcBorders/>
            <w:shd w:fill="CCEEFF" w:val="clear"/>
            <w:vAlign w:val="bottom"/>
          </w:tcPr>
          <w:p>
            <w:pPr>
              <w:pStyle w:val="TableContents"/>
              <w:spacing w:before="0" w:after="0"/>
              <w:ind w:left="225" w:right="0" w:hanging="225"/>
              <w:rPr/>
            </w:pPr>
            <w:r>
              <w:rPr/>
              <w:t>Marketing segment profit</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60.3</w:t>
            </w:r>
          </w:p>
        </w:tc>
        <w:tc>
          <w:tcPr>
            <w:tcW w:w="153"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76.2</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227.5</w:t>
            </w:r>
          </w:p>
        </w:tc>
        <w:tc>
          <w:tcPr>
            <w:tcW w:w="14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187.3</w:t>
            </w:r>
          </w:p>
        </w:tc>
        <w:tc>
          <w:tcPr>
            <w:tcW w:w="138" w:type="dxa"/>
            <w:tcBorders/>
            <w:shd w:fill="CCEEFF" w:val="clear"/>
            <w:vAlign w:val="bottom"/>
          </w:tcPr>
          <w:p>
            <w:pPr>
              <w:pStyle w:val="TableContents"/>
              <w:spacing w:before="0" w:after="283"/>
              <w:rPr/>
            </w:pPr>
            <w:r>
              <w:rPr/>
              <w:t> </w:t>
            </w:r>
          </w:p>
        </w:tc>
      </w:tr>
      <w:tr>
        <w:trPr/>
        <w:tc>
          <w:tcPr>
            <w:tcW w:w="4035"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035" w:type="dxa"/>
            <w:tcBorders/>
            <w:shd w:fill="auto" w:val="clear"/>
            <w:vAlign w:val="bottom"/>
          </w:tcPr>
          <w:p>
            <w:pPr>
              <w:pStyle w:val="TableContents"/>
              <w:spacing w:before="0" w:after="0"/>
              <w:ind w:left="450" w:right="0" w:hanging="225"/>
              <w:rPr/>
            </w:pPr>
            <w:r>
              <w:rPr/>
              <w:t>Total segment profit</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180.8</w:t>
            </w:r>
          </w:p>
        </w:tc>
        <w:tc>
          <w:tcPr>
            <w:tcW w:w="15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138.5</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551.6</w:t>
            </w:r>
          </w:p>
        </w:tc>
        <w:tc>
          <w:tcPr>
            <w:tcW w:w="14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351.7</w:t>
            </w:r>
          </w:p>
        </w:tc>
        <w:tc>
          <w:tcPr>
            <w:tcW w:w="138" w:type="dxa"/>
            <w:tcBorders/>
            <w:shd w:fill="auto" w:val="clear"/>
            <w:vAlign w:val="bottom"/>
          </w:tcPr>
          <w:p>
            <w:pPr>
              <w:pStyle w:val="TableContents"/>
              <w:spacing w:before="0" w:after="283"/>
              <w:rPr/>
            </w:pPr>
            <w:r>
              <w:rPr/>
              <w:t> </w:t>
            </w:r>
          </w:p>
        </w:tc>
      </w:tr>
      <w:tr>
        <w:trPr/>
        <w:tc>
          <w:tcPr>
            <w:tcW w:w="4035" w:type="dxa"/>
            <w:tcBorders/>
            <w:shd w:fill="CCEEFF" w:val="clear"/>
            <w:vAlign w:val="bottom"/>
          </w:tcPr>
          <w:p>
            <w:pPr>
              <w:pStyle w:val="TableContents"/>
              <w:spacing w:before="0" w:after="0"/>
              <w:ind w:left="225" w:right="0" w:hanging="225"/>
              <w:rPr/>
            </w:pPr>
            <w:r>
              <w:rPr/>
              <w:t>Depreciation and amortization</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 </w:t>
            </w:r>
          </w:p>
        </w:tc>
        <w:tc>
          <w:tcPr>
            <w:tcW w:w="847" w:type="dxa"/>
            <w:tcBorders/>
            <w:shd w:fill="CCEEFF" w:val="clear"/>
            <w:vAlign w:val="bottom"/>
          </w:tcPr>
          <w:p>
            <w:pPr>
              <w:pStyle w:val="TableContents"/>
              <w:spacing w:before="0" w:after="283"/>
              <w:jc w:val="right"/>
              <w:rPr/>
            </w:pPr>
            <w:r>
              <w:rPr/>
              <w:t>(42.9</w:t>
            </w:r>
          </w:p>
        </w:tc>
        <w:tc>
          <w:tcPr>
            <w:tcW w:w="153" w:type="dxa"/>
            <w:tcBorders/>
            <w:shd w:fill="CCEEFF" w:val="clear"/>
            <w:vAlign w:val="bottom"/>
          </w:tcPr>
          <w:p>
            <w:pPr>
              <w:pStyle w:val="TableContents"/>
              <w:spacing w:before="0" w:after="283"/>
              <w:rPr/>
            </w:pPr>
            <w:r>
              <w:rPr/>
              <w:t>)</w:t>
            </w:r>
          </w:p>
        </w:tc>
        <w:tc>
          <w:tcPr>
            <w:tcW w:w="36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 </w:t>
            </w:r>
          </w:p>
        </w:tc>
        <w:tc>
          <w:tcPr>
            <w:tcW w:w="850" w:type="dxa"/>
            <w:tcBorders/>
            <w:shd w:fill="CCEEFF" w:val="clear"/>
            <w:vAlign w:val="bottom"/>
          </w:tcPr>
          <w:p>
            <w:pPr>
              <w:pStyle w:val="TableContents"/>
              <w:spacing w:before="0" w:after="283"/>
              <w:jc w:val="right"/>
              <w:rPr/>
            </w:pPr>
            <w:r>
              <w:rPr/>
              <w:t>(24.2</w:t>
            </w:r>
          </w:p>
        </w:tc>
        <w:tc>
          <w:tcPr>
            <w:tcW w:w="127" w:type="dxa"/>
            <w:tcBorders/>
            <w:shd w:fill="CCEEFF" w:val="clear"/>
            <w:vAlign w:val="bottom"/>
          </w:tcPr>
          <w:p>
            <w:pPr>
              <w:pStyle w:val="TableContents"/>
              <w:spacing w:before="0" w:after="283"/>
              <w:rPr/>
            </w:pPr>
            <w:r>
              <w:rPr/>
              <w:t>)</w:t>
            </w:r>
          </w:p>
        </w:tc>
        <w:tc>
          <w:tcPr>
            <w:tcW w:w="35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887" w:type="dxa"/>
            <w:tcBorders/>
            <w:shd w:fill="CCEEFF" w:val="clear"/>
            <w:vAlign w:val="bottom"/>
          </w:tcPr>
          <w:p>
            <w:pPr>
              <w:pStyle w:val="TableContents"/>
              <w:spacing w:before="0" w:after="283"/>
              <w:jc w:val="right"/>
              <w:rPr/>
            </w:pPr>
            <w:r>
              <w:rPr/>
              <w:t>(134.9</w:t>
            </w:r>
          </w:p>
        </w:tc>
        <w:tc>
          <w:tcPr>
            <w:tcW w:w="147" w:type="dxa"/>
            <w:tcBorders/>
            <w:shd w:fill="CCEEFF" w:val="clear"/>
            <w:vAlign w:val="bottom"/>
          </w:tcPr>
          <w:p>
            <w:pPr>
              <w:pStyle w:val="TableContents"/>
              <w:spacing w:before="0" w:after="283"/>
              <w:rPr/>
            </w:pPr>
            <w:r>
              <w:rPr/>
              <w:t>)</w:t>
            </w:r>
          </w:p>
        </w:tc>
        <w:tc>
          <w:tcPr>
            <w:tcW w:w="36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 </w:t>
            </w:r>
          </w:p>
        </w:tc>
        <w:tc>
          <w:tcPr>
            <w:tcW w:w="822" w:type="dxa"/>
            <w:tcBorders/>
            <w:shd w:fill="CCEEFF" w:val="clear"/>
            <w:vAlign w:val="bottom"/>
          </w:tcPr>
          <w:p>
            <w:pPr>
              <w:pStyle w:val="TableContents"/>
              <w:spacing w:before="0" w:after="283"/>
              <w:jc w:val="right"/>
              <w:rPr/>
            </w:pPr>
            <w:r>
              <w:rPr/>
              <w:t>(67.1</w:t>
            </w:r>
          </w:p>
        </w:tc>
        <w:tc>
          <w:tcPr>
            <w:tcW w:w="138" w:type="dxa"/>
            <w:tcBorders/>
            <w:shd w:fill="CCEEFF" w:val="clear"/>
            <w:vAlign w:val="bottom"/>
          </w:tcPr>
          <w:p>
            <w:pPr>
              <w:pStyle w:val="TableContents"/>
              <w:spacing w:before="0" w:after="283"/>
              <w:rPr/>
            </w:pPr>
            <w:r>
              <w:rPr/>
              <w:t>)</w:t>
            </w:r>
          </w:p>
        </w:tc>
      </w:tr>
      <w:tr>
        <w:trPr/>
        <w:tc>
          <w:tcPr>
            <w:tcW w:w="4035" w:type="dxa"/>
            <w:tcBorders/>
            <w:shd w:fill="auto" w:val="clear"/>
            <w:vAlign w:val="bottom"/>
          </w:tcPr>
          <w:p>
            <w:pPr>
              <w:pStyle w:val="TableContents"/>
              <w:spacing w:before="0" w:after="0"/>
              <w:ind w:left="225" w:right="0" w:hanging="225"/>
              <w:rPr/>
            </w:pPr>
            <w:r>
              <w:rPr/>
              <w:t>Interest expense</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47" w:type="dxa"/>
            <w:tcBorders/>
            <w:shd w:fill="auto" w:val="clear"/>
            <w:vAlign w:val="bottom"/>
          </w:tcPr>
          <w:p>
            <w:pPr>
              <w:pStyle w:val="TableContents"/>
              <w:spacing w:before="0" w:after="283"/>
              <w:jc w:val="right"/>
              <w:rPr/>
            </w:pPr>
            <w:r>
              <w:rPr/>
              <w:t>(38.8</w:t>
            </w:r>
          </w:p>
        </w:tc>
        <w:tc>
          <w:tcPr>
            <w:tcW w:w="153" w:type="dxa"/>
            <w:tcBorders/>
            <w:shd w:fill="auto" w:val="clear"/>
            <w:vAlign w:val="bottom"/>
          </w:tcPr>
          <w:p>
            <w:pPr>
              <w:pStyle w:val="TableContents"/>
              <w:spacing w:before="0" w:after="283"/>
              <w:rPr/>
            </w:pPr>
            <w:r>
              <w:rPr/>
              <w:t>)</w:t>
            </w:r>
          </w:p>
        </w:tc>
        <w:tc>
          <w:tcPr>
            <w:tcW w:w="36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50" w:type="dxa"/>
            <w:tcBorders/>
            <w:shd w:fill="auto" w:val="clear"/>
            <w:vAlign w:val="bottom"/>
          </w:tcPr>
          <w:p>
            <w:pPr>
              <w:pStyle w:val="TableContents"/>
              <w:spacing w:before="0" w:after="283"/>
              <w:jc w:val="right"/>
              <w:rPr/>
            </w:pPr>
            <w:r>
              <w:rPr/>
              <w:t>(19.2</w:t>
            </w:r>
          </w:p>
        </w:tc>
        <w:tc>
          <w:tcPr>
            <w:tcW w:w="127"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(121.1</w:t>
            </w:r>
          </w:p>
        </w:tc>
        <w:tc>
          <w:tcPr>
            <w:tcW w:w="147"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822" w:type="dxa"/>
            <w:tcBorders/>
            <w:shd w:fill="auto" w:val="clear"/>
            <w:vAlign w:val="bottom"/>
          </w:tcPr>
          <w:p>
            <w:pPr>
              <w:pStyle w:val="TableContents"/>
              <w:spacing w:before="0" w:after="283"/>
              <w:jc w:val="right"/>
              <w:rPr/>
            </w:pPr>
            <w:r>
              <w:rPr/>
              <w:t>(52.5</w:t>
            </w:r>
          </w:p>
        </w:tc>
        <w:tc>
          <w:tcPr>
            <w:tcW w:w="138" w:type="dxa"/>
            <w:tcBorders/>
            <w:shd w:fill="auto" w:val="clear"/>
            <w:vAlign w:val="bottom"/>
          </w:tcPr>
          <w:p>
            <w:pPr>
              <w:pStyle w:val="TableContents"/>
              <w:spacing w:before="0" w:after="283"/>
              <w:rPr/>
            </w:pPr>
            <w:r>
              <w:rPr/>
              <w:t>)</w:t>
            </w:r>
          </w:p>
        </w:tc>
      </w:tr>
      <w:tr>
        <w:trPr/>
        <w:tc>
          <w:tcPr>
            <w:tcW w:w="4035" w:type="dxa"/>
            <w:tcBorders/>
            <w:shd w:fill="CCEEFF" w:val="clear"/>
            <w:vAlign w:val="bottom"/>
          </w:tcPr>
          <w:p>
            <w:pPr>
              <w:pStyle w:val="TableContents"/>
              <w:spacing w:before="0" w:after="0"/>
              <w:ind w:left="225" w:right="0" w:hanging="225"/>
              <w:rPr/>
            </w:pPr>
            <w:r>
              <w:rPr/>
              <w:t>Interest income and other income</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2.5</w:t>
            </w:r>
          </w:p>
        </w:tc>
        <w:tc>
          <w:tcPr>
            <w:tcW w:w="153"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0.3</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7.7</w:t>
            </w:r>
          </w:p>
        </w:tc>
        <w:tc>
          <w:tcPr>
            <w:tcW w:w="14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0.7</w:t>
            </w:r>
          </w:p>
        </w:tc>
        <w:tc>
          <w:tcPr>
            <w:tcW w:w="138" w:type="dxa"/>
            <w:tcBorders/>
            <w:shd w:fill="CCEEFF" w:val="clear"/>
            <w:vAlign w:val="bottom"/>
          </w:tcPr>
          <w:p>
            <w:pPr>
              <w:pStyle w:val="TableContents"/>
              <w:spacing w:before="0" w:after="283"/>
              <w:rPr/>
            </w:pPr>
            <w:r>
              <w:rPr/>
              <w:t> </w:t>
            </w:r>
          </w:p>
        </w:tc>
      </w:tr>
      <w:tr>
        <w:trPr/>
        <w:tc>
          <w:tcPr>
            <w:tcW w:w="4035" w:type="dxa"/>
            <w:tcBorders/>
            <w:shd w:fill="auto" w:val="clear"/>
            <w:vAlign w:val="bottom"/>
          </w:tcPr>
          <w:p>
            <w:pPr>
              <w:pStyle w:val="TableContents"/>
              <w:spacing w:before="0" w:after="0"/>
              <w:ind w:left="225" w:right="0" w:hanging="225"/>
              <w:rPr/>
            </w:pPr>
            <w:r>
              <w:rPr/>
              <w:t>Income tax expense</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jc w:val="left"/>
              <w:rPr/>
            </w:pPr>
            <w:r>
              <w:rPr/>
              <w:t> </w:t>
            </w:r>
          </w:p>
        </w:tc>
        <w:tc>
          <w:tcPr>
            <w:tcW w:w="847" w:type="dxa"/>
            <w:tcBorders/>
            <w:shd w:fill="auto" w:val="clear"/>
            <w:vAlign w:val="bottom"/>
          </w:tcPr>
          <w:p>
            <w:pPr>
              <w:pStyle w:val="TableContents"/>
              <w:spacing w:before="0" w:after="283"/>
              <w:jc w:val="right"/>
              <w:rPr/>
            </w:pPr>
            <w:r>
              <w:rPr/>
              <w:t>(3.2</w:t>
            </w:r>
          </w:p>
        </w:tc>
        <w:tc>
          <w:tcPr>
            <w:tcW w:w="153" w:type="dxa"/>
            <w:tcBorders/>
            <w:shd w:fill="auto" w:val="clear"/>
            <w:vAlign w:val="bottom"/>
          </w:tcPr>
          <w:p>
            <w:pPr>
              <w:pStyle w:val="TableContents"/>
              <w:spacing w:before="0" w:after="283"/>
              <w:rPr/>
            </w:pPr>
            <w:r>
              <w:rPr/>
              <w:t>)</w:t>
            </w:r>
          </w:p>
        </w:tc>
        <w:tc>
          <w:tcPr>
            <w:tcW w:w="36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jc w:val="left"/>
              <w:rPr/>
            </w:pPr>
            <w:r>
              <w:rPr/>
              <w:t> </w:t>
            </w:r>
          </w:p>
        </w:tc>
        <w:tc>
          <w:tcPr>
            <w:tcW w:w="887" w:type="dxa"/>
            <w:tcBorders/>
            <w:shd w:fill="auto" w:val="clear"/>
            <w:vAlign w:val="bottom"/>
          </w:tcPr>
          <w:p>
            <w:pPr>
              <w:pStyle w:val="TableContents"/>
              <w:spacing w:before="0" w:after="283"/>
              <w:jc w:val="right"/>
              <w:rPr/>
            </w:pPr>
            <w:r>
              <w:rPr/>
              <w:t>(15.4</w:t>
            </w:r>
          </w:p>
        </w:tc>
        <w:tc>
          <w:tcPr>
            <w:tcW w:w="147"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4035"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035" w:type="dxa"/>
            <w:tcBorders/>
            <w:shd w:fill="CCEEFF" w:val="clear"/>
            <w:vAlign w:val="bottom"/>
          </w:tcPr>
          <w:p>
            <w:pPr>
              <w:pStyle w:val="TableContents"/>
              <w:spacing w:before="0" w:after="0"/>
              <w:ind w:left="225" w:right="0" w:hanging="225"/>
              <w:rPr/>
            </w:pPr>
            <w:r>
              <w:rPr/>
              <w:t>Income before cumulative effect of change in accounting principle</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98.4</w:t>
            </w:r>
          </w:p>
        </w:tc>
        <w:tc>
          <w:tcPr>
            <w:tcW w:w="153"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95.4</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87" w:type="dxa"/>
            <w:tcBorders/>
            <w:shd w:fill="CCEEFF" w:val="clear"/>
            <w:vAlign w:val="bottom"/>
          </w:tcPr>
          <w:p>
            <w:pPr>
              <w:pStyle w:val="TableContents"/>
              <w:spacing w:before="0" w:after="283"/>
              <w:jc w:val="right"/>
              <w:rPr/>
            </w:pPr>
            <w:r>
              <w:rPr/>
              <w:t>287.9</w:t>
            </w:r>
          </w:p>
        </w:tc>
        <w:tc>
          <w:tcPr>
            <w:tcW w:w="14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pPr>
            <w:r>
              <w:rPr/>
              <w:t>232.8</w:t>
            </w:r>
          </w:p>
        </w:tc>
        <w:tc>
          <w:tcPr>
            <w:tcW w:w="138" w:type="dxa"/>
            <w:tcBorders/>
            <w:shd w:fill="CCEEFF" w:val="clear"/>
            <w:vAlign w:val="bottom"/>
          </w:tcPr>
          <w:p>
            <w:pPr>
              <w:pStyle w:val="TableContents"/>
              <w:spacing w:before="0" w:after="283"/>
              <w:rPr/>
            </w:pPr>
            <w:r>
              <w:rPr/>
              <w:t> </w:t>
            </w:r>
          </w:p>
        </w:tc>
      </w:tr>
      <w:tr>
        <w:trPr/>
        <w:tc>
          <w:tcPr>
            <w:tcW w:w="4035" w:type="dxa"/>
            <w:tcBorders/>
            <w:shd w:fill="auto" w:val="clear"/>
            <w:vAlign w:val="bottom"/>
          </w:tcPr>
          <w:p>
            <w:pPr>
              <w:pStyle w:val="TableContents"/>
              <w:spacing w:before="0" w:after="0"/>
              <w:ind w:left="225" w:right="0" w:hanging="225"/>
              <w:rPr/>
            </w:pPr>
            <w:r>
              <w:rPr/>
              <w:t>Cumulative effect of change in accounting principle</w:t>
            </w:r>
          </w:p>
        </w:tc>
        <w:tc>
          <w:tcPr>
            <w:tcW w:w="351"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w:t>
            </w:r>
          </w:p>
        </w:tc>
        <w:tc>
          <w:tcPr>
            <w:tcW w:w="15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w:t>
            </w:r>
          </w:p>
        </w:tc>
        <w:tc>
          <w:tcPr>
            <w:tcW w:w="127"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right"/>
              <w:rPr/>
            </w:pPr>
            <w:r>
              <w:rPr/>
              <w:t></w:t>
            </w:r>
          </w:p>
        </w:tc>
        <w:tc>
          <w:tcPr>
            <w:tcW w:w="147"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822" w:type="dxa"/>
            <w:tcBorders/>
            <w:shd w:fill="auto" w:val="clear"/>
            <w:vAlign w:val="bottom"/>
          </w:tcPr>
          <w:p>
            <w:pPr>
              <w:pStyle w:val="TableContents"/>
              <w:spacing w:before="0" w:after="283"/>
              <w:jc w:val="right"/>
              <w:rPr/>
            </w:pPr>
            <w:r>
              <w:rPr/>
              <w:t>6.3</w:t>
            </w:r>
          </w:p>
        </w:tc>
        <w:tc>
          <w:tcPr>
            <w:tcW w:w="138" w:type="dxa"/>
            <w:tcBorders/>
            <w:shd w:fill="auto" w:val="clear"/>
            <w:vAlign w:val="bottom"/>
          </w:tcPr>
          <w:p>
            <w:pPr>
              <w:pStyle w:val="TableContents"/>
              <w:spacing w:before="0" w:after="283"/>
              <w:rPr/>
            </w:pPr>
            <w:r>
              <w:rPr/>
              <w:t> </w:t>
            </w:r>
          </w:p>
        </w:tc>
      </w:tr>
      <w:tr>
        <w:trPr/>
        <w:tc>
          <w:tcPr>
            <w:tcW w:w="4035"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0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035" w:type="dxa"/>
            <w:tcBorders/>
            <w:shd w:fill="CCEEFF" w:val="clear"/>
            <w:vAlign w:val="bottom"/>
          </w:tcPr>
          <w:p>
            <w:pPr>
              <w:pStyle w:val="TableContents"/>
              <w:spacing w:before="0" w:after="0"/>
              <w:ind w:left="450" w:right="0" w:hanging="225"/>
              <w:rPr/>
            </w:pPr>
            <w:r>
              <w:rPr/>
              <w:t>Net income</w:t>
            </w:r>
          </w:p>
        </w:tc>
        <w:tc>
          <w:tcPr>
            <w:tcW w:w="351"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47" w:type="dxa"/>
            <w:tcBorders/>
            <w:shd w:fill="CCEEFF" w:val="clear"/>
            <w:vAlign w:val="bottom"/>
          </w:tcPr>
          <w:p>
            <w:pPr>
              <w:pStyle w:val="TableContents"/>
              <w:spacing w:before="0" w:after="283"/>
              <w:jc w:val="right"/>
              <w:rPr/>
            </w:pPr>
            <w:r>
              <w:rPr/>
              <w:t>98.4</w:t>
            </w:r>
          </w:p>
        </w:tc>
        <w:tc>
          <w:tcPr>
            <w:tcW w:w="153"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jc w:val="left"/>
              <w:rPr/>
            </w:pPr>
            <w:r>
              <w:rPr/>
              <w:t>$</w:t>
            </w:r>
          </w:p>
        </w:tc>
        <w:tc>
          <w:tcPr>
            <w:tcW w:w="850" w:type="dxa"/>
            <w:tcBorders/>
            <w:shd w:fill="CCEEFF" w:val="clear"/>
            <w:vAlign w:val="bottom"/>
          </w:tcPr>
          <w:p>
            <w:pPr>
              <w:pStyle w:val="TableContents"/>
              <w:spacing w:before="0" w:after="283"/>
              <w:jc w:val="right"/>
              <w:rPr/>
            </w:pPr>
            <w:r>
              <w:rPr/>
              <w:t>95.4</w:t>
            </w:r>
          </w:p>
        </w:tc>
        <w:tc>
          <w:tcPr>
            <w:tcW w:w="127"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87" w:type="dxa"/>
            <w:tcBorders/>
            <w:shd w:fill="CCEEFF" w:val="clear"/>
            <w:vAlign w:val="bottom"/>
          </w:tcPr>
          <w:p>
            <w:pPr>
              <w:pStyle w:val="TableContents"/>
              <w:spacing w:before="0" w:after="283"/>
              <w:jc w:val="right"/>
              <w:rPr/>
            </w:pPr>
            <w:r>
              <w:rPr/>
              <w:t>287.9</w:t>
            </w:r>
          </w:p>
        </w:tc>
        <w:tc>
          <w:tcPr>
            <w:tcW w:w="147"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jc w:val="left"/>
              <w:rPr/>
            </w:pPr>
            <w:r>
              <w:rPr/>
              <w:t>$</w:t>
            </w:r>
          </w:p>
        </w:tc>
        <w:tc>
          <w:tcPr>
            <w:tcW w:w="822" w:type="dxa"/>
            <w:tcBorders/>
            <w:shd w:fill="CCEEFF" w:val="clear"/>
            <w:vAlign w:val="bottom"/>
          </w:tcPr>
          <w:p>
            <w:pPr>
              <w:pStyle w:val="TableContents"/>
              <w:spacing w:before="0" w:after="283"/>
              <w:jc w:val="right"/>
              <w:rPr/>
            </w:pPr>
            <w:r>
              <w:rPr/>
              <w:t>239.1</w:t>
            </w:r>
          </w:p>
        </w:tc>
        <w:tc>
          <w:tcPr>
            <w:tcW w:w="138" w:type="dxa"/>
            <w:tcBorders/>
            <w:shd w:fill="CCEEFF" w:val="clear"/>
            <w:vAlign w:val="bottom"/>
          </w:tcPr>
          <w:p>
            <w:pPr>
              <w:pStyle w:val="TableContents"/>
              <w:spacing w:before="0" w:after="283"/>
              <w:rPr/>
            </w:pPr>
            <w:r>
              <w:rPr/>
              <w:t> </w:t>
            </w:r>
          </w:p>
        </w:tc>
      </w:tr>
      <w:tr>
        <w:trPr/>
        <w:tc>
          <w:tcPr>
            <w:tcW w:w="4035"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0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3"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10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0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10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Analysis of Operating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order to evaluate the performance of our segments, management focuses on the following metrics: (i) segment profit, (ii) segment volumes, (iii) segment profit per barrel calculated on these volumes and (iv) maintenance capital investment. See Note 13 to our Condensed Consolidated Financial Statements for further discussion on how we evaluate segment performance.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Transportation</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283"/>
        <w:jc w:val="left"/>
        <w:rPr/>
      </w:pPr>
      <w:r>
        <w:rPr/>
        <w:t>     </w:t>
      </w:r>
      <w:r>
        <w:rPr>
          <w:rFonts w:ascii="Times New Roman;Times;serif" w:hAnsi="Times New Roman;Times;serif"/>
          <w:sz w:val="17"/>
        </w:rPr>
        <w:t xml:space="preserve">The following table sets forth our operating results from our transportation segment for the periods indicated: </w:t>
      </w:r>
    </w:p>
    <w:tbl>
      <w:tblPr>
        <w:tblW w:w="11025" w:type="dxa"/>
        <w:jc w:val="center"/>
        <w:tblInd w:w="0" w:type="dxa"/>
        <w:tblCellMar>
          <w:top w:w="0" w:type="dxa"/>
          <w:left w:w="0" w:type="dxa"/>
          <w:bottom w:w="0" w:type="dxa"/>
          <w:right w:w="0" w:type="dxa"/>
        </w:tblCellMar>
      </w:tblPr>
      <w:tblGrid>
        <w:gridCol w:w="2990"/>
        <w:gridCol w:w="60"/>
        <w:gridCol w:w="198"/>
        <w:gridCol w:w="795"/>
        <w:gridCol w:w="135"/>
        <w:gridCol w:w="85"/>
        <w:gridCol w:w="198"/>
        <w:gridCol w:w="799"/>
        <w:gridCol w:w="95"/>
        <w:gridCol w:w="60"/>
        <w:gridCol w:w="140"/>
        <w:gridCol w:w="515"/>
        <w:gridCol w:w="95"/>
        <w:gridCol w:w="60"/>
        <w:gridCol w:w="60"/>
        <w:gridCol w:w="455"/>
        <w:gridCol w:w="290"/>
        <w:gridCol w:w="60"/>
        <w:gridCol w:w="170"/>
        <w:gridCol w:w="772"/>
        <w:gridCol w:w="115"/>
        <w:gridCol w:w="73"/>
        <w:gridCol w:w="170"/>
        <w:gridCol w:w="775"/>
        <w:gridCol w:w="95"/>
        <w:gridCol w:w="60"/>
        <w:gridCol w:w="140"/>
        <w:gridCol w:w="560"/>
        <w:gridCol w:w="95"/>
        <w:gridCol w:w="60"/>
        <w:gridCol w:w="60"/>
        <w:gridCol w:w="500"/>
        <w:gridCol w:w="290"/>
      </w:tblGrid>
      <w:tr>
        <w:trPr/>
        <w:tc>
          <w:tcPr>
            <w:tcW w:w="29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0" w:type="dxa"/>
            <w:gridSpan w:val="6"/>
            <w:tcBorders/>
            <w:shd w:fill="auto" w:val="clear"/>
            <w:vAlign w:val="bottom"/>
          </w:tcPr>
          <w:p>
            <w:pPr>
              <w:pStyle w:val="TableContents"/>
              <w:spacing w:before="0" w:after="283"/>
              <w:jc w:val="center"/>
              <w:rPr>
                <w:b/>
              </w:rPr>
            </w:pPr>
            <w:r>
              <w:rPr>
                <w:b/>
              </w:rPr>
              <w:t>Three Months Ended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5" w:type="dxa"/>
            <w:gridSpan w:val="6"/>
            <w:tcBorders/>
            <w:shd w:fill="auto" w:val="clear"/>
            <w:vAlign w:val="bottom"/>
          </w:tcPr>
          <w:p>
            <w:pPr>
              <w:pStyle w:val="TableContents"/>
              <w:spacing w:before="0" w:after="283"/>
              <w:jc w:val="center"/>
              <w:rPr>
                <w:b/>
              </w:rPr>
            </w:pPr>
            <w:r>
              <w:rPr>
                <w:b/>
              </w:rPr>
              <w:t>Nine Months Ended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6"/>
            <w:tcBorders/>
            <w:shd w:fill="auto" w:val="clear"/>
            <w:vAlign w:val="bottom"/>
          </w:tcPr>
          <w:p>
            <w:pPr>
              <w:pStyle w:val="TableContents"/>
              <w:spacing w:before="0" w:after="283"/>
              <w:jc w:val="center"/>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0"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94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290"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b/>
              </w:rPr>
              <w:t xml:space="preserve">Operating Results (in millions, except per barrel amounts) </w:t>
            </w:r>
            <w:r>
              <w:rPr/>
              <w:t xml:space="preserve">(1) </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450" w:right="0" w:hanging="225"/>
              <w:rPr/>
            </w:pPr>
            <w:r>
              <w:rPr/>
              <w:t>Revenues</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675" w:right="0" w:hanging="225"/>
              <w:rPr/>
            </w:pPr>
            <w:r>
              <w:rPr/>
              <w:t>Tariff revenue</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795" w:type="dxa"/>
            <w:tcBorders/>
            <w:shd w:fill="CCEEFF" w:val="clear"/>
            <w:vAlign w:val="bottom"/>
          </w:tcPr>
          <w:p>
            <w:pPr>
              <w:pStyle w:val="TableContents"/>
              <w:spacing w:before="0" w:after="283"/>
              <w:jc w:val="right"/>
              <w:rPr/>
            </w:pPr>
            <w:r>
              <w:rPr/>
              <w:t>168.7</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111.7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515" w:type="dxa"/>
            <w:tcBorders/>
            <w:shd w:fill="CCEEFF" w:val="clear"/>
            <w:vAlign w:val="bottom"/>
          </w:tcPr>
          <w:p>
            <w:pPr>
              <w:pStyle w:val="TableContents"/>
              <w:spacing w:before="0" w:after="283"/>
              <w:jc w:val="right"/>
              <w:rPr/>
            </w:pPr>
            <w:r>
              <w:rPr/>
              <w:t>57.0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51</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485.8</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75" w:type="dxa"/>
            <w:tcBorders/>
            <w:shd w:fill="CCEEFF" w:val="clear"/>
            <w:vAlign w:val="bottom"/>
          </w:tcPr>
          <w:p>
            <w:pPr>
              <w:pStyle w:val="TableContents"/>
              <w:spacing w:before="0" w:after="283"/>
              <w:jc w:val="right"/>
              <w:rPr/>
            </w:pPr>
            <w:r>
              <w:rPr/>
              <w:t>314.2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560" w:type="dxa"/>
            <w:tcBorders/>
            <w:shd w:fill="CCEEFF" w:val="clear"/>
            <w:vAlign w:val="bottom"/>
          </w:tcPr>
          <w:p>
            <w:pPr>
              <w:pStyle w:val="TableContents"/>
              <w:spacing w:before="0" w:after="283"/>
              <w:jc w:val="right"/>
              <w:rPr/>
            </w:pPr>
            <w:r>
              <w:rPr/>
              <w:t>171.6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55</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675" w:right="0" w:hanging="225"/>
              <w:rPr/>
            </w:pPr>
            <w:r>
              <w:rPr/>
              <w:t>Third-party trucking</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29.4</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6.2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27</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84.7</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69.5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15.2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22</w:t>
            </w:r>
          </w:p>
        </w:tc>
        <w:tc>
          <w:tcPr>
            <w:tcW w:w="290" w:type="dxa"/>
            <w:tcBorders/>
            <w:shd w:fill="auto"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450" w:right="0" w:hanging="225"/>
              <w:rPr/>
            </w:pPr>
            <w:r>
              <w:rPr/>
              <w:t>Total transportation revenues</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198.1</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134.9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pPr>
            <w:r>
              <w:rPr/>
              <w:t>63.2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47</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570.5</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383.7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186.8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49</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450" w:right="0" w:hanging="225"/>
              <w:rPr/>
            </w:pPr>
            <w:r>
              <w:rPr/>
              <w:t>Costs and Expenses</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675" w:right="0" w:hanging="225"/>
              <w:rPr/>
            </w:pPr>
            <w:r>
              <w:rPr/>
              <w:t>Third-party trucking costs</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(19.7</w:t>
            </w:r>
          </w:p>
        </w:tc>
        <w:tc>
          <w:tcPr>
            <w:tcW w:w="135" w:type="dxa"/>
            <w:tcBorders/>
            <w:shd w:fill="CCEEFF" w:val="clear"/>
            <w:vAlign w:val="bottom"/>
          </w:tcPr>
          <w:p>
            <w:pPr>
              <w:pStyle w:val="TableContents"/>
              <w:spacing w:before="0" w:after="283"/>
              <w:rPr/>
            </w:pPr>
            <w:r>
              <w:rPr/>
              <w:t>)</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(17.8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(1.9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11</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(57.7</w:t>
            </w:r>
          </w:p>
        </w:tc>
        <w:tc>
          <w:tcPr>
            <w:tcW w:w="115" w:type="dxa"/>
            <w:tcBorders/>
            <w:shd w:fill="CCEEFF" w:val="clear"/>
            <w:vAlign w:val="bottom"/>
          </w:tcPr>
          <w:p>
            <w:pPr>
              <w:pStyle w:val="TableContents"/>
              <w:spacing w:before="0" w:after="283"/>
              <w:rPr/>
            </w:pPr>
            <w:r>
              <w:rPr/>
              <w:t>)</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75" w:type="dxa"/>
            <w:tcBorders/>
            <w:shd w:fill="CCEEFF" w:val="clear"/>
            <w:vAlign w:val="bottom"/>
          </w:tcPr>
          <w:p>
            <w:pPr>
              <w:pStyle w:val="TableContents"/>
              <w:spacing w:before="0" w:after="283"/>
              <w:jc w:val="right"/>
              <w:rPr/>
            </w:pPr>
            <w:r>
              <w:rPr/>
              <w:t>(54.6</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(3.1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6</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675" w:right="0" w:hanging="225"/>
              <w:rPr/>
            </w:pPr>
            <w:r>
              <w:rPr/>
              <w:t>Field operating costs (excluding equity compensation (charge)/credit)</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(73.8</w:t>
            </w:r>
          </w:p>
        </w:tc>
        <w:tc>
          <w:tcPr>
            <w:tcW w:w="135"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(48.2</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283"/>
              <w:jc w:val="right"/>
              <w:rPr/>
            </w:pPr>
            <w:r>
              <w:rPr/>
              <w:t>(25.6</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53</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(213.4</w:t>
            </w:r>
          </w:p>
        </w:tc>
        <w:tc>
          <w:tcPr>
            <w:tcW w:w="115" w:type="dxa"/>
            <w:tcBorders/>
            <w:shd w:fill="auto" w:val="clear"/>
            <w:vAlign w:val="bottom"/>
          </w:tcPr>
          <w:p>
            <w:pPr>
              <w:pStyle w:val="TableContents"/>
              <w:spacing w:before="0" w:after="283"/>
              <w:rPr/>
            </w:pPr>
            <w:r>
              <w:rPr/>
              <w:t>)</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75" w:type="dxa"/>
            <w:tcBorders/>
            <w:shd w:fill="auto" w:val="clear"/>
            <w:vAlign w:val="bottom"/>
          </w:tcPr>
          <w:p>
            <w:pPr>
              <w:pStyle w:val="TableContents"/>
              <w:spacing w:before="0" w:after="283"/>
              <w:jc w:val="right"/>
              <w:rPr/>
            </w:pPr>
            <w:r>
              <w:rPr/>
              <w:t>(141.9</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(71.5</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50</w:t>
            </w:r>
          </w:p>
        </w:tc>
        <w:tc>
          <w:tcPr>
            <w:tcW w:w="290"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675" w:right="0" w:hanging="225"/>
              <w:rPr/>
            </w:pPr>
            <w:r>
              <w:rPr/>
              <w:t xml:space="preserve">Equity compensation </w:t>
              <w:br/>
              <w:t>(charge)/credit  operations (2)</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0.1</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(1.1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pPr>
            <w:r>
              <w:rPr/>
              <w:t>1.2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(109</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(4.5</w:t>
            </w:r>
          </w:p>
        </w:tc>
        <w:tc>
          <w:tcPr>
            <w:tcW w:w="115" w:type="dxa"/>
            <w:tcBorders/>
            <w:shd w:fill="CCEEFF" w:val="clear"/>
            <w:vAlign w:val="bottom"/>
          </w:tcPr>
          <w:p>
            <w:pPr>
              <w:pStyle w:val="TableContents"/>
              <w:spacing w:before="0" w:after="283"/>
              <w:rPr/>
            </w:pPr>
            <w:r>
              <w:rPr/>
              <w:t>)</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75" w:type="dxa"/>
            <w:tcBorders/>
            <w:shd w:fill="CCEEFF" w:val="clear"/>
            <w:vAlign w:val="bottom"/>
          </w:tcPr>
          <w:p>
            <w:pPr>
              <w:pStyle w:val="TableContents"/>
              <w:spacing w:before="0" w:after="283"/>
              <w:jc w:val="right"/>
              <w:rPr/>
            </w:pPr>
            <w:r>
              <w:rPr/>
              <w:t>(2.8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(1.7</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61</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675" w:right="0" w:hanging="225"/>
              <w:rPr/>
            </w:pPr>
            <w:r>
              <w:rPr/>
              <w:t>Segment G&amp;A expenses (excluding equity compensation charge) (3)</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(13.9</w:t>
            </w:r>
          </w:p>
        </w:tc>
        <w:tc>
          <w:tcPr>
            <w:tcW w:w="135" w:type="dxa"/>
            <w:tcBorders/>
            <w:shd w:fill="auto" w:val="clear"/>
            <w:vAlign w:val="bottom"/>
          </w:tcPr>
          <w:p>
            <w:pPr>
              <w:pStyle w:val="TableContents"/>
              <w:spacing w:before="0" w:after="283"/>
              <w:rPr/>
            </w:pPr>
            <w:r>
              <w:rPr/>
              <w:t>)</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 </w:t>
            </w:r>
          </w:p>
        </w:tc>
        <w:tc>
          <w:tcPr>
            <w:tcW w:w="799" w:type="dxa"/>
            <w:tcBorders/>
            <w:shd w:fill="auto" w:val="clear"/>
            <w:vAlign w:val="bottom"/>
          </w:tcPr>
          <w:p>
            <w:pPr>
              <w:pStyle w:val="TableContents"/>
              <w:spacing w:before="0" w:after="283"/>
              <w:jc w:val="right"/>
              <w:rPr/>
            </w:pPr>
            <w:r>
              <w:rPr/>
              <w:t>(10.8</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283"/>
              <w:jc w:val="right"/>
              <w:rPr/>
            </w:pPr>
            <w:r>
              <w:rPr/>
              <w:t>(3.1</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29</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72" w:type="dxa"/>
            <w:tcBorders/>
            <w:shd w:fill="auto" w:val="clear"/>
            <w:vAlign w:val="bottom"/>
          </w:tcPr>
          <w:p>
            <w:pPr>
              <w:pStyle w:val="TableContents"/>
              <w:spacing w:before="0" w:after="283"/>
              <w:jc w:val="right"/>
              <w:rPr/>
            </w:pPr>
            <w:r>
              <w:rPr/>
              <w:t>(37.7</w:t>
            </w:r>
          </w:p>
        </w:tc>
        <w:tc>
          <w:tcPr>
            <w:tcW w:w="115" w:type="dxa"/>
            <w:tcBorders/>
            <w:shd w:fill="auto" w:val="clear"/>
            <w:vAlign w:val="bottom"/>
          </w:tcPr>
          <w:p>
            <w:pPr>
              <w:pStyle w:val="TableContents"/>
              <w:spacing w:before="0" w:after="283"/>
              <w:rPr/>
            </w:pPr>
            <w:r>
              <w:rPr/>
              <w:t>)</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 </w:t>
            </w:r>
          </w:p>
        </w:tc>
        <w:tc>
          <w:tcPr>
            <w:tcW w:w="775" w:type="dxa"/>
            <w:tcBorders/>
            <w:shd w:fill="auto" w:val="clear"/>
            <w:vAlign w:val="bottom"/>
          </w:tcPr>
          <w:p>
            <w:pPr>
              <w:pStyle w:val="TableContents"/>
              <w:spacing w:before="0" w:after="283"/>
              <w:jc w:val="right"/>
              <w:rPr/>
            </w:pPr>
            <w:r>
              <w:rPr/>
              <w:t>(30.2</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(7.5</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25</w:t>
            </w:r>
          </w:p>
        </w:tc>
        <w:tc>
          <w:tcPr>
            <w:tcW w:w="290"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675" w:right="0" w:hanging="225"/>
              <w:rPr/>
            </w:pPr>
            <w:r>
              <w:rPr/>
              <w:t>Equity compensation charge </w:t>
              <w:br/>
              <w:t>general and administrative (2)</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(0.5</w:t>
            </w:r>
          </w:p>
        </w:tc>
        <w:tc>
          <w:tcPr>
            <w:tcW w:w="135" w:type="dxa"/>
            <w:tcBorders/>
            <w:shd w:fill="CCEEFF" w:val="clear"/>
            <w:vAlign w:val="bottom"/>
          </w:tcPr>
          <w:p>
            <w:pPr>
              <w:pStyle w:val="TableContents"/>
              <w:spacing w:before="0" w:after="283"/>
              <w:rPr/>
            </w:pPr>
            <w:r>
              <w:rPr/>
              <w:t>)</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 </w:t>
            </w:r>
          </w:p>
        </w:tc>
        <w:tc>
          <w:tcPr>
            <w:tcW w:w="799" w:type="dxa"/>
            <w:tcBorders/>
            <w:shd w:fill="CCEEFF" w:val="clear"/>
            <w:vAlign w:val="bottom"/>
          </w:tcPr>
          <w:p>
            <w:pPr>
              <w:pStyle w:val="TableContents"/>
              <w:spacing w:before="0" w:after="283"/>
              <w:jc w:val="right"/>
              <w:rPr/>
            </w:pPr>
            <w:r>
              <w:rPr/>
              <w:t>(3.9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pPr>
            <w:r>
              <w:rPr/>
              <w:t>3.4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(87</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72" w:type="dxa"/>
            <w:tcBorders/>
            <w:shd w:fill="CCEEFF" w:val="clear"/>
            <w:vAlign w:val="bottom"/>
          </w:tcPr>
          <w:p>
            <w:pPr>
              <w:pStyle w:val="TableContents"/>
              <w:spacing w:before="0" w:after="283"/>
              <w:jc w:val="right"/>
              <w:rPr/>
            </w:pPr>
            <w:r>
              <w:rPr/>
              <w:t>(16.2</w:t>
            </w:r>
          </w:p>
        </w:tc>
        <w:tc>
          <w:tcPr>
            <w:tcW w:w="115" w:type="dxa"/>
            <w:tcBorders/>
            <w:shd w:fill="CCEEFF" w:val="clear"/>
            <w:vAlign w:val="bottom"/>
          </w:tcPr>
          <w:p>
            <w:pPr>
              <w:pStyle w:val="TableContents"/>
              <w:spacing w:before="0" w:after="283"/>
              <w:rPr/>
            </w:pPr>
            <w:r>
              <w:rPr/>
              <w:t>)</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775" w:type="dxa"/>
            <w:tcBorders/>
            <w:shd w:fill="CCEEFF" w:val="clear"/>
            <w:vAlign w:val="bottom"/>
          </w:tcPr>
          <w:p>
            <w:pPr>
              <w:pStyle w:val="TableContents"/>
              <w:spacing w:before="0" w:after="283"/>
              <w:jc w:val="right"/>
              <w:rPr/>
            </w:pPr>
            <w:r>
              <w:rPr/>
              <w:t>(10.4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(5.8</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56</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225" w:right="0" w:hanging="225"/>
              <w:rPr/>
            </w:pPr>
            <w:r>
              <w:rPr/>
              <w:t>Equity earnings in unconsolidated entities</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1.5</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0.2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1.3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650</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3.6</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1.0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2.6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260</w:t>
            </w:r>
          </w:p>
        </w:tc>
        <w:tc>
          <w:tcPr>
            <w:tcW w:w="290" w:type="dxa"/>
            <w:tcBorders/>
            <w:shd w:fill="auto"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Segment profit</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795" w:type="dxa"/>
            <w:tcBorders/>
            <w:shd w:fill="CCEEFF" w:val="clear"/>
            <w:vAlign w:val="bottom"/>
          </w:tcPr>
          <w:p>
            <w:pPr>
              <w:pStyle w:val="TableContents"/>
              <w:spacing w:before="0" w:after="283"/>
              <w:jc w:val="right"/>
              <w:rPr/>
            </w:pPr>
            <w:r>
              <w:rPr/>
              <w:t>91.8</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53.3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515" w:type="dxa"/>
            <w:tcBorders/>
            <w:shd w:fill="CCEEFF" w:val="clear"/>
            <w:vAlign w:val="bottom"/>
          </w:tcPr>
          <w:p>
            <w:pPr>
              <w:pStyle w:val="TableContents"/>
              <w:spacing w:before="0" w:after="283"/>
              <w:jc w:val="right"/>
              <w:rPr/>
            </w:pPr>
            <w:r>
              <w:rPr/>
              <w:t>38.5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72</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244.6</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75" w:type="dxa"/>
            <w:tcBorders/>
            <w:shd w:fill="CCEEFF" w:val="clear"/>
            <w:vAlign w:val="bottom"/>
          </w:tcPr>
          <w:p>
            <w:pPr>
              <w:pStyle w:val="TableContents"/>
              <w:spacing w:before="0" w:after="283"/>
              <w:jc w:val="right"/>
              <w:rPr/>
            </w:pPr>
            <w:r>
              <w:rPr/>
              <w:t>144.8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560" w:type="dxa"/>
            <w:tcBorders/>
            <w:shd w:fill="CCEEFF" w:val="clear"/>
            <w:vAlign w:val="bottom"/>
          </w:tcPr>
          <w:p>
            <w:pPr>
              <w:pStyle w:val="TableContents"/>
              <w:spacing w:before="0" w:after="283"/>
              <w:jc w:val="right"/>
              <w:rPr/>
            </w:pPr>
            <w:r>
              <w:rPr/>
              <w:t>99.8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69</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Maintenance capital investment</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795" w:type="dxa"/>
            <w:tcBorders/>
            <w:shd w:fill="auto" w:val="clear"/>
            <w:vAlign w:val="bottom"/>
          </w:tcPr>
          <w:p>
            <w:pPr>
              <w:pStyle w:val="TableContents"/>
              <w:spacing w:before="0" w:after="283"/>
              <w:jc w:val="right"/>
              <w:rPr/>
            </w:pPr>
            <w:r>
              <w:rPr/>
              <w:t>9.2</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799" w:type="dxa"/>
            <w:tcBorders/>
            <w:shd w:fill="auto" w:val="clear"/>
            <w:vAlign w:val="bottom"/>
          </w:tcPr>
          <w:p>
            <w:pPr>
              <w:pStyle w:val="TableContents"/>
              <w:spacing w:before="0" w:after="283"/>
              <w:jc w:val="right"/>
              <w:rPr/>
            </w:pPr>
            <w:r>
              <w:rPr/>
              <w:t>5.3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515" w:type="dxa"/>
            <w:tcBorders/>
            <w:shd w:fill="auto" w:val="clear"/>
            <w:vAlign w:val="bottom"/>
          </w:tcPr>
          <w:p>
            <w:pPr>
              <w:pStyle w:val="TableContents"/>
              <w:spacing w:before="0" w:after="283"/>
              <w:jc w:val="right"/>
              <w:rPr/>
            </w:pPr>
            <w:r>
              <w:rPr/>
              <w:t>3.9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74</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772" w:type="dxa"/>
            <w:tcBorders/>
            <w:shd w:fill="auto" w:val="clear"/>
            <w:vAlign w:val="bottom"/>
          </w:tcPr>
          <w:p>
            <w:pPr>
              <w:pStyle w:val="TableContents"/>
              <w:spacing w:before="0" w:after="283"/>
              <w:jc w:val="right"/>
              <w:rPr/>
            </w:pPr>
            <w:r>
              <w:rPr/>
              <w:t>21.6</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left"/>
              <w:rPr/>
            </w:pPr>
            <w:r>
              <w:rPr/>
              <w:t>$</w:t>
            </w:r>
          </w:p>
        </w:tc>
        <w:tc>
          <w:tcPr>
            <w:tcW w:w="775" w:type="dxa"/>
            <w:tcBorders/>
            <w:shd w:fill="auto" w:val="clear"/>
            <w:vAlign w:val="bottom"/>
          </w:tcPr>
          <w:p>
            <w:pPr>
              <w:pStyle w:val="TableContents"/>
              <w:spacing w:before="0" w:after="283"/>
              <w:jc w:val="right"/>
              <w:rPr/>
            </w:pPr>
            <w:r>
              <w:rPr/>
              <w:t>11.7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560" w:type="dxa"/>
            <w:tcBorders/>
            <w:shd w:fill="auto" w:val="clear"/>
            <w:vAlign w:val="bottom"/>
          </w:tcPr>
          <w:p>
            <w:pPr>
              <w:pStyle w:val="TableContents"/>
              <w:spacing w:before="0" w:after="283"/>
              <w:jc w:val="right"/>
              <w:rPr/>
            </w:pPr>
            <w:r>
              <w:rPr/>
              <w:t>9.9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85</w:t>
            </w:r>
          </w:p>
        </w:tc>
        <w:tc>
          <w:tcPr>
            <w:tcW w:w="290" w:type="dxa"/>
            <w:tcBorders/>
            <w:shd w:fill="auto"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225" w:right="0" w:hanging="225"/>
              <w:rPr/>
            </w:pPr>
            <w:r>
              <w:rPr/>
              <w:t>Segment profit per barrel</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795" w:type="dxa"/>
            <w:tcBorders/>
            <w:shd w:fill="CCEEFF" w:val="clear"/>
            <w:vAlign w:val="bottom"/>
          </w:tcPr>
          <w:p>
            <w:pPr>
              <w:pStyle w:val="TableContents"/>
              <w:spacing w:before="0" w:after="283"/>
              <w:jc w:val="right"/>
              <w:rPr/>
            </w:pPr>
            <w:r>
              <w:rPr/>
              <w:t>0.36</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799" w:type="dxa"/>
            <w:tcBorders/>
            <w:shd w:fill="CCEEFF" w:val="clear"/>
            <w:vAlign w:val="bottom"/>
          </w:tcPr>
          <w:p>
            <w:pPr>
              <w:pStyle w:val="TableContents"/>
              <w:spacing w:before="0" w:after="283"/>
              <w:jc w:val="right"/>
              <w:rPr/>
            </w:pPr>
            <w:r>
              <w:rPr/>
              <w:t>0.26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515" w:type="dxa"/>
            <w:tcBorders/>
            <w:shd w:fill="CCEEFF" w:val="clear"/>
            <w:vAlign w:val="bottom"/>
          </w:tcPr>
          <w:p>
            <w:pPr>
              <w:pStyle w:val="TableContents"/>
              <w:spacing w:before="0" w:after="283"/>
              <w:jc w:val="right"/>
              <w:rPr/>
            </w:pPr>
            <w:r>
              <w:rPr/>
              <w:t>0.10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38</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72" w:type="dxa"/>
            <w:tcBorders/>
            <w:shd w:fill="CCEEFF" w:val="clear"/>
            <w:vAlign w:val="bottom"/>
          </w:tcPr>
          <w:p>
            <w:pPr>
              <w:pStyle w:val="TableContents"/>
              <w:spacing w:before="0" w:after="283"/>
              <w:jc w:val="right"/>
              <w:rPr/>
            </w:pPr>
            <w:r>
              <w:rPr/>
              <w:t>0.32</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w:t>
            </w:r>
          </w:p>
        </w:tc>
        <w:tc>
          <w:tcPr>
            <w:tcW w:w="775" w:type="dxa"/>
            <w:tcBorders/>
            <w:shd w:fill="CCEEFF" w:val="clear"/>
            <w:vAlign w:val="bottom"/>
          </w:tcPr>
          <w:p>
            <w:pPr>
              <w:pStyle w:val="TableContents"/>
              <w:spacing w:before="0" w:after="283"/>
              <w:jc w:val="right"/>
              <w:rPr/>
            </w:pPr>
            <w:r>
              <w:rPr/>
              <w:t>0.25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560" w:type="dxa"/>
            <w:tcBorders/>
            <w:shd w:fill="CCEEFF" w:val="clear"/>
            <w:vAlign w:val="bottom"/>
          </w:tcPr>
          <w:p>
            <w:pPr>
              <w:pStyle w:val="TableContents"/>
              <w:spacing w:before="0" w:after="283"/>
              <w:jc w:val="right"/>
              <w:rPr/>
            </w:pPr>
            <w:r>
              <w:rPr/>
              <w:t>0.07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28</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t> </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225" w:right="0" w:hanging="225"/>
              <w:rPr/>
            </w:pPr>
            <w:r>
              <w:rPr>
                <w:b/>
              </w:rPr>
              <w:t xml:space="preserve">Average Daily Volumes (thousands of barrels per day) </w:t>
            </w:r>
            <w:r>
              <w:rPr/>
              <w:t>(4)</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450" w:right="0" w:hanging="225"/>
              <w:rPr/>
            </w:pPr>
            <w:r>
              <w:rPr/>
              <w:t>Tariff activities:</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675" w:right="0" w:hanging="225"/>
              <w:rPr/>
            </w:pPr>
            <w:r>
              <w:rPr/>
              <w:t>All American</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46</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50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283"/>
              <w:jc w:val="right"/>
              <w:rPr/>
            </w:pPr>
            <w:r>
              <w:rPr/>
              <w:t>(4</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(8</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48</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49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(1</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(2</w:t>
            </w:r>
          </w:p>
        </w:tc>
        <w:tc>
          <w:tcPr>
            <w:tcW w:w="290"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675" w:right="0" w:hanging="225"/>
              <w:rPr/>
            </w:pPr>
            <w:r>
              <w:rPr/>
              <w:t>Basin</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397</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324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pPr>
            <w:r>
              <w:rPr/>
              <w:t>73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23</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382</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323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59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18</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675" w:right="0" w:hanging="225"/>
              <w:rPr/>
            </w:pPr>
            <w:r>
              <w:rPr/>
              <w:t>Capline</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230</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183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47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26</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232</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149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83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56</w:t>
            </w:r>
          </w:p>
        </w:tc>
        <w:tc>
          <w:tcPr>
            <w:tcW w:w="290"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675" w:right="0" w:hanging="225"/>
              <w:rPr/>
            </w:pPr>
            <w:r>
              <w:rPr/>
              <w:t>Line 63 / 2000</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171</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N/A</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pPr>
            <w:r>
              <w:rPr/>
              <w:t>171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N/A</w:t>
            </w:r>
          </w:p>
        </w:tc>
        <w:tc>
          <w:tcPr>
            <w:tcW w:w="2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177</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N/A</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177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N/A</w:t>
            </w:r>
          </w:p>
        </w:tc>
        <w:tc>
          <w:tcPr>
            <w:tcW w:w="290" w:type="dxa"/>
            <w:tcBorders/>
            <w:shd w:fill="CCEEFF" w:val="clear"/>
            <w:vAlign w:val="bottom"/>
          </w:tcPr>
          <w:p>
            <w:pPr>
              <w:pStyle w:val="TableContents"/>
              <w:spacing w:before="0" w:after="283"/>
              <w:rPr/>
            </w:pPr>
            <w:r>
              <w:rPr/>
              <w:t> </w:t>
            </w:r>
          </w:p>
        </w:tc>
      </w:tr>
      <w:tr>
        <w:trPr/>
        <w:tc>
          <w:tcPr>
            <w:tcW w:w="2990" w:type="dxa"/>
            <w:tcBorders/>
            <w:shd w:fill="auto" w:val="clear"/>
            <w:vAlign w:val="bottom"/>
          </w:tcPr>
          <w:p>
            <w:pPr>
              <w:pStyle w:val="TableContents"/>
              <w:spacing w:before="0" w:after="0"/>
              <w:ind w:left="675" w:right="0" w:hanging="225"/>
              <w:rPr/>
            </w:pPr>
            <w:r>
              <w:rPr/>
              <w:t>Salt Lake City</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59</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N/A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59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N/A</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62</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N/A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62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N/A</w:t>
            </w:r>
          </w:p>
        </w:tc>
        <w:tc>
          <w:tcPr>
            <w:tcW w:w="290"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675" w:right="0" w:hanging="225"/>
              <w:rPr/>
            </w:pPr>
            <w:r>
              <w:rPr/>
              <w:t>North Dakota/Trenton</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93</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94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(1</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95</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8</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675" w:right="0" w:hanging="225"/>
              <w:rPr/>
            </w:pPr>
            <w:r>
              <w:rPr/>
              <w:t>West Texas/New Mexico area systems</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409</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416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15" w:type="dxa"/>
            <w:tcBorders/>
            <w:shd w:fill="auto" w:val="clear"/>
            <w:vAlign w:val="bottom"/>
          </w:tcPr>
          <w:p>
            <w:pPr>
              <w:pStyle w:val="TableContents"/>
              <w:spacing w:before="0" w:after="283"/>
              <w:jc w:val="right"/>
              <w:rPr/>
            </w:pPr>
            <w:r>
              <w:rPr/>
              <w:t>(7</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(2</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391</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445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283"/>
              <w:jc w:val="right"/>
              <w:rPr/>
            </w:pPr>
            <w:r>
              <w:rPr/>
              <w:t>(54</w:t>
            </w:r>
          </w:p>
        </w:tc>
        <w:tc>
          <w:tcPr>
            <w:tcW w:w="95"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(12</w:t>
            </w:r>
          </w:p>
        </w:tc>
        <w:tc>
          <w:tcPr>
            <w:tcW w:w="290"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675" w:right="0" w:hanging="225"/>
              <w:rPr/>
            </w:pPr>
            <w:r>
              <w:rPr/>
              <w:t>Manito</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72</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73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515" w:type="dxa"/>
            <w:tcBorders/>
            <w:shd w:fill="CCEEFF" w:val="clear"/>
            <w:vAlign w:val="bottom"/>
          </w:tcPr>
          <w:p>
            <w:pPr>
              <w:pStyle w:val="TableContents"/>
              <w:spacing w:before="0" w:after="283"/>
              <w:jc w:val="right"/>
              <w:rPr/>
            </w:pPr>
            <w:r>
              <w:rPr/>
              <w:t>(1</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(1</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74</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70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6</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bottom"/>
          </w:tcPr>
          <w:p>
            <w:pPr>
              <w:pStyle w:val="TableContents"/>
              <w:spacing w:before="0" w:after="0"/>
              <w:ind w:left="675" w:right="0" w:hanging="225"/>
              <w:rPr/>
            </w:pPr>
            <w:r>
              <w:rPr/>
              <w:t>Refined products</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110</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15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95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633</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110</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105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2100</w:t>
            </w:r>
          </w:p>
        </w:tc>
        <w:tc>
          <w:tcPr>
            <w:tcW w:w="290"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675" w:right="0" w:hanging="225"/>
              <w:rPr/>
            </w:pPr>
            <w:r>
              <w:rPr/>
              <w:t>Other</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1,118</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977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pPr>
            <w:r>
              <w:rPr/>
              <w:t>141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14</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1,125</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855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270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32</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450" w:right="0" w:hanging="225"/>
              <w:rPr/>
            </w:pPr>
            <w:r>
              <w:rPr/>
              <w:t>Tariff activities total</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2,705</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2,132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573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27</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2,696</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1,984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712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36</w:t>
            </w:r>
          </w:p>
        </w:tc>
        <w:tc>
          <w:tcPr>
            <w:tcW w:w="290" w:type="dxa"/>
            <w:tcBorders/>
            <w:shd w:fill="auto" w:val="clear"/>
            <w:vAlign w:val="bottom"/>
          </w:tcPr>
          <w:p>
            <w:pPr>
              <w:pStyle w:val="TableContents"/>
              <w:spacing w:before="0" w:after="283"/>
              <w:rPr/>
            </w:pPr>
            <w:r>
              <w:rPr/>
              <w:t>%</w:t>
            </w:r>
          </w:p>
        </w:tc>
      </w:tr>
      <w:tr>
        <w:trPr/>
        <w:tc>
          <w:tcPr>
            <w:tcW w:w="2990" w:type="dxa"/>
            <w:tcBorders/>
            <w:shd w:fill="CCEEFF" w:val="clear"/>
            <w:vAlign w:val="bottom"/>
          </w:tcPr>
          <w:p>
            <w:pPr>
              <w:pStyle w:val="TableContents"/>
              <w:spacing w:before="0" w:after="0"/>
              <w:ind w:left="450" w:right="0" w:hanging="225"/>
              <w:rPr/>
            </w:pPr>
            <w:r>
              <w:rPr/>
              <w:t>Trucking volumes</w:t>
            </w:r>
          </w:p>
        </w:tc>
        <w:tc>
          <w:tcPr>
            <w:tcW w:w="6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pPr>
            <w:r>
              <w:rPr/>
              <w:t>104</w:t>
            </w:r>
          </w:p>
        </w:tc>
        <w:tc>
          <w:tcPr>
            <w:tcW w:w="135"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103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15" w:type="dxa"/>
            <w:tcBorders/>
            <w:shd w:fill="CCEEFF" w:val="clear"/>
            <w:vAlign w:val="bottom"/>
          </w:tcPr>
          <w:p>
            <w:pPr>
              <w:pStyle w:val="TableContents"/>
              <w:spacing w:before="0" w:after="283"/>
              <w:jc w:val="right"/>
              <w:rPr/>
            </w:pPr>
            <w:r>
              <w:rPr/>
              <w:t>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455" w:type="dxa"/>
            <w:tcBorders/>
            <w:shd w:fill="CCEEFF" w:val="clear"/>
            <w:vAlign w:val="bottom"/>
          </w:tcPr>
          <w:p>
            <w:pPr>
              <w:pStyle w:val="TableContents"/>
              <w:spacing w:before="0" w:after="283"/>
              <w:jc w:val="right"/>
              <w:rPr/>
            </w:pPr>
            <w:r>
              <w:rPr/>
              <w:t>1</w:t>
            </w:r>
          </w:p>
        </w:tc>
        <w:tc>
          <w:tcPr>
            <w:tcW w:w="290"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2" w:type="dxa"/>
            <w:tcBorders/>
            <w:shd w:fill="CCEEFF" w:val="clear"/>
            <w:vAlign w:val="bottom"/>
          </w:tcPr>
          <w:p>
            <w:pPr>
              <w:pStyle w:val="TableContents"/>
              <w:spacing w:before="0" w:after="283"/>
              <w:jc w:val="right"/>
              <w:rPr/>
            </w:pPr>
            <w:r>
              <w:rPr/>
              <w:t>107</w:t>
            </w:r>
          </w:p>
        </w:tc>
        <w:tc>
          <w:tcPr>
            <w:tcW w:w="11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pPr>
            <w:r>
              <w:rPr/>
              <w:t>111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283"/>
              <w:jc w:val="right"/>
              <w:rPr/>
            </w:pPr>
            <w:r>
              <w:rPr/>
              <w:t>(4</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500" w:type="dxa"/>
            <w:tcBorders/>
            <w:shd w:fill="CCEEFF" w:val="clear"/>
            <w:vAlign w:val="bottom"/>
          </w:tcPr>
          <w:p>
            <w:pPr>
              <w:pStyle w:val="TableContents"/>
              <w:spacing w:before="0" w:after="283"/>
              <w:jc w:val="right"/>
              <w:rPr/>
            </w:pPr>
            <w:r>
              <w:rPr/>
              <w:t>(4</w:t>
            </w:r>
          </w:p>
        </w:tc>
        <w:tc>
          <w:tcPr>
            <w:tcW w:w="290" w:type="dxa"/>
            <w:tcBorders/>
            <w:shd w:fill="CCEEFF"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r>
        <w:trPr/>
        <w:tc>
          <w:tcPr>
            <w:tcW w:w="2990" w:type="dxa"/>
            <w:tcBorders/>
            <w:shd w:fill="auto" w:val="clear"/>
            <w:vAlign w:val="bottom"/>
          </w:tcPr>
          <w:p>
            <w:pPr>
              <w:pStyle w:val="TableContents"/>
              <w:spacing w:before="0" w:after="0"/>
              <w:ind w:left="450" w:right="0" w:hanging="225"/>
              <w:rPr>
                <w:b/>
              </w:rPr>
            </w:pPr>
            <w:r>
              <w:rPr>
                <w:b/>
              </w:rPr>
              <w:t>Transportation Activities Total</w:t>
            </w:r>
          </w:p>
        </w:tc>
        <w:tc>
          <w:tcPr>
            <w:tcW w:w="6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pPr>
            <w:r>
              <w:rPr/>
              <w:t>2,809</w:t>
            </w:r>
          </w:p>
        </w:tc>
        <w:tc>
          <w:tcPr>
            <w:tcW w:w="135"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99" w:type="dxa"/>
            <w:tcBorders/>
            <w:shd w:fill="auto" w:val="clear"/>
            <w:vAlign w:val="bottom"/>
          </w:tcPr>
          <w:p>
            <w:pPr>
              <w:pStyle w:val="TableContents"/>
              <w:spacing w:before="0" w:after="283"/>
              <w:jc w:val="right"/>
              <w:rPr/>
            </w:pPr>
            <w:r>
              <w:rPr/>
              <w:t>2,235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15" w:type="dxa"/>
            <w:tcBorders/>
            <w:shd w:fill="auto" w:val="clear"/>
            <w:vAlign w:val="bottom"/>
          </w:tcPr>
          <w:p>
            <w:pPr>
              <w:pStyle w:val="TableContents"/>
              <w:spacing w:before="0" w:after="283"/>
              <w:jc w:val="right"/>
              <w:rPr/>
            </w:pPr>
            <w:r>
              <w:rPr/>
              <w:t>574</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pPr>
            <w:r>
              <w:rPr/>
              <w:t>26</w:t>
            </w:r>
          </w:p>
        </w:tc>
        <w:tc>
          <w:tcPr>
            <w:tcW w:w="290" w:type="dxa"/>
            <w:tcBorders/>
            <w:shd w:fill="auto" w:val="clear"/>
            <w:vAlign w:val="bottom"/>
          </w:tcPr>
          <w:p>
            <w:pPr>
              <w:pStyle w:val="TableContents"/>
              <w:spacing w:before="0" w:after="283"/>
              <w:rPr/>
            </w:pPr>
            <w:r>
              <w:rPr/>
              <w:t>%</w:t>
            </w:r>
          </w:p>
        </w:tc>
        <w:tc>
          <w:tcPr>
            <w:tcW w:w="6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2" w:type="dxa"/>
            <w:tcBorders/>
            <w:shd w:fill="auto" w:val="clear"/>
            <w:vAlign w:val="bottom"/>
          </w:tcPr>
          <w:p>
            <w:pPr>
              <w:pStyle w:val="TableContents"/>
              <w:spacing w:before="0" w:after="283"/>
              <w:jc w:val="right"/>
              <w:rPr/>
            </w:pPr>
            <w:r>
              <w:rPr/>
              <w:t>2,803</w:t>
            </w:r>
          </w:p>
        </w:tc>
        <w:tc>
          <w:tcPr>
            <w:tcW w:w="11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pPr>
            <w:r>
              <w:rPr/>
              <w:t>2,095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708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500" w:type="dxa"/>
            <w:tcBorders/>
            <w:shd w:fill="auto" w:val="clear"/>
            <w:vAlign w:val="bottom"/>
          </w:tcPr>
          <w:p>
            <w:pPr>
              <w:pStyle w:val="TableContents"/>
              <w:spacing w:before="0" w:after="283"/>
              <w:jc w:val="right"/>
              <w:rPr/>
            </w:pPr>
            <w:r>
              <w:rPr/>
              <w:t>34</w:t>
            </w:r>
          </w:p>
        </w:tc>
        <w:tc>
          <w:tcPr>
            <w:tcW w:w="290" w:type="dxa"/>
            <w:tcBorders/>
            <w:shd w:fill="auto" w:val="clear"/>
            <w:vAlign w:val="bottom"/>
          </w:tcPr>
          <w:p>
            <w:pPr>
              <w:pStyle w:val="TableContents"/>
              <w:spacing w:before="0" w:after="283"/>
              <w:rPr/>
            </w:pPr>
            <w:r>
              <w:rPr/>
              <w:t>%</w:t>
            </w:r>
          </w:p>
        </w:tc>
      </w:tr>
      <w:tr>
        <w:trPr/>
        <w:tc>
          <w:tcPr>
            <w:tcW w:w="299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5"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5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Revenues and purchases include intersegment amounts.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Compensation expense related to our equity compensation plans.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(4)</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Volumes associated with acquisitions represent total volumes for the number of days we actually owned the assets divided by the number of days in the period.</w:t>
            </w:r>
          </w:p>
        </w:tc>
      </w:tr>
    </w:tbl>
    <w:p>
      <w:pPr>
        <w:pStyle w:val="TextBody"/>
        <w:spacing w:before="120" w:after="283"/>
        <w:jc w:val="left"/>
        <w:rPr/>
      </w:pPr>
      <w:r>
        <w:rPr/>
        <w:t>     </w:t>
      </w:r>
      <w:r>
        <w:rPr>
          <w:rFonts w:ascii="Times New Roman;Times;serif" w:hAnsi="Times New Roman;Times;serif"/>
          <w:sz w:val="17"/>
        </w:rPr>
        <w:t xml:space="preserve">Segment profit and segment profit per barrel, our primary measures of segment performance, were impacted by the following: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volumes and related tariff revenues  The increase in volumes and tariff revenues is attributable to a combination of the following factors:</w:t>
            </w:r>
          </w:p>
        </w:tc>
      </w:tr>
    </w:tbl>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Pipeline systems acquired or brought into service during 2006 (primarily from the Pacific acquisition), which contributed approximately 527,000 additional barrels per day and $42 million of additional revenues during the third quarter of 2007 compared to the third quarter of 2006 and approximately 647,000 additional barrels per day and $132 million of additional revenues during the first nine months of 2007 compared to the first nine months of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higher volumes on our Basin and Capline systems primarily from multi-year contracts entered into during the second quarter of 2006;</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increased trucking revenues primarily resulting from an increase in rates of approximately 13% during 2007;</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higher volumes on various other systems;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An increase of approximately $7 million and $13 million for the third quarter and first nine months of 2007, respectively, from our loss allowance oil, primarily resulting from increased prices and increased volumes. As is common in the industry, our crude oil tariffs incorporate a loss allowance factor that is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subsequent sales of allowance oil barrels are also included in tariff revenues.</w:t>
            </w:r>
          </w:p>
        </w:tc>
      </w:tr>
    </w:tbl>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Increased field operating costs  Field operating costs have increased for most categories of costs for the third quarter and first nine months of 2007 compared to the third quarter and first nine months of 2006 as we have continued to grow through acquisitions and expansion projects. The most significant cost increases in the third quarter and first nine months of 2007 (primarily from recent acquisitions) have been related to (i) payroll and benefits, (ii) utilities, (iii) pipeline integrity work and (iv) property taxes.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Increased segment G&amp;A expenses  Segment G&amp;A expenses excluding equity compensation charges increased in the third quarter and first nine months of 2007 compared to the third quarter and first nine months of 2006 primarily as a result of the acquisitions and internal growth projects discussed above.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Increased equity compensation expenses  Equity compensation charges included in field operating costs and segment G&amp;A expenses decreased approximately $5 million in the third quarter of 2007 over the third quarter of 2006, primarily as a result of a decrease in the fair value of our outstanding LTIP awards related to a decrease in our closing unit price to $54.49 at September 30, 2007 from $63.65 at June 30, 2007 offset by additional LTIP grants. Equity compensation charges included in field operating costs and segment G&amp;A expenses increased approximately $8 million in the first nine months of 2007 over the first nine months of 2006, primarily as a result of additional LTIP grants. See Note 8 to our Condensed Consolidated Financial Statements.</w:t>
            </w:r>
          </w:p>
        </w:tc>
      </w:tr>
    </w:tbl>
    <w:p>
      <w:pPr>
        <w:pStyle w:val="TextBody"/>
        <w:spacing w:before="120" w:after="283"/>
        <w:jc w:val="left"/>
        <w:rPr/>
      </w:pPr>
      <w:r>
        <w:rPr/>
        <w:t>     </w:t>
      </w:r>
      <w:r>
        <w:rPr>
          <w:rFonts w:ascii="Times New Roman;Times;serif" w:hAnsi="Times New Roman;Times;serif"/>
          <w:sz w:val="17"/>
        </w:rPr>
        <w:t xml:space="preserve">Maintenance capital investment for the nine months ended September 30, 2007 was approximately $22 million, compared to approximately $12 million for the nine months ended September 30, 2006. The increase is due to our continued growth through acquisitions.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Facilities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our operating results from our facilities segment for the periods indicated: </w:t>
      </w:r>
    </w:p>
    <w:p>
      <w:pPr>
        <w:pStyle w:val="TextBody"/>
        <w:jc w:val="center"/>
        <w:rPr>
          <w:rFonts w:ascii="Times New Roman;Times;serif" w:hAnsi="Times New Roman;Times;serif"/>
          <w:sz w:val="17"/>
        </w:rPr>
      </w:pPr>
      <w:r>
        <w:rPr>
          <w:rFonts w:ascii="Times New Roman;Times;serif" w:hAnsi="Times New Roman;Times;serif"/>
          <w:sz w:val="17"/>
        </w:rP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905"/>
        <w:gridCol w:w="75"/>
        <w:gridCol w:w="222"/>
        <w:gridCol w:w="846"/>
        <w:gridCol w:w="157"/>
        <w:gridCol w:w="107"/>
        <w:gridCol w:w="222"/>
        <w:gridCol w:w="741"/>
        <w:gridCol w:w="107"/>
        <w:gridCol w:w="75"/>
        <w:gridCol w:w="147"/>
        <w:gridCol w:w="571"/>
        <w:gridCol w:w="107"/>
        <w:gridCol w:w="75"/>
        <w:gridCol w:w="74"/>
        <w:gridCol w:w="407"/>
        <w:gridCol w:w="325"/>
        <w:gridCol w:w="75"/>
        <w:gridCol w:w="194"/>
        <w:gridCol w:w="801"/>
        <w:gridCol w:w="138"/>
        <w:gridCol w:w="95"/>
        <w:gridCol w:w="194"/>
        <w:gridCol w:w="748"/>
        <w:gridCol w:w="107"/>
        <w:gridCol w:w="75"/>
        <w:gridCol w:w="147"/>
        <w:gridCol w:w="570"/>
        <w:gridCol w:w="107"/>
        <w:gridCol w:w="75"/>
        <w:gridCol w:w="75"/>
        <w:gridCol w:w="407"/>
        <w:gridCol w:w="234"/>
      </w:tblGrid>
      <w:tr>
        <w:trPr/>
        <w:tc>
          <w:tcPr>
            <w:tcW w:w="190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190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295" w:type="dxa"/>
            <w:gridSpan w:val="6"/>
            <w:tcBorders/>
            <w:shd w:fill="auto" w:val="clear"/>
            <w:vAlign w:val="bottom"/>
          </w:tcPr>
          <w:p>
            <w:pPr>
              <w:pStyle w:val="TableContents"/>
              <w:spacing w:before="0" w:after="283"/>
              <w:jc w:val="center"/>
              <w:rPr>
                <w:b/>
              </w:rPr>
            </w:pPr>
            <w:r>
              <w:rPr>
                <w:b/>
              </w:rPr>
              <w:t>Three Months Ended</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170" w:type="dxa"/>
            <w:gridSpan w:val="6"/>
            <w:tcBorders/>
            <w:shd w:fill="auto" w:val="clear"/>
            <w:vAlign w:val="bottom"/>
          </w:tcPr>
          <w:p>
            <w:pPr>
              <w:pStyle w:val="TableContents"/>
              <w:spacing w:before="0" w:after="283"/>
              <w:jc w:val="center"/>
              <w:rPr>
                <w:b/>
              </w:rPr>
            </w:pPr>
            <w:r>
              <w:rPr>
                <w:b/>
              </w:rPr>
              <w:t>Nine Months Ended</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381" w:type="dxa"/>
            <w:gridSpan w:val="6"/>
            <w:tcBorders/>
            <w:shd w:fill="auto" w:val="clear"/>
            <w:vAlign w:val="bottom"/>
          </w:tcPr>
          <w:p>
            <w:pPr>
              <w:pStyle w:val="TableContents"/>
              <w:spacing w:before="0" w:after="283"/>
              <w:jc w:val="center"/>
              <w:rPr/>
            </w:pPr>
            <w:r>
              <w:rPr/>
              <w:t> </w:t>
            </w:r>
          </w:p>
        </w:tc>
        <w:tc>
          <w:tcPr>
            <w:tcW w:w="234" w:type="dxa"/>
            <w:tcBorders/>
            <w:shd w:fill="auto" w:val="clear"/>
            <w:vAlign w:val="bottom"/>
          </w:tcPr>
          <w:p>
            <w:pPr>
              <w:pStyle w:val="TableContents"/>
              <w:spacing w:before="0" w:after="283"/>
              <w:rPr/>
            </w:pPr>
            <w:r>
              <w:rPr/>
              <w:t> </w:t>
            </w:r>
          </w:p>
        </w:tc>
      </w:tr>
      <w:tr>
        <w:trPr/>
        <w:tc>
          <w:tcPr>
            <w:tcW w:w="190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29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38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17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381"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34" w:type="dxa"/>
            <w:tcBorders/>
            <w:shd w:fill="auto" w:val="clear"/>
            <w:vAlign w:val="bottom"/>
          </w:tcPr>
          <w:p>
            <w:pPr>
              <w:pStyle w:val="TableContents"/>
              <w:spacing w:before="0" w:after="283"/>
              <w:rPr/>
            </w:pPr>
            <w:r>
              <w:rPr/>
              <w:t> </w:t>
            </w:r>
          </w:p>
        </w:tc>
      </w:tr>
      <w:tr>
        <w:trPr/>
        <w:tc>
          <w:tcPr>
            <w:tcW w:w="190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6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8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4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234" w:type="dxa"/>
            <w:tcBorders/>
            <w:shd w:fill="auto" w:val="clear"/>
            <w:vAlign w:val="bottom"/>
          </w:tcPr>
          <w:p>
            <w:pPr>
              <w:pStyle w:val="TableContents"/>
              <w:spacing w:before="0" w:after="283"/>
              <w:rPr/>
            </w:pPr>
            <w:r>
              <w:rPr/>
              <w:t> </w:t>
            </w:r>
          </w:p>
        </w:tc>
      </w:tr>
      <w:tr>
        <w:trPr/>
        <w:tc>
          <w:tcPr>
            <w:tcW w:w="1905" w:type="dxa"/>
            <w:tcBorders/>
            <w:shd w:fill="CCEEFF" w:val="clear"/>
            <w:vAlign w:val="bottom"/>
          </w:tcPr>
          <w:p>
            <w:pPr>
              <w:pStyle w:val="TableContents"/>
              <w:spacing w:before="0" w:after="0"/>
              <w:ind w:left="225" w:right="0" w:hanging="225"/>
              <w:rPr>
                <w:b/>
              </w:rPr>
            </w:pPr>
            <w:r>
              <w:rPr>
                <w:b/>
              </w:rPr>
              <w:t>Operating Results (in millions, except per barrel amounts)</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1905" w:type="dxa"/>
            <w:tcBorders/>
            <w:shd w:fill="auto" w:val="clear"/>
            <w:vAlign w:val="bottom"/>
          </w:tcPr>
          <w:p>
            <w:pPr>
              <w:pStyle w:val="TableContents"/>
              <w:spacing w:before="0" w:after="0"/>
              <w:ind w:left="225" w:right="0" w:hanging="225"/>
              <w:rPr/>
            </w:pPr>
            <w:r>
              <w:rPr/>
              <w:t> </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1905" w:type="dxa"/>
            <w:tcBorders/>
            <w:shd w:fill="auto" w:val="clear"/>
            <w:vAlign w:val="bottom"/>
          </w:tcPr>
          <w:p>
            <w:pPr>
              <w:pStyle w:val="TableContents"/>
              <w:spacing w:before="0" w:after="0"/>
              <w:ind w:left="450" w:right="0" w:hanging="225"/>
              <w:rPr/>
            </w:pPr>
            <w:r>
              <w:rPr/>
              <w:t>Storage and terminalling revenues (1)</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846" w:type="dxa"/>
            <w:tcBorders/>
            <w:shd w:fill="auto" w:val="clear"/>
            <w:vAlign w:val="bottom"/>
          </w:tcPr>
          <w:p>
            <w:pPr>
              <w:pStyle w:val="TableContents"/>
              <w:spacing w:before="0" w:after="283"/>
              <w:jc w:val="right"/>
              <w:rPr/>
            </w:pPr>
            <w:r>
              <w:rPr/>
              <w:t>54.0</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741" w:type="dxa"/>
            <w:tcBorders/>
            <w:shd w:fill="auto" w:val="clear"/>
            <w:vAlign w:val="bottom"/>
          </w:tcPr>
          <w:p>
            <w:pPr>
              <w:pStyle w:val="TableContents"/>
              <w:spacing w:before="0" w:after="283"/>
              <w:jc w:val="right"/>
              <w:rPr/>
            </w:pPr>
            <w:r>
              <w:rPr/>
              <w:t>21.3</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571" w:type="dxa"/>
            <w:tcBorders/>
            <w:shd w:fill="auto" w:val="clear"/>
            <w:vAlign w:val="bottom"/>
          </w:tcPr>
          <w:p>
            <w:pPr>
              <w:pStyle w:val="TableContents"/>
              <w:spacing w:before="0" w:after="283"/>
              <w:jc w:val="right"/>
              <w:rPr/>
            </w:pPr>
            <w:r>
              <w:rPr/>
              <w:t>32.7</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154</w:t>
            </w:r>
          </w:p>
        </w:tc>
        <w:tc>
          <w:tcPr>
            <w:tcW w:w="325"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153.3</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748" w:type="dxa"/>
            <w:tcBorders/>
            <w:shd w:fill="auto" w:val="clear"/>
            <w:vAlign w:val="bottom"/>
          </w:tcPr>
          <w:p>
            <w:pPr>
              <w:pStyle w:val="TableContents"/>
              <w:spacing w:before="0" w:after="283"/>
              <w:jc w:val="right"/>
              <w:rPr/>
            </w:pPr>
            <w:r>
              <w:rPr/>
              <w:t>54.6</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570" w:type="dxa"/>
            <w:tcBorders/>
            <w:shd w:fill="auto" w:val="clear"/>
            <w:vAlign w:val="bottom"/>
          </w:tcPr>
          <w:p>
            <w:pPr>
              <w:pStyle w:val="TableContents"/>
              <w:spacing w:before="0" w:after="283"/>
              <w:jc w:val="right"/>
              <w:rPr/>
            </w:pPr>
            <w:r>
              <w:rPr/>
              <w:t>98.7</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181</w:t>
            </w:r>
          </w:p>
        </w:tc>
        <w:tc>
          <w:tcPr>
            <w:tcW w:w="234" w:type="dxa"/>
            <w:tcBorders/>
            <w:shd w:fill="auto" w:val="clear"/>
            <w:vAlign w:val="bottom"/>
          </w:tcPr>
          <w:p>
            <w:pPr>
              <w:pStyle w:val="TableContents"/>
              <w:spacing w:before="0" w:after="283"/>
              <w:rPr/>
            </w:pPr>
            <w:r>
              <w:rPr/>
              <w:t>%</w:t>
            </w:r>
          </w:p>
        </w:tc>
      </w:tr>
      <w:tr>
        <w:trPr/>
        <w:tc>
          <w:tcPr>
            <w:tcW w:w="1905" w:type="dxa"/>
            <w:tcBorders/>
            <w:shd w:fill="CCEEFF" w:val="clear"/>
            <w:vAlign w:val="bottom"/>
          </w:tcPr>
          <w:p>
            <w:pPr>
              <w:pStyle w:val="TableContents"/>
              <w:spacing w:before="0" w:after="0"/>
              <w:ind w:left="450" w:right="0" w:hanging="225"/>
              <w:rPr/>
            </w:pPr>
            <w:r>
              <w:rPr/>
              <w:t>Field operating costs (excluding equity compensation charge)</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283"/>
              <w:jc w:val="right"/>
              <w:rPr/>
            </w:pPr>
            <w:r>
              <w:rPr/>
              <w:t>(22.1</w:t>
            </w:r>
          </w:p>
        </w:tc>
        <w:tc>
          <w:tcPr>
            <w:tcW w:w="157" w:type="dxa"/>
            <w:tcBorders/>
            <w:shd w:fill="CCEEFF" w:val="clear"/>
            <w:vAlign w:val="bottom"/>
          </w:tcPr>
          <w:p>
            <w:pPr>
              <w:pStyle w:val="TableContents"/>
              <w:spacing w:before="0" w:after="283"/>
              <w:rPr/>
            </w:pPr>
            <w:r>
              <w:rPr/>
              <w:t>)</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283"/>
              <w:jc w:val="right"/>
              <w:rPr/>
            </w:pPr>
            <w:r>
              <w:rPr/>
              <w:t>(9.5</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571" w:type="dxa"/>
            <w:tcBorders/>
            <w:shd w:fill="CCEEFF" w:val="clear"/>
            <w:vAlign w:val="bottom"/>
          </w:tcPr>
          <w:p>
            <w:pPr>
              <w:pStyle w:val="TableContents"/>
              <w:spacing w:before="0" w:after="283"/>
              <w:jc w:val="right"/>
              <w:rPr/>
            </w:pPr>
            <w:r>
              <w:rPr/>
              <w:t>(12.6</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133</w:t>
            </w:r>
          </w:p>
        </w:tc>
        <w:tc>
          <w:tcPr>
            <w:tcW w:w="325"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801" w:type="dxa"/>
            <w:tcBorders/>
            <w:shd w:fill="CCEEFF" w:val="clear"/>
            <w:vAlign w:val="bottom"/>
          </w:tcPr>
          <w:p>
            <w:pPr>
              <w:pStyle w:val="TableContents"/>
              <w:spacing w:before="0" w:after="283"/>
              <w:jc w:val="right"/>
              <w:rPr/>
            </w:pPr>
            <w:r>
              <w:rPr/>
              <w:t>(62.3</w:t>
            </w:r>
          </w:p>
        </w:tc>
        <w:tc>
          <w:tcPr>
            <w:tcW w:w="138" w:type="dxa"/>
            <w:tcBorders/>
            <w:shd w:fill="CCEEFF" w:val="clear"/>
            <w:vAlign w:val="bottom"/>
          </w:tcPr>
          <w:p>
            <w:pPr>
              <w:pStyle w:val="TableContents"/>
              <w:spacing w:before="0" w:after="283"/>
              <w:rPr/>
            </w:pPr>
            <w:r>
              <w:rPr/>
              <w:t>)</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748" w:type="dxa"/>
            <w:tcBorders/>
            <w:shd w:fill="CCEEFF" w:val="clear"/>
            <w:vAlign w:val="bottom"/>
          </w:tcPr>
          <w:p>
            <w:pPr>
              <w:pStyle w:val="TableContents"/>
              <w:spacing w:before="0" w:after="283"/>
              <w:jc w:val="right"/>
              <w:rPr/>
            </w:pPr>
            <w:r>
              <w:rPr/>
              <w:t>(23.9</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570" w:type="dxa"/>
            <w:tcBorders/>
            <w:shd w:fill="CCEEFF" w:val="clear"/>
            <w:vAlign w:val="bottom"/>
          </w:tcPr>
          <w:p>
            <w:pPr>
              <w:pStyle w:val="TableContents"/>
              <w:spacing w:before="0" w:after="283"/>
              <w:jc w:val="right"/>
              <w:rPr/>
            </w:pPr>
            <w:r>
              <w:rPr/>
              <w:t>(38.4</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161</w:t>
            </w:r>
          </w:p>
        </w:tc>
        <w:tc>
          <w:tcPr>
            <w:tcW w:w="234" w:type="dxa"/>
            <w:tcBorders/>
            <w:shd w:fill="CCEEFF" w:val="clear"/>
            <w:vAlign w:val="bottom"/>
          </w:tcPr>
          <w:p>
            <w:pPr>
              <w:pStyle w:val="TableContents"/>
              <w:spacing w:before="0" w:after="283"/>
              <w:rPr/>
            </w:pPr>
            <w:r>
              <w:rPr/>
              <w:t>%</w:t>
            </w:r>
          </w:p>
        </w:tc>
      </w:tr>
      <w:tr>
        <w:trPr/>
        <w:tc>
          <w:tcPr>
            <w:tcW w:w="1905" w:type="dxa"/>
            <w:tcBorders/>
            <w:shd w:fill="auto" w:val="clear"/>
            <w:vAlign w:val="bottom"/>
          </w:tcPr>
          <w:p>
            <w:pPr>
              <w:pStyle w:val="TableContents"/>
              <w:spacing w:before="0" w:after="0"/>
              <w:ind w:left="450" w:right="0" w:hanging="225"/>
              <w:rPr/>
            </w:pPr>
            <w:r>
              <w:rPr/>
              <w:t>Equity compensation charge  operations (3)</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N/A</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(0.1</w:t>
            </w:r>
          </w:p>
        </w:tc>
        <w:tc>
          <w:tcPr>
            <w:tcW w:w="138" w:type="dxa"/>
            <w:tcBorders/>
            <w:shd w:fill="auto" w:val="clear"/>
            <w:vAlign w:val="bottom"/>
          </w:tcPr>
          <w:p>
            <w:pPr>
              <w:pStyle w:val="TableContents"/>
              <w:spacing w:before="0" w:after="283"/>
              <w:rPr/>
            </w:pPr>
            <w:r>
              <w:rPr/>
              <w:t>)</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70" w:type="dxa"/>
            <w:tcBorders/>
            <w:shd w:fill="auto" w:val="clear"/>
            <w:vAlign w:val="bottom"/>
          </w:tcPr>
          <w:p>
            <w:pPr>
              <w:pStyle w:val="TableContents"/>
              <w:spacing w:before="0" w:after="283"/>
              <w:jc w:val="right"/>
              <w:rPr/>
            </w:pPr>
            <w:r>
              <w:rPr/>
              <w:t>(0.1</w:t>
            </w:r>
          </w:p>
        </w:tc>
        <w:tc>
          <w:tcPr>
            <w:tcW w:w="107"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N/A</w:t>
            </w:r>
          </w:p>
        </w:tc>
        <w:tc>
          <w:tcPr>
            <w:tcW w:w="234" w:type="dxa"/>
            <w:tcBorders/>
            <w:shd w:fill="auto" w:val="clear"/>
            <w:vAlign w:val="bottom"/>
          </w:tcPr>
          <w:p>
            <w:pPr>
              <w:pStyle w:val="TableContents"/>
              <w:spacing w:before="0" w:after="283"/>
              <w:rPr/>
            </w:pPr>
            <w:r>
              <w:rPr/>
              <w:t> </w:t>
            </w:r>
          </w:p>
        </w:tc>
      </w:tr>
      <w:tr>
        <w:trPr/>
        <w:tc>
          <w:tcPr>
            <w:tcW w:w="1905" w:type="dxa"/>
            <w:tcBorders/>
            <w:shd w:fill="CCEEFF" w:val="clear"/>
            <w:vAlign w:val="bottom"/>
          </w:tcPr>
          <w:p>
            <w:pPr>
              <w:pStyle w:val="TableContents"/>
              <w:spacing w:before="0" w:after="0"/>
              <w:ind w:left="450" w:right="0" w:hanging="225"/>
              <w:rPr/>
            </w:pPr>
            <w:r>
              <w:rPr/>
              <w:t>Segment G&amp;A expenses (excluding equity compensation charge) (2)</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846" w:type="dxa"/>
            <w:tcBorders/>
            <w:shd w:fill="CCEEFF" w:val="clear"/>
            <w:vAlign w:val="bottom"/>
          </w:tcPr>
          <w:p>
            <w:pPr>
              <w:pStyle w:val="TableContents"/>
              <w:spacing w:before="0" w:after="283"/>
              <w:jc w:val="right"/>
              <w:rPr/>
            </w:pPr>
            <w:r>
              <w:rPr/>
              <w:t>(5.2</w:t>
            </w:r>
          </w:p>
        </w:tc>
        <w:tc>
          <w:tcPr>
            <w:tcW w:w="157" w:type="dxa"/>
            <w:tcBorders/>
            <w:shd w:fill="CCEEFF" w:val="clear"/>
            <w:vAlign w:val="bottom"/>
          </w:tcPr>
          <w:p>
            <w:pPr>
              <w:pStyle w:val="TableContents"/>
              <w:spacing w:before="0" w:after="283"/>
              <w:rPr/>
            </w:pPr>
            <w:r>
              <w:rPr/>
              <w:t>)</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 </w:t>
            </w:r>
          </w:p>
        </w:tc>
        <w:tc>
          <w:tcPr>
            <w:tcW w:w="741" w:type="dxa"/>
            <w:tcBorders/>
            <w:shd w:fill="CCEEFF" w:val="clear"/>
            <w:vAlign w:val="bottom"/>
          </w:tcPr>
          <w:p>
            <w:pPr>
              <w:pStyle w:val="TableContents"/>
              <w:spacing w:before="0" w:after="283"/>
              <w:jc w:val="right"/>
              <w:rPr/>
            </w:pPr>
            <w:r>
              <w:rPr/>
              <w:t>(2.8</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571" w:type="dxa"/>
            <w:tcBorders/>
            <w:shd w:fill="CCEEFF" w:val="clear"/>
            <w:vAlign w:val="bottom"/>
          </w:tcPr>
          <w:p>
            <w:pPr>
              <w:pStyle w:val="TableContents"/>
              <w:spacing w:before="0" w:after="283"/>
              <w:jc w:val="right"/>
              <w:rPr/>
            </w:pPr>
            <w:r>
              <w:rPr/>
              <w:t>(2.4</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86</w:t>
            </w:r>
          </w:p>
        </w:tc>
        <w:tc>
          <w:tcPr>
            <w:tcW w:w="325"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801" w:type="dxa"/>
            <w:tcBorders/>
            <w:shd w:fill="CCEEFF" w:val="clear"/>
            <w:vAlign w:val="bottom"/>
          </w:tcPr>
          <w:p>
            <w:pPr>
              <w:pStyle w:val="TableContents"/>
              <w:spacing w:before="0" w:after="283"/>
              <w:jc w:val="right"/>
              <w:rPr/>
            </w:pPr>
            <w:r>
              <w:rPr/>
              <w:t>(14.7</w:t>
            </w:r>
          </w:p>
        </w:tc>
        <w:tc>
          <w:tcPr>
            <w:tcW w:w="138" w:type="dxa"/>
            <w:tcBorders/>
            <w:shd w:fill="CCEEFF" w:val="clear"/>
            <w:vAlign w:val="bottom"/>
          </w:tcPr>
          <w:p>
            <w:pPr>
              <w:pStyle w:val="TableContents"/>
              <w:spacing w:before="0" w:after="283"/>
              <w:rPr/>
            </w:pPr>
            <w:r>
              <w:rPr/>
              <w:t>)</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748" w:type="dxa"/>
            <w:tcBorders/>
            <w:shd w:fill="CCEEFF" w:val="clear"/>
            <w:vAlign w:val="bottom"/>
          </w:tcPr>
          <w:p>
            <w:pPr>
              <w:pStyle w:val="TableContents"/>
              <w:spacing w:before="0" w:after="283"/>
              <w:jc w:val="right"/>
              <w:rPr/>
            </w:pPr>
            <w:r>
              <w:rPr/>
              <w:t>(9.8</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570" w:type="dxa"/>
            <w:tcBorders/>
            <w:shd w:fill="CCEEFF" w:val="clear"/>
            <w:vAlign w:val="bottom"/>
          </w:tcPr>
          <w:p>
            <w:pPr>
              <w:pStyle w:val="TableContents"/>
              <w:spacing w:before="0" w:after="283"/>
              <w:jc w:val="right"/>
              <w:rPr/>
            </w:pPr>
            <w:r>
              <w:rPr/>
              <w:t>(4.9</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50</w:t>
            </w:r>
          </w:p>
        </w:tc>
        <w:tc>
          <w:tcPr>
            <w:tcW w:w="234" w:type="dxa"/>
            <w:tcBorders/>
            <w:shd w:fill="CCEEFF" w:val="clear"/>
            <w:vAlign w:val="bottom"/>
          </w:tcPr>
          <w:p>
            <w:pPr>
              <w:pStyle w:val="TableContents"/>
              <w:spacing w:before="0" w:after="283"/>
              <w:rPr/>
            </w:pPr>
            <w:r>
              <w:rPr/>
              <w:t>%</w:t>
            </w:r>
          </w:p>
        </w:tc>
      </w:tr>
      <w:tr>
        <w:trPr/>
        <w:tc>
          <w:tcPr>
            <w:tcW w:w="1905" w:type="dxa"/>
            <w:tcBorders/>
            <w:shd w:fill="auto" w:val="clear"/>
            <w:vAlign w:val="bottom"/>
          </w:tcPr>
          <w:p>
            <w:pPr>
              <w:pStyle w:val="TableContents"/>
              <w:spacing w:before="0" w:after="0"/>
              <w:ind w:left="450" w:right="0" w:hanging="225"/>
              <w:rPr/>
            </w:pPr>
            <w:r>
              <w:rPr/>
              <w:t>Equity compensation charge  general and administrative (3)</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 </w:t>
            </w:r>
          </w:p>
        </w:tc>
        <w:tc>
          <w:tcPr>
            <w:tcW w:w="846" w:type="dxa"/>
            <w:tcBorders/>
            <w:shd w:fill="auto" w:val="clear"/>
            <w:vAlign w:val="bottom"/>
          </w:tcPr>
          <w:p>
            <w:pPr>
              <w:pStyle w:val="TableContents"/>
              <w:spacing w:before="0" w:after="283"/>
              <w:jc w:val="right"/>
              <w:rPr/>
            </w:pPr>
            <w:r>
              <w:rPr/>
              <w:t>(0.3</w:t>
            </w:r>
          </w:p>
        </w:tc>
        <w:tc>
          <w:tcPr>
            <w:tcW w:w="157" w:type="dxa"/>
            <w:tcBorders/>
            <w:shd w:fill="auto" w:val="clear"/>
            <w:vAlign w:val="bottom"/>
          </w:tcPr>
          <w:p>
            <w:pPr>
              <w:pStyle w:val="TableContents"/>
              <w:spacing w:before="0" w:after="283"/>
              <w:rPr/>
            </w:pPr>
            <w:r>
              <w:rPr/>
              <w:t>)</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 </w:t>
            </w:r>
          </w:p>
        </w:tc>
        <w:tc>
          <w:tcPr>
            <w:tcW w:w="741" w:type="dxa"/>
            <w:tcBorders/>
            <w:shd w:fill="auto" w:val="clear"/>
            <w:vAlign w:val="bottom"/>
          </w:tcPr>
          <w:p>
            <w:pPr>
              <w:pStyle w:val="TableContents"/>
              <w:spacing w:before="0" w:after="283"/>
              <w:jc w:val="right"/>
              <w:rPr/>
            </w:pPr>
            <w:r>
              <w:rPr/>
              <w:t>(1.3</w:t>
            </w:r>
          </w:p>
        </w:tc>
        <w:tc>
          <w:tcPr>
            <w:tcW w:w="107"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jc w:val="right"/>
              <w:rPr/>
            </w:pPr>
            <w:r>
              <w:rPr/>
              <w:t>1.0</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(77</w:t>
            </w:r>
          </w:p>
        </w:tc>
        <w:tc>
          <w:tcPr>
            <w:tcW w:w="325"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801" w:type="dxa"/>
            <w:tcBorders/>
            <w:shd w:fill="auto" w:val="clear"/>
            <w:vAlign w:val="bottom"/>
          </w:tcPr>
          <w:p>
            <w:pPr>
              <w:pStyle w:val="TableContents"/>
              <w:spacing w:before="0" w:after="283"/>
              <w:jc w:val="right"/>
              <w:rPr/>
            </w:pPr>
            <w:r>
              <w:rPr/>
              <w:t>(5.5</w:t>
            </w:r>
          </w:p>
        </w:tc>
        <w:tc>
          <w:tcPr>
            <w:tcW w:w="138" w:type="dxa"/>
            <w:tcBorders/>
            <w:shd w:fill="auto" w:val="clear"/>
            <w:vAlign w:val="bottom"/>
          </w:tcPr>
          <w:p>
            <w:pPr>
              <w:pStyle w:val="TableContents"/>
              <w:spacing w:before="0" w:after="283"/>
              <w:rPr/>
            </w:pPr>
            <w:r>
              <w:rPr/>
              <w:t>)</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748" w:type="dxa"/>
            <w:tcBorders/>
            <w:shd w:fill="auto" w:val="clear"/>
            <w:vAlign w:val="bottom"/>
          </w:tcPr>
          <w:p>
            <w:pPr>
              <w:pStyle w:val="TableContents"/>
              <w:spacing w:before="0" w:after="283"/>
              <w:jc w:val="right"/>
              <w:rPr/>
            </w:pPr>
            <w:r>
              <w:rPr/>
              <w:t>(3.5</w:t>
            </w:r>
          </w:p>
        </w:tc>
        <w:tc>
          <w:tcPr>
            <w:tcW w:w="107"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c>
          <w:tcPr>
            <w:tcW w:w="570" w:type="dxa"/>
            <w:tcBorders/>
            <w:shd w:fill="auto" w:val="clear"/>
            <w:vAlign w:val="bottom"/>
          </w:tcPr>
          <w:p>
            <w:pPr>
              <w:pStyle w:val="TableContents"/>
              <w:spacing w:before="0" w:after="283"/>
              <w:jc w:val="right"/>
              <w:rPr/>
            </w:pPr>
            <w:r>
              <w:rPr/>
              <w:t>(2.0</w:t>
            </w:r>
          </w:p>
        </w:tc>
        <w:tc>
          <w:tcPr>
            <w:tcW w:w="107"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57</w:t>
            </w:r>
          </w:p>
        </w:tc>
        <w:tc>
          <w:tcPr>
            <w:tcW w:w="234" w:type="dxa"/>
            <w:tcBorders/>
            <w:shd w:fill="auto" w:val="clear"/>
            <w:vAlign w:val="bottom"/>
          </w:tcPr>
          <w:p>
            <w:pPr>
              <w:pStyle w:val="TableContents"/>
              <w:spacing w:before="0" w:after="283"/>
              <w:rPr/>
            </w:pPr>
            <w:r>
              <w:rPr/>
              <w:t>%</w:t>
            </w:r>
          </w:p>
        </w:tc>
      </w:tr>
      <w:tr>
        <w:trPr/>
        <w:tc>
          <w:tcPr>
            <w:tcW w:w="1905" w:type="dxa"/>
            <w:tcBorders/>
            <w:shd w:fill="CCEEFF" w:val="clear"/>
            <w:vAlign w:val="bottom"/>
          </w:tcPr>
          <w:p>
            <w:pPr>
              <w:pStyle w:val="TableContents"/>
              <w:spacing w:before="0" w:after="0"/>
              <w:ind w:left="450" w:right="0" w:hanging="225"/>
              <w:rPr/>
            </w:pPr>
            <w:r>
              <w:rPr/>
              <w:t>Equity in earnings in unconsolidated entities</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2.3</w:t>
            </w:r>
          </w:p>
        </w:tc>
        <w:tc>
          <w:tcPr>
            <w:tcW w:w="15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1.3</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pPr>
            <w:r>
              <w:rPr/>
              <w:t>1.0</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77</w:t>
            </w:r>
          </w:p>
        </w:tc>
        <w:tc>
          <w:tcPr>
            <w:tcW w:w="325"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8.8</w:t>
            </w:r>
          </w:p>
        </w:tc>
        <w:tc>
          <w:tcPr>
            <w:tcW w:w="13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2.2</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6.6</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300</w:t>
            </w:r>
          </w:p>
        </w:tc>
        <w:tc>
          <w:tcPr>
            <w:tcW w:w="234" w:type="dxa"/>
            <w:tcBorders/>
            <w:shd w:fill="CCEEFF"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1905" w:type="dxa"/>
            <w:tcBorders/>
            <w:shd w:fill="auto" w:val="clear"/>
            <w:vAlign w:val="bottom"/>
          </w:tcPr>
          <w:p>
            <w:pPr>
              <w:pStyle w:val="TableContents"/>
              <w:spacing w:before="0" w:after="0"/>
              <w:ind w:left="450" w:right="0" w:hanging="225"/>
              <w:rPr/>
            </w:pPr>
            <w:r>
              <w:rPr/>
              <w:t>Segment profit</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846" w:type="dxa"/>
            <w:tcBorders/>
            <w:shd w:fill="auto" w:val="clear"/>
            <w:vAlign w:val="bottom"/>
          </w:tcPr>
          <w:p>
            <w:pPr>
              <w:pStyle w:val="TableContents"/>
              <w:spacing w:before="0" w:after="283"/>
              <w:jc w:val="right"/>
              <w:rPr/>
            </w:pPr>
            <w:r>
              <w:rPr/>
              <w:t>28.7</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741" w:type="dxa"/>
            <w:tcBorders/>
            <w:shd w:fill="auto" w:val="clear"/>
            <w:vAlign w:val="bottom"/>
          </w:tcPr>
          <w:p>
            <w:pPr>
              <w:pStyle w:val="TableContents"/>
              <w:spacing w:before="0" w:after="283"/>
              <w:jc w:val="right"/>
              <w:rPr/>
            </w:pPr>
            <w:r>
              <w:rPr/>
              <w:t>9.0</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571" w:type="dxa"/>
            <w:tcBorders/>
            <w:shd w:fill="auto" w:val="clear"/>
            <w:vAlign w:val="bottom"/>
          </w:tcPr>
          <w:p>
            <w:pPr>
              <w:pStyle w:val="TableContents"/>
              <w:spacing w:before="0" w:after="283"/>
              <w:jc w:val="right"/>
              <w:rPr/>
            </w:pPr>
            <w:r>
              <w:rPr/>
              <w:t>19.7</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219</w:t>
            </w:r>
          </w:p>
        </w:tc>
        <w:tc>
          <w:tcPr>
            <w:tcW w:w="325"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79.5</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748" w:type="dxa"/>
            <w:tcBorders/>
            <w:shd w:fill="auto" w:val="clear"/>
            <w:vAlign w:val="bottom"/>
          </w:tcPr>
          <w:p>
            <w:pPr>
              <w:pStyle w:val="TableContents"/>
              <w:spacing w:before="0" w:after="283"/>
              <w:jc w:val="right"/>
              <w:rPr/>
            </w:pPr>
            <w:r>
              <w:rPr/>
              <w:t>19.6</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570" w:type="dxa"/>
            <w:tcBorders/>
            <w:shd w:fill="auto" w:val="clear"/>
            <w:vAlign w:val="bottom"/>
          </w:tcPr>
          <w:p>
            <w:pPr>
              <w:pStyle w:val="TableContents"/>
              <w:spacing w:before="0" w:after="283"/>
              <w:jc w:val="right"/>
              <w:rPr/>
            </w:pPr>
            <w:r>
              <w:rPr/>
              <w:t>59.9</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306</w:t>
            </w:r>
          </w:p>
        </w:tc>
        <w:tc>
          <w:tcPr>
            <w:tcW w:w="234" w:type="dxa"/>
            <w:tcBorders/>
            <w:shd w:fill="auto"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1905" w:type="dxa"/>
            <w:tcBorders/>
            <w:shd w:fill="CCEEFF" w:val="clear"/>
            <w:vAlign w:val="bottom"/>
          </w:tcPr>
          <w:p>
            <w:pPr>
              <w:pStyle w:val="TableContents"/>
              <w:spacing w:before="0" w:after="0"/>
              <w:ind w:left="450" w:right="0" w:hanging="225"/>
              <w:rPr/>
            </w:pPr>
            <w:r>
              <w:rPr/>
              <w:t>Maintenance capital investment</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846" w:type="dxa"/>
            <w:tcBorders/>
            <w:shd w:fill="CCEEFF" w:val="clear"/>
            <w:vAlign w:val="bottom"/>
          </w:tcPr>
          <w:p>
            <w:pPr>
              <w:pStyle w:val="TableContents"/>
              <w:spacing w:before="0" w:after="283"/>
              <w:jc w:val="right"/>
              <w:rPr/>
            </w:pPr>
            <w:r>
              <w:rPr/>
              <w:t>0.2</w:t>
            </w:r>
          </w:p>
        </w:tc>
        <w:tc>
          <w:tcPr>
            <w:tcW w:w="15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741" w:type="dxa"/>
            <w:tcBorders/>
            <w:shd w:fill="CCEEFF" w:val="clear"/>
            <w:vAlign w:val="bottom"/>
          </w:tcPr>
          <w:p>
            <w:pPr>
              <w:pStyle w:val="TableContents"/>
              <w:spacing w:before="0" w:after="283"/>
              <w:jc w:val="right"/>
              <w:rPr/>
            </w:pPr>
            <w:r>
              <w:rPr/>
              <w:t>1.9</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w:t>
            </w:r>
          </w:p>
        </w:tc>
        <w:tc>
          <w:tcPr>
            <w:tcW w:w="571" w:type="dxa"/>
            <w:tcBorders/>
            <w:shd w:fill="CCEEFF" w:val="clear"/>
            <w:vAlign w:val="bottom"/>
          </w:tcPr>
          <w:p>
            <w:pPr>
              <w:pStyle w:val="TableContents"/>
              <w:spacing w:before="0" w:after="283"/>
              <w:jc w:val="right"/>
              <w:rPr/>
            </w:pPr>
            <w:r>
              <w:rPr/>
              <w:t>(1.7</w:t>
            </w:r>
          </w:p>
        </w:tc>
        <w:tc>
          <w:tcPr>
            <w:tcW w:w="107"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(89</w:t>
            </w:r>
          </w:p>
        </w:tc>
        <w:tc>
          <w:tcPr>
            <w:tcW w:w="325"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6.4</w:t>
            </w:r>
          </w:p>
        </w:tc>
        <w:tc>
          <w:tcPr>
            <w:tcW w:w="13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w:t>
            </w:r>
          </w:p>
        </w:tc>
        <w:tc>
          <w:tcPr>
            <w:tcW w:w="748" w:type="dxa"/>
            <w:tcBorders/>
            <w:shd w:fill="CCEEFF" w:val="clear"/>
            <w:vAlign w:val="bottom"/>
          </w:tcPr>
          <w:p>
            <w:pPr>
              <w:pStyle w:val="TableContents"/>
              <w:spacing w:before="0" w:after="283"/>
              <w:jc w:val="right"/>
              <w:rPr/>
            </w:pPr>
            <w:r>
              <w:rPr/>
              <w:t>3.4</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w:t>
            </w:r>
          </w:p>
        </w:tc>
        <w:tc>
          <w:tcPr>
            <w:tcW w:w="570" w:type="dxa"/>
            <w:tcBorders/>
            <w:shd w:fill="CCEEFF" w:val="clear"/>
            <w:vAlign w:val="bottom"/>
          </w:tcPr>
          <w:p>
            <w:pPr>
              <w:pStyle w:val="TableContents"/>
              <w:spacing w:before="0" w:after="283"/>
              <w:jc w:val="right"/>
              <w:rPr/>
            </w:pPr>
            <w:r>
              <w:rPr/>
              <w:t>3.0</w:t>
            </w:r>
          </w:p>
        </w:tc>
        <w:tc>
          <w:tcPr>
            <w:tcW w:w="107" w:type="dxa"/>
            <w:tcBorders/>
            <w:shd w:fill="CCEEFF" w:val="clear"/>
            <w:vAlign w:val="bottom"/>
          </w:tcPr>
          <w:p>
            <w:pPr>
              <w:pStyle w:val="TableContents"/>
              <w:spacing w:before="0" w:after="283"/>
              <w:rPr>
                <w:sz w:val="4"/>
                <w:szCs w:val="4"/>
              </w:rPr>
            </w:pPr>
            <w:r>
              <w:rPr>
                <w:sz w:val="4"/>
                <w:szCs w:val="4"/>
              </w:rPr>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88</w:t>
            </w:r>
          </w:p>
        </w:tc>
        <w:tc>
          <w:tcPr>
            <w:tcW w:w="234" w:type="dxa"/>
            <w:tcBorders/>
            <w:shd w:fill="CCEEFF"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1905" w:type="dxa"/>
            <w:tcBorders/>
            <w:shd w:fill="auto" w:val="clear"/>
            <w:vAlign w:val="bottom"/>
          </w:tcPr>
          <w:p>
            <w:pPr>
              <w:pStyle w:val="TableContents"/>
              <w:spacing w:before="0" w:after="0"/>
              <w:ind w:left="450" w:right="0" w:hanging="225"/>
              <w:rPr/>
            </w:pPr>
            <w:r>
              <w:rPr/>
              <w:t>Segment profit per barrel</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846" w:type="dxa"/>
            <w:tcBorders/>
            <w:shd w:fill="auto" w:val="clear"/>
            <w:vAlign w:val="bottom"/>
          </w:tcPr>
          <w:p>
            <w:pPr>
              <w:pStyle w:val="TableContents"/>
              <w:spacing w:before="0" w:after="283"/>
              <w:jc w:val="right"/>
              <w:rPr/>
            </w:pPr>
            <w:r>
              <w:rPr/>
              <w:t>0.23</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741" w:type="dxa"/>
            <w:tcBorders/>
            <w:shd w:fill="auto" w:val="clear"/>
            <w:vAlign w:val="bottom"/>
          </w:tcPr>
          <w:p>
            <w:pPr>
              <w:pStyle w:val="TableContents"/>
              <w:spacing w:before="0" w:after="283"/>
              <w:jc w:val="right"/>
              <w:rPr/>
            </w:pPr>
            <w:r>
              <w:rPr/>
              <w:t>0.14</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571" w:type="dxa"/>
            <w:tcBorders/>
            <w:shd w:fill="auto" w:val="clear"/>
            <w:vAlign w:val="bottom"/>
          </w:tcPr>
          <w:p>
            <w:pPr>
              <w:pStyle w:val="TableContents"/>
              <w:spacing w:before="0" w:after="283"/>
              <w:jc w:val="right"/>
              <w:rPr/>
            </w:pPr>
            <w:r>
              <w:rPr/>
              <w:t>0.09</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64</w:t>
            </w:r>
          </w:p>
        </w:tc>
        <w:tc>
          <w:tcPr>
            <w:tcW w:w="325"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0.22</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w:t>
            </w:r>
          </w:p>
        </w:tc>
        <w:tc>
          <w:tcPr>
            <w:tcW w:w="748" w:type="dxa"/>
            <w:tcBorders/>
            <w:shd w:fill="auto" w:val="clear"/>
            <w:vAlign w:val="bottom"/>
          </w:tcPr>
          <w:p>
            <w:pPr>
              <w:pStyle w:val="TableContents"/>
              <w:spacing w:before="0" w:after="283"/>
              <w:jc w:val="right"/>
              <w:rPr/>
            </w:pPr>
            <w:r>
              <w:rPr/>
              <w:t>0.10</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w:t>
            </w:r>
          </w:p>
        </w:tc>
        <w:tc>
          <w:tcPr>
            <w:tcW w:w="570" w:type="dxa"/>
            <w:tcBorders/>
            <w:shd w:fill="auto" w:val="clear"/>
            <w:vAlign w:val="bottom"/>
          </w:tcPr>
          <w:p>
            <w:pPr>
              <w:pStyle w:val="TableContents"/>
              <w:spacing w:before="0" w:after="283"/>
              <w:jc w:val="right"/>
              <w:rPr/>
            </w:pPr>
            <w:r>
              <w:rPr/>
              <w:t>0.12</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120</w:t>
            </w:r>
          </w:p>
        </w:tc>
        <w:tc>
          <w:tcPr>
            <w:tcW w:w="234" w:type="dxa"/>
            <w:tcBorders/>
            <w:shd w:fill="auto"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1905" w:type="dxa"/>
            <w:tcBorders/>
            <w:shd w:fill="auto" w:val="clear"/>
            <w:vAlign w:val="bottom"/>
          </w:tcPr>
          <w:p>
            <w:pPr>
              <w:pStyle w:val="TableContents"/>
              <w:spacing w:before="0" w:after="0"/>
              <w:ind w:left="225" w:right="0" w:hanging="225"/>
              <w:rPr/>
            </w:pPr>
            <w:r>
              <w:rPr/>
              <w:t> </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1905" w:type="dxa"/>
            <w:tcBorders/>
            <w:shd w:fill="CCEEFF" w:val="clear"/>
            <w:vAlign w:val="bottom"/>
          </w:tcPr>
          <w:p>
            <w:pPr>
              <w:pStyle w:val="TableContents"/>
              <w:spacing w:before="0" w:after="0"/>
              <w:ind w:left="225" w:right="0" w:hanging="225"/>
              <w:rPr>
                <w:b/>
              </w:rPr>
            </w:pPr>
            <w:r>
              <w:rPr>
                <w:b/>
              </w:rPr>
              <w:t>Volumes (4)</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r>
      <w:tr>
        <w:trPr/>
        <w:tc>
          <w:tcPr>
            <w:tcW w:w="1905" w:type="dxa"/>
            <w:tcBorders/>
            <w:shd w:fill="auto" w:val="clear"/>
            <w:vAlign w:val="bottom"/>
          </w:tcPr>
          <w:p>
            <w:pPr>
              <w:pStyle w:val="TableContents"/>
              <w:spacing w:before="0" w:after="0"/>
              <w:ind w:left="450" w:right="0" w:hanging="225"/>
              <w:rPr/>
            </w:pPr>
            <w:r>
              <w:rPr/>
              <w:t>Crude oil, refined products and LPG storage (average monthly capacity in millions of barrels)</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39.6</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18.8</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jc w:val="right"/>
              <w:rPr/>
            </w:pPr>
            <w:r>
              <w:rPr/>
              <w:t>20.8</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111</w:t>
            </w:r>
          </w:p>
        </w:tc>
        <w:tc>
          <w:tcPr>
            <w:tcW w:w="325"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36.9</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18.8</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18.1</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96</w:t>
            </w:r>
          </w:p>
        </w:tc>
        <w:tc>
          <w:tcPr>
            <w:tcW w:w="234" w:type="dxa"/>
            <w:tcBorders/>
            <w:shd w:fill="auto"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1905" w:type="dxa"/>
            <w:tcBorders/>
            <w:shd w:fill="auto" w:val="clear"/>
            <w:vAlign w:val="bottom"/>
          </w:tcPr>
          <w:p>
            <w:pPr>
              <w:pStyle w:val="TableContents"/>
              <w:spacing w:before="0" w:after="0"/>
              <w:ind w:left="225" w:right="0" w:hanging="225"/>
              <w:rPr/>
            </w:pPr>
            <w:r>
              <w:rPr/>
              <w:t> </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1905" w:type="dxa"/>
            <w:tcBorders/>
            <w:shd w:fill="CCEEFF" w:val="clear"/>
            <w:vAlign w:val="bottom"/>
          </w:tcPr>
          <w:p>
            <w:pPr>
              <w:pStyle w:val="TableContents"/>
              <w:spacing w:before="0" w:after="0"/>
              <w:ind w:left="450" w:right="0" w:hanging="225"/>
              <w:rPr/>
            </w:pPr>
            <w:r>
              <w:rPr/>
              <w:t>Natural gas storage, net to our 50% interest (average monthly capacity in billions of cubic feet)</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12.9</w:t>
            </w:r>
          </w:p>
        </w:tc>
        <w:tc>
          <w:tcPr>
            <w:tcW w:w="15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12.9</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pPr>
            <w:r>
              <w:rPr/>
              <w:t></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0</w:t>
            </w:r>
          </w:p>
        </w:tc>
        <w:tc>
          <w:tcPr>
            <w:tcW w:w="325"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12.9</w:t>
            </w:r>
          </w:p>
        </w:tc>
        <w:tc>
          <w:tcPr>
            <w:tcW w:w="13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12.4</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0.5</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4</w:t>
            </w:r>
          </w:p>
        </w:tc>
        <w:tc>
          <w:tcPr>
            <w:tcW w:w="234" w:type="dxa"/>
            <w:tcBorders/>
            <w:shd w:fill="CCEEFF"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1905" w:type="dxa"/>
            <w:tcBorders/>
            <w:shd w:fill="auto" w:val="clear"/>
            <w:vAlign w:val="bottom"/>
          </w:tcPr>
          <w:p>
            <w:pPr>
              <w:pStyle w:val="TableContents"/>
              <w:spacing w:before="0" w:after="0"/>
              <w:ind w:left="225" w:right="0" w:hanging="225"/>
              <w:rPr/>
            </w:pPr>
            <w:r>
              <w:rPr/>
              <w:t> </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1905" w:type="dxa"/>
            <w:tcBorders/>
            <w:shd w:fill="auto" w:val="clear"/>
            <w:vAlign w:val="bottom"/>
          </w:tcPr>
          <w:p>
            <w:pPr>
              <w:pStyle w:val="TableContents"/>
              <w:spacing w:before="0" w:after="0"/>
              <w:ind w:left="450" w:right="0" w:hanging="225"/>
              <w:rPr/>
            </w:pPr>
            <w:r>
              <w:rPr/>
              <w:t>LPG and crude processing (thousands of barrels per day)</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20.8</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pPr>
            <w:r>
              <w:rPr/>
              <w:t>16.3</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jc w:val="right"/>
              <w:rPr/>
            </w:pPr>
            <w:r>
              <w:rPr/>
              <w:t>4.5</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28</w:t>
            </w:r>
          </w:p>
        </w:tc>
        <w:tc>
          <w:tcPr>
            <w:tcW w:w="325" w:type="dxa"/>
            <w:tcBorders/>
            <w:shd w:fill="auto" w:val="clear"/>
            <w:vAlign w:val="bottom"/>
          </w:tcPr>
          <w:p>
            <w:pPr>
              <w:pStyle w:val="TableContents"/>
              <w:spacing w:before="0" w:after="283"/>
              <w:rPr/>
            </w:pPr>
            <w:r>
              <w:rPr/>
              <w:t>%</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18.2</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pPr>
            <w:r>
              <w:rPr/>
              <w:t>11.5</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jc w:val="right"/>
              <w:rPr/>
            </w:pPr>
            <w:r>
              <w:rPr/>
              <w:t>6.7</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407" w:type="dxa"/>
            <w:tcBorders/>
            <w:shd w:fill="auto" w:val="clear"/>
            <w:vAlign w:val="bottom"/>
          </w:tcPr>
          <w:p>
            <w:pPr>
              <w:pStyle w:val="TableContents"/>
              <w:spacing w:before="0" w:after="283"/>
              <w:jc w:val="right"/>
              <w:rPr/>
            </w:pPr>
            <w:r>
              <w:rPr/>
              <w:t>58</w:t>
            </w:r>
          </w:p>
        </w:tc>
        <w:tc>
          <w:tcPr>
            <w:tcW w:w="234" w:type="dxa"/>
            <w:tcBorders/>
            <w:shd w:fill="auto"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1905" w:type="dxa"/>
            <w:tcBorders/>
            <w:shd w:fill="auto" w:val="clear"/>
            <w:vAlign w:val="bottom"/>
          </w:tcPr>
          <w:p>
            <w:pPr>
              <w:pStyle w:val="TableContents"/>
              <w:spacing w:before="0" w:after="0"/>
              <w:ind w:left="225" w:right="0" w:hanging="225"/>
              <w:rPr/>
            </w:pPr>
            <w:r>
              <w:rPr/>
              <w:t> </w:t>
            </w:r>
          </w:p>
        </w:tc>
        <w:tc>
          <w:tcPr>
            <w:tcW w:w="7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r>
      <w:tr>
        <w:trPr/>
        <w:tc>
          <w:tcPr>
            <w:tcW w:w="1905" w:type="dxa"/>
            <w:tcBorders/>
            <w:shd w:fill="CCEEFF" w:val="clear"/>
            <w:vAlign w:val="bottom"/>
          </w:tcPr>
          <w:p>
            <w:pPr>
              <w:pStyle w:val="TableContents"/>
              <w:spacing w:before="0" w:after="0"/>
              <w:ind w:left="450" w:right="0" w:hanging="225"/>
              <w:rPr>
                <w:b/>
              </w:rPr>
            </w:pPr>
            <w:r>
              <w:rPr>
                <w:b/>
              </w:rPr>
              <w:t>Facilities Activities Total (average monthly capacity in millions of barrels) (5)</w:t>
            </w:r>
          </w:p>
        </w:tc>
        <w:tc>
          <w:tcPr>
            <w:tcW w:w="7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42.4</w:t>
            </w:r>
          </w:p>
        </w:tc>
        <w:tc>
          <w:tcPr>
            <w:tcW w:w="15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pPr>
            <w:r>
              <w:rPr/>
              <w:t>21.4</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1" w:type="dxa"/>
            <w:tcBorders/>
            <w:shd w:fill="CCEEFF" w:val="clear"/>
            <w:vAlign w:val="bottom"/>
          </w:tcPr>
          <w:p>
            <w:pPr>
              <w:pStyle w:val="TableContents"/>
              <w:spacing w:before="0" w:after="283"/>
              <w:jc w:val="right"/>
              <w:rPr/>
            </w:pPr>
            <w:r>
              <w:rPr/>
              <w:t>21.0</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98</w:t>
            </w:r>
          </w:p>
        </w:tc>
        <w:tc>
          <w:tcPr>
            <w:tcW w:w="325" w:type="dxa"/>
            <w:tcBorders/>
            <w:shd w:fill="CCEEFF" w:val="clear"/>
            <w:vAlign w:val="bottom"/>
          </w:tcPr>
          <w:p>
            <w:pPr>
              <w:pStyle w:val="TableContents"/>
              <w:spacing w:before="0" w:after="283"/>
              <w:rPr/>
            </w:pPr>
            <w:r>
              <w:rPr/>
              <w:t>%</w:t>
            </w:r>
          </w:p>
        </w:tc>
        <w:tc>
          <w:tcPr>
            <w:tcW w:w="7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39.6</w:t>
            </w:r>
          </w:p>
        </w:tc>
        <w:tc>
          <w:tcPr>
            <w:tcW w:w="13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21.2</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570" w:type="dxa"/>
            <w:tcBorders/>
            <w:shd w:fill="CCEEFF" w:val="clear"/>
            <w:vAlign w:val="bottom"/>
          </w:tcPr>
          <w:p>
            <w:pPr>
              <w:pStyle w:val="TableContents"/>
              <w:spacing w:before="0" w:after="283"/>
              <w:jc w:val="right"/>
              <w:rPr/>
            </w:pPr>
            <w:r>
              <w:rPr/>
              <w:t>18.4</w:t>
            </w:r>
          </w:p>
        </w:tc>
        <w:tc>
          <w:tcPr>
            <w:tcW w:w="107"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jc w:val="left"/>
              <w:rPr/>
            </w:pPr>
            <w:r>
              <w:rPr/>
              <w:t> </w:t>
            </w:r>
          </w:p>
        </w:tc>
        <w:tc>
          <w:tcPr>
            <w:tcW w:w="407" w:type="dxa"/>
            <w:tcBorders/>
            <w:shd w:fill="CCEEFF" w:val="clear"/>
            <w:vAlign w:val="bottom"/>
          </w:tcPr>
          <w:p>
            <w:pPr>
              <w:pStyle w:val="TableContents"/>
              <w:spacing w:before="0" w:after="283"/>
              <w:jc w:val="right"/>
              <w:rPr/>
            </w:pPr>
            <w:r>
              <w:rPr/>
              <w:t>87</w:t>
            </w:r>
          </w:p>
        </w:tc>
        <w:tc>
          <w:tcPr>
            <w:tcW w:w="234" w:type="dxa"/>
            <w:tcBorders/>
            <w:shd w:fill="CCEEFF" w:val="clear"/>
            <w:vAlign w:val="bottom"/>
          </w:tcPr>
          <w:p>
            <w:pPr>
              <w:pStyle w:val="TableContents"/>
              <w:spacing w:before="0" w:after="283"/>
              <w:rPr/>
            </w:pPr>
            <w:r>
              <w:rPr/>
              <w:t>%</w:t>
            </w:r>
          </w:p>
        </w:tc>
      </w:tr>
      <w:tr>
        <w:trPr/>
        <w:tc>
          <w:tcPr>
            <w:tcW w:w="1905" w:type="dxa"/>
            <w:tcBorders/>
            <w:shd w:fill="auto" w:val="clear"/>
            <w:vAlign w:val="center"/>
          </w:tcPr>
          <w:p>
            <w:pPr>
              <w:pStyle w:val="TableContents"/>
              <w:spacing w:before="0" w:after="0"/>
              <w:ind w:left="225" w:right="0" w:hanging="225"/>
              <w:rPr/>
            </w:pPr>
            <w:r>
              <w:rPr/>
              <w:t> </w:t>
            </w:r>
          </w:p>
        </w:tc>
        <w:tc>
          <w:tcPr>
            <w:tcW w:w="75" w:type="dxa"/>
            <w:tcBorders/>
            <w:shd w:fill="auto" w:val="clear"/>
            <w:vAlign w:val="center"/>
          </w:tcPr>
          <w:p>
            <w:pPr>
              <w:pStyle w:val="TableContents"/>
              <w:spacing w:before="0" w:after="283"/>
              <w:rPr/>
            </w:pPr>
            <w:r>
              <w:rPr/>
              <w:t> </w:t>
            </w:r>
          </w:p>
        </w:tc>
        <w:tc>
          <w:tcPr>
            <w:tcW w:w="106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7" w:type="dxa"/>
            <w:tcBorders/>
            <w:shd w:fill="auto" w:val="clear"/>
            <w:vAlign w:val="center"/>
          </w:tcPr>
          <w:p>
            <w:pPr>
              <w:pStyle w:val="TableContents"/>
              <w:spacing w:before="0" w:after="283"/>
              <w:rPr/>
            </w:pPr>
            <w:r>
              <w:rPr/>
              <w:t> </w:t>
            </w:r>
          </w:p>
        </w:tc>
        <w:tc>
          <w:tcPr>
            <w:tcW w:w="107"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32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9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9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234"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Revenues include intersegment amounts.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Compensation expense related to our equity compensation plans.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(4)</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Volumes associated with acquisitions represent total volumes for the number of months we actually owned the assets divided by the number of months in the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(5)</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Calculated as the sum of: (i) crude oil, refined products and LPG storage capacity; (ii) natural gas storage capacity divided by 6 to account for the ratio of 6:1 mcf of gas to one barrel of crude oil; and (iii) LPG and crude processing volumes multiplied by the number of days in the month and divided by 1,000 to convert to monthly capacity in millions.</w:t>
            </w:r>
          </w:p>
        </w:tc>
      </w:tr>
    </w:tbl>
    <w:p>
      <w:pPr>
        <w:pStyle w:val="TextBody"/>
        <w:spacing w:before="120" w:after="283"/>
        <w:jc w:val="left"/>
        <w:rPr/>
      </w:pPr>
      <w:r>
        <w:rPr/>
        <w:t>     </w:t>
      </w:r>
      <w:r>
        <w:rPr>
          <w:rFonts w:ascii="Times New Roman;Times;serif" w:hAnsi="Times New Roman;Times;serif"/>
          <w:sz w:val="17"/>
        </w:rPr>
        <w:t xml:space="preserve">Segment profit and segment profit per barrel, our primary measures of segment performance, were impacted by the following: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volumes and related revenues  The increase in volumes and revenues is attributable to a combination of the following factors:</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Acquisitions and expansion projects attributable to crude and LPG facilities  The increase in volumes and related revenues during the third quarter and first nine months of 2007 primarily relates to (i) the acquisition of the Bumstead LPG storage facility in late July of 2007, the acquisition of Pacific in the fourth quarter of 2006 and other acquisitions completed during 2006, and (ii) additional capacity resulting from the second quarter completion of Phase I of the St. James construction project, which brought the capacity at St. James to 3.5 million barrels;</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rPr/>
            </w:pPr>
            <w:r>
              <w:rPr/>
              <w:t xml:space="preserve">Refined product storage and terminalling  We had no revenue from refined products storage and terminalling until the acquisition of Pacific, which contributed additional refined products storage and terminalling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revenues of approximately $10 million and $30 million in the third quarter and first nine months of 2007, respectively; and</w:t>
            </w:r>
          </w:p>
        </w:tc>
      </w:tr>
    </w:tbl>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rPr/>
            </w:pPr>
            <w:r>
              <w:rPr/>
              <w:t>LPG processing  The acquisition of the Shafter processing facility during the second quarter of 2006 resulted in additional processing revenues and volume for the third quarter and first nine months of 2007.</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field operating costs  Our continued growth, primarily from the acquisitions completed during 2006 and the additional tankage added in 2007 and 2006, is the principal cause of the increase in field operating costs in the third quarter and first nine months of 2007. The significant components of the increased costs are detailed below:</w:t>
            </w:r>
          </w:p>
        </w:tc>
      </w:tr>
    </w:tbl>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Increases of approximately $1 million and $7 million for the three and nine months ended September 30, 2007, respectively, related to the operating costs associated with the Shafter processing facility, which we acquired in the Andrews acquisition in the second quarter of 2006;</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Increases of approximately $9 million and $24 million for the three and nine months ended September 30, 2007, respectively, related to the operating costs associated with the Pacific acquisition;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Increases of approximately $1 million and $2 million for the three and nine months ended September 30, 2007, respectively, related to the operating costs associated with Phase I of the St. James facility, which became operational during 2007.</w:t>
            </w:r>
          </w:p>
        </w:tc>
      </w:tr>
    </w:tbl>
    <w:tbl>
      <w:tblPr>
        <w:tblW w:w="5000" w:type="pct"/>
        <w:jc w:val="left"/>
        <w:tblInd w:w="0" w:type="dxa"/>
        <w:tblCellMar>
          <w:top w:w="0" w:type="dxa"/>
          <w:left w:w="0" w:type="dxa"/>
          <w:bottom w:w="0" w:type="dxa"/>
          <w:right w:w="0" w:type="dxa"/>
        </w:tblCellMar>
      </w:tblPr>
      <w:tblGrid>
        <w:gridCol w:w="202"/>
        <w:gridCol w:w="306"/>
        <w:gridCol w:w="100"/>
        <w:gridCol w:w="9597"/>
      </w:tblGrid>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segment G&amp;A expenses  Segment G&amp;A expenses excluding equity compensation charges increased in the third quarter and first nine months of 2007 compared to the same periods in 2006, primarily as a result of the acquisitions and internal growth projects discussed above;</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equity compensation expenses  Equity compensation charges included in field operating costs and segment G&amp;A expenses decreased approximately $1 million in the third quarter of 2007 over the third quarter of 2006, primarily as a result of a decrease in the fair value of our outstanding LTIP awards related to a decrease in our closing unit price to $54.49 at September 30, 2007 from $63.65 at June 30, 2007 offset by additional LTIP grants. Equity compensation charges included in field operating costs and segment G&amp;A expenses increased approximately $2 million in the first nine months of 2007 over the first nine months of 2006, primarily as a result of additional LTIP grants. See Note 8 to our Condensed Consolidated Financial Statements.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0"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Increased equity earnings in unconsolidated entities  Our investment in PAA/Vulcan contributed approximately $1 million and $7 million in additional earnings for the third quarter and first nine months of 2007, respectively, compared to the corresponding periods of 2006, reflecting increased value for leased storage.</w:t>
            </w:r>
          </w:p>
        </w:tc>
      </w:tr>
    </w:tbl>
    <w:p>
      <w:pPr>
        <w:pStyle w:val="TextBody"/>
        <w:spacing w:before="120" w:after="283"/>
        <w:jc w:val="left"/>
        <w:rPr/>
      </w:pPr>
      <w:r>
        <w:rPr/>
        <w:t>     </w:t>
      </w:r>
      <w:r>
        <w:rPr>
          <w:rFonts w:ascii="Times New Roman;Times;serif" w:hAnsi="Times New Roman;Times;serif"/>
          <w:sz w:val="17"/>
        </w:rPr>
        <w:t xml:space="preserve">Maintenance capital investment for the nine months ended September 30, 2007 was approximately $6 million, compared to approximately $3 million for the nine months ended September 30, 2006. The increase for the nine months ended September 30, 2007 is due to continued growth through acquisitions.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Marketing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sets forth our operating results from our marketing segment for the periods indicated: </w:t>
      </w:r>
    </w:p>
    <w:p>
      <w:pPr>
        <w:pStyle w:val="TextBody"/>
        <w:jc w:val="center"/>
        <w:rPr>
          <w:rFonts w:ascii="Times New Roman;Times;serif" w:hAnsi="Times New Roman;Times;serif"/>
          <w:sz w:val="17"/>
        </w:rPr>
      </w:pPr>
      <w:r>
        <w:rPr>
          <w:rFonts w:ascii="Times New Roman;Times;serif" w:hAnsi="Times New Roman;Times;serif"/>
          <w:sz w:val="17"/>
        </w:rPr>
        <w:t xml:space="preserve">35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1341"/>
        <w:gridCol w:w="62"/>
        <w:gridCol w:w="150"/>
        <w:gridCol w:w="877"/>
        <w:gridCol w:w="102"/>
        <w:gridCol w:w="66"/>
        <w:gridCol w:w="150"/>
        <w:gridCol w:w="880"/>
        <w:gridCol w:w="96"/>
        <w:gridCol w:w="62"/>
        <w:gridCol w:w="141"/>
        <w:gridCol w:w="821"/>
        <w:gridCol w:w="96"/>
        <w:gridCol w:w="62"/>
        <w:gridCol w:w="62"/>
        <w:gridCol w:w="458"/>
        <w:gridCol w:w="295"/>
        <w:gridCol w:w="62"/>
        <w:gridCol w:w="140"/>
        <w:gridCol w:w="939"/>
        <w:gridCol w:w="96"/>
        <w:gridCol w:w="62"/>
        <w:gridCol w:w="141"/>
        <w:gridCol w:w="939"/>
        <w:gridCol w:w="96"/>
        <w:gridCol w:w="62"/>
        <w:gridCol w:w="141"/>
        <w:gridCol w:w="821"/>
        <w:gridCol w:w="96"/>
        <w:gridCol w:w="62"/>
        <w:gridCol w:w="62"/>
        <w:gridCol w:w="458"/>
        <w:gridCol w:w="307"/>
      </w:tblGrid>
      <w:tr>
        <w:trPr/>
        <w:tc>
          <w:tcPr>
            <w:tcW w:w="134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r>
      <w:tr>
        <w:trPr/>
        <w:tc>
          <w:tcPr>
            <w:tcW w:w="134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25" w:type="dxa"/>
            <w:gridSpan w:val="6"/>
            <w:tcBorders/>
            <w:shd w:fill="auto" w:val="clear"/>
            <w:vAlign w:val="bottom"/>
          </w:tcPr>
          <w:p>
            <w:pPr>
              <w:pStyle w:val="TableContents"/>
              <w:spacing w:before="0" w:after="283"/>
              <w:jc w:val="center"/>
              <w:rPr>
                <w:b/>
              </w:rPr>
            </w:pPr>
            <w:r>
              <w:rPr>
                <w:b/>
              </w:rPr>
              <w:t>Three Months Ended</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317" w:type="dxa"/>
            <w:gridSpan w:val="6"/>
            <w:tcBorders/>
            <w:shd w:fill="auto" w:val="clear"/>
            <w:vAlign w:val="bottom"/>
          </w:tcPr>
          <w:p>
            <w:pPr>
              <w:pStyle w:val="TableContents"/>
              <w:spacing w:before="0" w:after="283"/>
              <w:jc w:val="center"/>
              <w:rPr>
                <w:b/>
              </w:rPr>
            </w:pPr>
            <w:r>
              <w:rPr>
                <w:b/>
              </w:rPr>
              <w:t>Nine Months Ended</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40" w:type="dxa"/>
            <w:gridSpan w:val="6"/>
            <w:tcBorders/>
            <w:shd w:fill="auto" w:val="clear"/>
            <w:vAlign w:val="bottom"/>
          </w:tcPr>
          <w:p>
            <w:pPr>
              <w:pStyle w:val="TableContents"/>
              <w:spacing w:before="0" w:after="283"/>
              <w:jc w:val="center"/>
              <w:rPr/>
            </w:pPr>
            <w:r>
              <w:rPr/>
              <w:t> </w:t>
            </w:r>
          </w:p>
        </w:tc>
        <w:tc>
          <w:tcPr>
            <w:tcW w:w="307" w:type="dxa"/>
            <w:tcBorders/>
            <w:shd w:fill="auto" w:val="clear"/>
            <w:vAlign w:val="bottom"/>
          </w:tcPr>
          <w:p>
            <w:pPr>
              <w:pStyle w:val="TableContents"/>
              <w:spacing w:before="0" w:after="283"/>
              <w:rPr/>
            </w:pPr>
            <w:r>
              <w:rPr/>
              <w:t> </w:t>
            </w:r>
          </w:p>
        </w:tc>
      </w:tr>
      <w:tr>
        <w:trPr/>
        <w:tc>
          <w:tcPr>
            <w:tcW w:w="134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2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4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317"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September 30,</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4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07" w:type="dxa"/>
            <w:tcBorders/>
            <w:shd w:fill="auto" w:val="clear"/>
            <w:vAlign w:val="bottom"/>
          </w:tcPr>
          <w:p>
            <w:pPr>
              <w:pStyle w:val="TableContents"/>
              <w:spacing w:before="0" w:after="283"/>
              <w:rPr/>
            </w:pPr>
            <w:r>
              <w:rPr/>
              <w:t> </w:t>
            </w:r>
          </w:p>
        </w:tc>
      </w:tr>
      <w:tr>
        <w:trPr/>
        <w:tc>
          <w:tcPr>
            <w:tcW w:w="1341"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2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9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7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96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52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w:t>
            </w:r>
          </w:p>
        </w:tc>
        <w:tc>
          <w:tcPr>
            <w:tcW w:w="307" w:type="dxa"/>
            <w:tcBorders/>
            <w:shd w:fill="auto" w:val="clear"/>
            <w:vAlign w:val="bottom"/>
          </w:tcPr>
          <w:p>
            <w:pPr>
              <w:pStyle w:val="TableContents"/>
              <w:spacing w:before="0" w:after="283"/>
              <w:rPr/>
            </w:pPr>
            <w:r>
              <w:rPr/>
              <w:t> </w:t>
            </w:r>
          </w:p>
        </w:tc>
      </w:tr>
      <w:tr>
        <w:trPr/>
        <w:tc>
          <w:tcPr>
            <w:tcW w:w="1341" w:type="dxa"/>
            <w:tcBorders/>
            <w:shd w:fill="CCEEFF" w:val="clear"/>
            <w:vAlign w:val="bottom"/>
          </w:tcPr>
          <w:p>
            <w:pPr>
              <w:pStyle w:val="TableContents"/>
              <w:spacing w:before="0" w:after="0"/>
              <w:ind w:left="225" w:right="0" w:hanging="225"/>
              <w:rPr/>
            </w:pPr>
            <w:r>
              <w:rPr>
                <w:b/>
              </w:rPr>
              <w:t xml:space="preserve">Operating Results (in millions except per barrel amounts) </w:t>
            </w:r>
            <w:r>
              <w:rPr/>
              <w:t>(1)</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458"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 </w:t>
            </w:r>
          </w:p>
        </w:tc>
      </w:tr>
      <w:tr>
        <w:trPr/>
        <w:tc>
          <w:tcPr>
            <w:tcW w:w="1341" w:type="dxa"/>
            <w:tcBorders/>
            <w:shd w:fill="auto" w:val="clear"/>
            <w:vAlign w:val="bottom"/>
          </w:tcPr>
          <w:p>
            <w:pPr>
              <w:pStyle w:val="TableContents"/>
              <w:spacing w:before="0" w:after="0"/>
              <w:ind w:left="225" w:right="0" w:hanging="225"/>
              <w:rPr/>
            </w:pPr>
            <w:r>
              <w:rPr/>
              <w:t> </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r>
      <w:tr>
        <w:trPr/>
        <w:tc>
          <w:tcPr>
            <w:tcW w:w="1341" w:type="dxa"/>
            <w:tcBorders/>
            <w:shd w:fill="auto" w:val="clear"/>
            <w:vAlign w:val="bottom"/>
          </w:tcPr>
          <w:p>
            <w:pPr>
              <w:pStyle w:val="TableContents"/>
              <w:spacing w:before="0" w:after="0"/>
              <w:ind w:left="450" w:right="0" w:hanging="225"/>
              <w:rPr/>
            </w:pPr>
            <w:r>
              <w:rPr/>
              <w:t xml:space="preserve">Revenues (2) (3) </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5,668.0</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80" w:type="dxa"/>
            <w:tcBorders/>
            <w:shd w:fill="auto" w:val="clear"/>
            <w:vAlign w:val="bottom"/>
          </w:tcPr>
          <w:p>
            <w:pPr>
              <w:pStyle w:val="TableContents"/>
              <w:spacing w:before="0" w:after="283"/>
              <w:jc w:val="right"/>
              <w:rPr/>
            </w:pPr>
            <w:r>
              <w:rPr/>
              <w:t>4,430.4</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1,237.6</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28</w:t>
            </w:r>
          </w:p>
        </w:tc>
        <w:tc>
          <w:tcPr>
            <w:tcW w:w="295"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39" w:type="dxa"/>
            <w:tcBorders/>
            <w:shd w:fill="auto" w:val="clear"/>
            <w:vAlign w:val="bottom"/>
          </w:tcPr>
          <w:p>
            <w:pPr>
              <w:pStyle w:val="TableContents"/>
              <w:spacing w:before="0" w:after="283"/>
              <w:jc w:val="right"/>
              <w:rPr/>
            </w:pPr>
            <w:r>
              <w:rPr/>
              <w:t>13,565.1</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939" w:type="dxa"/>
            <w:tcBorders/>
            <w:shd w:fill="auto" w:val="clear"/>
            <w:vAlign w:val="bottom"/>
          </w:tcPr>
          <w:p>
            <w:pPr>
              <w:pStyle w:val="TableContents"/>
              <w:spacing w:before="0" w:after="283"/>
              <w:jc w:val="right"/>
              <w:rPr/>
            </w:pPr>
            <w:r>
              <w:rPr/>
              <w:t>17,788.1</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(4,223.0</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(24</w:t>
            </w:r>
          </w:p>
        </w:tc>
        <w:tc>
          <w:tcPr>
            <w:tcW w:w="307" w:type="dxa"/>
            <w:tcBorders/>
            <w:shd w:fill="auto" w:val="clear"/>
            <w:vAlign w:val="bottom"/>
          </w:tcPr>
          <w:p>
            <w:pPr>
              <w:pStyle w:val="TableContents"/>
              <w:spacing w:before="0" w:after="283"/>
              <w:rPr/>
            </w:pPr>
            <w:r>
              <w:rPr/>
              <w:t>)%</w:t>
            </w:r>
          </w:p>
        </w:tc>
      </w:tr>
      <w:tr>
        <w:trPr/>
        <w:tc>
          <w:tcPr>
            <w:tcW w:w="1341" w:type="dxa"/>
            <w:tcBorders/>
            <w:shd w:fill="CCEEFF" w:val="clear"/>
            <w:vAlign w:val="bottom"/>
          </w:tcPr>
          <w:p>
            <w:pPr>
              <w:pStyle w:val="TableContents"/>
              <w:spacing w:before="0" w:after="0"/>
              <w:ind w:left="450" w:right="0" w:hanging="225"/>
              <w:rPr/>
            </w:pPr>
            <w:r>
              <w:rPr/>
              <w:t>Purchases and related costs (4) (5)</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(5,555.9</w:t>
            </w:r>
          </w:p>
        </w:tc>
        <w:tc>
          <w:tcPr>
            <w:tcW w:w="102"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80" w:type="dxa"/>
            <w:tcBorders/>
            <w:shd w:fill="CCEEFF" w:val="clear"/>
            <w:vAlign w:val="bottom"/>
          </w:tcPr>
          <w:p>
            <w:pPr>
              <w:pStyle w:val="TableContents"/>
              <w:spacing w:before="0" w:after="283"/>
              <w:jc w:val="right"/>
              <w:rPr/>
            </w:pPr>
            <w:r>
              <w:rPr/>
              <w:t>(4,304.8</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821" w:type="dxa"/>
            <w:tcBorders/>
            <w:shd w:fill="CCEEFF" w:val="clear"/>
            <w:vAlign w:val="bottom"/>
          </w:tcPr>
          <w:p>
            <w:pPr>
              <w:pStyle w:val="TableContents"/>
              <w:spacing w:before="0" w:after="283"/>
              <w:jc w:val="right"/>
              <w:rPr/>
            </w:pPr>
            <w:r>
              <w:rPr/>
              <w:t>(1,251.1</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29</w:t>
            </w:r>
          </w:p>
        </w:tc>
        <w:tc>
          <w:tcPr>
            <w:tcW w:w="295"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939" w:type="dxa"/>
            <w:tcBorders/>
            <w:shd w:fill="CCEEFF" w:val="clear"/>
            <w:vAlign w:val="bottom"/>
          </w:tcPr>
          <w:p>
            <w:pPr>
              <w:pStyle w:val="TableContents"/>
              <w:spacing w:before="0" w:after="283"/>
              <w:jc w:val="right"/>
              <w:rPr/>
            </w:pPr>
            <w:r>
              <w:rPr/>
              <w:t>(13,168.6</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939" w:type="dxa"/>
            <w:tcBorders/>
            <w:shd w:fill="CCEEFF" w:val="clear"/>
            <w:vAlign w:val="bottom"/>
          </w:tcPr>
          <w:p>
            <w:pPr>
              <w:pStyle w:val="TableContents"/>
              <w:spacing w:before="0" w:after="283"/>
              <w:jc w:val="right"/>
              <w:rPr/>
            </w:pPr>
            <w:r>
              <w:rPr/>
              <w:t>(17,462.5</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4,293.9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(25</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bottom"/>
          </w:tcPr>
          <w:p>
            <w:pPr>
              <w:pStyle w:val="TableContents"/>
              <w:spacing w:before="0" w:after="0"/>
              <w:ind w:left="450" w:right="0" w:hanging="225"/>
              <w:rPr/>
            </w:pPr>
            <w:r>
              <w:rPr/>
              <w:t>Field operating costs (excluding equity compensation charge)</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(38.3</w:t>
            </w:r>
          </w:p>
        </w:tc>
        <w:tc>
          <w:tcPr>
            <w:tcW w:w="102" w:type="dxa"/>
            <w:tcBorders/>
            <w:shd w:fill="auto" w:val="clear"/>
            <w:vAlign w:val="bottom"/>
          </w:tcPr>
          <w:p>
            <w:pPr>
              <w:pStyle w:val="TableContents"/>
              <w:spacing w:before="0" w:after="283"/>
              <w:rPr/>
            </w:pPr>
            <w:r>
              <w:rPr/>
              <w:t>)</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80" w:type="dxa"/>
            <w:tcBorders/>
            <w:shd w:fill="auto" w:val="clear"/>
            <w:vAlign w:val="bottom"/>
          </w:tcPr>
          <w:p>
            <w:pPr>
              <w:pStyle w:val="TableContents"/>
              <w:spacing w:before="0" w:after="283"/>
              <w:jc w:val="right"/>
              <w:rPr/>
            </w:pPr>
            <w:r>
              <w:rPr/>
              <w:t>(35.2</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pPr>
            <w:r>
              <w:rPr/>
              <w:t>(3.1</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9</w:t>
            </w:r>
          </w:p>
        </w:tc>
        <w:tc>
          <w:tcPr>
            <w:tcW w:w="295"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(114.9</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(99.9</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pPr>
            <w:r>
              <w:rPr/>
              <w:t>(15.0</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15</w:t>
            </w:r>
          </w:p>
        </w:tc>
        <w:tc>
          <w:tcPr>
            <w:tcW w:w="307" w:type="dxa"/>
            <w:tcBorders/>
            <w:shd w:fill="auto" w:val="clear"/>
            <w:vAlign w:val="bottom"/>
          </w:tcPr>
          <w:p>
            <w:pPr>
              <w:pStyle w:val="TableContents"/>
              <w:spacing w:before="0" w:after="283"/>
              <w:rPr/>
            </w:pPr>
            <w:r>
              <w:rPr/>
              <w:t>%</w:t>
            </w:r>
          </w:p>
        </w:tc>
      </w:tr>
      <w:tr>
        <w:trPr/>
        <w:tc>
          <w:tcPr>
            <w:tcW w:w="1341" w:type="dxa"/>
            <w:tcBorders/>
            <w:shd w:fill="CCEEFF" w:val="clear"/>
            <w:vAlign w:val="bottom"/>
          </w:tcPr>
          <w:p>
            <w:pPr>
              <w:pStyle w:val="TableContents"/>
              <w:spacing w:before="0" w:after="0"/>
              <w:ind w:left="450" w:right="0" w:hanging="225"/>
              <w:rPr/>
            </w:pPr>
            <w:r>
              <w:rPr/>
              <w:t>Equity compensation charge  operations (6)</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w:t>
            </w:r>
          </w:p>
        </w:tc>
        <w:tc>
          <w:tcPr>
            <w:tcW w:w="10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N/A</w:t>
            </w:r>
          </w:p>
        </w:tc>
        <w:tc>
          <w:tcPr>
            <w:tcW w:w="295"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939" w:type="dxa"/>
            <w:tcBorders/>
            <w:shd w:fill="CCEEFF" w:val="clear"/>
            <w:vAlign w:val="bottom"/>
          </w:tcPr>
          <w:p>
            <w:pPr>
              <w:pStyle w:val="TableContents"/>
              <w:spacing w:before="0" w:after="283"/>
              <w:jc w:val="right"/>
              <w:rPr/>
            </w:pPr>
            <w:r>
              <w:rPr/>
              <w:t>(0.3</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939" w:type="dxa"/>
            <w:tcBorders/>
            <w:shd w:fill="CCEEFF" w:val="clear"/>
            <w:vAlign w:val="bottom"/>
          </w:tcPr>
          <w:p>
            <w:pPr>
              <w:pStyle w:val="TableContents"/>
              <w:spacing w:before="0" w:after="283"/>
              <w:jc w:val="right"/>
              <w:rPr/>
            </w:pPr>
            <w:r>
              <w:rPr/>
              <w:t>(0.1</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821" w:type="dxa"/>
            <w:tcBorders/>
            <w:shd w:fill="CCEEFF" w:val="clear"/>
            <w:vAlign w:val="bottom"/>
          </w:tcPr>
          <w:p>
            <w:pPr>
              <w:pStyle w:val="TableContents"/>
              <w:spacing w:before="0" w:after="283"/>
              <w:jc w:val="right"/>
              <w:rPr/>
            </w:pPr>
            <w:r>
              <w:rPr/>
              <w:t>(0.2</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200</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bottom"/>
          </w:tcPr>
          <w:p>
            <w:pPr>
              <w:pStyle w:val="TableContents"/>
              <w:spacing w:before="0" w:after="0"/>
              <w:ind w:left="450" w:right="0" w:hanging="225"/>
              <w:rPr/>
            </w:pPr>
            <w:r>
              <w:rPr/>
              <w:t>Segment G&amp;A expenses (excluding equity compensation charge) (7)</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77" w:type="dxa"/>
            <w:tcBorders/>
            <w:shd w:fill="auto" w:val="clear"/>
            <w:vAlign w:val="bottom"/>
          </w:tcPr>
          <w:p>
            <w:pPr>
              <w:pStyle w:val="TableContents"/>
              <w:spacing w:before="0" w:after="283"/>
              <w:jc w:val="right"/>
              <w:rPr/>
            </w:pPr>
            <w:r>
              <w:rPr/>
              <w:t>(13.2</w:t>
            </w:r>
          </w:p>
        </w:tc>
        <w:tc>
          <w:tcPr>
            <w:tcW w:w="102" w:type="dxa"/>
            <w:tcBorders/>
            <w:shd w:fill="auto" w:val="clear"/>
            <w:vAlign w:val="bottom"/>
          </w:tcPr>
          <w:p>
            <w:pPr>
              <w:pStyle w:val="TableContents"/>
              <w:spacing w:before="0" w:after="283"/>
              <w:rPr/>
            </w:pPr>
            <w:r>
              <w:rPr/>
              <w:t>)</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80" w:type="dxa"/>
            <w:tcBorders/>
            <w:shd w:fill="auto" w:val="clear"/>
            <w:vAlign w:val="bottom"/>
          </w:tcPr>
          <w:p>
            <w:pPr>
              <w:pStyle w:val="TableContents"/>
              <w:spacing w:before="0" w:after="283"/>
              <w:jc w:val="right"/>
              <w:rPr/>
            </w:pPr>
            <w:r>
              <w:rPr/>
              <w:t>(10.2</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pPr>
            <w:r>
              <w:rPr/>
              <w:t>(3.0</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29</w:t>
            </w:r>
          </w:p>
        </w:tc>
        <w:tc>
          <w:tcPr>
            <w:tcW w:w="295"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(39.0</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939" w:type="dxa"/>
            <w:tcBorders/>
            <w:shd w:fill="auto" w:val="clear"/>
            <w:vAlign w:val="bottom"/>
          </w:tcPr>
          <w:p>
            <w:pPr>
              <w:pStyle w:val="TableContents"/>
              <w:spacing w:before="0" w:after="283"/>
              <w:jc w:val="right"/>
              <w:rPr/>
            </w:pPr>
            <w:r>
              <w:rPr/>
              <w:t>(28.0</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821" w:type="dxa"/>
            <w:tcBorders/>
            <w:shd w:fill="auto" w:val="clear"/>
            <w:vAlign w:val="bottom"/>
          </w:tcPr>
          <w:p>
            <w:pPr>
              <w:pStyle w:val="TableContents"/>
              <w:spacing w:before="0" w:after="283"/>
              <w:jc w:val="right"/>
              <w:rPr/>
            </w:pPr>
            <w:r>
              <w:rPr/>
              <w:t>(11.0</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39</w:t>
            </w:r>
          </w:p>
        </w:tc>
        <w:tc>
          <w:tcPr>
            <w:tcW w:w="307" w:type="dxa"/>
            <w:tcBorders/>
            <w:shd w:fill="auto" w:val="clear"/>
            <w:vAlign w:val="bottom"/>
          </w:tcPr>
          <w:p>
            <w:pPr>
              <w:pStyle w:val="TableContents"/>
              <w:spacing w:before="0" w:after="283"/>
              <w:rPr/>
            </w:pPr>
            <w:r>
              <w:rPr/>
              <w:t>%</w:t>
            </w:r>
          </w:p>
        </w:tc>
      </w:tr>
      <w:tr>
        <w:trPr/>
        <w:tc>
          <w:tcPr>
            <w:tcW w:w="1341" w:type="dxa"/>
            <w:tcBorders/>
            <w:shd w:fill="CCEEFF" w:val="clear"/>
            <w:vAlign w:val="bottom"/>
          </w:tcPr>
          <w:p>
            <w:pPr>
              <w:pStyle w:val="TableContents"/>
              <w:spacing w:before="0" w:after="0"/>
              <w:ind w:left="450" w:right="0" w:hanging="225"/>
              <w:rPr/>
            </w:pPr>
            <w:r>
              <w:rPr/>
              <w:t>Equity compensation charge  general and administrative (6)</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77" w:type="dxa"/>
            <w:tcBorders/>
            <w:shd w:fill="CCEEFF" w:val="clear"/>
            <w:vAlign w:val="bottom"/>
          </w:tcPr>
          <w:p>
            <w:pPr>
              <w:pStyle w:val="TableContents"/>
              <w:spacing w:before="0" w:after="283"/>
              <w:jc w:val="right"/>
              <w:rPr/>
            </w:pPr>
            <w:r>
              <w:rPr/>
              <w:t>(0.3</w:t>
            </w:r>
          </w:p>
        </w:tc>
        <w:tc>
          <w:tcPr>
            <w:tcW w:w="102"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80" w:type="dxa"/>
            <w:tcBorders/>
            <w:shd w:fill="CCEEFF" w:val="clear"/>
            <w:vAlign w:val="bottom"/>
          </w:tcPr>
          <w:p>
            <w:pPr>
              <w:pStyle w:val="TableContents"/>
              <w:spacing w:before="0" w:after="283"/>
              <w:jc w:val="right"/>
              <w:rPr/>
            </w:pPr>
            <w:r>
              <w:rPr/>
              <w:t>(4.0</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3.7</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(93</w:t>
            </w:r>
          </w:p>
        </w:tc>
        <w:tc>
          <w:tcPr>
            <w:tcW w:w="295"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939" w:type="dxa"/>
            <w:tcBorders/>
            <w:shd w:fill="CCEEFF" w:val="clear"/>
            <w:vAlign w:val="bottom"/>
          </w:tcPr>
          <w:p>
            <w:pPr>
              <w:pStyle w:val="TableContents"/>
              <w:spacing w:before="0" w:after="283"/>
              <w:jc w:val="right"/>
              <w:rPr/>
            </w:pPr>
            <w:r>
              <w:rPr/>
              <w:t>(14.8</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939" w:type="dxa"/>
            <w:tcBorders/>
            <w:shd w:fill="CCEEFF" w:val="clear"/>
            <w:vAlign w:val="bottom"/>
          </w:tcPr>
          <w:p>
            <w:pPr>
              <w:pStyle w:val="TableContents"/>
              <w:spacing w:before="0" w:after="283"/>
              <w:jc w:val="right"/>
              <w:rPr/>
            </w:pPr>
            <w:r>
              <w:rPr/>
              <w:t>(10.3</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821" w:type="dxa"/>
            <w:tcBorders/>
            <w:shd w:fill="CCEEFF" w:val="clear"/>
            <w:vAlign w:val="bottom"/>
          </w:tcPr>
          <w:p>
            <w:pPr>
              <w:pStyle w:val="TableContents"/>
              <w:spacing w:before="0" w:after="283"/>
              <w:jc w:val="right"/>
              <w:rPr/>
            </w:pPr>
            <w:r>
              <w:rPr/>
              <w:t>(4.5</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44</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center"/>
          </w:tcPr>
          <w:p>
            <w:pPr>
              <w:pStyle w:val="TableContents"/>
              <w:spacing w:before="0" w:after="0"/>
              <w:ind w:left="225" w:right="0" w:hanging="225"/>
              <w:rPr/>
            </w:pPr>
            <w:r>
              <w:rPr/>
              <w:t> </w:t>
            </w:r>
          </w:p>
        </w:tc>
        <w:tc>
          <w:tcPr>
            <w:tcW w:w="62"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r>
      <w:tr>
        <w:trPr/>
        <w:tc>
          <w:tcPr>
            <w:tcW w:w="1341" w:type="dxa"/>
            <w:tcBorders/>
            <w:shd w:fill="auto" w:val="clear"/>
            <w:vAlign w:val="bottom"/>
          </w:tcPr>
          <w:p>
            <w:pPr>
              <w:pStyle w:val="TableContents"/>
              <w:spacing w:before="0" w:after="0"/>
              <w:ind w:left="450" w:right="0" w:hanging="225"/>
              <w:rPr/>
            </w:pPr>
            <w:r>
              <w:rPr/>
              <w:t xml:space="preserve">Segment profit (3) </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60.3</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80" w:type="dxa"/>
            <w:tcBorders/>
            <w:shd w:fill="auto" w:val="clear"/>
            <w:vAlign w:val="bottom"/>
          </w:tcPr>
          <w:p>
            <w:pPr>
              <w:pStyle w:val="TableContents"/>
              <w:spacing w:before="0" w:after="283"/>
              <w:jc w:val="right"/>
              <w:rPr/>
            </w:pPr>
            <w:r>
              <w:rPr/>
              <w:t>76.2</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(15.9</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(21</w:t>
            </w:r>
          </w:p>
        </w:tc>
        <w:tc>
          <w:tcPr>
            <w:tcW w:w="295"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39" w:type="dxa"/>
            <w:tcBorders/>
            <w:shd w:fill="auto" w:val="clear"/>
            <w:vAlign w:val="bottom"/>
          </w:tcPr>
          <w:p>
            <w:pPr>
              <w:pStyle w:val="TableContents"/>
              <w:spacing w:before="0" w:after="283"/>
              <w:jc w:val="right"/>
              <w:rPr/>
            </w:pPr>
            <w:r>
              <w:rPr/>
              <w:t>227.5</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939" w:type="dxa"/>
            <w:tcBorders/>
            <w:shd w:fill="auto" w:val="clear"/>
            <w:vAlign w:val="bottom"/>
          </w:tcPr>
          <w:p>
            <w:pPr>
              <w:pStyle w:val="TableContents"/>
              <w:spacing w:before="0" w:after="283"/>
              <w:jc w:val="right"/>
              <w:rPr/>
            </w:pPr>
            <w:r>
              <w:rPr/>
              <w:t>187.3</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40.2</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21</w:t>
            </w:r>
          </w:p>
        </w:tc>
        <w:tc>
          <w:tcPr>
            <w:tcW w:w="307" w:type="dxa"/>
            <w:tcBorders/>
            <w:shd w:fill="auto" w:val="clear"/>
            <w:vAlign w:val="bottom"/>
          </w:tcPr>
          <w:p>
            <w:pPr>
              <w:pStyle w:val="TableContents"/>
              <w:spacing w:before="0" w:after="283"/>
              <w:rPr/>
            </w:pPr>
            <w:r>
              <w:rPr/>
              <w:t>%</w:t>
            </w:r>
          </w:p>
        </w:tc>
      </w:tr>
      <w:tr>
        <w:trPr/>
        <w:tc>
          <w:tcPr>
            <w:tcW w:w="1341" w:type="dxa"/>
            <w:tcBorders/>
            <w:shd w:fill="auto" w:val="clear"/>
            <w:vAlign w:val="center"/>
          </w:tcPr>
          <w:p>
            <w:pPr>
              <w:pStyle w:val="TableContents"/>
              <w:spacing w:before="0" w:after="0"/>
              <w:ind w:left="225" w:right="0" w:hanging="225"/>
              <w:rPr/>
            </w:pPr>
            <w:r>
              <w:rPr/>
              <w:t> </w:t>
            </w:r>
          </w:p>
        </w:tc>
        <w:tc>
          <w:tcPr>
            <w:tcW w:w="62"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r>
      <w:tr>
        <w:trPr/>
        <w:tc>
          <w:tcPr>
            <w:tcW w:w="1341" w:type="dxa"/>
            <w:tcBorders/>
            <w:shd w:fill="CCEEFF" w:val="clear"/>
            <w:vAlign w:val="bottom"/>
          </w:tcPr>
          <w:p>
            <w:pPr>
              <w:pStyle w:val="TableContents"/>
              <w:spacing w:before="0" w:after="0"/>
              <w:ind w:left="450" w:right="0" w:hanging="225"/>
              <w:rPr/>
            </w:pPr>
            <w:r>
              <w:rPr/>
              <w:t>SFAS 133 mark-to-market adjustment (3)</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(14.6</w:t>
            </w:r>
          </w:p>
        </w:tc>
        <w:tc>
          <w:tcPr>
            <w:tcW w:w="102"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80" w:type="dxa"/>
            <w:tcBorders/>
            <w:shd w:fill="CCEEFF" w:val="clear"/>
            <w:vAlign w:val="bottom"/>
          </w:tcPr>
          <w:p>
            <w:pPr>
              <w:pStyle w:val="TableContents"/>
              <w:spacing w:before="0" w:after="283"/>
              <w:jc w:val="right"/>
              <w:rPr/>
            </w:pPr>
            <w:r>
              <w:rPr/>
              <w:t>17.9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(32.5</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(182</w:t>
            </w:r>
          </w:p>
        </w:tc>
        <w:tc>
          <w:tcPr>
            <w:tcW w:w="295"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39" w:type="dxa"/>
            <w:tcBorders/>
            <w:shd w:fill="CCEEFF" w:val="clear"/>
            <w:vAlign w:val="bottom"/>
          </w:tcPr>
          <w:p>
            <w:pPr>
              <w:pStyle w:val="TableContents"/>
              <w:spacing w:before="0" w:after="283"/>
              <w:jc w:val="right"/>
              <w:rPr/>
            </w:pPr>
            <w:r>
              <w:rPr/>
              <w:t>(16.5</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939" w:type="dxa"/>
            <w:tcBorders/>
            <w:shd w:fill="CCEEFF" w:val="clear"/>
            <w:vAlign w:val="bottom"/>
          </w:tcPr>
          <w:p>
            <w:pPr>
              <w:pStyle w:val="TableContents"/>
              <w:spacing w:before="0" w:after="283"/>
              <w:jc w:val="right"/>
              <w:rPr/>
            </w:pPr>
            <w:r>
              <w:rPr/>
              <w:t>14.8</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(31.3</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(211</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center"/>
          </w:tcPr>
          <w:p>
            <w:pPr>
              <w:pStyle w:val="TableContents"/>
              <w:spacing w:before="0" w:after="0"/>
              <w:ind w:left="225" w:right="0" w:hanging="225"/>
              <w:rPr/>
            </w:pPr>
            <w:r>
              <w:rPr/>
              <w:t> </w:t>
            </w:r>
          </w:p>
        </w:tc>
        <w:tc>
          <w:tcPr>
            <w:tcW w:w="62"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r>
      <w:tr>
        <w:trPr/>
        <w:tc>
          <w:tcPr>
            <w:tcW w:w="1341" w:type="dxa"/>
            <w:tcBorders/>
            <w:shd w:fill="auto" w:val="clear"/>
            <w:vAlign w:val="bottom"/>
          </w:tcPr>
          <w:p>
            <w:pPr>
              <w:pStyle w:val="TableContents"/>
              <w:spacing w:before="0" w:after="0"/>
              <w:ind w:left="450" w:right="0" w:hanging="225"/>
              <w:rPr/>
            </w:pPr>
            <w:r>
              <w:rPr/>
              <w:t>Maintenance capital investment</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77" w:type="dxa"/>
            <w:tcBorders/>
            <w:shd w:fill="auto" w:val="clear"/>
            <w:vAlign w:val="bottom"/>
          </w:tcPr>
          <w:p>
            <w:pPr>
              <w:pStyle w:val="TableContents"/>
              <w:spacing w:before="0" w:after="283"/>
              <w:jc w:val="right"/>
              <w:rPr/>
            </w:pPr>
            <w:r>
              <w:rPr/>
              <w:t>0.5</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80" w:type="dxa"/>
            <w:tcBorders/>
            <w:shd w:fill="auto" w:val="clear"/>
            <w:vAlign w:val="bottom"/>
          </w:tcPr>
          <w:p>
            <w:pPr>
              <w:pStyle w:val="TableContents"/>
              <w:spacing w:before="0" w:after="283"/>
              <w:jc w:val="right"/>
              <w:rPr/>
            </w:pPr>
            <w:r>
              <w:rPr/>
              <w:t>1.0</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(0.5</w:t>
            </w:r>
          </w:p>
        </w:tc>
        <w:tc>
          <w:tcPr>
            <w:tcW w:w="96"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(50</w:t>
            </w:r>
          </w:p>
        </w:tc>
        <w:tc>
          <w:tcPr>
            <w:tcW w:w="295"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939" w:type="dxa"/>
            <w:tcBorders/>
            <w:shd w:fill="auto" w:val="clear"/>
            <w:vAlign w:val="bottom"/>
          </w:tcPr>
          <w:p>
            <w:pPr>
              <w:pStyle w:val="TableContents"/>
              <w:spacing w:before="0" w:after="283"/>
              <w:jc w:val="right"/>
              <w:rPr/>
            </w:pPr>
            <w:r>
              <w:rPr/>
              <w:t>3.6</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939" w:type="dxa"/>
            <w:tcBorders/>
            <w:shd w:fill="auto" w:val="clear"/>
            <w:vAlign w:val="bottom"/>
          </w:tcPr>
          <w:p>
            <w:pPr>
              <w:pStyle w:val="TableContents"/>
              <w:spacing w:before="0" w:after="283"/>
              <w:jc w:val="right"/>
              <w:rPr/>
            </w:pPr>
            <w:r>
              <w:rPr/>
              <w:t>2.2</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821" w:type="dxa"/>
            <w:tcBorders/>
            <w:shd w:fill="auto" w:val="clear"/>
            <w:vAlign w:val="bottom"/>
          </w:tcPr>
          <w:p>
            <w:pPr>
              <w:pStyle w:val="TableContents"/>
              <w:spacing w:before="0" w:after="283"/>
              <w:jc w:val="right"/>
              <w:rPr/>
            </w:pPr>
            <w:r>
              <w:rPr/>
              <w:t>1.4</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64</w:t>
            </w:r>
          </w:p>
        </w:tc>
        <w:tc>
          <w:tcPr>
            <w:tcW w:w="307" w:type="dxa"/>
            <w:tcBorders/>
            <w:shd w:fill="auto" w:val="clear"/>
            <w:vAlign w:val="bottom"/>
          </w:tcPr>
          <w:p>
            <w:pPr>
              <w:pStyle w:val="TableContents"/>
              <w:spacing w:before="0" w:after="283"/>
              <w:rPr/>
            </w:pPr>
            <w:r>
              <w:rPr/>
              <w:t>%</w:t>
            </w:r>
          </w:p>
        </w:tc>
      </w:tr>
      <w:tr>
        <w:trPr/>
        <w:tc>
          <w:tcPr>
            <w:tcW w:w="1341" w:type="dxa"/>
            <w:tcBorders/>
            <w:shd w:fill="auto" w:val="clear"/>
            <w:vAlign w:val="center"/>
          </w:tcPr>
          <w:p>
            <w:pPr>
              <w:pStyle w:val="TableContents"/>
              <w:spacing w:before="0" w:after="0"/>
              <w:ind w:left="225" w:right="0" w:hanging="225"/>
              <w:rPr/>
            </w:pPr>
            <w:r>
              <w:rPr/>
              <w:t> </w:t>
            </w:r>
          </w:p>
        </w:tc>
        <w:tc>
          <w:tcPr>
            <w:tcW w:w="62"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r>
      <w:tr>
        <w:trPr/>
        <w:tc>
          <w:tcPr>
            <w:tcW w:w="1341" w:type="dxa"/>
            <w:tcBorders/>
            <w:shd w:fill="CCEEFF" w:val="clear"/>
            <w:vAlign w:val="bottom"/>
          </w:tcPr>
          <w:p>
            <w:pPr>
              <w:pStyle w:val="TableContents"/>
              <w:spacing w:before="0" w:after="0"/>
              <w:ind w:left="450" w:right="0" w:hanging="225"/>
              <w:rPr/>
            </w:pPr>
            <w:r>
              <w:rPr/>
              <w:t xml:space="preserve">Segment profit per barrel (8) </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77" w:type="dxa"/>
            <w:tcBorders/>
            <w:shd w:fill="CCEEFF" w:val="clear"/>
            <w:vAlign w:val="bottom"/>
          </w:tcPr>
          <w:p>
            <w:pPr>
              <w:pStyle w:val="TableContents"/>
              <w:spacing w:before="0" w:after="283"/>
              <w:jc w:val="right"/>
              <w:rPr/>
            </w:pPr>
            <w:r>
              <w:rPr/>
              <w:t>0.79</w:t>
            </w:r>
          </w:p>
        </w:tc>
        <w:tc>
          <w:tcPr>
            <w:tcW w:w="10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80" w:type="dxa"/>
            <w:tcBorders/>
            <w:shd w:fill="CCEEFF" w:val="clear"/>
            <w:vAlign w:val="bottom"/>
          </w:tcPr>
          <w:p>
            <w:pPr>
              <w:pStyle w:val="TableContents"/>
              <w:spacing w:before="0" w:after="283"/>
              <w:jc w:val="right"/>
              <w:rPr/>
            </w:pPr>
            <w:r>
              <w:rPr/>
              <w:t>1.08</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(0.29</w:t>
            </w:r>
          </w:p>
        </w:tc>
        <w:tc>
          <w:tcPr>
            <w:tcW w:w="96"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(27</w:t>
            </w:r>
          </w:p>
        </w:tc>
        <w:tc>
          <w:tcPr>
            <w:tcW w:w="295"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w:t>
            </w:r>
          </w:p>
        </w:tc>
        <w:tc>
          <w:tcPr>
            <w:tcW w:w="939" w:type="dxa"/>
            <w:tcBorders/>
            <w:shd w:fill="CCEEFF" w:val="clear"/>
            <w:vAlign w:val="bottom"/>
          </w:tcPr>
          <w:p>
            <w:pPr>
              <w:pStyle w:val="TableContents"/>
              <w:spacing w:before="0" w:after="283"/>
              <w:jc w:val="right"/>
              <w:rPr/>
            </w:pPr>
            <w:r>
              <w:rPr/>
              <w:t>0.98</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939" w:type="dxa"/>
            <w:tcBorders/>
            <w:shd w:fill="CCEEFF" w:val="clear"/>
            <w:vAlign w:val="bottom"/>
          </w:tcPr>
          <w:p>
            <w:pPr>
              <w:pStyle w:val="TableContents"/>
              <w:spacing w:before="0" w:after="283"/>
              <w:jc w:val="right"/>
              <w:rPr/>
            </w:pPr>
            <w:r>
              <w:rPr/>
              <w:t>0.92</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0.06</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6</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center"/>
          </w:tcPr>
          <w:p>
            <w:pPr>
              <w:pStyle w:val="TableContents"/>
              <w:spacing w:before="0" w:after="0"/>
              <w:ind w:left="225" w:right="0" w:hanging="225"/>
              <w:rPr/>
            </w:pPr>
            <w:r>
              <w:rPr/>
              <w:t> </w:t>
            </w:r>
          </w:p>
        </w:tc>
        <w:tc>
          <w:tcPr>
            <w:tcW w:w="62"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r>
      <w:tr>
        <w:trPr/>
        <w:tc>
          <w:tcPr>
            <w:tcW w:w="1341" w:type="dxa"/>
            <w:tcBorders/>
            <w:shd w:fill="auto" w:val="clear"/>
            <w:vAlign w:val="bottom"/>
          </w:tcPr>
          <w:p>
            <w:pPr>
              <w:pStyle w:val="TableContents"/>
              <w:spacing w:before="0" w:after="0"/>
              <w:ind w:left="225" w:right="0" w:hanging="225"/>
              <w:rPr/>
            </w:pPr>
            <w:r>
              <w:rPr/>
              <w:t> </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r>
      <w:tr>
        <w:trPr/>
        <w:tc>
          <w:tcPr>
            <w:tcW w:w="1341" w:type="dxa"/>
            <w:tcBorders/>
            <w:shd w:fill="auto" w:val="clear"/>
            <w:vAlign w:val="bottom"/>
          </w:tcPr>
          <w:p>
            <w:pPr>
              <w:pStyle w:val="TableContents"/>
              <w:spacing w:before="0" w:after="0"/>
              <w:ind w:left="225" w:right="0" w:hanging="225"/>
              <w:rPr/>
            </w:pPr>
            <w:r>
              <w:rPr>
                <w:b/>
              </w:rPr>
              <w:t>Average Daily Volumes (thousands of barrels per day)</w:t>
            </w:r>
            <w:r>
              <w:rPr/>
              <w:t xml:space="preserve"> (9)</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r>
      <w:tr>
        <w:trPr/>
        <w:tc>
          <w:tcPr>
            <w:tcW w:w="1341" w:type="dxa"/>
            <w:tcBorders/>
            <w:shd w:fill="CCEEFF" w:val="clear"/>
            <w:vAlign w:val="bottom"/>
          </w:tcPr>
          <w:p>
            <w:pPr>
              <w:pStyle w:val="TableContents"/>
              <w:spacing w:before="0" w:after="0"/>
              <w:ind w:left="225" w:right="0" w:hanging="225"/>
              <w:rPr/>
            </w:pPr>
            <w:r>
              <w:rPr/>
              <w:t>Crude oil lease gathering</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679</w:t>
            </w:r>
          </w:p>
        </w:tc>
        <w:tc>
          <w:tcPr>
            <w:tcW w:w="10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650</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29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4</w:t>
            </w:r>
          </w:p>
        </w:tc>
        <w:tc>
          <w:tcPr>
            <w:tcW w:w="295"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689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639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50</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8</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bottom"/>
          </w:tcPr>
          <w:p>
            <w:pPr>
              <w:pStyle w:val="TableContents"/>
              <w:spacing w:before="0" w:after="0"/>
              <w:ind w:left="225" w:right="0" w:hanging="225"/>
              <w:rPr/>
            </w:pPr>
            <w:r>
              <w:rPr/>
              <w:t>Refined products</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14</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N/A</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14</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N/A</w:t>
            </w:r>
          </w:p>
        </w:tc>
        <w:tc>
          <w:tcPr>
            <w:tcW w:w="295"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10</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N/A</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10</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N/A</w:t>
            </w:r>
          </w:p>
        </w:tc>
        <w:tc>
          <w:tcPr>
            <w:tcW w:w="307" w:type="dxa"/>
            <w:tcBorders/>
            <w:shd w:fill="auto" w:val="clear"/>
            <w:vAlign w:val="bottom"/>
          </w:tcPr>
          <w:p>
            <w:pPr>
              <w:pStyle w:val="TableContents"/>
              <w:spacing w:before="0" w:after="283"/>
              <w:rPr/>
            </w:pPr>
            <w:r>
              <w:rPr/>
              <w:t> </w:t>
            </w:r>
          </w:p>
        </w:tc>
      </w:tr>
      <w:tr>
        <w:trPr/>
        <w:tc>
          <w:tcPr>
            <w:tcW w:w="1341" w:type="dxa"/>
            <w:tcBorders/>
            <w:shd w:fill="CCEEFF" w:val="clear"/>
            <w:vAlign w:val="bottom"/>
          </w:tcPr>
          <w:p>
            <w:pPr>
              <w:pStyle w:val="TableContents"/>
              <w:spacing w:before="0" w:after="0"/>
              <w:ind w:left="225" w:right="0" w:hanging="225"/>
              <w:rPr/>
            </w:pPr>
            <w:r>
              <w:rPr/>
              <w:t>LPG sales</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58</w:t>
            </w:r>
          </w:p>
        </w:tc>
        <w:tc>
          <w:tcPr>
            <w:tcW w:w="10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49</w:t>
            </w:r>
          </w:p>
        </w:tc>
        <w:tc>
          <w:tcPr>
            <w:tcW w:w="295"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78</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49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29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59</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bottom"/>
          </w:tcPr>
          <w:p>
            <w:pPr>
              <w:pStyle w:val="TableContents"/>
              <w:spacing w:before="0" w:after="0"/>
              <w:ind w:left="225" w:right="0" w:hanging="225"/>
              <w:rPr/>
            </w:pPr>
            <w:r>
              <w:rPr/>
              <w:t>Waterborne foreign crude imported</w:t>
            </w:r>
          </w:p>
        </w:tc>
        <w:tc>
          <w:tcPr>
            <w:tcW w:w="62"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pPr>
            <w:r>
              <w:rPr/>
              <w:t>82</w:t>
            </w:r>
          </w:p>
        </w:tc>
        <w:tc>
          <w:tcPr>
            <w:tcW w:w="10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80</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2</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3</w:t>
            </w:r>
          </w:p>
        </w:tc>
        <w:tc>
          <w:tcPr>
            <w:tcW w:w="295"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76</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59</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17</w:t>
            </w:r>
          </w:p>
        </w:tc>
        <w:tc>
          <w:tcPr>
            <w:tcW w:w="9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458" w:type="dxa"/>
            <w:tcBorders/>
            <w:shd w:fill="auto" w:val="clear"/>
            <w:vAlign w:val="bottom"/>
          </w:tcPr>
          <w:p>
            <w:pPr>
              <w:pStyle w:val="TableContents"/>
              <w:spacing w:before="0" w:after="283"/>
              <w:jc w:val="right"/>
              <w:rPr/>
            </w:pPr>
            <w:r>
              <w:rPr/>
              <w:t>29</w:t>
            </w:r>
          </w:p>
        </w:tc>
        <w:tc>
          <w:tcPr>
            <w:tcW w:w="307" w:type="dxa"/>
            <w:tcBorders/>
            <w:shd w:fill="auto" w:val="clear"/>
            <w:vAlign w:val="bottom"/>
          </w:tcPr>
          <w:p>
            <w:pPr>
              <w:pStyle w:val="TableContents"/>
              <w:spacing w:before="0" w:after="283"/>
              <w:rPr/>
            </w:pPr>
            <w:r>
              <w:rPr/>
              <w:t>%</w:t>
            </w:r>
          </w:p>
        </w:tc>
      </w:tr>
      <w:tr>
        <w:trPr/>
        <w:tc>
          <w:tcPr>
            <w:tcW w:w="1341" w:type="dxa"/>
            <w:tcBorders/>
            <w:shd w:fill="auto" w:val="clear"/>
            <w:vAlign w:val="center"/>
          </w:tcPr>
          <w:p>
            <w:pPr>
              <w:pStyle w:val="TableContents"/>
              <w:spacing w:before="0" w:after="0"/>
              <w:ind w:left="225" w:right="0" w:hanging="225"/>
              <w:rPr/>
            </w:pPr>
            <w:r>
              <w:rPr/>
              <w:t> </w:t>
            </w:r>
          </w:p>
        </w:tc>
        <w:tc>
          <w:tcPr>
            <w:tcW w:w="62" w:type="dxa"/>
            <w:tcBorders/>
            <w:shd w:fill="auto" w:val="clear"/>
            <w:vAlign w:val="center"/>
          </w:tcPr>
          <w:p>
            <w:pPr>
              <w:pStyle w:val="TableContents"/>
              <w:spacing w:before="0" w:after="283"/>
              <w:rPr/>
            </w:pPr>
            <w:r>
              <w:rPr/>
              <w:t> </w:t>
            </w:r>
          </w:p>
        </w:tc>
        <w:tc>
          <w:tcPr>
            <w:tcW w:w="102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r>
      <w:tr>
        <w:trPr/>
        <w:tc>
          <w:tcPr>
            <w:tcW w:w="1341" w:type="dxa"/>
            <w:tcBorders/>
            <w:shd w:fill="CCEEFF" w:val="clear"/>
            <w:vAlign w:val="bottom"/>
          </w:tcPr>
          <w:p>
            <w:pPr>
              <w:pStyle w:val="TableContents"/>
              <w:spacing w:before="0" w:after="0"/>
              <w:ind w:left="225" w:right="0" w:hanging="225"/>
              <w:rPr>
                <w:b/>
              </w:rPr>
            </w:pPr>
            <w:r>
              <w:rPr>
                <w:b/>
              </w:rPr>
              <w:t>Marketing Activities Total</w:t>
            </w:r>
          </w:p>
        </w:tc>
        <w:tc>
          <w:tcPr>
            <w:tcW w:w="62"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pPr>
            <w:r>
              <w:rPr/>
              <w:t>833</w:t>
            </w:r>
          </w:p>
        </w:tc>
        <w:tc>
          <w:tcPr>
            <w:tcW w:w="10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769</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64</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8</w:t>
            </w:r>
          </w:p>
        </w:tc>
        <w:tc>
          <w:tcPr>
            <w:tcW w:w="295" w:type="dxa"/>
            <w:tcBorders/>
            <w:shd w:fill="CCEEFF" w:val="clear"/>
            <w:vAlign w:val="bottom"/>
          </w:tcPr>
          <w:p>
            <w:pPr>
              <w:pStyle w:val="TableContents"/>
              <w:spacing w:before="0" w:after="283"/>
              <w:rPr/>
            </w:pPr>
            <w:r>
              <w:rPr/>
              <w:t>%</w:t>
            </w:r>
          </w:p>
        </w:tc>
        <w:tc>
          <w:tcPr>
            <w:tcW w:w="6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853</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747</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106</w:t>
            </w:r>
          </w:p>
        </w:tc>
        <w:tc>
          <w:tcPr>
            <w:tcW w:w="9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jc w:val="left"/>
              <w:rPr/>
            </w:pPr>
            <w:r>
              <w:rPr/>
              <w:t> </w:t>
            </w:r>
          </w:p>
        </w:tc>
        <w:tc>
          <w:tcPr>
            <w:tcW w:w="458" w:type="dxa"/>
            <w:tcBorders/>
            <w:shd w:fill="CCEEFF" w:val="clear"/>
            <w:vAlign w:val="bottom"/>
          </w:tcPr>
          <w:p>
            <w:pPr>
              <w:pStyle w:val="TableContents"/>
              <w:spacing w:before="0" w:after="283"/>
              <w:jc w:val="right"/>
              <w:rPr/>
            </w:pPr>
            <w:r>
              <w:rPr/>
              <w:t>14</w:t>
            </w:r>
          </w:p>
        </w:tc>
        <w:tc>
          <w:tcPr>
            <w:tcW w:w="307" w:type="dxa"/>
            <w:tcBorders/>
            <w:shd w:fill="CCEEFF" w:val="clear"/>
            <w:vAlign w:val="bottom"/>
          </w:tcPr>
          <w:p>
            <w:pPr>
              <w:pStyle w:val="TableContents"/>
              <w:spacing w:before="0" w:after="283"/>
              <w:rPr/>
            </w:pPr>
            <w:r>
              <w:rPr/>
              <w:t>%</w:t>
            </w:r>
          </w:p>
        </w:tc>
      </w:tr>
      <w:tr>
        <w:trPr/>
        <w:tc>
          <w:tcPr>
            <w:tcW w:w="1341" w:type="dxa"/>
            <w:tcBorders/>
            <w:shd w:fill="auto" w:val="clear"/>
            <w:vAlign w:val="center"/>
          </w:tcPr>
          <w:p>
            <w:pPr>
              <w:pStyle w:val="TableContents"/>
              <w:spacing w:before="0" w:after="0"/>
              <w:ind w:left="225" w:right="0" w:hanging="225"/>
              <w:rPr/>
            </w:pPr>
            <w:r>
              <w:rPr/>
              <w:t> </w:t>
            </w:r>
          </w:p>
        </w:tc>
        <w:tc>
          <w:tcPr>
            <w:tcW w:w="62" w:type="dxa"/>
            <w:tcBorders/>
            <w:shd w:fill="auto" w:val="clear"/>
            <w:vAlign w:val="center"/>
          </w:tcPr>
          <w:p>
            <w:pPr>
              <w:pStyle w:val="TableContents"/>
              <w:spacing w:before="0" w:after="283"/>
              <w:rPr/>
            </w:pPr>
            <w:r>
              <w:rPr/>
              <w:t> </w:t>
            </w:r>
          </w:p>
        </w:tc>
        <w:tc>
          <w:tcPr>
            <w:tcW w:w="102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29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96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6"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458" w:type="dxa"/>
            <w:tcBorders/>
            <w:shd w:fill="auto" w:val="clear"/>
            <w:vAlign w:val="center"/>
          </w:tcPr>
          <w:p>
            <w:pPr>
              <w:pStyle w:val="TableContents"/>
              <w:spacing w:before="0" w:after="283"/>
              <w:rPr/>
            </w:pPr>
            <w:r>
              <w:rPr/>
              <w:t> </w:t>
            </w:r>
          </w:p>
        </w:tc>
        <w:tc>
          <w:tcPr>
            <w:tcW w:w="307"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(1)</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Revenues and purchases and related costs include intersegment amounts.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(2)</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 xml:space="preserve">Includes revenues associated with buy/sell arrangements of approximately $4,762 million for the nine months ended September 30, 2006. Volumes associated with these arrangements were approximately 919,500 barrels per day for the nine months ended September 30, 2006. </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(3)</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Amounts related to SFAS 133 are included in revenues and impact segment profit.</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(4)</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Includes purchases associated with buy/sell arrangements of approximately $4,795 million for the nine months ended September 30, 2006. Volumes associated with these arrangements were approximately 926,800 barrels per day for the nine months ended September 30, 2006.</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(5)</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Purchases and related costs include interest expense on contango inventory purchases of approximately $13 million and $15 million for the third quarter of 2007 and 2006, respectively, and approximately $38 million and $36 million for the nine months ended September 30, 2007 and 2006, respectively.</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(6)</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Compensation expense related to our equity compensation plans.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6603"/>
        <w:gridCol w:w="2201"/>
        <w:gridCol w:w="1401"/>
      </w:tblGrid>
      <w:tr>
        <w:trPr/>
        <w:tc>
          <w:tcPr>
            <w:tcW w:w="6603"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(7)</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Segment G&amp;A expenses reflect direct costs attributable to each segment and an allocation of other expenses to the segments based on managements assessment of the business activities for that period. The proportional allocations by segment require judgment by management and may be adjusted in the future based on the business activities that exist during each period.</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(8)</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Calculated based on crude oil lease gathered volumes, refined products volumes, LPG sales volumes, and waterborne foreign crude volumes.</w:t>
            </w:r>
          </w:p>
        </w:tc>
      </w:tr>
      <w:tr>
        <w:trPr/>
        <w:tc>
          <w:tcPr>
            <w:tcW w:w="6603" w:type="dxa"/>
            <w:tcBorders/>
            <w:shd w:fill="auto" w:val="clear"/>
            <w:vAlign w:val="center"/>
          </w:tcPr>
          <w:p>
            <w:pPr>
              <w:pStyle w:val="TableContents"/>
              <w:spacing w:before="0" w:after="283"/>
              <w:rPr/>
            </w:pPr>
            <w:r>
              <w:rPr/>
              <w:t> </w:t>
            </w:r>
          </w:p>
        </w:tc>
        <w:tc>
          <w:tcPr>
            <w:tcW w:w="3602" w:type="dxa"/>
            <w:gridSpan w:val="2"/>
            <w:tcBorders/>
            <w:shd w:fill="auto" w:val="clear"/>
          </w:tcPr>
          <w:p>
            <w:pPr>
              <w:pStyle w:val="TableContents"/>
              <w:spacing w:before="0" w:after="283"/>
              <w:rPr>
                <w:sz w:val="4"/>
                <w:szCs w:val="4"/>
              </w:rPr>
            </w:pPr>
            <w:r>
              <w:rPr>
                <w:sz w:val="4"/>
                <w:szCs w:val="4"/>
              </w:rPr>
            </w:r>
          </w:p>
        </w:tc>
      </w:tr>
      <w:tr>
        <w:trPr/>
        <w:tc>
          <w:tcPr>
            <w:tcW w:w="6603" w:type="dxa"/>
            <w:tcBorders/>
            <w:shd w:fill="auto" w:val="clear"/>
          </w:tcPr>
          <w:p>
            <w:pPr>
              <w:pStyle w:val="TableContents"/>
              <w:spacing w:before="0" w:after="283"/>
              <w:jc w:val="left"/>
              <w:rPr/>
            </w:pPr>
            <w:r>
              <w:rPr/>
              <w:t>(9)</w:t>
            </w:r>
          </w:p>
        </w:tc>
        <w:tc>
          <w:tcPr>
            <w:tcW w:w="2201" w:type="dxa"/>
            <w:tcBorders/>
            <w:shd w:fill="auto" w:val="clear"/>
          </w:tcPr>
          <w:p>
            <w:pPr>
              <w:pStyle w:val="TableContents"/>
              <w:spacing w:before="0" w:after="283"/>
              <w:rPr/>
            </w:pPr>
            <w:r>
              <w:rPr/>
              <w:t> </w:t>
            </w:r>
          </w:p>
        </w:tc>
        <w:tc>
          <w:tcPr>
            <w:tcW w:w="1401" w:type="dxa"/>
            <w:tcBorders/>
            <w:shd w:fill="auto" w:val="clear"/>
          </w:tcPr>
          <w:p>
            <w:pPr>
              <w:pStyle w:val="TableContents"/>
              <w:spacing w:before="0" w:after="283"/>
              <w:rPr/>
            </w:pPr>
            <w:r>
              <w:rPr/>
              <w:t>Volumes associated with acquisitions represent total volumes for the number of days we actually owned the assets divided by the number of days in the period.</w:t>
            </w:r>
          </w:p>
        </w:tc>
      </w:tr>
    </w:tbl>
    <w:p>
      <w:pPr>
        <w:pStyle w:val="TextBody"/>
        <w:spacing w:before="120" w:after="283"/>
        <w:jc w:val="left"/>
        <w:rPr/>
      </w:pPr>
      <w:r>
        <w:rPr/>
        <w:t>     </w:t>
      </w:r>
      <w:r>
        <w:rPr>
          <w:rFonts w:ascii="Times New Roman;Times;serif" w:hAnsi="Times New Roman;Times;serif"/>
          <w:sz w:val="17"/>
        </w:rPr>
        <w:t xml:space="preserve">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We do not anticipate that future changes in revenues will be a primary driver of segment profit. Generally, we expect our marketing segment profit to increase or decrease directionally with increases or decreases in our marketing segment volumes, as well as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we believe that the combination of our lease gathered business and our risk management activities provides a counter-cyclical balance that provides stability in our margins, these margins are not fixed and will vary from period to period. We are not able to predict with any reasonable level of accuracy whether market conditions will remain as favorable as we have recently experienced, and these operating results may not be indicative of sustainable performance. See Outlook.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 profit and segment profit per barrel, our primary measures of segment performance, were impacted by the following: </w:t>
      </w:r>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Revenues  Our revenues for the third quarter increased compared to the third quarter of 2006 primarily due to an increase in volumes and an increase in the average NYMEX price for crude oil. Our revenues for the first nine months of 2007 decreased compared to the first nine months of 2006 partially due to a decrease in the average NYMEX price for crude oil. The NYMEX averages were $74.99 and $66.14 for the third quarter and first nine months of 2007, respectively, as compared to $70.64 and $68.26 for the third quarter and first nine months of 2006, respectively. Our revenues also decreased for the first nine months of 2007 compared to the first nine months of 2006 due to the adoption in the second quarter of 2006 of EITF Issue No. 04-13, Accounting for Purchases and Sales of Inventory with the Same Counterparty (EITF 04-13). According to EITF 04-13, inventory purchases and sales transactions with the same counterparty should be combined for accounting purposes if they were entered into in contemplation of each other. The adoption of EITF 04-13 in the second quarter of 2006 resulted in inventory purchases and sales under buy/sell transactions, which historically would have been recorded gross as purchases and sales, to be treated as inventory exchanges in our consolidated statement of operations. The treatment of buy/sell transactions under EITF 04-13 reduces both revenues and purchases on our income statement but does not impact our financial position, net income or liquidity.</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Acquisitions  During the last nine months of 2006 and the first nine months of 2007, we purchased certain crude oil gathering assets and related contracts in South Louisiana, completed the acquisitions of Pacific and Andrews Petroleum and Lone Star Trucking (Andrews), and purchased a refined products supply and marketing business. These transactions primarily affected our transportation and facilities segment, but also included some marketing activities and opportunities. The integration into our business of these marketing activities precludes specific quantification of relative contribution, but we believe these acquisitions increased segment profit and revenues for our marketing segment.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Favorable market conditions and execution of our risk management strategies  During the third quarter and first nine months of 2007 and 2006, the crude oil market experienced significantly high volatility in prices and market structure. The NYMEX benchmark price of crude oil ranged from $68.63 to $83.90 during the third quarter of 2007 and from $49.90 to $83.90 for the first nine months of 2007. The NYMEX WTI crude oil benchmark prices reached a record high of over $83 per barrel in September 2007, exceeding the previous high of over $78 per barrel reached in July of 2006. The volatile market allowed us to utilize risk management strategies to optimize and enhance the margins of our gathering and marketing activities. The volatile market also led to favorable basis differentials for various delivery points and grades of crude oil during the first half of 2007. However, as the third quarter of 2007 progressed, these favorable basis differentials began to narrow.</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From early 2005 through the end of June 2007, the market for crude oil generally was volatile and in contango, meaning that the price of crude oil for future deliveries was higher than current prices. A contango market is favorable to our commercial strategies that are associated with storage tankage as it allows us to simultaneously purchase production at current prices for storage and sell at higher prices for future delivery. In July 2007, the market for crude oil transitioned rapidly to a backwardated market, meaning that the price of crude oil for future deliveries is lower than current prices. A backwardated market has a positive impact on our lease gathering margins because crude oil gatherers can capture a premium for prompt deliveries, however, in this environment, there is little incentive to store crude oil as current prices are above future delivery prices. The monthly time-spread of prices averaged approximately $0.67 for the first nine months of 2007 versus $1.11 for the first nine months of 2006. The monthly time-spread of prices averaged approximately $(0.44) (backwardation) for the third quarter of 2007 versus $1.12 (contango) for the third quarter of 2006.</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Marketing segment profit is net of contango and other hedged inventory-related interest expense (which is incurred to store the crude oil) of approximately $13 million and $38 million for the third quarter and first nine months of 2007, respectively (compared to approximately $15 million and $36 million in the third quarter and first nine months of 2006, respectively). This cost is included in Purchases and related costs in the table above.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SFAS 133 mark-to-market  The third quarter and first nine months of 2007 includes SFAS 133 mark-to-market losses of approximately $15 million and $17 million, respectively, compared to gains of approximately $18 million and $15 million for the third quarter and first nine months of 2006, respectively. See Note 9 to our Condensed Consolidated Financial Statements.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Field operating costs and segment G&amp;A expenses  Field operating costs (excluding equity compensation charges) increased in the third quarter and first nine months of 2007 compared to the third quarter and first nine months of 2006, primarily as a result of increases in contract transportation as a result of 2006 acquisitions and changes in driver incentive programs. The increase in general and administrative expenses (excluding equity compensation charges) is primarily the result of increased payroll and benefits (partly due to the early retirement of an executive), additional overhead allocation, as well as acquisitions and internal growth, as discussed above.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Increased equity compensation expenses  Equity compensation charges included in field operating costs and segment G&amp;A expenses decreased approximately $4 million in the third quarter of 2007 over the third quarter of 2006, primarily as a result of a decrease in the fair value of our outstanding LTIP awards related to a decrease in our closing unit price to $54.49 at September 30, 2007 from $63.65 at June 30, 2007 offset by additional LTIP grants. Equity compensation charges included in field operating costs and segment G&amp;A expenses increased approximately $5 million in the first nine months of 2007 over the first nine months of 2006, primarily as a result of additional LTIP grants. See Note 8 to our Condensed Consolidated Financial Statements.</w:t>
            </w:r>
          </w:p>
        </w:tc>
      </w:tr>
    </w:tbl>
    <w:p>
      <w:pPr>
        <w:pStyle w:val="TextBody"/>
        <w:spacing w:before="120" w:after="283"/>
        <w:jc w:val="left"/>
        <w:rPr/>
      </w:pPr>
      <w:r>
        <w:rPr/>
        <w:t>     </w:t>
      </w:r>
      <w:r>
        <w:rPr>
          <w:rFonts w:ascii="Times New Roman;Times;serif" w:hAnsi="Times New Roman;Times;serif"/>
          <w:sz w:val="17"/>
        </w:rPr>
        <w:t xml:space="preserve">Maintenance capital investment for the nine months ended September 30, 2007 was approximately $4 million, compared to approximately $2 million for the nine months ended September 30, 2006. The increase for the nine months ended September 30, 2007 is due to continued growth through acquisitions.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Expenses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i/>
          <w:sz w:val="17"/>
        </w:rPr>
        <w:t xml:space="preserve">Depreciation and Amortization. </w:t>
      </w:r>
      <w:r>
        <w:rPr>
          <w:rFonts w:ascii="Times New Roman;Times;serif" w:hAnsi="Times New Roman;Times;serif"/>
          <w:sz w:val="17"/>
        </w:rPr>
        <w:t xml:space="preserve">Depreciation and amortization expense increased $19 million and $68 million for the third quarter and first nine months of 2007, respectively, compared to the comparable 2006 periods, primarily as a result of a continued expansion in our asset base from acquisitions and internal growth projects. A net gain of approximately $1 million from the disposition of assets is also included in depreciation expense for the third quarter of 2007. A net loss of approximately $8 million from the disposition of assets is also included in depreciation expense for the first nine months of 2007. Amortization of debt issue costs totaled approximately $1 million and $2 million for the third quarter and first nine months of 2007, respectively, and was relatively constant compared to the same periods in 2006. </w:t>
      </w:r>
    </w:p>
    <w:p>
      <w:pPr>
        <w:pStyle w:val="TextBody"/>
        <w:spacing w:before="120" w:after="283"/>
        <w:jc w:val="left"/>
        <w:rPr/>
      </w:pPr>
      <w:r>
        <w:rPr/>
        <w:t>     </w:t>
      </w:r>
      <w:r>
        <w:rPr>
          <w:rFonts w:ascii="Times New Roman;Times;serif" w:hAnsi="Times New Roman;Times;serif"/>
          <w:i/>
          <w:sz w:val="17"/>
        </w:rPr>
        <w:t xml:space="preserve">Interest Expense. </w:t>
      </w:r>
      <w:r>
        <w:rPr>
          <w:rFonts w:ascii="Times New Roman;Times;serif" w:hAnsi="Times New Roman;Times;serif"/>
          <w:sz w:val="17"/>
        </w:rPr>
        <w:t xml:space="preserve">Interest expense increased approximately 102% and 131% in the third quarter and first nine months of 2007, respectively, as compared to the third quarter and first nine months of 2006, primarily due to higher average debt balances during 2007 partially offset by increased capitalized interest associated with certain capital projects under construction. The higher average </w:t>
      </w:r>
    </w:p>
    <w:p>
      <w:pPr>
        <w:pStyle w:val="TextBody"/>
        <w:jc w:val="center"/>
        <w:rPr>
          <w:rFonts w:ascii="Times New Roman;Times;serif" w:hAnsi="Times New Roman;Times;serif"/>
          <w:sz w:val="17"/>
        </w:rPr>
      </w:pPr>
      <w:r>
        <w:rPr>
          <w:rFonts w:ascii="Times New Roman;Times;serif" w:hAnsi="Times New Roman;Times;serif"/>
          <w:sz w:val="17"/>
        </w:rPr>
        <w:t xml:space="preserve">38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debt balance in the first nine months of 2007 was primarily related to the addition or assumption of $1.7 billion of senior notes in the last nine months of 2006 to finance acquisitions. Our financial growth strategy is to fund our acquisitions and expansion capital expenditures with at least 50% equity and excess cash flow over distributions, with the balance funded through long-term debt. </w:t>
      </w:r>
    </w:p>
    <w:p>
      <w:pPr>
        <w:pStyle w:val="TextBody"/>
        <w:spacing w:before="120" w:after="283"/>
        <w:jc w:val="left"/>
        <w:rPr/>
      </w:pPr>
      <w:r>
        <w:rPr/>
        <w:t>     </w:t>
      </w:r>
      <w:r>
        <w:rPr>
          <w:rFonts w:ascii="Times New Roman;Times;serif" w:hAnsi="Times New Roman;Times;serif"/>
          <w:sz w:val="17"/>
        </w:rPr>
        <w:t xml:space="preserve">Interest costs attributable to borrowings for inventory stored in a contango market are included in purchases and related costs in our marketing segment profit as we consider interest on these borrowings a direct cost to storing the inventory. These borrowings are primarily under our senior secured hedged inventory facility. </w:t>
      </w:r>
    </w:p>
    <w:p>
      <w:pPr>
        <w:pStyle w:val="TextBody"/>
        <w:spacing w:before="120" w:after="283"/>
        <w:jc w:val="left"/>
        <w:rPr/>
      </w:pPr>
      <w:r>
        <w:rPr/>
        <w:t>     </w:t>
      </w:r>
      <w:r>
        <w:rPr>
          <w:rFonts w:ascii="Times New Roman;Times;serif" w:hAnsi="Times New Roman;Times;serif"/>
          <w:i/>
          <w:sz w:val="17"/>
        </w:rPr>
        <w:t xml:space="preserve">Income Taxes. </w:t>
      </w:r>
      <w:r>
        <w:rPr>
          <w:rFonts w:ascii="Times New Roman;Times;serif" w:hAnsi="Times New Roman;Times;serif"/>
          <w:sz w:val="17"/>
        </w:rPr>
        <w:t xml:space="preserve">As a result of recent Canadian tax legislation that may apply to a portion of our Canadian activities, we recorded an approximate $11 million deferred tax provision related to the cumulative effect of this tax, which is primarily attributable to prior years. Pursuant to a safe harbor provision of the legislation, we do not expect the tax to apply to us until 2011. See Note 11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Outlook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section identifies certain matters of risk and uncertainty that may affect our financial performance and results of operations in the future.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Ongoing Acquisition Activities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Consistent with our business strategy, we are continuously engaged in discussions regarding potential acquisitions by us of transportation, gathering, terminalling or storage assets and related midstream businesses. These acquisition efforts often involve assets that, if acquired, could have a material effect on our financial condition and results of operations. In an effort to prudently and economically leverage our asset base, knowledge base and skill sets, management has also expanded its efforts to encompass midstream businesses outside of the scope of our current operations, but with respect to which these resources effectively can be applied. For example, during the first quarter of 2007, we entered the refined products marketing business and during 2006 we entered the refined products transportation and storage business as well as the barge transportation business. Through PAA/Vulcans acquisition of ECI in 2005, the Partnership entered the natural gas storage business. We are presently engaged in discussions and negotiations with various parties regarding the acquisition of assets and businesses described above, but we can give no assurance that our current or future acquisition efforts will be successful or that any such acquisition will be completed on terms considered favorable to us.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Pipeline Integrity and Storage Tank Testing Compliance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Although we believe our short-term estimates of costs under the pipeline integrity management rules and API 653 (and similar regulations in Canada) are reasonable, a high degree of uncertainty exists with respect to estimating such costs, as we continue to test existing assets and as we acquire additional assets. In our annual report on Form 10-K for the year ended December 31, 2006, we reported that the DOT will be issuing by December 31, 2007, new regulations governing hazardous liquid pipelines operated at low stress. We do not expect these new regulations to have a material impact on operating expenses. See Note 12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General Market Conditions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From early 2005 through the end of June 2007, the market for crude oil generally has been volatile and in contango. In July 2007, the market for crude oil transitioned rapidly to a backwardated market. See Results of Operations  </w:t>
      </w:r>
      <w:r>
        <w:rPr>
          <w:rFonts w:ascii="Times New Roman;Times;serif" w:hAnsi="Times New Roman;Times;serif"/>
          <w:i/>
          <w:sz w:val="17"/>
        </w:rPr>
        <w:t>Marketing</w:t>
      </w:r>
      <w:r>
        <w:rPr>
          <w:rFonts w:ascii="Times New Roman;Times;serif" w:hAnsi="Times New Roman;Times;serif"/>
          <w:sz w:val="17"/>
        </w:rPr>
        <w:t xml:space="preserve"> above for additional detail and the impact of these market conditions on our business. We believe that the combination of our lease gathering activities and the commercial strategies used with our tankage provides a counter-cyclical balance that has a stabilizing effect on our operations and enables us to generate a base level of cash flow. </w:t>
      </w:r>
    </w:p>
    <w:p>
      <w:pPr>
        <w:pStyle w:val="TextBody"/>
        <w:spacing w:before="120" w:after="283"/>
        <w:jc w:val="left"/>
        <w:rPr/>
      </w:pPr>
      <w:r>
        <w:rPr/>
        <w:t>     </w:t>
      </w:r>
      <w:r>
        <w:rPr>
          <w:rFonts w:ascii="Times New Roman;Times;serif" w:hAnsi="Times New Roman;Times;serif"/>
          <w:sz w:val="17"/>
        </w:rPr>
        <w:t xml:space="preserve">The wide contango spreads experienced over the last couple of years, combined with the level of price structure volatility during that time period has enabled us to generate not only a base level of cash flow, but in certain instances to generate significant additional profitability. While we believe that the counter-cyclical balance provided by our asset base and our business model will enable us to continue to generate a solid base level of cash flow in the current backwardated environment, if the market remains in the current backwardated structure, our future results from our marketing segment may be less that those generated during the more favorable periods of pronounced contango experienced over the last 24 to 30 months. In most cases, our profitability during a backwardated market would be enhanced if there is volatility in the pricing structure. </w:t>
      </w:r>
    </w:p>
    <w:p>
      <w:pPr>
        <w:pStyle w:val="TextBody"/>
        <w:jc w:val="center"/>
        <w:rPr>
          <w:rFonts w:ascii="Times New Roman;Times;serif" w:hAnsi="Times New Roman;Times;serif"/>
          <w:sz w:val="17"/>
        </w:rPr>
      </w:pPr>
      <w:r>
        <w:rPr>
          <w:rFonts w:ascii="Times New Roman;Times;serif" w:hAnsi="Times New Roman;Times;serif"/>
          <w:sz w:val="17"/>
        </w:rPr>
        <w:t xml:space="preserve">39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Longer-Term Outlook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our annual report on Form 10-K for the year ended December 31, 2006, we identified certain trends, factors and developments, many of which are beyond our control, that may affect our business in the future. We believe the collective impact of these trends, factors and developments will result in an increasingly volatile crude oil market that is subject to more frequent short-term swings in market prices and grade differentials and shifts in market structure. In an environment of tight supply and demand balances, even relatively minor supply disruptions can cause significant price swings, which were evident during the past two and a half years. Conversely, despite a relatively balanced market on a 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 </w:t>
      </w:r>
    </w:p>
    <w:p>
      <w:pPr>
        <w:pStyle w:val="TextBody"/>
        <w:spacing w:before="120" w:after="283"/>
        <w:jc w:val="left"/>
        <w:rPr/>
      </w:pPr>
      <w:r>
        <w:rPr/>
        <w:t>     </w:t>
      </w:r>
      <w:r>
        <w:rPr>
          <w:rFonts w:ascii="Times New Roman;Times;serif" w:hAnsi="Times New Roman;Times;serif"/>
          <w:sz w:val="17"/>
        </w:rPr>
        <w:t xml:space="preserve">In addition to our crude oil business, we also identified certain trends that we believe will provide opportunities for PAA/Vulcans natural gas storage business and our refined products business. We intend to grow both of these businesses through the application of our business model as well as future acquisitions and expansion projects.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Liquidity</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flow from operations and borrowings under our credit facilities are our primary sources of liquidity. At September 30, 2007, we had a working capital surplus of approximately $165 million, approximately $1.5 billion of availability under our committed revolving credit facilities and approximately $0.8 billion of availability under our uncommitted hedged inventory facility. Our working capital increased approximately $32 million in the first nine months of 2007. See </w:t>
      </w:r>
      <w:r>
        <w:rPr>
          <w:rFonts w:ascii="Times New Roman;Times;serif" w:hAnsi="Times New Roman;Times;serif"/>
          <w:i/>
          <w:sz w:val="17"/>
        </w:rPr>
        <w:t xml:space="preserve">Cash flow from operations, </w:t>
      </w:r>
      <w:r>
        <w:rPr>
          <w:rFonts w:ascii="Times New Roman;Times;serif" w:hAnsi="Times New Roman;Times;serif"/>
          <w:sz w:val="17"/>
        </w:rPr>
        <w:t xml:space="preserve">below, for discussion of the relationship between working capital items and our short-term borrowings. Usage of the credit facilities is subject to ongoing compliance with covenants. We believe we are currently in compliance with all covenants.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Cash flow from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primary drivers of cash flow from our operations are (i) the collection of amounts related to the sale of crude oil and other products, the transportation of crude oil and other products for a fee, and storage and terminalling services, and (ii) the payment of amounts related to the purchase of crude oil and other products and other expenses, principally field operating costs and general and administrative expenses. </w:t>
      </w:r>
    </w:p>
    <w:p>
      <w:pPr>
        <w:pStyle w:val="TextBody"/>
        <w:spacing w:before="120" w:after="283"/>
        <w:jc w:val="left"/>
        <w:rPr/>
      </w:pPr>
      <w:r>
        <w:rPr/>
        <w:t>     </w:t>
      </w:r>
      <w:r>
        <w:rPr>
          <w:rFonts w:ascii="Times New Roman;Times;serif" w:hAnsi="Times New Roman;Times;serif"/>
          <w:sz w:val="17"/>
        </w:rPr>
        <w:t xml:space="preserve">The storage of crude oil in periods of a contango market, when the price of crude oil for future deliveries is higher than current prices, can have a material impact on our cash flows from operating activities.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and other product inventory stored and held for resale at period end affects our cash flow from operating activities. </w:t>
      </w:r>
    </w:p>
    <w:p>
      <w:pPr>
        <w:pStyle w:val="TextBody"/>
        <w:spacing w:before="120" w:after="283"/>
        <w:jc w:val="left"/>
        <w:rPr/>
      </w:pPr>
      <w:r>
        <w:rPr/>
        <w:t>     </w:t>
      </w:r>
      <w:r>
        <w:rPr>
          <w:rFonts w:ascii="Times New Roman;Times;serif" w:hAnsi="Times New Roman;Times;serif"/>
          <w:sz w:val="17"/>
        </w:rPr>
        <w:t xml:space="preserve">In periods when the market is not in contango, we typically sell our crude oil during the same month in which it is purchased and do not rely on borrowings under our credit facilities to pay for the crude oil. During such markets, our accounts payable and accounts receivable generally move in tandem because we make payments and receive payments for the purchase and sale of crude oil in the same month, which is the month following such activity. </w:t>
      </w:r>
    </w:p>
    <w:p>
      <w:pPr>
        <w:pStyle w:val="TextBody"/>
        <w:spacing w:before="120" w:after="283"/>
        <w:jc w:val="left"/>
        <w:rPr/>
      </w:pPr>
      <w:r>
        <w:rPr/>
        <w:t>     </w:t>
      </w:r>
      <w:r>
        <w:rPr>
          <w:rFonts w:ascii="Times New Roman;Times;serif" w:hAnsi="Times New Roman;Times;serif"/>
          <w:sz w:val="17"/>
        </w:rPr>
        <w:t xml:space="preserve">In periods during which we build inventory or linefill, regardless of market structure, we may rely on our credit facilities to pay for the inventory or linefill. </w:t>
      </w:r>
    </w:p>
    <w:p>
      <w:pPr>
        <w:pStyle w:val="TextBody"/>
        <w:spacing w:before="120" w:after="283"/>
        <w:jc w:val="left"/>
        <w:rPr/>
      </w:pPr>
      <w:r>
        <w:rPr/>
        <w:t>     </w:t>
      </w:r>
      <w:r>
        <w:rPr>
          <w:rFonts w:ascii="Times New Roman;Times;serif" w:hAnsi="Times New Roman;Times;serif"/>
          <w:sz w:val="17"/>
        </w:rPr>
        <w:t xml:space="preserve">The crude oil market was in contango for the first six months of 2007 and for much of 2006 and 2005. In July 2007, the market for crude oil transitioned rapidly to a backwardated market, meaning that the price of crude oil for future deliveries is lower than current prices. The wide contango spreads experienced prior to July 2007, combined with the level of price structure volatility during that time period enabled us to generate not only a base level of cash flow, but in certain instances to generate significant additional profitability. A backwardated market has a positive impact on our lease gathering margins because crude oil gatherers can capture a premium for </w:t>
      </w:r>
    </w:p>
    <w:p>
      <w:pPr>
        <w:pStyle w:val="TextBody"/>
        <w:jc w:val="center"/>
        <w:rPr>
          <w:rFonts w:ascii="Times New Roman;Times;serif" w:hAnsi="Times New Roman;Times;serif"/>
          <w:sz w:val="17"/>
        </w:rPr>
      </w:pPr>
      <w:r>
        <w:rPr>
          <w:rFonts w:ascii="Times New Roman;Times;serif" w:hAnsi="Times New Roman;Times;serif"/>
          <w:sz w:val="17"/>
        </w:rPr>
        <w:t xml:space="preserve">40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prompt deliveries; however, in this environment, there is little incentive to store crude oil as current prices are above future delivery prices. While we believe that the counter-cyclical balance provided by our asset base and business model will enable us to continue to generate a solid base level of cash flow in the current backwardated environment, if the market remains in the current backwardated structure, our future results from our marketing segment may be less that those generated during the more favorable periods of pronounced contango experienced over the last 24 to 30 months. Generally, base-level results will also be augmented if there is meaningful volatility in the pricing structure. </w:t>
      </w:r>
    </w:p>
    <w:p>
      <w:pPr>
        <w:pStyle w:val="TextBody"/>
        <w:spacing w:before="120" w:after="283"/>
        <w:jc w:val="left"/>
        <w:rPr/>
      </w:pPr>
      <w:r>
        <w:rPr/>
        <w:t>     </w:t>
      </w:r>
      <w:r>
        <w:rPr>
          <w:rFonts w:ascii="Times New Roman;Times;serif" w:hAnsi="Times New Roman;Times;serif"/>
          <w:sz w:val="17"/>
        </w:rPr>
        <w:t xml:space="preserve">Our cash flow provided by operating activities in the first nine months of 2007 was approximately $969 million compared to cash used in operating activities of $182 million in the first nine months of 2006. This change reflects cash generated by our recurring operations (as indicated above in describing the primary drivers of cash generated from operations), offset by changes in certain working capital items (including a decrease in inventory). A significant portion of the decreased inventory had been stored due to contango market conditions but was partly liquidated as the market transitioned into backwardation. Proceeds from liquidating inventory were used to repay borrowings under our credit facilities (see </w:t>
      </w:r>
      <w:r>
        <w:rPr>
          <w:rFonts w:ascii="Times New Roman;Times;serif" w:hAnsi="Times New Roman;Times;serif"/>
          <w:i/>
          <w:sz w:val="17"/>
        </w:rPr>
        <w:t xml:space="preserve">Cash provided by equity and debt financing activities, </w:t>
      </w:r>
      <w:r>
        <w:rPr>
          <w:rFonts w:ascii="Times New Roman;Times;serif" w:hAnsi="Times New Roman;Times;serif"/>
          <w:sz w:val="17"/>
        </w:rPr>
        <w:t xml:space="preserve">below). The fluctuations on our accounts receivable, inventory and accounts payable and other liabilities accounts during the period are primarily related to purchases and sales of crude oil that vary proportionately along with the fluctuations in our short-term debt balances. During the corresponding period in 2006, we shifted into a pronounced contango market and, as discussed above, experienced significant fluctuations in our working capital accounts, most notably our accounts receivable balance.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Cash provided by equity and debt financing activities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periodically access the capital markets for both equity and debt financing. For us to maintain our targeted credit profile (a long-term debt-to-total capitalization ratio of approximately 50%, a long-term debt-to-earnings before interest, income taxes, depreciation and amortization (EBITDA) multiple of approximately 3.5x and an average EBITDA-to-interest coverage multiple of 3.3x or better) and achieve growth through internal growth projects and acquisitions, we intend to fund at least 50% of the capital requirements associated with these activities with equity and cash flow in excess of distributions. </w:t>
      </w:r>
    </w:p>
    <w:p>
      <w:pPr>
        <w:pStyle w:val="TextBody"/>
        <w:spacing w:before="120" w:after="283"/>
        <w:jc w:val="left"/>
        <w:rPr/>
      </w:pPr>
      <w:r>
        <w:rPr/>
        <w:t>     </w:t>
      </w:r>
      <w:r>
        <w:rPr>
          <w:rFonts w:ascii="Times New Roman;Times;serif" w:hAnsi="Times New Roman;Times;serif"/>
          <w:sz w:val="17"/>
        </w:rPr>
        <w:t xml:space="preserve">We have filed with the Securities and Exchange Commission a universal shelf registration statement that, subject to effectiveness at the time of use, allows us to issue from time to time up to an aggregate of $2 billion of debt or equity securities. In June 2007, we issued approximately 6.3 million common units under this registration statement for net proceeds of approximately $382.5 million. At September 30, 2007, we have approximately $769 million of unissued securities remaining available under this registration statement. </w:t>
      </w:r>
    </w:p>
    <w:p>
      <w:pPr>
        <w:pStyle w:val="TextBody"/>
        <w:spacing w:before="120" w:after="283"/>
        <w:jc w:val="left"/>
        <w:rPr/>
      </w:pPr>
      <w:r>
        <w:rPr/>
        <w:t>     </w:t>
      </w:r>
      <w:r>
        <w:rPr>
          <w:rFonts w:ascii="Times New Roman;Times;serif" w:hAnsi="Times New Roman;Times;serif"/>
          <w:sz w:val="17"/>
        </w:rPr>
        <w:t xml:space="preserve">Cash used in financing activities was approximately $491 million for the nine months ended September 30, 2007, compared to cash provided by financing activities of approximately $976 million for the nine months ended September 30, 2006. During the nine months ended September 30, 2007 we had net repayments of our working capital and hedged inventory borrowings of approximately $543 million and during the nine months ended September 30, 2006, we had net working capital borrowings and hedged inventory borrowings of approximately $615 million. Our financing activities primarily relate to (i) funding acquisitions and internal capital projects and (ii) funding and repayments under our short-term working capital and hedged inventory facilities related to our contango market activities. Our financing activities have primarily consisted of equity offerings, senior notes offerings and borrowings and repayments under our credit facilities. During the first nine months of 2007, we made repayments under our credit facilities that were financed through the issuance of equity and the partial liquidation of inventory resulting from the transition to a backwardated market. See Note 7 to our Condensed Consolidated Financial Statements for further discussion of equity issuances. </w:t>
      </w:r>
    </w:p>
    <w:p>
      <w:pPr>
        <w:pStyle w:val="TextBody"/>
        <w:spacing w:before="120" w:after="283"/>
        <w:jc w:val="left"/>
        <w:rPr/>
      </w:pPr>
      <w:r>
        <w:rPr/>
        <w:t>     </w:t>
      </w:r>
      <w:r>
        <w:rPr>
          <w:rFonts w:ascii="Times New Roman;Times;serif" w:hAnsi="Times New Roman;Times;serif"/>
          <w:sz w:val="17"/>
        </w:rPr>
        <w:t xml:space="preserve">In June 2007, the borrowing capacity under our senior secured hedged inventory facility was increased from $1.0 billion to $1.2 billion under the terms and conditions of such facility, as amended. The facility has a maturity date of November 16, 2007, and we anticipate extending the facility for an additional year, subject to lender approval. </w:t>
      </w:r>
    </w:p>
    <w:p>
      <w:pPr>
        <w:pStyle w:val="TextBody"/>
        <w:spacing w:before="120" w:after="283"/>
        <w:jc w:val="left"/>
        <w:rPr/>
      </w:pPr>
      <w:r>
        <w:rPr/>
        <w:t>     </w:t>
      </w:r>
      <w:r>
        <w:rPr>
          <w:rFonts w:ascii="Times New Roman;Times;serif" w:hAnsi="Times New Roman;Times;serif"/>
          <w:sz w:val="17"/>
        </w:rPr>
        <w:t xml:space="preserve">On July 31, 2007, we amended our revolving credit facility to reset the maximum debt coverage ratio during an acquisition period from 5.25 to 1.0 to 5.5 to 1.0, and extend the maturity date from July 2011 to July 2012.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Capital Expenditures and Distributions Paid to Unitholders and General Partner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have made and will continue to make capital expenditures for acquisitions, expansion capital and maintenance capital. Historically, we have financed these expenditures primarily with cash generated by operations and the financing activities discussed above. Our primary uses of cash, in addition to normal operating expenses, are for our acquisition activities, capital expenditures for internal growth projects and distributions paid to our unitholders and general partner. See  Acquisitions and Internal Growth </w:t>
      </w:r>
    </w:p>
    <w:p>
      <w:pPr>
        <w:pStyle w:val="TextBody"/>
        <w:jc w:val="center"/>
        <w:rPr>
          <w:rFonts w:ascii="Times New Roman;Times;serif" w:hAnsi="Times New Roman;Times;serif"/>
          <w:sz w:val="17"/>
        </w:rPr>
      </w:pPr>
      <w:r>
        <w:rPr>
          <w:rFonts w:ascii="Times New Roman;Times;serif" w:hAnsi="Times New Roman;Times;serif"/>
          <w:sz w:val="17"/>
        </w:rPr>
        <w:t xml:space="preserve">41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Projects. The price of the acquisitions includes cash paid and transaction costs, as well as assumed liabilities and net working capital items. Because of the non-cash items included in the total price of the acquisition and the timing of certain cash payments, the net cash paid may differ significantly from the total value of the acquisitions completed during the year. </w:t>
      </w:r>
    </w:p>
    <w:p>
      <w:pPr>
        <w:pStyle w:val="TextBody"/>
        <w:spacing w:before="120" w:after="283"/>
        <w:jc w:val="left"/>
        <w:rPr/>
      </w:pPr>
      <w:r>
        <w:rPr/>
        <w:t>     </w:t>
      </w:r>
      <w:r>
        <w:rPr>
          <w:rFonts w:ascii="Times New Roman;Times;serif" w:hAnsi="Times New Roman;Times;serif"/>
          <w:i/>
          <w:sz w:val="17"/>
        </w:rPr>
        <w:t xml:space="preserve">Distributions to common unitholders and general partner. </w:t>
      </w:r>
      <w:r>
        <w:rPr>
          <w:rFonts w:ascii="Times New Roman;Times;serif" w:hAnsi="Times New Roman;Times;serif"/>
          <w:sz w:val="17"/>
        </w:rPr>
        <w:t xml:space="preserve">We distribute 100% of our available cash within 45 days after the end of each quarter to common unitholders of record and to our general partner. Available cash is generally defined as all of our cash and cash equivalents on hand at the end of each quarter less reserves established in the discretion of our general partner for future requirements. We have declared and paid distributions in each quarter of 2007 and 2006. See Note 7 to our Condensed Consolidated Financial Statements. </w:t>
      </w:r>
    </w:p>
    <w:p>
      <w:pPr>
        <w:pStyle w:val="TextBody"/>
        <w:spacing w:before="120" w:after="283"/>
        <w:jc w:val="left"/>
        <w:rPr/>
      </w:pPr>
      <w:r>
        <w:rPr/>
        <w:t>     </w:t>
      </w:r>
      <w:r>
        <w:rPr>
          <w:rFonts w:ascii="Times New Roman;Times;serif" w:hAnsi="Times New Roman;Times;serif"/>
          <w:sz w:val="17"/>
        </w:rPr>
        <w:t xml:space="preserve">Our general partner is entitled to incentive distributions if the amount we distribute with respect to any quarter exceeds levels specified in our partnership agreement. Under the quarterly incentive distribution provisions, our general partner is entitled, without duplication, to 15% of amounts we distribute in excess of $0.450 per limited partner unit, 25% of amounts we distribute in excess of $0.495 per limited partner unit and 50% of amounts we distribute in excess of $0.675 per limited partner unit. </w:t>
      </w:r>
    </w:p>
    <w:p>
      <w:pPr>
        <w:pStyle w:val="TextBody"/>
        <w:spacing w:before="120" w:after="283"/>
        <w:jc w:val="left"/>
        <w:rPr/>
      </w:pPr>
      <w:r>
        <w:rPr/>
        <w:t>     </w:t>
      </w:r>
      <w:r>
        <w:rPr>
          <w:rFonts w:ascii="Times New Roman;Times;serif" w:hAnsi="Times New Roman;Times;serif"/>
          <w:sz w:val="17"/>
        </w:rPr>
        <w:t xml:space="preserve">Upon closing of the Pacific acquisition, our general partner agreed to reduce the amounts of its incentive distributions. The aggregate reduction in incentive distributions will be $65 million. Following the distribution in November 2007, the remaining incentive distribution reductions will be $45 million. See Note 7 to our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42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12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Commitments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Contractual Obligations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amounts presented in the table below represent the net obligations associated with leases and with buy/sell contracts and those contracts subject to a net settlement arrangement with the counterparty. Other contractual obligations did not vary significantly since December 31, 2006. We do not expect to use a significant amount of internal capital to meet these obligations, as the obligations will be funded by hedged inventory borrowings and by corresponding sales to creditworthy entities. </w:t>
      </w:r>
    </w:p>
    <w:p>
      <w:pPr>
        <w:pStyle w:val="TextBody"/>
        <w:spacing w:before="120" w:after="283"/>
        <w:jc w:val="left"/>
        <w:rPr/>
      </w:pPr>
      <w:r>
        <w:rPr/>
        <w:t>     </w:t>
      </w:r>
      <w:r>
        <w:rPr>
          <w:rFonts w:ascii="Times New Roman;Times;serif" w:hAnsi="Times New Roman;Times;serif"/>
          <w:sz w:val="17"/>
        </w:rPr>
        <w:t xml:space="preserve">The following table includes our best estimate of the amount and timing of these payments due under the specified contractual obligations as of September 30, 2007. </w:t>
      </w:r>
    </w:p>
    <w:tbl>
      <w:tblPr>
        <w:tblW w:w="5000" w:type="pct"/>
        <w:jc w:val="center"/>
        <w:tblInd w:w="0" w:type="dxa"/>
        <w:tblCellMar>
          <w:top w:w="0" w:type="dxa"/>
          <w:left w:w="0" w:type="dxa"/>
          <w:bottom w:w="0" w:type="dxa"/>
          <w:right w:w="0" w:type="dxa"/>
        </w:tblCellMar>
      </w:tblPr>
      <w:tblGrid>
        <w:gridCol w:w="2807"/>
        <w:gridCol w:w="110"/>
        <w:gridCol w:w="176"/>
        <w:gridCol w:w="740"/>
        <w:gridCol w:w="97"/>
        <w:gridCol w:w="110"/>
        <w:gridCol w:w="176"/>
        <w:gridCol w:w="740"/>
        <w:gridCol w:w="97"/>
        <w:gridCol w:w="110"/>
        <w:gridCol w:w="176"/>
        <w:gridCol w:w="740"/>
        <w:gridCol w:w="97"/>
        <w:gridCol w:w="110"/>
        <w:gridCol w:w="175"/>
        <w:gridCol w:w="563"/>
        <w:gridCol w:w="97"/>
        <w:gridCol w:w="110"/>
        <w:gridCol w:w="176"/>
        <w:gridCol w:w="563"/>
        <w:gridCol w:w="97"/>
        <w:gridCol w:w="110"/>
        <w:gridCol w:w="176"/>
        <w:gridCol w:w="563"/>
        <w:gridCol w:w="97"/>
        <w:gridCol w:w="110"/>
        <w:gridCol w:w="216"/>
        <w:gridCol w:w="732"/>
        <w:gridCol w:w="134"/>
      </w:tblGrid>
      <w:tr>
        <w:trPr/>
        <w:tc>
          <w:tcPr>
            <w:tcW w:w="280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r>
      <w:tr>
        <w:trPr/>
        <w:tc>
          <w:tcPr>
            <w:tcW w:w="280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82" w:type="dxa"/>
            <w:gridSpan w:val="3"/>
            <w:tcBorders/>
            <w:shd w:fill="auto" w:val="clear"/>
            <w:vAlign w:val="bottom"/>
          </w:tcPr>
          <w:p>
            <w:pPr>
              <w:pStyle w:val="TableContents"/>
              <w:spacing w:before="0" w:after="283"/>
              <w:jc w:val="center"/>
              <w:rPr/>
            </w:pPr>
            <w:r>
              <w:rPr/>
              <w:t>2012 and</w:t>
            </w:r>
          </w:p>
        </w:tc>
      </w:tr>
      <w:tr>
        <w:trPr/>
        <w:tc>
          <w:tcPr>
            <w:tcW w:w="280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13" w:type="dxa"/>
            <w:gridSpan w:val="3"/>
            <w:tcBorders/>
            <w:shd w:fill="auto" w:val="clear"/>
            <w:vAlign w:val="bottom"/>
          </w:tcPr>
          <w:p>
            <w:pPr>
              <w:pStyle w:val="TableContents"/>
              <w:spacing w:before="0" w:after="283"/>
              <w:jc w:val="center"/>
              <w:rPr/>
            </w:pPr>
            <w:r>
              <w:rPr/>
              <w:t>Total</w:t>
            </w:r>
          </w:p>
        </w:tc>
        <w:tc>
          <w:tcPr>
            <w:tcW w:w="110" w:type="dxa"/>
            <w:tcBorders/>
            <w:shd w:fill="auto" w:val="clear"/>
            <w:vAlign w:val="bottom"/>
          </w:tcPr>
          <w:p>
            <w:pPr>
              <w:pStyle w:val="TableContents"/>
              <w:spacing w:before="0" w:after="283"/>
              <w:rPr/>
            </w:pPr>
            <w:r>
              <w:rPr/>
              <w:t> </w:t>
            </w:r>
          </w:p>
        </w:tc>
        <w:tc>
          <w:tcPr>
            <w:tcW w:w="1013" w:type="dxa"/>
            <w:gridSpan w:val="3"/>
            <w:tcBorders/>
            <w:shd w:fill="auto" w:val="clear"/>
            <w:vAlign w:val="bottom"/>
          </w:tcPr>
          <w:p>
            <w:pPr>
              <w:pStyle w:val="TableContents"/>
              <w:spacing w:before="0" w:after="283"/>
              <w:jc w:val="center"/>
              <w:rPr/>
            </w:pPr>
            <w:r>
              <w:rPr/>
              <w:t>2007</w:t>
            </w:r>
          </w:p>
        </w:tc>
        <w:tc>
          <w:tcPr>
            <w:tcW w:w="110" w:type="dxa"/>
            <w:tcBorders/>
            <w:shd w:fill="auto" w:val="clear"/>
            <w:vAlign w:val="bottom"/>
          </w:tcPr>
          <w:p>
            <w:pPr>
              <w:pStyle w:val="TableContents"/>
              <w:spacing w:before="0" w:after="283"/>
              <w:rPr/>
            </w:pPr>
            <w:r>
              <w:rPr/>
              <w:t> </w:t>
            </w:r>
          </w:p>
        </w:tc>
        <w:tc>
          <w:tcPr>
            <w:tcW w:w="1013" w:type="dxa"/>
            <w:gridSpan w:val="3"/>
            <w:tcBorders/>
            <w:shd w:fill="auto" w:val="clear"/>
            <w:vAlign w:val="bottom"/>
          </w:tcPr>
          <w:p>
            <w:pPr>
              <w:pStyle w:val="TableContents"/>
              <w:spacing w:before="0" w:after="283"/>
              <w:jc w:val="center"/>
              <w:rPr/>
            </w:pPr>
            <w:r>
              <w:rPr/>
              <w:t>2008</w:t>
            </w:r>
          </w:p>
        </w:tc>
        <w:tc>
          <w:tcPr>
            <w:tcW w:w="110" w:type="dxa"/>
            <w:tcBorders/>
            <w:shd w:fill="auto" w:val="clear"/>
            <w:vAlign w:val="bottom"/>
          </w:tcPr>
          <w:p>
            <w:pPr>
              <w:pStyle w:val="TableContents"/>
              <w:spacing w:before="0" w:after="283"/>
              <w:rPr/>
            </w:pPr>
            <w:r>
              <w:rPr/>
              <w:t> </w:t>
            </w:r>
          </w:p>
        </w:tc>
        <w:tc>
          <w:tcPr>
            <w:tcW w:w="835" w:type="dxa"/>
            <w:gridSpan w:val="3"/>
            <w:tcBorders/>
            <w:shd w:fill="auto" w:val="clear"/>
            <w:vAlign w:val="bottom"/>
          </w:tcPr>
          <w:p>
            <w:pPr>
              <w:pStyle w:val="TableContents"/>
              <w:spacing w:before="0" w:after="283"/>
              <w:jc w:val="center"/>
              <w:rPr/>
            </w:pPr>
            <w:r>
              <w:rPr/>
              <w:t>2009</w:t>
            </w:r>
          </w:p>
        </w:tc>
        <w:tc>
          <w:tcPr>
            <w:tcW w:w="110" w:type="dxa"/>
            <w:tcBorders/>
            <w:shd w:fill="auto" w:val="clear"/>
            <w:vAlign w:val="bottom"/>
          </w:tcPr>
          <w:p>
            <w:pPr>
              <w:pStyle w:val="TableContents"/>
              <w:spacing w:before="0" w:after="283"/>
              <w:rPr/>
            </w:pPr>
            <w:r>
              <w:rPr/>
              <w:t> </w:t>
            </w:r>
          </w:p>
        </w:tc>
        <w:tc>
          <w:tcPr>
            <w:tcW w:w="836" w:type="dxa"/>
            <w:gridSpan w:val="3"/>
            <w:tcBorders/>
            <w:shd w:fill="auto" w:val="clear"/>
            <w:vAlign w:val="bottom"/>
          </w:tcPr>
          <w:p>
            <w:pPr>
              <w:pStyle w:val="TableContents"/>
              <w:spacing w:before="0" w:after="283"/>
              <w:jc w:val="center"/>
              <w:rPr/>
            </w:pPr>
            <w:r>
              <w:rPr/>
              <w:t>2010</w:t>
            </w:r>
          </w:p>
        </w:tc>
        <w:tc>
          <w:tcPr>
            <w:tcW w:w="110" w:type="dxa"/>
            <w:tcBorders/>
            <w:shd w:fill="auto" w:val="clear"/>
            <w:vAlign w:val="bottom"/>
          </w:tcPr>
          <w:p>
            <w:pPr>
              <w:pStyle w:val="TableContents"/>
              <w:spacing w:before="0" w:after="283"/>
              <w:rPr/>
            </w:pPr>
            <w:r>
              <w:rPr/>
              <w:t> </w:t>
            </w:r>
          </w:p>
        </w:tc>
        <w:tc>
          <w:tcPr>
            <w:tcW w:w="836" w:type="dxa"/>
            <w:gridSpan w:val="3"/>
            <w:tcBorders/>
            <w:shd w:fill="auto" w:val="clear"/>
            <w:vAlign w:val="bottom"/>
          </w:tcPr>
          <w:p>
            <w:pPr>
              <w:pStyle w:val="TableContents"/>
              <w:spacing w:before="0" w:after="283"/>
              <w:jc w:val="center"/>
              <w:rPr/>
            </w:pPr>
            <w:r>
              <w:rPr/>
              <w:t>2011</w:t>
            </w:r>
          </w:p>
        </w:tc>
        <w:tc>
          <w:tcPr>
            <w:tcW w:w="110" w:type="dxa"/>
            <w:tcBorders/>
            <w:shd w:fill="auto" w:val="clear"/>
            <w:vAlign w:val="bottom"/>
          </w:tcPr>
          <w:p>
            <w:pPr>
              <w:pStyle w:val="TableContents"/>
              <w:spacing w:before="0" w:after="283"/>
              <w:rPr/>
            </w:pPr>
            <w:r>
              <w:rPr/>
              <w:t> </w:t>
            </w:r>
          </w:p>
        </w:tc>
        <w:tc>
          <w:tcPr>
            <w:tcW w:w="1082" w:type="dxa"/>
            <w:gridSpan w:val="3"/>
            <w:tcBorders/>
            <w:shd w:fill="auto" w:val="clear"/>
            <w:vAlign w:val="bottom"/>
          </w:tcPr>
          <w:p>
            <w:pPr>
              <w:pStyle w:val="TableContents"/>
              <w:spacing w:before="0" w:after="283"/>
              <w:jc w:val="center"/>
              <w:rPr/>
            </w:pPr>
            <w:r>
              <w:rPr/>
              <w:t>Thereafter</w:t>
            </w:r>
          </w:p>
        </w:tc>
      </w:tr>
      <w:tr>
        <w:trPr/>
        <w:tc>
          <w:tcPr>
            <w:tcW w:w="2807"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7288" w:type="dxa"/>
            <w:gridSpan w:val="27"/>
            <w:tcBorders>
              <w:top w:val="single" w:sz="2" w:space="0" w:color="000000"/>
            </w:tcBorders>
            <w:shd w:fill="auto" w:val="clear"/>
            <w:tcMar>
              <w:top w:w="28" w:type="dxa"/>
            </w:tcMar>
            <w:vAlign w:val="center"/>
          </w:tcPr>
          <w:p>
            <w:pPr>
              <w:pStyle w:val="TableContents"/>
              <w:spacing w:before="0" w:after="283"/>
              <w:jc w:val="left"/>
              <w:rPr/>
            </w:pPr>
            <w:r>
              <w:rPr/>
              <w:t> </w:t>
            </w:r>
          </w:p>
        </w:tc>
      </w:tr>
      <w:tr>
        <w:trPr/>
        <w:tc>
          <w:tcPr>
            <w:tcW w:w="2807" w:type="dxa"/>
            <w:tcBorders/>
            <w:shd w:fill="auto" w:val="clear"/>
            <w:vAlign w:val="bottom"/>
          </w:tcPr>
          <w:p>
            <w:pPr>
              <w:pStyle w:val="TableContents"/>
              <w:spacing w:before="0" w:after="0"/>
              <w:ind w:left="225" w:right="0" w:hanging="225"/>
              <w:rPr/>
            </w:pPr>
            <w:r>
              <w:rPr/>
              <w:t>Leases (1)</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239.2</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10.5</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42.6</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37.9</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27.0</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17.3</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right"/>
              <w:rPr/>
            </w:pPr>
            <w:r>
              <w:rPr/>
              <w:t>$</w:t>
            </w:r>
          </w:p>
        </w:tc>
        <w:tc>
          <w:tcPr>
            <w:tcW w:w="732" w:type="dxa"/>
            <w:tcBorders/>
            <w:shd w:fill="auto" w:val="clear"/>
            <w:vAlign w:val="bottom"/>
          </w:tcPr>
          <w:p>
            <w:pPr>
              <w:pStyle w:val="TableContents"/>
              <w:spacing w:before="0" w:after="283"/>
              <w:jc w:val="right"/>
              <w:rPr/>
            </w:pPr>
            <w:r>
              <w:rPr/>
              <w:t>103.9</w:t>
            </w:r>
          </w:p>
        </w:tc>
        <w:tc>
          <w:tcPr>
            <w:tcW w:w="134" w:type="dxa"/>
            <w:tcBorders/>
            <w:shd w:fill="auto" w:val="clear"/>
            <w:vAlign w:val="bottom"/>
          </w:tcPr>
          <w:p>
            <w:pPr>
              <w:pStyle w:val="TableContents"/>
              <w:spacing w:before="0" w:after="283"/>
              <w:rPr/>
            </w:pPr>
            <w:r>
              <w:rPr/>
              <w:t> </w:t>
            </w:r>
          </w:p>
        </w:tc>
      </w:tr>
      <w:tr>
        <w:trPr/>
        <w:tc>
          <w:tcPr>
            <w:tcW w:w="2807" w:type="dxa"/>
            <w:tcBorders/>
            <w:shd w:fill="auto" w:val="clear"/>
            <w:vAlign w:val="bottom"/>
          </w:tcPr>
          <w:p>
            <w:pPr>
              <w:pStyle w:val="TableContents"/>
              <w:spacing w:before="0" w:after="0"/>
              <w:ind w:left="225" w:right="0" w:hanging="225"/>
              <w:rPr/>
            </w:pPr>
            <w:r>
              <w:rPr/>
              <w:t>Crude oil, LPG and other  </w:t>
              <w:br/>
              <w:t>purchases (2)</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8,448.3</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4,487.4</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740" w:type="dxa"/>
            <w:tcBorders/>
            <w:shd w:fill="auto" w:val="clear"/>
            <w:vAlign w:val="bottom"/>
          </w:tcPr>
          <w:p>
            <w:pPr>
              <w:pStyle w:val="TableContents"/>
              <w:spacing w:before="0" w:after="283"/>
              <w:jc w:val="right"/>
              <w:rPr/>
            </w:pPr>
            <w:r>
              <w:rPr/>
              <w:t>1,709.1</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858.5</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568.2</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441.1</w:t>
            </w:r>
          </w:p>
        </w:tc>
        <w:tc>
          <w:tcPr>
            <w:tcW w:w="9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right"/>
              <w:rPr/>
            </w:pPr>
            <w:r>
              <w:rPr/>
              <w:t>$</w:t>
            </w:r>
          </w:p>
        </w:tc>
        <w:tc>
          <w:tcPr>
            <w:tcW w:w="732" w:type="dxa"/>
            <w:tcBorders/>
            <w:shd w:fill="auto" w:val="clear"/>
            <w:vAlign w:val="bottom"/>
          </w:tcPr>
          <w:p>
            <w:pPr>
              <w:pStyle w:val="TableContents"/>
              <w:spacing w:before="0" w:after="283"/>
              <w:jc w:val="right"/>
              <w:rPr/>
            </w:pPr>
            <w:r>
              <w:rPr/>
              <w:t>384.0</w:t>
            </w:r>
          </w:p>
        </w:tc>
        <w:tc>
          <w:tcPr>
            <w:tcW w:w="134"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715"/>
        <w:gridCol w:w="2224"/>
        <w:gridCol w:w="1266"/>
      </w:tblGrid>
      <w:tr>
        <w:trPr/>
        <w:tc>
          <w:tcPr>
            <w:tcW w:w="6715"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(1)</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Leases are primarily for office rent, trucks used in our gathering activities, and right of way obligations.</w:t>
            </w:r>
          </w:p>
        </w:tc>
      </w:tr>
      <w:tr>
        <w:trPr/>
        <w:tc>
          <w:tcPr>
            <w:tcW w:w="6715" w:type="dxa"/>
            <w:tcBorders/>
            <w:shd w:fill="auto" w:val="clear"/>
            <w:vAlign w:val="center"/>
          </w:tcPr>
          <w:p>
            <w:pPr>
              <w:pStyle w:val="TableContents"/>
              <w:spacing w:before="0" w:after="283"/>
              <w:rPr/>
            </w:pPr>
            <w:r>
              <w:rPr/>
              <w:t> </w:t>
            </w:r>
          </w:p>
        </w:tc>
        <w:tc>
          <w:tcPr>
            <w:tcW w:w="3490" w:type="dxa"/>
            <w:gridSpan w:val="2"/>
            <w:tcBorders/>
            <w:shd w:fill="auto" w:val="clear"/>
          </w:tcPr>
          <w:p>
            <w:pPr>
              <w:pStyle w:val="TableContents"/>
              <w:spacing w:before="0" w:after="283"/>
              <w:rPr>
                <w:sz w:val="4"/>
                <w:szCs w:val="4"/>
              </w:rPr>
            </w:pPr>
            <w:r>
              <w:rPr>
                <w:sz w:val="4"/>
                <w:szCs w:val="4"/>
              </w:rPr>
            </w:r>
          </w:p>
        </w:tc>
      </w:tr>
      <w:tr>
        <w:trPr/>
        <w:tc>
          <w:tcPr>
            <w:tcW w:w="6715" w:type="dxa"/>
            <w:tcBorders/>
            <w:shd w:fill="auto" w:val="clear"/>
          </w:tcPr>
          <w:p>
            <w:pPr>
              <w:pStyle w:val="TableContents"/>
              <w:spacing w:before="0" w:after="283"/>
              <w:jc w:val="left"/>
              <w:rPr/>
            </w:pPr>
            <w:r>
              <w:rPr/>
              <w:t>(2)</w:t>
            </w:r>
          </w:p>
        </w:tc>
        <w:tc>
          <w:tcPr>
            <w:tcW w:w="2224" w:type="dxa"/>
            <w:tcBorders/>
            <w:shd w:fill="auto" w:val="clear"/>
          </w:tcPr>
          <w:p>
            <w:pPr>
              <w:pStyle w:val="TableContents"/>
              <w:spacing w:before="0" w:after="283"/>
              <w:rPr/>
            </w:pPr>
            <w:r>
              <w:rPr/>
              <w:t> </w:t>
            </w:r>
          </w:p>
        </w:tc>
        <w:tc>
          <w:tcPr>
            <w:tcW w:w="1266" w:type="dxa"/>
            <w:tcBorders/>
            <w:shd w:fill="auto" w:val="clear"/>
          </w:tcPr>
          <w:p>
            <w:pPr>
              <w:pStyle w:val="TableContents"/>
              <w:spacing w:before="0" w:after="283"/>
              <w:rPr/>
            </w:pPr>
            <w:r>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Letters of Credit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connection with our crude oil marketing, we provide certain suppliers with irrevocable standby letters of credit to secure our obligation for the purchase of crude oil. At September 30, 2007, approximately $51 million of letters of credit were outstanding under our credit facility. See Note 5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Capital Contributions to PAA/Vulcan Gas Storage, LLC</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and Vulcan Gas Storage LLC are both required to make capital contributions in equal proportions to fund equity requests associated with certain projects specified in the joint venture agreement. During the first nine months of 2007, we made an additional contribution of approximately $9 million to PAA/Vulcan. Such contribution did not result in an increase to our ownership interest. Also see Note 10 to our Condensed Consolidated Financial Statements for discussion of an additional commitment through a hedge instrument with PAA/Vulcan.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Distributions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discussion above under </w:t>
      </w:r>
      <w:r>
        <w:rPr>
          <w:rFonts w:ascii="Times New Roman;Times;serif" w:hAnsi="Times New Roman;Times;serif"/>
          <w:i/>
          <w:sz w:val="17"/>
        </w:rPr>
        <w:t>Capital Expenditures and Distributions Paid to Unitholders and General Partner</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Regulation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12 to our Condensed Consolidated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Recent Accounting Pronouncements and Change in Accounting Principle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14 to our Condensed Consolidated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43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Critical Accounting Policies and Estimates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a discussion regarding our critical accounting policies and estimates, see Critical Accounting Policies and Estimates in Item 7 of our 2006 Annual Report on Form 10-K.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Forward-Looking Statements and Associated Risks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tbl>
      <w:tblPr>
        <w:tblW w:w="5000" w:type="pct"/>
        <w:jc w:val="left"/>
        <w:tblInd w:w="0" w:type="dxa"/>
        <w:tblCellMar>
          <w:top w:w="0" w:type="dxa"/>
          <w:left w:w="0" w:type="dxa"/>
          <w:bottom w:w="0" w:type="dxa"/>
          <w:right w:w="0" w:type="dxa"/>
        </w:tblCellMar>
      </w:tblPr>
      <w:tblGrid>
        <w:gridCol w:w="203"/>
        <w:gridCol w:w="304"/>
        <w:gridCol w:w="102"/>
        <w:gridCol w:w="9596"/>
      </w:tblGrid>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failure to realize the anticipated synergies and other benefits of the merger with Pacific;</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success of our risk management activities;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environmental liabilities or events that are not covered by an indemnity, insurance or existing reserves;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maintenance of our credit rating and ability to receive open credit from our suppliers and trade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abrupt or severe declines or interruptions in outer continental shelf production located offshore California and transported on our pipeline systems;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failure to implement or capitalize on planned internal growth projects;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shortages or cost increases of power supplies, materials or labor;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adequate third party production volumes for transportation and marketing in the areas in which we operate, and other factors that could cause declines in volumes shipped on our pipelines by us and third-party shippers;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refinery capacity in areas supplied by our mainlines, and other factors affecting demand for various grades of crude oil, refined products and natural gas and resulting changes in pricing conditions or transmission throughput requirements;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availability of, and our ability to consummate, acquisition or combination opportunities;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our access to capital to fund additional acquisitions and our ability to obtain debt or equity financing on satisfactory terms;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successful integration and future performance of acquired assets or businesses and the risks associated with operating in lines of business that are distinct and separate from our historical operations;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unanticipated changes in crude oil market structure and volatility (or lack thereof);</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impact of current and future laws, rulings and governmental regulations;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effects of competition;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continued creditworthiness of, and performance by, our counterparties;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interruptions in service and fluctuations in tariffs or volumes on third-party pipelines;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increased costs or lack of availability of insurance;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fluctuations in the debt and equity markets, including the price of our units at the time of vesting under our long-term incentive plans;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the currency exchange rate of the Canadian dollar;</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weather interference with business operations or project construction;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risks related to the development and operation of natural gas storage facilities;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general economic, market or business conditions;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other factors and uncertainties inherent in the transportation, storage, terminalling and marketing of crude oil, refined products and liquefied petroleum gas and other natural gas related petroleum products.</w:t>
            </w:r>
          </w:p>
        </w:tc>
      </w:tr>
    </w:tbl>
    <w:p>
      <w:pPr>
        <w:pStyle w:val="TextBody"/>
        <w:spacing w:before="120" w:after="283"/>
        <w:jc w:val="left"/>
        <w:rPr/>
      </w:pPr>
      <w:r>
        <w:rPr/>
        <w:t>     </w:t>
      </w:r>
      <w:r>
        <w:rPr>
          <w:rFonts w:ascii="Times New Roman;Times;serif" w:hAnsi="Times New Roman;Times;serif"/>
          <w:sz w:val="17"/>
        </w:rPr>
        <w:t xml:space="preserve">Other factors, such as (i) the Risk Factors discussed in Item 1A of Part II of this report, (ii) the Risks Related to Our Business discussed in Item 1A of our most recent annual report on Form 10-K and (iii) factors that are unknown or unpredictable, could also have a material adverse effect on future results. Except as required by applicable securities laws, we do not intend to update these forward-looking statements and information. </w:t>
      </w:r>
    </w:p>
    <w:p>
      <w:pPr>
        <w:pStyle w:val="TextBody"/>
        <w:spacing w:before="240" w:after="283"/>
        <w:jc w:val="left"/>
        <w:rPr>
          <w:rFonts w:ascii="Times New Roman;Times;serif" w:hAnsi="Times New Roman;Times;serif"/>
          <w:sz w:val="17"/>
        </w:rPr>
      </w:pPr>
      <w:bookmarkStart w:id="13" w:name="111"/>
      <w:bookmarkEnd w:id="13"/>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should be read in conjunction with Quantitative and Qualitative Disclosures About Market Risk included in Item 7A in our 2006 Annual Report on Form 10-K. There have been no material changes in that information other than as discussed below. Also, see Note 9 to our Condensed Consolidated Financial Statements for additional discussion related to derivative instruments and hedging activities.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Commodity Price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of our open commodity price risk derivatives at September 30, 2007 were categorized as non-trading. The fair value of these instruments and the change in fair value that would be expected from a 10 percent price decrease are shown in the table below: </w:t>
      </w:r>
    </w:p>
    <w:tbl>
      <w:tblPr>
        <w:tblW w:w="5000" w:type="pct"/>
        <w:jc w:val="center"/>
        <w:tblInd w:w="0" w:type="dxa"/>
        <w:tblCellMar>
          <w:top w:w="0" w:type="dxa"/>
          <w:left w:w="0" w:type="dxa"/>
          <w:bottom w:w="0" w:type="dxa"/>
          <w:right w:w="0" w:type="dxa"/>
        </w:tblCellMar>
      </w:tblPr>
      <w:tblGrid>
        <w:gridCol w:w="6146"/>
        <w:gridCol w:w="418"/>
        <w:gridCol w:w="257"/>
        <w:gridCol w:w="1048"/>
        <w:gridCol w:w="147"/>
        <w:gridCol w:w="418"/>
        <w:gridCol w:w="324"/>
        <w:gridCol w:w="1294"/>
        <w:gridCol w:w="153"/>
      </w:tblGrid>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18" w:type="dxa"/>
            <w:gridSpan w:val="2"/>
            <w:tcBorders/>
            <w:shd w:fill="auto" w:val="clear"/>
            <w:vAlign w:val="bottom"/>
          </w:tcPr>
          <w:p>
            <w:pPr>
              <w:pStyle w:val="TableContents"/>
              <w:spacing w:before="0" w:after="283"/>
              <w:jc w:val="center"/>
              <w:rPr>
                <w:b/>
              </w:rPr>
            </w:pPr>
            <w:r>
              <w:rPr>
                <w:b/>
              </w:rPr>
              <w:t>Effect of 10%</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3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Fair Value</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161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 Decrease</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488" w:type="dxa"/>
            <w:gridSpan w:val="6"/>
            <w:tcBorders/>
            <w:shd w:fill="auto" w:val="clear"/>
            <w:vAlign w:val="bottom"/>
          </w:tcPr>
          <w:p>
            <w:pPr>
              <w:pStyle w:val="TableContents"/>
              <w:spacing w:before="0" w:after="283"/>
              <w:jc w:val="center"/>
              <w:rPr>
                <w:b/>
              </w:rPr>
            </w:pPr>
            <w:r>
              <w:rPr>
                <w:b/>
              </w:rPr>
              <w:t>(in millions)</w:t>
            </w:r>
          </w:p>
        </w:tc>
        <w:tc>
          <w:tcPr>
            <w:tcW w:w="153" w:type="dxa"/>
            <w:tcBorders/>
            <w:shd w:fill="auto" w:val="clear"/>
            <w:vAlign w:val="bottom"/>
          </w:tcPr>
          <w:p>
            <w:pPr>
              <w:pStyle w:val="TableContents"/>
              <w:spacing w:before="0" w:after="283"/>
              <w:rPr/>
            </w:pPr>
            <w:r>
              <w:rPr/>
              <w:t> </w:t>
            </w:r>
          </w:p>
        </w:tc>
      </w:tr>
      <w:tr>
        <w:trPr/>
        <w:tc>
          <w:tcPr>
            <w:tcW w:w="6146" w:type="dxa"/>
            <w:tcBorders/>
            <w:shd w:fill="CCEEFF" w:val="clear"/>
            <w:vAlign w:val="bottom"/>
          </w:tcPr>
          <w:p>
            <w:pPr>
              <w:pStyle w:val="TableContents"/>
              <w:spacing w:before="0" w:after="0"/>
              <w:ind w:left="225" w:right="0" w:hanging="225"/>
              <w:rPr>
                <w:u w:val="single"/>
              </w:rPr>
            </w:pPr>
            <w:r>
              <w:rPr>
                <w:u w:val="single"/>
              </w:rPr>
              <w:t>Crude oil:</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0"/>
              <w:ind w:left="225" w:right="0" w:hanging="225"/>
              <w:rPr/>
            </w:pPr>
            <w:r>
              <w:rPr/>
              <w:t>Futures contracts</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(43.8</w:t>
            </w:r>
          </w:p>
        </w:tc>
        <w:tc>
          <w:tcPr>
            <w:tcW w:w="147"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(22.8</w:t>
            </w:r>
          </w:p>
        </w:tc>
        <w:tc>
          <w:tcPr>
            <w:tcW w:w="153" w:type="dxa"/>
            <w:tcBorders/>
            <w:shd w:fill="auto" w:val="clear"/>
            <w:vAlign w:val="bottom"/>
          </w:tcPr>
          <w:p>
            <w:pPr>
              <w:pStyle w:val="TableContents"/>
              <w:spacing w:before="0" w:after="283"/>
              <w:rPr/>
            </w:pPr>
            <w:r>
              <w:rPr/>
              <w:t>)</w:t>
            </w:r>
          </w:p>
        </w:tc>
      </w:tr>
      <w:tr>
        <w:trPr/>
        <w:tc>
          <w:tcPr>
            <w:tcW w:w="6146" w:type="dxa"/>
            <w:tcBorders/>
            <w:shd w:fill="CCEEFF" w:val="clear"/>
            <w:vAlign w:val="bottom"/>
          </w:tcPr>
          <w:p>
            <w:pPr>
              <w:pStyle w:val="TableContents"/>
              <w:spacing w:before="0" w:after="0"/>
              <w:ind w:left="225" w:right="0" w:hanging="225"/>
              <w:rPr/>
            </w:pPr>
            <w:r>
              <w:rPr/>
              <w:t>Swaps and options contracts</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(41.8</w:t>
            </w:r>
          </w:p>
        </w:tc>
        <w:tc>
          <w:tcPr>
            <w:tcW w:w="147"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46.3</w:t>
            </w:r>
          </w:p>
        </w:tc>
        <w:tc>
          <w:tcPr>
            <w:tcW w:w="153" w:type="dxa"/>
            <w:tcBorders/>
            <w:shd w:fill="CCEEFF"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0"/>
              <w:ind w:left="225" w:right="0" w:hanging="225"/>
              <w:rPr/>
            </w:pPr>
            <w:r>
              <w:rPr/>
              <w:t> </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r>
      <w:tr>
        <w:trPr/>
        <w:tc>
          <w:tcPr>
            <w:tcW w:w="6146" w:type="dxa"/>
            <w:tcBorders/>
            <w:shd w:fill="auto" w:val="clear"/>
            <w:vAlign w:val="bottom"/>
          </w:tcPr>
          <w:p>
            <w:pPr>
              <w:pStyle w:val="TableContents"/>
              <w:spacing w:before="0" w:after="0"/>
              <w:ind w:left="225" w:right="0" w:hanging="225"/>
              <w:rPr>
                <w:u w:val="single"/>
              </w:rPr>
            </w:pPr>
            <w:r>
              <w:rPr>
                <w:u w:val="single"/>
              </w:rPr>
              <w:t>LPG and other:</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0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r>
      <w:tr>
        <w:trPr/>
        <w:tc>
          <w:tcPr>
            <w:tcW w:w="6146" w:type="dxa"/>
            <w:tcBorders/>
            <w:shd w:fill="CCEEFF" w:val="clear"/>
            <w:vAlign w:val="bottom"/>
          </w:tcPr>
          <w:p>
            <w:pPr>
              <w:pStyle w:val="TableContents"/>
              <w:spacing w:before="0" w:after="0"/>
              <w:ind w:left="225" w:right="0" w:hanging="225"/>
              <w:rPr/>
            </w:pPr>
            <w:r>
              <w:rPr/>
              <w:t>Futures contracts</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w:t>
            </w:r>
          </w:p>
        </w:tc>
        <w:tc>
          <w:tcPr>
            <w:tcW w:w="147" w:type="dxa"/>
            <w:tcBorders/>
            <w:shd w:fill="CCEEFF" w:val="clear"/>
            <w:vAlign w:val="bottom"/>
          </w:tcPr>
          <w:p>
            <w:pPr>
              <w:pStyle w:val="TableContents"/>
              <w:spacing w:before="0" w:after="283"/>
              <w:rPr/>
            </w:pPr>
            <w:r>
              <w:rPr/>
              <w:t> </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(5.7</w:t>
            </w:r>
          </w:p>
        </w:tc>
        <w:tc>
          <w:tcPr>
            <w:tcW w:w="153" w:type="dxa"/>
            <w:tcBorders/>
            <w:shd w:fill="CCEEFF" w:val="clear"/>
            <w:vAlign w:val="bottom"/>
          </w:tcPr>
          <w:p>
            <w:pPr>
              <w:pStyle w:val="TableContents"/>
              <w:spacing w:before="0" w:after="283"/>
              <w:rPr/>
            </w:pPr>
            <w:r>
              <w:rPr/>
              <w:t>)</w:t>
            </w:r>
          </w:p>
        </w:tc>
      </w:tr>
      <w:tr>
        <w:trPr/>
        <w:tc>
          <w:tcPr>
            <w:tcW w:w="6146" w:type="dxa"/>
            <w:tcBorders/>
            <w:shd w:fill="auto" w:val="clear"/>
            <w:vAlign w:val="bottom"/>
          </w:tcPr>
          <w:p>
            <w:pPr>
              <w:pStyle w:val="TableContents"/>
              <w:spacing w:before="0" w:after="0"/>
              <w:ind w:left="225" w:right="0" w:hanging="225"/>
              <w:rPr/>
            </w:pPr>
            <w:r>
              <w:rPr/>
              <w:t>Swaps and options contracts</w:t>
            </w:r>
          </w:p>
        </w:tc>
        <w:tc>
          <w:tcPr>
            <w:tcW w:w="418"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jc w:val="left"/>
              <w:rPr/>
            </w:pPr>
            <w:r>
              <w:rPr/>
              <w:t>$</w:t>
            </w:r>
          </w:p>
        </w:tc>
        <w:tc>
          <w:tcPr>
            <w:tcW w:w="1048" w:type="dxa"/>
            <w:tcBorders/>
            <w:shd w:fill="auto" w:val="clear"/>
            <w:vAlign w:val="bottom"/>
          </w:tcPr>
          <w:p>
            <w:pPr>
              <w:pStyle w:val="TableContents"/>
              <w:spacing w:before="0" w:after="283"/>
              <w:jc w:val="right"/>
              <w:rPr/>
            </w:pPr>
            <w:r>
              <w:rPr/>
              <w:t>18.6</w:t>
            </w:r>
          </w:p>
        </w:tc>
        <w:tc>
          <w:tcPr>
            <w:tcW w:w="147" w:type="dxa"/>
            <w:tcBorders/>
            <w:shd w:fill="auto" w:val="clear"/>
            <w:vAlign w:val="bottom"/>
          </w:tcPr>
          <w:p>
            <w:pPr>
              <w:pStyle w:val="TableContents"/>
              <w:spacing w:before="0" w:after="283"/>
              <w:rPr/>
            </w:pPr>
            <w:r>
              <w:rPr/>
              <w:t> </w:t>
            </w:r>
          </w:p>
        </w:tc>
        <w:tc>
          <w:tcPr>
            <w:tcW w:w="418"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(20.0</w:t>
            </w:r>
          </w:p>
        </w:tc>
        <w:tc>
          <w:tcPr>
            <w:tcW w:w="153" w:type="dxa"/>
            <w:tcBorders/>
            <w:shd w:fill="auto" w:val="clear"/>
            <w:vAlign w:val="bottom"/>
          </w:tcPr>
          <w:p>
            <w:pPr>
              <w:pStyle w:val="TableContents"/>
              <w:spacing w:before="0" w:after="283"/>
              <w:rPr/>
            </w:pPr>
            <w:r>
              <w:rPr/>
              <w:t>)</w:t>
            </w:r>
          </w:p>
        </w:tc>
      </w:tr>
      <w:tr>
        <w:trPr/>
        <w:tc>
          <w:tcPr>
            <w:tcW w:w="6146" w:type="dxa"/>
            <w:tcBorders/>
            <w:shd w:fill="auto" w:val="clear"/>
            <w:vAlign w:val="center"/>
          </w:tcPr>
          <w:p>
            <w:pPr>
              <w:pStyle w:val="TableContents"/>
              <w:spacing w:before="0" w:after="0"/>
              <w:ind w:left="225" w:right="0" w:hanging="225"/>
              <w:rPr/>
            </w:pPr>
            <w:r>
              <w:rPr/>
              <w:t> </w:t>
            </w:r>
          </w:p>
        </w:tc>
        <w:tc>
          <w:tcPr>
            <w:tcW w:w="418" w:type="dxa"/>
            <w:tcBorders/>
            <w:shd w:fill="auto" w:val="clear"/>
            <w:vAlign w:val="center"/>
          </w:tcPr>
          <w:p>
            <w:pPr>
              <w:pStyle w:val="TableContents"/>
              <w:spacing w:before="0" w:after="283"/>
              <w:rPr/>
            </w:pPr>
            <w:r>
              <w:rPr/>
              <w:t> </w:t>
            </w:r>
          </w:p>
        </w:tc>
        <w:tc>
          <w:tcPr>
            <w:tcW w:w="13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1294"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r>
      <w:tr>
        <w:trPr/>
        <w:tc>
          <w:tcPr>
            <w:tcW w:w="6146" w:type="dxa"/>
            <w:tcBorders/>
            <w:shd w:fill="CCEEFF" w:val="clear"/>
            <w:vAlign w:val="bottom"/>
          </w:tcPr>
          <w:p>
            <w:pPr>
              <w:pStyle w:val="TableContents"/>
              <w:spacing w:before="0" w:after="0"/>
              <w:ind w:left="225" w:right="0" w:hanging="225"/>
              <w:rPr/>
            </w:pPr>
            <w:r>
              <w:rPr/>
              <w:t>Total Fair Value</w:t>
            </w:r>
          </w:p>
        </w:tc>
        <w:tc>
          <w:tcPr>
            <w:tcW w:w="418"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jc w:val="left"/>
              <w:rPr/>
            </w:pPr>
            <w:r>
              <w:rPr/>
              <w:t>$</w:t>
            </w:r>
          </w:p>
        </w:tc>
        <w:tc>
          <w:tcPr>
            <w:tcW w:w="1048" w:type="dxa"/>
            <w:tcBorders/>
            <w:shd w:fill="CCEEFF" w:val="clear"/>
            <w:vAlign w:val="bottom"/>
          </w:tcPr>
          <w:p>
            <w:pPr>
              <w:pStyle w:val="TableContents"/>
              <w:spacing w:before="0" w:after="283"/>
              <w:jc w:val="right"/>
              <w:rPr/>
            </w:pPr>
            <w:r>
              <w:rPr/>
              <w:t>(67.0</w:t>
            </w:r>
          </w:p>
        </w:tc>
        <w:tc>
          <w:tcPr>
            <w:tcW w:w="147" w:type="dxa"/>
            <w:tcBorders/>
            <w:shd w:fill="CCEEFF" w:val="clear"/>
            <w:vAlign w:val="bottom"/>
          </w:tcPr>
          <w:p>
            <w:pPr>
              <w:pStyle w:val="TableContents"/>
              <w:spacing w:before="0" w:after="283"/>
              <w:rPr/>
            </w:pPr>
            <w:r>
              <w:rPr/>
              <w:t>)</w:t>
            </w:r>
          </w:p>
        </w:tc>
        <w:tc>
          <w:tcPr>
            <w:tcW w:w="418"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r>
      <w:tr>
        <w:trPr/>
        <w:tc>
          <w:tcPr>
            <w:tcW w:w="6146" w:type="dxa"/>
            <w:tcBorders/>
            <w:shd w:fill="auto" w:val="clear"/>
            <w:vAlign w:val="center"/>
          </w:tcPr>
          <w:p>
            <w:pPr>
              <w:pStyle w:val="TableContents"/>
              <w:spacing w:before="0" w:after="0"/>
              <w:ind w:left="225" w:right="0" w:hanging="225"/>
              <w:rPr/>
            </w:pPr>
            <w:r>
              <w:rPr/>
              <w:t> </w:t>
            </w:r>
          </w:p>
        </w:tc>
        <w:tc>
          <w:tcPr>
            <w:tcW w:w="418" w:type="dxa"/>
            <w:tcBorders/>
            <w:shd w:fill="auto" w:val="clear"/>
            <w:vAlign w:val="center"/>
          </w:tcPr>
          <w:p>
            <w:pPr>
              <w:pStyle w:val="TableContents"/>
              <w:spacing w:before="0" w:after="283"/>
              <w:rPr/>
            </w:pPr>
            <w:r>
              <w:rPr/>
              <w:t> </w:t>
            </w:r>
          </w:p>
        </w:tc>
        <w:tc>
          <w:tcPr>
            <w:tcW w:w="13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7" w:type="dxa"/>
            <w:tcBorders/>
            <w:shd w:fill="auto" w:val="clear"/>
            <w:vAlign w:val="center"/>
          </w:tcPr>
          <w:p>
            <w:pPr>
              <w:pStyle w:val="TableContents"/>
              <w:spacing w:before="0" w:after="283"/>
              <w:rPr/>
            </w:pPr>
            <w:r>
              <w:rPr/>
              <w:t> </w:t>
            </w:r>
          </w:p>
        </w:tc>
        <w:tc>
          <w:tcPr>
            <w:tcW w:w="418" w:type="dxa"/>
            <w:tcBorders/>
            <w:shd w:fill="auto" w:val="clear"/>
            <w:vAlign w:val="center"/>
          </w:tcPr>
          <w:p>
            <w:pPr>
              <w:pStyle w:val="TableContents"/>
              <w:spacing w:before="0" w:after="283"/>
              <w:rPr/>
            </w:pPr>
            <w:r>
              <w:rPr/>
              <w:t> </w:t>
            </w:r>
          </w:p>
        </w:tc>
        <w:tc>
          <w:tcPr>
            <w:tcW w:w="324" w:type="dxa"/>
            <w:tcBorders/>
            <w:shd w:fill="auto" w:val="clear"/>
            <w:vAlign w:val="center"/>
          </w:tcPr>
          <w:p>
            <w:pPr>
              <w:pStyle w:val="TableContents"/>
              <w:spacing w:before="0" w:after="283"/>
              <w:rPr/>
            </w:pPr>
            <w:r>
              <w:rPr/>
              <w:t> </w:t>
            </w:r>
          </w:p>
        </w:tc>
        <w:tc>
          <w:tcPr>
            <w:tcW w:w="1294"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i/>
          <w:sz w:val="17"/>
        </w:rPr>
        <w:t>Interest Rate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All of our senior notes are fixed-rate notes and thus not subject to market risk. Our variable-rate debt bears interest at LIBOR, prime or the bankers acceptance rate plus the applicable margin. Our variable-rate debt at September 30, 2007 was approximately $478 million and is expected to mature in 2007. The average interest rate of 5.9% is based upon rates in effect at September 30, 2007. The carrying values of the variable-rate instruments in our hedged inventory facility and credit facilities approximate fair value primarily because interest rates fluctuate with prevailing market rates, and the credit spread on outstanding borrowings reflects market. </w:t>
      </w:r>
    </w:p>
    <w:p>
      <w:pPr>
        <w:pStyle w:val="TextBody"/>
        <w:jc w:val="center"/>
        <w:rPr>
          <w:rFonts w:ascii="Times New Roman;Times;serif" w:hAnsi="Times New Roman;Times;serif"/>
          <w:sz w:val="17"/>
        </w:rPr>
      </w:pPr>
      <w:r>
        <w:rPr>
          <w:rFonts w:ascii="Times New Roman;Times;serif" w:hAnsi="Times New Roman;Times;serif"/>
          <w:sz w:val="17"/>
        </w:rPr>
        <w:t xml:space="preserve">45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60" w:after="283"/>
        <w:jc w:val="left"/>
        <w:rPr>
          <w:rFonts w:ascii="Times New Roman;Times;serif" w:hAnsi="Times New Roman;Times;serif"/>
          <w:sz w:val="17"/>
        </w:rPr>
      </w:pPr>
      <w:r>
        <w:rPr>
          <w:rFonts w:ascii="Times New Roman;Times;serif" w:hAnsi="Times New Roman;Times;serif"/>
          <w:b/>
          <w:i/>
          <w:sz w:val="17"/>
        </w:rPr>
        <w:t>Currency Exchange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cash flow stream relating to our Canadian operations is based on the U.S. dollar equivalent of such amounts measured in Canadian dollars. Assets and liabilities of our Canadian subsidiaries are translated to U.S. dollars using the applicable exchange rate as of the end of a reporting period. Revenues, expenses and cash flow are translated using the average exchange rate during the reporting period. Because a significant portion of our Canadian business is conducted in Canadian dollars, we use certain financial instruments to minimize the risks of changes in the exchange rate. These instruments may include forward exchange contracts and options. The fair value of these instruments based on current termination values is an unrealized loss of less than $1 million as of September 30, 2007. </w:t>
      </w:r>
    </w:p>
    <w:p>
      <w:pPr>
        <w:pStyle w:val="TextBody"/>
        <w:spacing w:before="120" w:after="283"/>
        <w:jc w:val="left"/>
        <w:rPr>
          <w:rFonts w:ascii="Times New Roman;Times;serif" w:hAnsi="Times New Roman;Times;serif"/>
          <w:sz w:val="17"/>
        </w:rPr>
      </w:pPr>
      <w:bookmarkStart w:id="14" w:name="112"/>
      <w:bookmarkEnd w:id="14"/>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maintain written disclosure controls and procedures, which we refer to as our DCP. The purpose of our DCP is to provide reasonable assurance that information is (i) recorded, processed, summarized and reported in a manner that allows for timely disclosure of such information in accordance with the securities laws and SEC regulations and (ii) accumulated and communicated to management, including our Chief Executive Officer and Chief Financial Officer, to allow for timely decisions regarding required disclosure. </w:t>
      </w:r>
    </w:p>
    <w:p>
      <w:pPr>
        <w:pStyle w:val="TextBody"/>
        <w:spacing w:before="120" w:after="283"/>
        <w:jc w:val="left"/>
        <w:rPr/>
      </w:pPr>
      <w:r>
        <w:rPr/>
        <w:t>     </w:t>
      </w:r>
      <w:r>
        <w:rPr>
          <w:rFonts w:ascii="Times New Roman;Times;serif" w:hAnsi="Times New Roman;Times;serif"/>
          <w:sz w:val="17"/>
        </w:rPr>
        <w:t xml:space="preserve">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 </w:t>
      </w:r>
    </w:p>
    <w:p>
      <w:pPr>
        <w:pStyle w:val="TextBody"/>
        <w:spacing w:before="120" w:after="283"/>
        <w:jc w:val="left"/>
        <w:rPr/>
      </w:pPr>
      <w:r>
        <w:rPr/>
        <w:t>     </w:t>
      </w:r>
      <w:r>
        <w:rPr>
          <w:rFonts w:ascii="Times New Roman;Times;serif" w:hAnsi="Times New Roman;Times;serif"/>
          <w:sz w:val="17"/>
        </w:rPr>
        <w:t xml:space="preserve">SEC rules also require an annual evaluation of the effectiveness of our internal control over financial reporting (internal control), and a quarterly evaluation of any changes in our internal control. In the course of such evaluations, we have made changes, and will continue to make changes, to refine and improve our internal control. We are required to disclose any change in our internal control that occurred during the quarter that has materially affected, or is reasonably likely to materially affect, our internal control. As a result of their evaluation of changes in internal control, management identified no changes during the third quarter of 2007 that materially affected, or would be reasonably likely to materially affect, our internal control. </w:t>
      </w:r>
    </w:p>
    <w:p>
      <w:pPr>
        <w:pStyle w:val="TextBody"/>
        <w:spacing w:before="120" w:after="283"/>
        <w:jc w:val="left"/>
        <w:rPr/>
      </w:pPr>
      <w:r>
        <w:rPr/>
        <w:t>     </w:t>
      </w:r>
      <w:r>
        <w:rPr>
          <w:rFonts w:ascii="Times New Roman;Times;serif" w:hAnsi="Times New Roman;Times;serif"/>
          <w:sz w:val="17"/>
        </w:rPr>
        <w:t xml:space="preserve">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 </w:t>
      </w:r>
    </w:p>
    <w:p>
      <w:pPr>
        <w:pStyle w:val="TextBody"/>
        <w:spacing w:before="240" w:after="283"/>
        <w:jc w:val="center"/>
        <w:rPr>
          <w:rFonts w:ascii="Times New Roman;Times;serif" w:hAnsi="Times New Roman;Times;serif"/>
          <w:sz w:val="17"/>
        </w:rPr>
      </w:pPr>
      <w:bookmarkStart w:id="15" w:name="113"/>
      <w:bookmarkEnd w:id="15"/>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16" w:name="114"/>
      <w:bookmarkEnd w:id="16"/>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Note 12 to our Condensed Consolidated Financial Statements. </w:t>
      </w:r>
    </w:p>
    <w:p>
      <w:pPr>
        <w:pStyle w:val="TextBody"/>
        <w:spacing w:before="120" w:after="283"/>
        <w:jc w:val="left"/>
        <w:rPr>
          <w:rFonts w:ascii="Times New Roman;Times;serif" w:hAnsi="Times New Roman;Times;serif"/>
          <w:sz w:val="17"/>
        </w:rPr>
      </w:pPr>
      <w:bookmarkStart w:id="17" w:name="115"/>
      <w:bookmarkEnd w:id="17"/>
      <w:r>
        <w:rPr>
          <w:rFonts w:ascii="Times New Roman;Times;serif" w:hAnsi="Times New Roman;Times;serif"/>
          <w:b/>
          <w:sz w:val="17"/>
        </w:rPr>
        <w:t>Item 1A.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b/>
          <w:i/>
          <w:sz w:val="17"/>
        </w:rPr>
      </w:pPr>
      <w:r>
        <w:rPr>
          <w:rFonts w:ascii="Times New Roman;Times;serif" w:hAnsi="Times New Roman;Times;serif"/>
          <w:b/>
          <w:i/>
          <w:sz w:val="17"/>
        </w:rPr>
        <w:t>The sale or exchange of 50% or more of our capital and profits interests during any twelve-month period will result in our termination as a partnership for federal income tax purposes.</w:t>
      </w:r>
    </w:p>
    <w:p>
      <w:pPr>
        <w:pStyle w:val="TextBody"/>
        <w:spacing w:before="120" w:after="283"/>
        <w:jc w:val="left"/>
        <w:rPr/>
      </w:pPr>
      <w:r>
        <w:rPr/>
        <w:t>     </w:t>
      </w:r>
      <w:r>
        <w:rPr>
          <w:rFonts w:ascii="Times New Roman;Times;serif" w:hAnsi="Times New Roman;Times;serif"/>
          <w:sz w:val="17"/>
        </w:rPr>
        <w:t xml:space="preserve">We will be considered to have terminated for federal income tax purposes if there is a sale or exchange of 50% or more of the total interests in our capital and profits within a twelve-month period. Upon termination, the partnership is deemed to be immediately reconstituted. Our termination would have no impact on our business or operations, but would have some tax impacts, including a reduction in depreciation deductions allocated to unitholders during the first period as a new partnership, which would result in a lower tax shield. Unitholders would also receive two K-1s for the year in which the termination occurred. We believe it is likely that such a termination will occur as a result of certain structural modifications to be made in connection with the pending initial public offering of our general partner. </w:t>
      </w:r>
    </w:p>
    <w:p>
      <w:pPr>
        <w:pStyle w:val="TextBody"/>
        <w:spacing w:before="120" w:after="283"/>
        <w:jc w:val="left"/>
        <w:rPr/>
      </w:pPr>
      <w:r>
        <w:rPr/>
        <w:t>     </w:t>
      </w:r>
      <w:r>
        <w:rPr>
          <w:rFonts w:ascii="Times New Roman;Times;serif" w:hAnsi="Times New Roman;Times;serif"/>
          <w:sz w:val="17"/>
        </w:rPr>
        <w:t xml:space="preserve">For a discussion regarding additional risk factors, see Item 1A of our June 30, 2007 Quarterly Report on Form 10-Q and our 2006 Annual Report on Form 10-K. These risks and uncertainties are not the only ones facing us and there may be additional matters that we are unaware of or that we currently consider immaterial. All of these risks and uncertainties could adversely affect our business, financial condition and/or results of operations. </w:t>
      </w:r>
    </w:p>
    <w:p>
      <w:pPr>
        <w:pStyle w:val="TextBody"/>
        <w:spacing w:before="120" w:after="283"/>
        <w:jc w:val="left"/>
        <w:rPr>
          <w:rFonts w:ascii="Times New Roman;Times;serif" w:hAnsi="Times New Roman;Times;serif"/>
          <w:sz w:val="17"/>
        </w:rPr>
      </w:pPr>
      <w:bookmarkStart w:id="18" w:name="116"/>
      <w:bookmarkEnd w:id="18"/>
      <w:r>
        <w:rPr>
          <w:rFonts w:ascii="Times New Roman;Times;serif" w:hAnsi="Times New Roman;Times;serif"/>
          <w:b/>
          <w:sz w:val="17"/>
        </w:rPr>
        <w:t>Item 2. UNREGISTERED SALES OF EQUITY SECURITIES AND USE OF PROCEEDS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Issuer Repurchases of Equity Securities </w:t>
      </w:r>
    </w:p>
    <w:tbl>
      <w:tblPr>
        <w:tblW w:w="5000" w:type="pct"/>
        <w:jc w:val="center"/>
        <w:tblInd w:w="0" w:type="dxa"/>
        <w:tblCellMar>
          <w:top w:w="0" w:type="dxa"/>
          <w:left w:w="0" w:type="dxa"/>
          <w:bottom w:w="0" w:type="dxa"/>
          <w:right w:w="0" w:type="dxa"/>
        </w:tblCellMar>
      </w:tblPr>
      <w:tblGrid>
        <w:gridCol w:w="3353"/>
        <w:gridCol w:w="214"/>
        <w:gridCol w:w="179"/>
        <w:gridCol w:w="839"/>
        <w:gridCol w:w="513"/>
        <w:gridCol w:w="214"/>
        <w:gridCol w:w="338"/>
        <w:gridCol w:w="1009"/>
        <w:gridCol w:w="199"/>
        <w:gridCol w:w="214"/>
        <w:gridCol w:w="339"/>
        <w:gridCol w:w="850"/>
        <w:gridCol w:w="340"/>
        <w:gridCol w:w="60"/>
        <w:gridCol w:w="286"/>
        <w:gridCol w:w="956"/>
        <w:gridCol w:w="302"/>
      </w:tblGrid>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Maximum</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Total Number</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Number (or</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of Units</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Approximate</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Purchased as</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Dollar Value)</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Part of</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of Units that</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Publicly</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May Yet Be</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31" w:type="dxa"/>
            <w:gridSpan w:val="3"/>
            <w:tcBorders/>
            <w:shd w:fill="auto" w:val="clear"/>
            <w:vAlign w:val="bottom"/>
          </w:tcPr>
          <w:p>
            <w:pPr>
              <w:pStyle w:val="TableContents"/>
              <w:spacing w:before="0" w:after="283"/>
              <w:jc w:val="center"/>
              <w:rPr/>
            </w:pPr>
            <w:r>
              <w:rPr/>
              <w:t>Total Number</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Announced</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Purchased</w:t>
            </w:r>
          </w:p>
        </w:tc>
      </w:tr>
      <w:tr>
        <w:trPr/>
        <w:tc>
          <w:tcPr>
            <w:tcW w:w="335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531" w:type="dxa"/>
            <w:gridSpan w:val="3"/>
            <w:tcBorders/>
            <w:shd w:fill="auto" w:val="clear"/>
            <w:vAlign w:val="bottom"/>
          </w:tcPr>
          <w:p>
            <w:pPr>
              <w:pStyle w:val="TableContents"/>
              <w:spacing w:before="0" w:after="283"/>
              <w:jc w:val="center"/>
              <w:rPr/>
            </w:pPr>
            <w:r>
              <w:rPr/>
              <w:t>of Units</w:t>
            </w:r>
          </w:p>
        </w:tc>
        <w:tc>
          <w:tcPr>
            <w:tcW w:w="214" w:type="dxa"/>
            <w:tcBorders/>
            <w:shd w:fill="auto" w:val="clear"/>
            <w:vAlign w:val="bottom"/>
          </w:tcPr>
          <w:p>
            <w:pPr>
              <w:pStyle w:val="TableContents"/>
              <w:spacing w:before="0" w:after="283"/>
              <w:rPr/>
            </w:pPr>
            <w:r>
              <w:rPr/>
              <w:t> </w:t>
            </w:r>
          </w:p>
        </w:tc>
        <w:tc>
          <w:tcPr>
            <w:tcW w:w="1546" w:type="dxa"/>
            <w:gridSpan w:val="3"/>
            <w:tcBorders/>
            <w:shd w:fill="auto" w:val="clear"/>
            <w:vAlign w:val="bottom"/>
          </w:tcPr>
          <w:p>
            <w:pPr>
              <w:pStyle w:val="TableContents"/>
              <w:spacing w:before="0" w:after="283"/>
              <w:jc w:val="center"/>
              <w:rPr/>
            </w:pPr>
            <w:r>
              <w:rPr/>
              <w:t>Average Price</w:t>
            </w:r>
          </w:p>
        </w:tc>
        <w:tc>
          <w:tcPr>
            <w:tcW w:w="214" w:type="dxa"/>
            <w:tcBorders/>
            <w:shd w:fill="auto" w:val="clear"/>
            <w:vAlign w:val="bottom"/>
          </w:tcPr>
          <w:p>
            <w:pPr>
              <w:pStyle w:val="TableContents"/>
              <w:spacing w:before="0" w:after="283"/>
              <w:rPr/>
            </w:pPr>
            <w:r>
              <w:rPr/>
              <w:t> </w:t>
            </w:r>
          </w:p>
        </w:tc>
        <w:tc>
          <w:tcPr>
            <w:tcW w:w="1529" w:type="dxa"/>
            <w:gridSpan w:val="3"/>
            <w:tcBorders/>
            <w:shd w:fill="auto" w:val="clear"/>
            <w:vAlign w:val="bottom"/>
          </w:tcPr>
          <w:p>
            <w:pPr>
              <w:pStyle w:val="TableContents"/>
              <w:spacing w:before="0" w:after="283"/>
              <w:jc w:val="center"/>
              <w:rPr/>
            </w:pPr>
            <w:r>
              <w:rPr/>
              <w:t>Plans or</w:t>
            </w:r>
          </w:p>
        </w:tc>
        <w:tc>
          <w:tcPr>
            <w:tcW w:w="60" w:type="dxa"/>
            <w:tcBorders/>
            <w:shd w:fill="auto" w:val="clear"/>
            <w:vAlign w:val="bottom"/>
          </w:tcPr>
          <w:p>
            <w:pPr>
              <w:pStyle w:val="TableContents"/>
              <w:spacing w:before="0" w:after="283"/>
              <w:rPr/>
            </w:pPr>
            <w:r>
              <w:rPr/>
              <w:t> </w:t>
            </w:r>
          </w:p>
        </w:tc>
        <w:tc>
          <w:tcPr>
            <w:tcW w:w="1544" w:type="dxa"/>
            <w:gridSpan w:val="3"/>
            <w:tcBorders/>
            <w:shd w:fill="auto" w:val="clear"/>
            <w:vAlign w:val="bottom"/>
          </w:tcPr>
          <w:p>
            <w:pPr>
              <w:pStyle w:val="TableContents"/>
              <w:spacing w:before="0" w:after="283"/>
              <w:jc w:val="center"/>
              <w:rPr/>
            </w:pPr>
            <w:r>
              <w:rPr/>
              <w:t>Under the Plans</w:t>
            </w:r>
          </w:p>
        </w:tc>
      </w:tr>
      <w:tr>
        <w:trPr/>
        <w:tc>
          <w:tcPr>
            <w:tcW w:w="3353" w:type="dxa"/>
            <w:tcBorders>
              <w:bottom w:val="single" w:sz="2" w:space="0" w:color="000000"/>
            </w:tcBorders>
            <w:shd w:fill="auto" w:val="clear"/>
            <w:tcMar>
              <w:bottom w:w="28" w:type="dxa"/>
            </w:tcMar>
            <w:vAlign w:val="bottom"/>
          </w:tcPr>
          <w:p>
            <w:pPr>
              <w:pStyle w:val="TableContents"/>
              <w:spacing w:before="0" w:after="283"/>
              <w:jc w:val="left"/>
              <w:rPr/>
            </w:pPr>
            <w:r>
              <w:rPr/>
              <w:t>Period</w:t>
            </w:r>
          </w:p>
        </w:tc>
        <w:tc>
          <w:tcPr>
            <w:tcW w:w="214" w:type="dxa"/>
            <w:tcBorders/>
            <w:shd w:fill="auto" w:val="clear"/>
            <w:vAlign w:val="bottom"/>
          </w:tcPr>
          <w:p>
            <w:pPr>
              <w:pStyle w:val="TableContents"/>
              <w:spacing w:before="0" w:after="283"/>
              <w:rPr/>
            </w:pPr>
            <w:r>
              <w:rPr/>
              <w:t> </w:t>
            </w:r>
          </w:p>
        </w:tc>
        <w:tc>
          <w:tcPr>
            <w:tcW w:w="1531" w:type="dxa"/>
            <w:gridSpan w:val="3"/>
            <w:tcBorders>
              <w:bottom w:val="single" w:sz="2" w:space="0" w:color="000000"/>
            </w:tcBorders>
            <w:shd w:fill="auto" w:val="clear"/>
            <w:tcMar>
              <w:bottom w:w="28" w:type="dxa"/>
            </w:tcMar>
            <w:vAlign w:val="bottom"/>
          </w:tcPr>
          <w:p>
            <w:pPr>
              <w:pStyle w:val="TableContents"/>
              <w:spacing w:before="0" w:after="283"/>
              <w:jc w:val="center"/>
              <w:rPr/>
            </w:pPr>
            <w:r>
              <w:rPr/>
              <w:t>Purchased</w:t>
            </w:r>
          </w:p>
        </w:tc>
        <w:tc>
          <w:tcPr>
            <w:tcW w:w="214" w:type="dxa"/>
            <w:tcBorders/>
            <w:shd w:fill="auto" w:val="clear"/>
            <w:vAlign w:val="bottom"/>
          </w:tcPr>
          <w:p>
            <w:pPr>
              <w:pStyle w:val="TableContents"/>
              <w:spacing w:before="0" w:after="283"/>
              <w:rPr/>
            </w:pPr>
            <w:r>
              <w:rPr/>
              <w:t> </w:t>
            </w:r>
          </w:p>
        </w:tc>
        <w:tc>
          <w:tcPr>
            <w:tcW w:w="1546" w:type="dxa"/>
            <w:gridSpan w:val="3"/>
            <w:tcBorders>
              <w:bottom w:val="single" w:sz="2" w:space="0" w:color="000000"/>
            </w:tcBorders>
            <w:shd w:fill="auto" w:val="clear"/>
            <w:tcMar>
              <w:bottom w:w="28" w:type="dxa"/>
            </w:tcMar>
            <w:vAlign w:val="bottom"/>
          </w:tcPr>
          <w:p>
            <w:pPr>
              <w:pStyle w:val="TableContents"/>
              <w:spacing w:before="0" w:after="283"/>
              <w:jc w:val="center"/>
              <w:rPr/>
            </w:pPr>
            <w:r>
              <w:rPr/>
              <w:t>Paid per Unit</w:t>
            </w:r>
          </w:p>
        </w:tc>
        <w:tc>
          <w:tcPr>
            <w:tcW w:w="214" w:type="dxa"/>
            <w:tcBorders/>
            <w:shd w:fill="auto" w:val="clear"/>
            <w:vAlign w:val="bottom"/>
          </w:tcPr>
          <w:p>
            <w:pPr>
              <w:pStyle w:val="TableContents"/>
              <w:spacing w:before="0" w:after="283"/>
              <w:rPr/>
            </w:pPr>
            <w:r>
              <w:rPr/>
              <w:t> </w:t>
            </w:r>
          </w:p>
        </w:tc>
        <w:tc>
          <w:tcPr>
            <w:tcW w:w="1529" w:type="dxa"/>
            <w:gridSpan w:val="3"/>
            <w:tcBorders>
              <w:bottom w:val="single" w:sz="2" w:space="0" w:color="000000"/>
            </w:tcBorders>
            <w:shd w:fill="auto" w:val="clear"/>
            <w:tcMar>
              <w:bottom w:w="28" w:type="dxa"/>
            </w:tcMar>
            <w:vAlign w:val="bottom"/>
          </w:tcPr>
          <w:p>
            <w:pPr>
              <w:pStyle w:val="TableContents"/>
              <w:spacing w:before="0" w:after="283"/>
              <w:jc w:val="center"/>
              <w:rPr/>
            </w:pPr>
            <w:r>
              <w:rPr/>
              <w:t>Programs</w:t>
            </w:r>
          </w:p>
        </w:tc>
        <w:tc>
          <w:tcPr>
            <w:tcW w:w="60" w:type="dxa"/>
            <w:tcBorders/>
            <w:shd w:fill="auto" w:val="clear"/>
            <w:vAlign w:val="bottom"/>
          </w:tcPr>
          <w:p>
            <w:pPr>
              <w:pStyle w:val="TableContents"/>
              <w:spacing w:before="0" w:after="283"/>
              <w:rPr/>
            </w:pPr>
            <w:r>
              <w:rPr/>
              <w:t> </w:t>
            </w:r>
          </w:p>
        </w:tc>
        <w:tc>
          <w:tcPr>
            <w:tcW w:w="1544" w:type="dxa"/>
            <w:gridSpan w:val="3"/>
            <w:tcBorders>
              <w:bottom w:val="single" w:sz="2" w:space="0" w:color="000000"/>
            </w:tcBorders>
            <w:shd w:fill="auto" w:val="clear"/>
            <w:tcMar>
              <w:bottom w:w="28" w:type="dxa"/>
            </w:tcMar>
            <w:vAlign w:val="bottom"/>
          </w:tcPr>
          <w:p>
            <w:pPr>
              <w:pStyle w:val="TableContents"/>
              <w:spacing w:before="0" w:after="283"/>
              <w:jc w:val="center"/>
              <w:rPr/>
            </w:pPr>
            <w:r>
              <w:rPr/>
              <w:t>or Programs</w:t>
            </w:r>
          </w:p>
        </w:tc>
      </w:tr>
      <w:tr>
        <w:trPr/>
        <w:tc>
          <w:tcPr>
            <w:tcW w:w="3353" w:type="dxa"/>
            <w:tcBorders/>
            <w:shd w:fill="CCEEFF" w:val="clear"/>
            <w:vAlign w:val="bottom"/>
          </w:tcPr>
          <w:p>
            <w:pPr>
              <w:pStyle w:val="TableContents"/>
              <w:spacing w:before="0" w:after="0"/>
              <w:ind w:left="225" w:right="0" w:hanging="225"/>
              <w:rPr/>
            </w:pPr>
            <w:r>
              <w:rPr/>
              <w:t>July 1, 2007  July 31, 2007</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0</w:t>
            </w:r>
          </w:p>
        </w:tc>
        <w:tc>
          <w:tcPr>
            <w:tcW w:w="51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n/a</w:t>
            </w:r>
          </w:p>
        </w:tc>
        <w:tc>
          <w:tcPr>
            <w:tcW w:w="199"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n/a</w:t>
            </w:r>
          </w:p>
        </w:tc>
        <w:tc>
          <w:tcPr>
            <w:tcW w:w="3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pPr>
            <w:r>
              <w:rPr/>
              <w:t>n/a</w:t>
            </w:r>
          </w:p>
        </w:tc>
        <w:tc>
          <w:tcPr>
            <w:tcW w:w="302" w:type="dxa"/>
            <w:tcBorders/>
            <w:shd w:fill="CCEEFF" w:val="clear"/>
            <w:vAlign w:val="bottom"/>
          </w:tcPr>
          <w:p>
            <w:pPr>
              <w:pStyle w:val="TableContents"/>
              <w:spacing w:before="0" w:after="283"/>
              <w:rPr/>
            </w:pPr>
            <w:r>
              <w:rPr/>
              <w:t> </w:t>
            </w:r>
          </w:p>
        </w:tc>
      </w:tr>
      <w:tr>
        <w:trPr/>
        <w:tc>
          <w:tcPr>
            <w:tcW w:w="3353" w:type="dxa"/>
            <w:tcBorders/>
            <w:shd w:fill="auto" w:val="clear"/>
            <w:vAlign w:val="bottom"/>
          </w:tcPr>
          <w:p>
            <w:pPr>
              <w:pStyle w:val="TableContents"/>
              <w:spacing w:before="0" w:after="0"/>
              <w:ind w:left="225" w:right="0" w:hanging="225"/>
              <w:rPr/>
            </w:pPr>
            <w:r>
              <w:rPr/>
              <w:t>August 1, 2007  August 31, 2007</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right"/>
              <w:rPr/>
            </w:pPr>
            <w:r>
              <w:rPr/>
              <w:t> </w:t>
            </w:r>
          </w:p>
        </w:tc>
        <w:tc>
          <w:tcPr>
            <w:tcW w:w="839" w:type="dxa"/>
            <w:tcBorders/>
            <w:shd w:fill="auto" w:val="clear"/>
            <w:vAlign w:val="bottom"/>
          </w:tcPr>
          <w:p>
            <w:pPr>
              <w:pStyle w:val="TableContents"/>
              <w:spacing w:before="0" w:after="283"/>
              <w:jc w:val="right"/>
              <w:rPr/>
            </w:pPr>
            <w:r>
              <w:rPr/>
              <w:t xml:space="preserve">8,750 </w:t>
            </w:r>
          </w:p>
        </w:tc>
        <w:tc>
          <w:tcPr>
            <w:tcW w:w="513" w:type="dxa"/>
            <w:tcBorders/>
            <w:shd w:fill="auto" w:val="clear"/>
            <w:vAlign w:val="bottom"/>
          </w:tcPr>
          <w:p>
            <w:pPr>
              <w:pStyle w:val="TableContents"/>
              <w:spacing w:before="0" w:after="283"/>
              <w:rPr/>
            </w:pPr>
            <w:r>
              <w:rPr/>
              <w:t>(1)</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jc w:val="right"/>
              <w:rPr/>
            </w:pPr>
            <w:r>
              <w:rPr/>
              <w:t>$</w:t>
            </w:r>
          </w:p>
        </w:tc>
        <w:tc>
          <w:tcPr>
            <w:tcW w:w="1009" w:type="dxa"/>
            <w:tcBorders/>
            <w:shd w:fill="auto" w:val="clear"/>
            <w:vAlign w:val="bottom"/>
          </w:tcPr>
          <w:p>
            <w:pPr>
              <w:pStyle w:val="TableContents"/>
              <w:spacing w:before="0" w:after="283"/>
              <w:jc w:val="right"/>
              <w:rPr/>
            </w:pPr>
            <w:r>
              <w:rPr/>
              <w:t>56.38</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pPr>
            <w:r>
              <w:rPr/>
              <w:t>n/a</w:t>
            </w:r>
          </w:p>
        </w:tc>
        <w:tc>
          <w:tcPr>
            <w:tcW w:w="3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pPr>
            <w:r>
              <w:rPr/>
              <w:t>n/a</w:t>
            </w:r>
          </w:p>
        </w:tc>
        <w:tc>
          <w:tcPr>
            <w:tcW w:w="302" w:type="dxa"/>
            <w:tcBorders/>
            <w:shd w:fill="auto" w:val="clear"/>
            <w:vAlign w:val="bottom"/>
          </w:tcPr>
          <w:p>
            <w:pPr>
              <w:pStyle w:val="TableContents"/>
              <w:spacing w:before="0" w:after="283"/>
              <w:rPr/>
            </w:pPr>
            <w:r>
              <w:rPr/>
              <w:t> </w:t>
            </w:r>
          </w:p>
        </w:tc>
      </w:tr>
      <w:tr>
        <w:trPr/>
        <w:tc>
          <w:tcPr>
            <w:tcW w:w="3353" w:type="dxa"/>
            <w:tcBorders/>
            <w:shd w:fill="CCEEFF" w:val="clear"/>
            <w:vAlign w:val="bottom"/>
          </w:tcPr>
          <w:p>
            <w:pPr>
              <w:pStyle w:val="TableContents"/>
              <w:spacing w:before="0" w:after="0"/>
              <w:ind w:left="225" w:right="0" w:hanging="225"/>
              <w:rPr/>
            </w:pPr>
            <w:r>
              <w:rPr/>
              <w:t>September 1, 2007  September 30, 2007</w:t>
            </w:r>
          </w:p>
        </w:tc>
        <w:tc>
          <w:tcPr>
            <w:tcW w:w="21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0</w:t>
            </w:r>
          </w:p>
        </w:tc>
        <w:tc>
          <w:tcPr>
            <w:tcW w:w="513"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n/a</w:t>
            </w:r>
          </w:p>
        </w:tc>
        <w:tc>
          <w:tcPr>
            <w:tcW w:w="199"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jc w:val="right"/>
              <w:rPr/>
            </w:pPr>
            <w:r>
              <w:rPr/>
              <w:t>n/a</w:t>
            </w:r>
          </w:p>
        </w:tc>
        <w:tc>
          <w:tcPr>
            <w:tcW w:w="3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pPr>
            <w:r>
              <w:rPr/>
              <w:t>n/a</w:t>
            </w:r>
          </w:p>
        </w:tc>
        <w:tc>
          <w:tcPr>
            <w:tcW w:w="302" w:type="dxa"/>
            <w:tcBorders/>
            <w:shd w:fill="CCEEFF" w:val="clear"/>
            <w:vAlign w:val="bottom"/>
          </w:tcPr>
          <w:p>
            <w:pPr>
              <w:pStyle w:val="TableContents"/>
              <w:spacing w:before="0" w:after="283"/>
              <w:rPr/>
            </w:pPr>
            <w:r>
              <w:rPr/>
              <w:t> </w:t>
            </w:r>
          </w:p>
        </w:tc>
      </w:tr>
      <w:tr>
        <w:trPr/>
        <w:tc>
          <w:tcPr>
            <w:tcW w:w="3353" w:type="dxa"/>
            <w:tcBorders/>
            <w:shd w:fill="auto" w:val="clear"/>
            <w:vAlign w:val="center"/>
          </w:tcPr>
          <w:p>
            <w:pPr>
              <w:pStyle w:val="TableContents"/>
              <w:spacing w:before="0" w:after="0"/>
              <w:ind w:left="225" w:right="0" w:hanging="225"/>
              <w:rPr/>
            </w:pPr>
            <w:r>
              <w:rPr/>
              <w:t> </w:t>
            </w:r>
          </w:p>
        </w:tc>
        <w:tc>
          <w:tcPr>
            <w:tcW w:w="214"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39" w:type="dxa"/>
            <w:tcBorders>
              <w:top w:val="single" w:sz="2" w:space="0" w:color="000000"/>
            </w:tcBorders>
            <w:shd w:fill="auto" w:val="clear"/>
            <w:tcMar>
              <w:top w:w="28" w:type="dxa"/>
            </w:tcMar>
            <w:vAlign w:val="center"/>
          </w:tcPr>
          <w:p>
            <w:pPr>
              <w:pStyle w:val="TableContents"/>
              <w:spacing w:before="0" w:after="283"/>
              <w:jc w:val="right"/>
              <w:rPr/>
            </w:pPr>
            <w:r>
              <w:rPr/>
              <w:t> </w:t>
            </w:r>
          </w:p>
        </w:tc>
        <w:tc>
          <w:tcPr>
            <w:tcW w:w="513"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r>
        <w:trPr/>
        <w:tc>
          <w:tcPr>
            <w:tcW w:w="3353" w:type="dxa"/>
            <w:tcBorders/>
            <w:shd w:fill="auto" w:val="clear"/>
            <w:vAlign w:val="bottom"/>
          </w:tcPr>
          <w:p>
            <w:pPr>
              <w:pStyle w:val="TableContents"/>
              <w:spacing w:before="0" w:after="0"/>
              <w:ind w:left="225" w:right="0" w:hanging="225"/>
              <w:rPr/>
            </w:pPr>
            <w:r>
              <w:rPr/>
              <w:t>TOTAL</w:t>
            </w:r>
          </w:p>
        </w:tc>
        <w:tc>
          <w:tcPr>
            <w:tcW w:w="214"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8,750</w:t>
            </w:r>
          </w:p>
        </w:tc>
        <w:tc>
          <w:tcPr>
            <w:tcW w:w="513"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r>
      <w:tr>
        <w:trPr/>
        <w:tc>
          <w:tcPr>
            <w:tcW w:w="3353" w:type="dxa"/>
            <w:tcBorders/>
            <w:shd w:fill="auto" w:val="clear"/>
            <w:vAlign w:val="center"/>
          </w:tcPr>
          <w:p>
            <w:pPr>
              <w:pStyle w:val="TableContents"/>
              <w:spacing w:before="0" w:after="0"/>
              <w:ind w:left="225" w:right="0" w:hanging="225"/>
              <w:rPr/>
            </w:pPr>
            <w:r>
              <w:rPr/>
              <w:t> </w:t>
            </w:r>
          </w:p>
        </w:tc>
        <w:tc>
          <w:tcPr>
            <w:tcW w:w="214"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39" w:type="dxa"/>
            <w:tcBorders>
              <w:top w:val="double" w:sz="6" w:space="0" w:color="000000"/>
            </w:tcBorders>
            <w:shd w:fill="auto" w:val="clear"/>
            <w:tcMar>
              <w:top w:w="28" w:type="dxa"/>
            </w:tcMar>
            <w:vAlign w:val="center"/>
          </w:tcPr>
          <w:p>
            <w:pPr>
              <w:pStyle w:val="TableContents"/>
              <w:spacing w:before="0" w:after="283"/>
              <w:jc w:val="right"/>
              <w:rPr/>
            </w:pPr>
            <w:r>
              <w:rPr/>
              <w:t> </w:t>
            </w:r>
          </w:p>
        </w:tc>
        <w:tc>
          <w:tcPr>
            <w:tcW w:w="513"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214" w:type="dxa"/>
            <w:tcBorders/>
            <w:shd w:fill="auto" w:val="clear"/>
            <w:vAlign w:val="center"/>
          </w:tcPr>
          <w:p>
            <w:pPr>
              <w:pStyle w:val="TableContents"/>
              <w:spacing w:before="0" w:after="283"/>
              <w:rPr/>
            </w:pPr>
            <w:r>
              <w:rPr/>
              <w:t> </w:t>
            </w:r>
          </w:p>
        </w:tc>
        <w:tc>
          <w:tcPr>
            <w:tcW w:w="339" w:type="dxa"/>
            <w:tcBorders/>
            <w:shd w:fill="auto" w:val="clear"/>
            <w:vAlign w:val="center"/>
          </w:tcPr>
          <w:p>
            <w:pPr>
              <w:pStyle w:val="TableContents"/>
              <w:spacing w:before="0" w:after="283"/>
              <w:rPr/>
            </w:pPr>
            <w:r>
              <w:rPr/>
              <w:t> </w:t>
            </w:r>
          </w:p>
        </w:tc>
        <w:tc>
          <w:tcPr>
            <w:tcW w:w="85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6"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rPr/>
            </w:pPr>
            <w:r>
              <w:rPr/>
              <w:t> </w:t>
            </w:r>
          </w:p>
        </w:tc>
        <w:tc>
          <w:tcPr>
            <w:tcW w:w="302" w:type="dxa"/>
            <w:tcBorders/>
            <w:shd w:fill="auto" w:val="cle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76"/>
        <w:gridCol w:w="2218"/>
        <w:gridCol w:w="1311"/>
      </w:tblGrid>
      <w:tr>
        <w:trPr/>
        <w:tc>
          <w:tcPr>
            <w:tcW w:w="6676"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r>
      <w:tr>
        <w:trPr/>
        <w:tc>
          <w:tcPr>
            <w:tcW w:w="6676" w:type="dxa"/>
            <w:tcBorders/>
            <w:shd w:fill="auto" w:val="clear"/>
          </w:tcPr>
          <w:p>
            <w:pPr>
              <w:pStyle w:val="TableContents"/>
              <w:spacing w:before="0" w:after="283"/>
              <w:jc w:val="left"/>
              <w:rPr/>
            </w:pPr>
            <w:r>
              <w:rPr/>
              <w:t>(1)</w:t>
            </w:r>
          </w:p>
        </w:tc>
        <w:tc>
          <w:tcPr>
            <w:tcW w:w="2218" w:type="dxa"/>
            <w:tcBorders/>
            <w:shd w:fill="auto" w:val="clear"/>
          </w:tcPr>
          <w:p>
            <w:pPr>
              <w:pStyle w:val="TableContents"/>
              <w:spacing w:before="0" w:after="283"/>
              <w:rPr/>
            </w:pPr>
            <w:r>
              <w:rPr/>
              <w:t> </w:t>
            </w:r>
          </w:p>
        </w:tc>
        <w:tc>
          <w:tcPr>
            <w:tcW w:w="1311" w:type="dxa"/>
            <w:tcBorders/>
            <w:shd w:fill="auto" w:val="clear"/>
          </w:tcPr>
          <w:p>
            <w:pPr>
              <w:pStyle w:val="TableContents"/>
              <w:spacing w:before="0" w:after="283"/>
              <w:rPr/>
            </w:pPr>
            <w:r>
              <w:rPr/>
              <w:t>In August 2007, we purchased 8,750 common units from our general partner for an average price of $56.38 per unit. The common units were used to satisfy our obligations with respect to awards that vested under our 1998 LTIP.</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bookmarkStart w:id="19" w:name="117"/>
      <w:bookmarkEnd w:id="19"/>
      <w:r>
        <w:rPr>
          <w:rFonts w:ascii="Times New Roman;Times;serif" w:hAnsi="Times New Roman;Times;serif"/>
          <w:b/>
          <w:sz w:val="17"/>
        </w:rPr>
        <w:t>Item 3. DEFAULTS UPON SENIOR SECURITIES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120" w:after="283"/>
        <w:jc w:val="left"/>
        <w:rPr>
          <w:rFonts w:ascii="Times New Roman;Times;serif" w:hAnsi="Times New Roman;Times;serif"/>
          <w:sz w:val="17"/>
        </w:rPr>
      </w:pPr>
      <w:bookmarkStart w:id="20" w:name="118"/>
      <w:bookmarkEnd w:id="20"/>
      <w:r>
        <w:rPr>
          <w:rFonts w:ascii="Times New Roman;Times;serif" w:hAnsi="Times New Roman;Times;serif"/>
          <w:b/>
          <w:sz w:val="17"/>
        </w:rPr>
        <w:t>Item 4. SUBMISSION OF MATTERS TO A VOTE OF SECURITY HOLDERS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spacing w:before="120" w:after="283"/>
        <w:jc w:val="left"/>
        <w:rPr>
          <w:rFonts w:ascii="Times New Roman;Times;serif" w:hAnsi="Times New Roman;Times;serif"/>
          <w:sz w:val="17"/>
        </w:rPr>
      </w:pPr>
      <w:bookmarkStart w:id="21" w:name="119"/>
      <w:bookmarkEnd w:id="21"/>
      <w:r>
        <w:rPr>
          <w:rFonts w:ascii="Times New Roman;Times;serif" w:hAnsi="Times New Roman;Times;serif"/>
          <w:b/>
          <w:sz w:val="17"/>
        </w:rPr>
        <w:t>Item 5. OTHER INFORMATION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None. </w:t>
      </w:r>
    </w:p>
    <w:p>
      <w:pPr>
        <w:pStyle w:val="TextBody"/>
        <w:jc w:val="center"/>
        <w:rPr>
          <w:rFonts w:ascii="Times New Roman;Times;serif" w:hAnsi="Times New Roman;Times;serif"/>
          <w:sz w:val="17"/>
        </w:rPr>
      </w:pPr>
      <w:r>
        <w:rPr>
          <w:rFonts w:ascii="Times New Roman;Times;serif" w:hAnsi="Times New Roman;Times;serif"/>
          <w:sz w:val="17"/>
        </w:rPr>
        <w:t xml:space="preserve">47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22" w:name="120"/>
      <w:bookmarkEnd w:id="22"/>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3"/>
        <w:gridCol w:w="203"/>
        <w:gridCol w:w="203"/>
        <w:gridCol w:w="203"/>
        <w:gridCol w:w="8883"/>
      </w:tblGrid>
      <w:tr>
        <w:trPr/>
        <w:tc>
          <w:tcPr>
            <w:tcW w:w="71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vAlign w:val="bottom"/>
          </w:tcPr>
          <w:p>
            <w:pPr>
              <w:pStyle w:val="TableContents"/>
              <w:spacing w:before="0" w:after="283"/>
              <w:rPr/>
            </w:pPr>
            <w:r>
              <w:rPr/>
              <w:t> </w:t>
            </w:r>
          </w:p>
        </w:tc>
      </w:tr>
      <w:tr>
        <w:trPr/>
        <w:tc>
          <w:tcPr>
            <w:tcW w:w="713" w:type="dxa"/>
            <w:tcBorders/>
            <w:shd w:fill="auto" w:val="clear"/>
          </w:tcPr>
          <w:p>
            <w:pPr>
              <w:pStyle w:val="TableContents"/>
              <w:spacing w:before="0" w:after="0"/>
              <w:ind w:left="75" w:right="0" w:hanging="0"/>
              <w:rPr/>
            </w:pPr>
            <w:r>
              <w:rPr/>
              <w:t xml:space="preserve">3.1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All American Pipeline, L.P., dated as of June 27, 2001 (incorporated by reference to Exhibit 3.1 to Form 8-K filed August 27, 2001).</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3.2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3.3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Marketing, L.P. dated as of April 1, 2004 (incorporated by reference to Exhibit 3.2 to the Quarterly Report on Form 10-Q for the quarter ended March 31, 2004).</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3.4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Pipeline, L.P. dated as of April 1, 2004 (incorporated by reference to Exhibit 3.3 to the Quarterly Report on Form 10-Q for the quarter ended March 31, 2004).</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3.5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Certificate of Incorporation of PAA Finance Corp. (incorporated by reference to Exhibit 3.6 to the Registration Statement on Form S-3 filed August 27, 2001, File No. 333-68446).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3.6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Bylaws of PAA Finance Corp. (incorporated by reference to Exhibit 3.7 to the Registration Statement on Form S-3 filed August 27, 2001, File No. 333-68446).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3.7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Second Amended and Restated Limited Liability Company Agreement of Plains All American GP LLC, dated September 12, 2005 (incorporated by reference to Exhibit 3.1 to the Current Report on Form 8-K filed September 16, 2005).</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3.8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Second Amended and Restated Limited Partnership Agreement of Plains AAP, L.P., dated September 12, 2005 (incorporated by reference to Exhibit 3.2 to the Current Report on Form 8-K filed September 16, 2005).</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3.9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3.10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Certificate of Incorporation of Pacific Energy Finance Corporation (incorporated by reference to Exhibit 3.10 to the Annual Report on Form 10-K for the year ended December 31, 2006).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3.11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Bylaws of Pacific Energy Finance Corporation (incorporated by reference to Exhibit 3.11 to the Annual Report on Form 10-K for the year ended December 31, 2006).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3.12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Amendment No. 3 dated August 16, 2007 to Third Amended and Restated Agreement of Limited Partnership of Plains All American Pipeline, L.P. (incorporated by reference to Exhibit 3.1 to the Current Report on Form 8-K filed August 22, 2007).</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3.13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AAP, L.P. dated August 29, 2007 (incorporated by reference to Exhibit 10.1 to the Current Report on Form 8-K filed August 31, 2007).</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4.1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4.2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4.3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4.4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14"/>
        <w:gridCol w:w="204"/>
        <w:gridCol w:w="204"/>
        <w:gridCol w:w="204"/>
        <w:gridCol w:w="8879"/>
      </w:tblGrid>
      <w:tr>
        <w:trPr/>
        <w:tc>
          <w:tcPr>
            <w:tcW w:w="71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pPr>
            <w:r>
              <w:rPr/>
              <w:t> </w:t>
            </w:r>
          </w:p>
        </w:tc>
      </w:tr>
      <w:tr>
        <w:trPr/>
        <w:tc>
          <w:tcPr>
            <w:tcW w:w="714" w:type="dxa"/>
            <w:tcBorders/>
            <w:shd w:fill="auto" w:val="clear"/>
          </w:tcPr>
          <w:p>
            <w:pPr>
              <w:pStyle w:val="TableContents"/>
              <w:spacing w:before="0" w:after="0"/>
              <w:ind w:left="75" w:right="0" w:hanging="0"/>
              <w:rPr/>
            </w:pPr>
            <w:r>
              <w:rPr/>
              <w:t xml:space="preserve">4.5 </w:t>
            </w:r>
          </w:p>
        </w:tc>
        <w:tc>
          <w:tcPr>
            <w:tcW w:w="204"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16"/>
        <w:gridCol w:w="203"/>
        <w:gridCol w:w="204"/>
        <w:gridCol w:w="203"/>
        <w:gridCol w:w="8879"/>
      </w:tblGrid>
      <w:tr>
        <w:trPr/>
        <w:tc>
          <w:tcPr>
            <w:tcW w:w="7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pPr>
            <w:r>
              <w:rPr/>
              <w:t> </w:t>
            </w:r>
          </w:p>
        </w:tc>
      </w:tr>
      <w:tr>
        <w:trPr/>
        <w:tc>
          <w:tcPr>
            <w:tcW w:w="716" w:type="dxa"/>
            <w:tcBorders/>
            <w:shd w:fill="auto" w:val="clear"/>
          </w:tcPr>
          <w:p>
            <w:pPr>
              <w:pStyle w:val="TableContents"/>
              <w:spacing w:before="0" w:after="0"/>
              <w:ind w:left="75" w:right="0" w:hanging="0"/>
              <w:rPr/>
            </w:pPr>
            <w:r>
              <w:rPr/>
              <w:t xml:space="preserve">4.6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4.7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Sixth Supplemental Indenture (Series A and Series B 6.70% Senior Notes due 2036) dated May 12, 2006 among Plains All American Pipeline, L.P., PAA Finance Corp., the Subsidiary Guarantors named therein and Wachovia Bank, National Association (incorporated by reference to Exhibit 4.1 to the Current Report on Form 8-K filed May 12,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4.8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Seventh Supplemental Indenture dated May 12, 2006 among Plains All American Pipeline, L.P., PAA Finance Corp., Plains LPG Services GP LLC, Plains LPG Services, L.P., Lone Star Trucking, LLC and Wachovia Bank, National Association (incorporated by reference to Exhibit 4.3 to the Current Report on Form 8-K filed May 12,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4.9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Eighth Supplemental Indenture dated August 25, 2006 among Plains All American Pipeline, L.P., PAA Finance Corp., Plains Marketing International GP LLC, Plains Marketing International, L.P., Plains LPG Marketing, L.P. and Wachovia Bank, National Association (incorporated by reference to Exhibit 4.1 to the Current Report on Form 8-K filed August 25,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4.10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Ninth Supplemental Indenture (Series A and Series B 6.125% Senior Notes due 2017) dated October 30, 2006 among Plains All American Pipeline, L.P., PAA Finance Corp., the Subsidiary Guarantors named therein and U.S. Bank National Association (incorporated by reference to Exhibit 4.1 to the Current Report on Form 8-K filed October 30,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4.11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Tenth Supplemental Indenture (Series A and Series B 6.650% Senior Notes due 2037) dated October 30, 2006 among Plains All American Pipeline, L.P., PAA Finance Corp., the Subsidiary Guarantors named therein and U.S. Bank National Association (incorporated by reference to Exhibit 4.2 to the Current Report on Form 8-K filed October 30,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4.12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4.13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Indenture dated June 16, 2004 among Pacific Energy Partners, L.P. and Pacific Energy Finance Corporation, the guarantors named therein, and Wells Fargo Bank, National Association, as trustee of the 7 1 / 8% senior notes due 2014 (incorporated by reference to Exhibit 4.21 to Pacifics Quarterly Report on Form 10-Q for the quarter ended June 30, 2004).</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4.14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First Supplemental Indenture dated March 3, 2005 among Pacific Energy Partners, L.P. and Pacific Energy Finance Corporation, the guarantors named therein, and Wells Fargo Bank, National Association, as trustee of the 7 1/8% senior notes due 2014 (incorporated by reference to Exhibit 4.1 to Pacifics Current Report on Form 8-K filed March 9, 2005).</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4.15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Second Supplemental Indenture dated September 23, 2005 among Pacific Energy Partners, L.P. and Pacific Energy Finance Corporation, the guarantors named therein, and Wells Fargo Bank, National Association, as trustee of the 7 1/8% senior notes due 2014 (incorporated by reference to Exhibit 4.17 to the Annual Report on Form 10-K for the year ended December 31,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4.16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921"/>
        <w:gridCol w:w="206"/>
        <w:gridCol w:w="245"/>
        <w:gridCol w:w="206"/>
        <w:gridCol w:w="8627"/>
      </w:tblGrid>
      <w:tr>
        <w:trPr/>
        <w:tc>
          <w:tcPr>
            <w:tcW w:w="92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vAlign w:val="bottom"/>
          </w:tcPr>
          <w:p>
            <w:pPr>
              <w:pStyle w:val="TableContents"/>
              <w:spacing w:before="0" w:after="283"/>
              <w:rPr/>
            </w:pPr>
            <w:r>
              <w:rPr/>
              <w:t> </w:t>
            </w:r>
          </w:p>
        </w:tc>
      </w:tr>
      <w:tr>
        <w:trPr/>
        <w:tc>
          <w:tcPr>
            <w:tcW w:w="921" w:type="dxa"/>
            <w:tcBorders/>
            <w:shd w:fill="auto" w:val="clear"/>
          </w:tcPr>
          <w:p>
            <w:pPr>
              <w:pStyle w:val="TableContents"/>
              <w:spacing w:before="0" w:after="0"/>
              <w:ind w:left="75" w:right="0" w:hanging="0"/>
              <w:rPr/>
            </w:pPr>
            <w:r>
              <w:rPr/>
              <w:t xml:space="preserve">4.17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Indenture dated September 23, 2005 among Pacific Energy Partners, L.P. and Pacific Energy Finance Corporation, the guarantors named therein, and Wells Fargo Bank, National Association, as trustee of the 6 1/4% senior notes due 2015 (incorporated by reference to Exhibit 4.1 to Pacifics Current Report on Form 8-K filed September 28, 2005).</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4.18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10.1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Joinder and Supplement dated effective June 20, 2007 among the Lenders party thereto, relating to the Restated Credit Facility dated November 19, 2004, as amended (incorporated by reference to Exhibit 10.1 to the Quarterly Report on Form 10-Q for the Quarter Ended June 30, 2007).</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10.2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First Amendment dated July 31, 2007 to the Second Amended and Restated Credit Agreement [US/Canada Facilities] (incorporated by reference to Exhibit 10.1 to the Current Report on Form 8-K filed August 6, 2007).</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0" w:right="0" w:hanging="0"/>
              <w:rPr/>
            </w:pPr>
            <w:r>
              <w:rPr/>
              <w:t xml:space="preserve">/**10.3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Separation and Release Agreement dated August 21, 2007 between Plains All American GP LLC and George R Coiner.</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0" w:right="0" w:hanging="0"/>
              <w:rPr/>
            </w:pPr>
            <w:r>
              <w:rPr/>
              <w:t xml:space="preserve">**10.4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Plains AAP, L.P. Class B Restricted Units Agreement (incorporated by reference to Exhibit 10.2 to the Current Report on Form 8-K filed August 31, 2007).</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31.1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Executive Officer pursuant to Exchange Act Rules 13a-14(a) and 15d-14(a).</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31.2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Financial Officer pursuant to Exchange Act Rules 13a-14(a) and 15d-14(a).</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*32.1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Executive Officer pursuant to 18 U.S.C. 1350.</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*32.2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Financial Officer pursuant to 18 U.S.C. 1350.</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54"/>
        <w:gridCol w:w="2210"/>
        <w:gridCol w:w="1341"/>
      </w:tblGrid>
      <w:tr>
        <w:trPr/>
        <w:tc>
          <w:tcPr>
            <w:tcW w:w="6654"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Filed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Furnished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Management compensatory plan or arrangement.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3" w:name="121"/>
      <w:bookmarkEnd w:id="23"/>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center"/>
        <w:tblInd w:w="0" w:type="dxa"/>
        <w:tblCellMar>
          <w:top w:w="0" w:type="dxa"/>
          <w:left w:w="0" w:type="dxa"/>
          <w:bottom w:w="0" w:type="dxa"/>
          <w:right w:w="0" w:type="dxa"/>
        </w:tblCellMar>
      </w:tblPr>
      <w:tblGrid>
        <w:gridCol w:w="4612"/>
        <w:gridCol w:w="208"/>
        <w:gridCol w:w="310"/>
        <w:gridCol w:w="208"/>
        <w:gridCol w:w="4867"/>
      </w:tblGrid>
      <w:tr>
        <w:trPr/>
        <w:tc>
          <w:tcPr>
            <w:tcW w:w="461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vAlign w:val="bottom"/>
          </w:tcPr>
          <w:p>
            <w:pPr>
              <w:pStyle w:val="TableContents"/>
              <w:spacing w:before="0" w:after="283"/>
              <w:rPr/>
            </w:pPr>
            <w:r>
              <w:rPr/>
              <w:t> </w:t>
            </w:r>
          </w:p>
        </w:tc>
      </w:tr>
      <w:tr>
        <w:trPr/>
        <w:tc>
          <w:tcPr>
            <w:tcW w:w="4612" w:type="dxa"/>
            <w:tcBorders/>
            <w:shd w:fill="auto" w:val="clea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5385" w:type="dxa"/>
            <w:gridSpan w:val="3"/>
            <w:tcBorders/>
            <w:shd w:fill="auto" w:val="clear"/>
          </w:tcPr>
          <w:p>
            <w:pPr>
              <w:pStyle w:val="TableContents"/>
              <w:spacing w:before="0" w:after="283"/>
              <w:jc w:val="left"/>
              <w:rPr/>
            </w:pPr>
            <w:r>
              <w:rPr/>
              <w:t>PLAINS ALL AMERICAN PIPELINE, L.P.</w:t>
            </w:r>
          </w:p>
        </w:tc>
      </w:tr>
      <w:tr>
        <w:trPr/>
        <w:tc>
          <w:tcPr>
            <w:tcW w:w="4612"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left"/>
              <w:rPr/>
            </w:pPr>
            <w:r>
              <w:rPr/>
              <w:t>PLAINS AAP, L.P., its general partner</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left"/>
              <w:rPr/>
            </w:pPr>
            <w:r>
              <w:rPr/>
              <w:t>PLAINS ALL AMERICAN GP LLC, its general partner</w:t>
            </w:r>
          </w:p>
        </w:tc>
      </w:tr>
      <w:tr>
        <w:trPr/>
        <w:tc>
          <w:tcPr>
            <w:tcW w:w="4612"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Date: November 7, 2007</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/s/ GREG L. ARMSTRONG</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486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xml:space="preserve">Greg L. Armstrong, </w:t>
            </w:r>
            <w:r>
              <w:rPr>
                <w:i/>
              </w:rPr>
              <w:t>Chairman of the Board,</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i/>
              </w:rPr>
            </w:pPr>
            <w:r>
              <w:rPr>
                <w:i/>
              </w:rPr>
              <w:t>Chief Executive Officer and Director</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i/>
              </w:rPr>
            </w:pPr>
            <w:r>
              <w:rPr>
                <w:i/>
              </w:rPr>
              <w:t>(Principal Executive Officer)</w:t>
            </w:r>
          </w:p>
        </w:tc>
      </w:tr>
      <w:tr>
        <w:trPr/>
        <w:tc>
          <w:tcPr>
            <w:tcW w:w="4612"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Date: November 7, 2007</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/s/ PHIL KRAMER</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4867"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pPr>
            <w:r>
              <w:rPr/>
              <w:t xml:space="preserve">Phil Kramer, </w:t>
            </w:r>
            <w:r>
              <w:rPr>
                <w:i/>
              </w:rPr>
              <w:t>Executive Vice President and</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i/>
              </w:rPr>
            </w:pPr>
            <w:r>
              <w:rPr>
                <w:i/>
              </w:rPr>
              <w:t>Chief Financial Officer</w:t>
            </w:r>
          </w:p>
        </w:tc>
      </w:tr>
      <w:tr>
        <w:trPr/>
        <w:tc>
          <w:tcPr>
            <w:tcW w:w="4612"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867" w:type="dxa"/>
            <w:tcBorders/>
            <w:shd w:fill="auto" w:val="clear"/>
          </w:tcPr>
          <w:p>
            <w:pPr>
              <w:pStyle w:val="TableContents"/>
              <w:spacing w:before="0" w:after="283"/>
              <w:jc w:val="center"/>
              <w:rPr>
                <w:i/>
              </w:rPr>
            </w:pPr>
            <w:r>
              <w:rPr>
                <w:i/>
              </w:rPr>
              <w:t>(Principal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4" w:name="122"/>
      <w:bookmarkEnd w:id="24"/>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13"/>
        <w:gridCol w:w="203"/>
        <w:gridCol w:w="203"/>
        <w:gridCol w:w="203"/>
        <w:gridCol w:w="8883"/>
      </w:tblGrid>
      <w:tr>
        <w:trPr/>
        <w:tc>
          <w:tcPr>
            <w:tcW w:w="71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vAlign w:val="bottom"/>
          </w:tcPr>
          <w:p>
            <w:pPr>
              <w:pStyle w:val="TableContents"/>
              <w:spacing w:before="0" w:after="283"/>
              <w:rPr/>
            </w:pPr>
            <w:r>
              <w:rPr/>
              <w:t> </w:t>
            </w:r>
          </w:p>
        </w:tc>
      </w:tr>
      <w:tr>
        <w:trPr/>
        <w:tc>
          <w:tcPr>
            <w:tcW w:w="713" w:type="dxa"/>
            <w:tcBorders/>
            <w:shd w:fill="auto" w:val="clear"/>
          </w:tcPr>
          <w:p>
            <w:pPr>
              <w:pStyle w:val="TableContents"/>
              <w:spacing w:before="0" w:after="0"/>
              <w:ind w:left="75" w:right="0" w:hanging="0"/>
              <w:rPr/>
            </w:pPr>
            <w:r>
              <w:rPr/>
              <w:t xml:space="preserve">3.1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All American Pipeline, L.P., dated as of June 27, 2001 (incorporated by reference to Exhibit 3.1 to Form 8-K filed August 27, 2001).</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3.2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Amendment No. 1 dated April 15, 2004 to the Third Amended and Restated Agreement of Limited Partnership of Plains All American Pipeline, L.P. (incorporated by reference to Exhibit 3.1 to the Quarterly Report on Form 10-Q for the quarter ended March 31, 2004).</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3.3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Marketing, L.P. dated as of April 1, 2004 (incorporated by reference to Exhibit 3.2 to the Quarterly Report on Form 10-Q for the quarter ended March 31, 2004).</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3.4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Pipeline, L.P. dated as of April 1, 2004 (incorporated by reference to Exhibit 3.3 to the Quarterly Report on Form 10-Q for the quarter ended March 31, 2004).</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3.5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Certificate of Incorporation of PAA Finance Corp. (incorporated by reference to Exhibit 3.6 to the Registration Statement on Form S-3 filed August 27, 2001, File No. 333-68446).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3.6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Bylaws of PAA Finance Corp. (incorporated by reference to Exhibit 3.7 to the Registration Statement on Form S-3 filed August 27, 2001, File No. 333-68446).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3.7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Second Amended and Restated Limited Liability Company Agreement of Plains All American GP LLC, dated September 12, 2005 (incorporated by reference to Exhibit 3.1 to the Current Report on Form 8-K filed September 16, 2005).</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3.8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Second Amended and Restated Limited Partnership Agreement of Plains AAP, L.P., dated September 12, 2005 (incorporated by reference to Exhibit 3.2 to the Current Report on Form 8-K filed September 16, 2005).</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3.9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Amendment No. 2 dated November 15, 2006 to Third Amended and Restated Agreement of Limited Partnership of Plains All American Pipeline, L.P. (incorporated by reference to Exhibit 3.1 to the Current Report on Form 8-K filed November 21, 2006).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3.10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Certificate of Incorporation of Pacific Energy Finance Corporation (incorporated by reference to Exhibit 3.10 to the Annual Report on Form 10-K for the year ended December 31, 2006).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3.11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Bylaws of Pacific Energy Finance Corporation (incorporated by reference to Exhibit 3.11 to the Annual Report on Form 10-K for the year ended December 31, 2006).</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3.12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Amendment No. 3 dated August 16, 2007 to Third Amended and Restated Agreement of Limited Partnership of Plains All American Pipeline, L.P. (incorporated by reference to Exhibit 3.1 to the Current Report on Form 8-K filed August 22, 2007).</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3.13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Amended and Restated Agreement of Limited Partnership of Plains AAP, L.P. dated August 29, 2007 (incorporated by reference to Exhibit 10.1 to the Current Report on Form 8-K filed August 31, 2007).</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4.1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4.2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4.3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r>
        <w:trPr/>
        <w:tc>
          <w:tcPr>
            <w:tcW w:w="713"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 </w:t>
            </w:r>
          </w:p>
        </w:tc>
      </w:tr>
      <w:tr>
        <w:trPr/>
        <w:tc>
          <w:tcPr>
            <w:tcW w:w="713" w:type="dxa"/>
            <w:tcBorders/>
            <w:shd w:fill="auto" w:val="clear"/>
          </w:tcPr>
          <w:p>
            <w:pPr>
              <w:pStyle w:val="TableContents"/>
              <w:spacing w:before="0" w:after="0"/>
              <w:ind w:left="75" w:right="0" w:hanging="0"/>
              <w:rPr/>
            </w:pPr>
            <w:r>
              <w:rPr/>
              <w:t xml:space="preserve">4.4 </w:t>
            </w:r>
          </w:p>
        </w:tc>
        <w:tc>
          <w:tcPr>
            <w:tcW w:w="203" w:type="dxa"/>
            <w:tcBorders/>
            <w:shd w:fill="auto" w:val="clear"/>
            <w:vAlign w:val="bottom"/>
          </w:tcPr>
          <w:p>
            <w:pPr>
              <w:pStyle w:val="TableContents"/>
              <w:spacing w:before="0" w:after="283"/>
              <w:rPr/>
            </w:pPr>
            <w:r>
              <w:rPr/>
              <w:t> </w:t>
            </w:r>
          </w:p>
        </w:tc>
        <w:tc>
          <w:tcPr>
            <w:tcW w:w="203"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83" w:type="dxa"/>
            <w:tcBorders/>
            <w:shd w:fill="auto" w:val="clear"/>
          </w:tcPr>
          <w:p>
            <w:pPr>
              <w:pStyle w:val="TableContents"/>
              <w:spacing w:before="0" w:after="283"/>
              <w:jc w:val="left"/>
              <w:rPr/>
            </w:pPr>
            <w:r>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14"/>
        <w:gridCol w:w="204"/>
        <w:gridCol w:w="204"/>
        <w:gridCol w:w="204"/>
        <w:gridCol w:w="8879"/>
      </w:tblGrid>
      <w:tr>
        <w:trPr/>
        <w:tc>
          <w:tcPr>
            <w:tcW w:w="71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pPr>
            <w:r>
              <w:rPr/>
              <w:t> </w:t>
            </w:r>
          </w:p>
        </w:tc>
      </w:tr>
      <w:tr>
        <w:trPr/>
        <w:tc>
          <w:tcPr>
            <w:tcW w:w="714" w:type="dxa"/>
            <w:tcBorders/>
            <w:shd w:fill="auto" w:val="clear"/>
          </w:tcPr>
          <w:p>
            <w:pPr>
              <w:pStyle w:val="TableContents"/>
              <w:spacing w:before="0" w:after="0"/>
              <w:ind w:left="75" w:right="0" w:hanging="0"/>
              <w:rPr/>
            </w:pPr>
            <w:r>
              <w:rPr/>
              <w:t xml:space="preserve">4.5 </w:t>
            </w:r>
          </w:p>
        </w:tc>
        <w:tc>
          <w:tcPr>
            <w:tcW w:w="204"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4"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716"/>
        <w:gridCol w:w="203"/>
        <w:gridCol w:w="204"/>
        <w:gridCol w:w="203"/>
        <w:gridCol w:w="8879"/>
      </w:tblGrid>
      <w:tr>
        <w:trPr/>
        <w:tc>
          <w:tcPr>
            <w:tcW w:w="7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pPr>
            <w:r>
              <w:rPr/>
              <w:t> </w:t>
            </w:r>
          </w:p>
        </w:tc>
      </w:tr>
      <w:tr>
        <w:trPr/>
        <w:tc>
          <w:tcPr>
            <w:tcW w:w="716" w:type="dxa"/>
            <w:tcBorders/>
            <w:shd w:fill="auto" w:val="clear"/>
          </w:tcPr>
          <w:p>
            <w:pPr>
              <w:pStyle w:val="TableContents"/>
              <w:spacing w:before="0" w:after="0"/>
              <w:ind w:left="75" w:right="0" w:hanging="0"/>
              <w:rPr/>
            </w:pPr>
            <w:r>
              <w:rPr/>
              <w:t xml:space="preserve">4.6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4.7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Sixth Supplemental Indenture (Series A and Series B 6.70% Senior Notes due 2036) dated May 12, 2006 among Plains All American Pipeline, L.P., PAA Finance Corp., the Subsidiary Guarantors named therein and Wachovia Bank, National Association (incorporated by reference to Exhibit 4.1 to the Current Report on Form 8-K filed May 12,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4.8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Seventh Supplemental Indenture dated May 12, 2006 among Plains All American Pipeline, L.P., PAA Finance Corp., Plains LPG Services GP LLC, Plains LPG Services, L.P., Lone Star Trucking, LLC and Wachovia Bank, National Association (incorporated by reference to Exhibit 4.3 to the Current Report on Form 8-K filed May 12,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4.9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Eighth Supplemental Indenture dated August 25, 2006 among Plains All American Pipeline, L.P., PAA Finance Corp., Plains Marketing International GP LLC, Plains Marketing International, L.P., Plains LPG Marketing, L.P. and Wachovia Bank, National Association (incorporated by reference to Exhibit 4.1 to the Current Report on Form 8-K filed August 25,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4.10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Ninth Supplemental Indenture (Series A and Series B 6.125% Senior Notes due 2017) dated October 30, 2006 among Plains All American Pipeline, L.P., PAA Finance Corp., the Subsidiary Guarantors named therein and U.S. Bank National Association (incorporated by reference to Exhibit 4.1 to the Current Report on Form 8-K filed October 30,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4.11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Tenth Supplemental Indenture (Series A and Series B 6.650% Senior Notes due 2037) dated October 30, 2006 among Plains All American Pipeline, L.P., PAA Finance Corp., the Subsidiary Guarantors named therein and U.S. Bank National Association (incorporated by reference to Exhibit 4.2 to the Current Report on Form 8-K filed October 30,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4.12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Eleventh Supplemental Indenture dated November 15, 2006 to Indenture dated as of September 25, 2002, among Plains All American Pipeline, L.P., PAA Finance Corp.,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Pacific Energy Finance Corporation, Rangeland Marketing Company and U.S. Bank National Association, as trustee (incorporated by reference to Exhibit 4.1 to the Current Report on Form 8-K filed November 21,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4.13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Indenture dated June 16, 2004 among Pacific Energy Partners, L.P. and Pacific Energy Finance Corporation, the guarantors named therein, and Wells Fargo Bank, National Association, as trustee of the 7 1/8% senior notes due 2014 (incorporated by reference to Exhibit 4.21 to Pacifics Quarterly Report on Form 10-Q for the quarter ended June 30, 2004).</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4.14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First Supplemental Indenture dated March 3, 2005 among Pacific Energy Partners, L.P. and Pacific Energy Finance Corporation, the guarantors named therein, and Wells Fargo Bank, National Association, as trustee of the 7 1/8% senior notes due 2014 (incorporated by reference to Exhibit 4.1 to Pacifics Current Report on Form 8-K filed March 9, 2005).</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4.15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Second Supplemental Indenture dated September 23, 2005 among Pacific Energy Partners, L.P. and Pacific Energy Finance Corporation, the guarantors named therein, and Wells Fargo Bank, National Association, as trustee of the 7 1/8% senior notes due 2014 (incorporated by reference to Exhibit 4.17 to the Annual Report on Form 10-K for the year ended December 31, 2006).</w:t>
            </w:r>
          </w:p>
        </w:tc>
      </w:tr>
      <w:tr>
        <w:trPr/>
        <w:tc>
          <w:tcPr>
            <w:tcW w:w="716" w:type="dxa"/>
            <w:tcBorders/>
            <w:shd w:fill="auto" w:val="clear"/>
          </w:tcPr>
          <w:p>
            <w:pPr>
              <w:pStyle w:val="TableContents"/>
              <w:spacing w:before="0" w:after="0"/>
              <w:ind w:left="75" w:right="0" w:hanging="0"/>
              <w:rPr/>
            </w:pPr>
            <w:r>
              <w:rPr/>
              <w:t>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 </w:t>
            </w:r>
          </w:p>
        </w:tc>
      </w:tr>
      <w:tr>
        <w:trPr/>
        <w:tc>
          <w:tcPr>
            <w:tcW w:w="716" w:type="dxa"/>
            <w:tcBorders/>
            <w:shd w:fill="auto" w:val="clear"/>
          </w:tcPr>
          <w:p>
            <w:pPr>
              <w:pStyle w:val="TableContents"/>
              <w:spacing w:before="0" w:after="0"/>
              <w:ind w:left="75" w:right="0" w:hanging="0"/>
              <w:rPr/>
            </w:pPr>
            <w:r>
              <w:rPr/>
              <w:t xml:space="preserve">4.16 </w:t>
            </w:r>
          </w:p>
        </w:tc>
        <w:tc>
          <w:tcPr>
            <w:tcW w:w="203"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jc w:val="left"/>
              <w:rPr/>
            </w:pPr>
            <w:r>
              <w:rPr/>
              <w:t xml:space="preserve"> </w:t>
            </w:r>
          </w:p>
        </w:tc>
        <w:tc>
          <w:tcPr>
            <w:tcW w:w="203" w:type="dxa"/>
            <w:tcBorders/>
            <w:shd w:fill="auto" w:val="clear"/>
            <w:vAlign w:val="bottom"/>
          </w:tcPr>
          <w:p>
            <w:pPr>
              <w:pStyle w:val="TableContents"/>
              <w:spacing w:before="0" w:after="283"/>
              <w:rPr/>
            </w:pPr>
            <w:r>
              <w:rPr/>
              <w:t> </w:t>
            </w:r>
          </w:p>
        </w:tc>
        <w:tc>
          <w:tcPr>
            <w:tcW w:w="8879" w:type="dxa"/>
            <w:tcBorders/>
            <w:shd w:fill="auto" w:val="clear"/>
          </w:tcPr>
          <w:p>
            <w:pPr>
              <w:pStyle w:val="TableContents"/>
              <w:spacing w:before="0" w:after="283"/>
              <w:jc w:val="left"/>
              <w:rPr/>
            </w:pPr>
            <w:r>
              <w:rPr/>
              <w:t>Third Supplemental Indenture dated November 15, 2006 to Indenture dated as of June 16, 2004,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4.2 to the Current Report on Form 8-K filed November 21,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921"/>
        <w:gridCol w:w="206"/>
        <w:gridCol w:w="245"/>
        <w:gridCol w:w="206"/>
        <w:gridCol w:w="8627"/>
      </w:tblGrid>
      <w:tr>
        <w:trPr/>
        <w:tc>
          <w:tcPr>
            <w:tcW w:w="921"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vAlign w:val="bottom"/>
          </w:tcPr>
          <w:p>
            <w:pPr>
              <w:pStyle w:val="TableContents"/>
              <w:spacing w:before="0" w:after="283"/>
              <w:rPr/>
            </w:pPr>
            <w:r>
              <w:rPr/>
              <w:t> </w:t>
            </w:r>
          </w:p>
        </w:tc>
      </w:tr>
      <w:tr>
        <w:trPr/>
        <w:tc>
          <w:tcPr>
            <w:tcW w:w="921" w:type="dxa"/>
            <w:tcBorders/>
            <w:shd w:fill="auto" w:val="clear"/>
          </w:tcPr>
          <w:p>
            <w:pPr>
              <w:pStyle w:val="TableContents"/>
              <w:spacing w:before="0" w:after="0"/>
              <w:ind w:left="75" w:right="0" w:hanging="0"/>
              <w:rPr/>
            </w:pPr>
            <w:r>
              <w:rPr/>
              <w:t xml:space="preserve">4.17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4.18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First Supplemental Indenture dated November 15, 2006 to Indenture dated as of September 23, 2005, among Plains All American Pipeline, L.P., Pacific Energy Finance Corporation, PEG Canada GP LLC, Pacific Energy Group LLC, PEG Canada, L.P., Pacific Marketing and Transportation LLC, Rocky Mountain Pipeline System LLC, Ranch Pipeline LLC, Pacific Atlantic Terminals LLC, Pacific L.A. Marine Terminal LLC, Rangeland Pipeline Company, Aurora Pipeline Company Ltd., Rangeland Pipeline Partnership, Rangeland Northern Pipeline Company, Rangeland Marketing Company, Plains Marketing, L.P., Plains Pipeline, L.P., Plains Marketing GP Inc., Plains Marketing Canada LLC, Plains Marketing Canada, L.P., PMC (Nova Scotia) Company, Basin Holdings GP LLC, Basin Pipeline Holdings, L.P., Rancho Holdings GP LLC, Rancho Pipeline Holdings, L.P., Plains LPG Services GP LLC, Plains LPG Services, L.P., Lone Star Trucking, LLC, Plains Marketing International GP LLC, Plains Marketing International L.P., Plains LPG Marketing, L.P., PAA Finance Corp. and Wells Fargo Bank, National Association, as trustee (incorporated by reference to Exhibit 4.3 to the Current Report on Form 8-K filed November 21, 2006).</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10.1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Joinder and Supplement dated effective June 20, 2007 among the Lenders party thereto, relating to the Restated Credit Facility dated November 19, 2004, as amended (incorporated by reference to Exhibit 10.1 to the Quarterly Report on Form 10-Q for the Quarter Ended June 30, 2007).</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10.2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First Amendment dated July 31, 2007 to the Second Amended and Restated Credit Agreement [US/Canada Facilities] (incorporated by reference to Exhibit 10.1 to the Current Report on Form 8-K filed August 6, 2007).</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0" w:right="0" w:hanging="0"/>
              <w:rPr/>
            </w:pPr>
            <w:r>
              <w:rPr/>
              <w:t xml:space="preserve">/**10.3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Separation and Release Agreement dated August 21, 2007 between Plains All American GP LLC and George R Coiner.</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0" w:right="0" w:hanging="0"/>
              <w:rPr/>
            </w:pPr>
            <w:r>
              <w:rPr/>
              <w:t xml:space="preserve">**10.4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Plains AAP, L.P. Class B Restricted Units Agreement (incorporated by reference to Exhibit 10.2 to the Current Report on Form 8-K filed August 31, 2007).</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31.1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Executive Officer pursuant to Exchange Act Rules 13a-14(a) and 15d-14(a).</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31.2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Financial Officer pursuant to Exchange Act Rules 13a-14(a) and 15d-14(a).</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*32.1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Executive Officer pursuant to 18 U.S.C. 1350.</w:t>
            </w:r>
          </w:p>
        </w:tc>
      </w:tr>
      <w:tr>
        <w:trPr/>
        <w:tc>
          <w:tcPr>
            <w:tcW w:w="921" w:type="dxa"/>
            <w:tcBorders/>
            <w:shd w:fill="auto" w:val="clear"/>
          </w:tcPr>
          <w:p>
            <w:pPr>
              <w:pStyle w:val="TableContents"/>
              <w:spacing w:before="0" w:after="0"/>
              <w:ind w:left="75" w:right="0" w:hanging="0"/>
              <w:rPr/>
            </w:pPr>
            <w:r>
              <w:rPr/>
              <w:t>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 </w:t>
            </w:r>
          </w:p>
        </w:tc>
      </w:tr>
      <w:tr>
        <w:trPr/>
        <w:tc>
          <w:tcPr>
            <w:tcW w:w="921" w:type="dxa"/>
            <w:tcBorders/>
            <w:shd w:fill="auto" w:val="clear"/>
          </w:tcPr>
          <w:p>
            <w:pPr>
              <w:pStyle w:val="TableContents"/>
              <w:spacing w:before="0" w:after="0"/>
              <w:ind w:left="75" w:right="0" w:hanging="0"/>
              <w:rPr/>
            </w:pPr>
            <w:r>
              <w:rPr/>
              <w:t xml:space="preserve">*32.2 </w:t>
            </w:r>
          </w:p>
        </w:tc>
        <w:tc>
          <w:tcPr>
            <w:tcW w:w="206" w:type="dxa"/>
            <w:tcBorders/>
            <w:shd w:fill="auto" w:val="clear"/>
            <w:vAlign w:val="bottom"/>
          </w:tcPr>
          <w:p>
            <w:pPr>
              <w:pStyle w:val="TableContents"/>
              <w:spacing w:before="0" w:after="283"/>
              <w:rPr/>
            </w:pPr>
            <w:r>
              <w:rPr/>
              <w:t> </w:t>
            </w:r>
          </w:p>
        </w:tc>
        <w:tc>
          <w:tcPr>
            <w:tcW w:w="245" w:type="dxa"/>
            <w:tcBorders/>
            <w:shd w:fill="auto" w:val="clear"/>
          </w:tcPr>
          <w:p>
            <w:pPr>
              <w:pStyle w:val="TableContents"/>
              <w:spacing w:before="0" w:after="283"/>
              <w:jc w:val="left"/>
              <w:rPr/>
            </w:pPr>
            <w:r>
              <w:rPr/>
              <w:t xml:space="preserve"> </w:t>
            </w:r>
          </w:p>
        </w:tc>
        <w:tc>
          <w:tcPr>
            <w:tcW w:w="206" w:type="dxa"/>
            <w:tcBorders/>
            <w:shd w:fill="auto" w:val="clear"/>
            <w:vAlign w:val="bottom"/>
          </w:tcPr>
          <w:p>
            <w:pPr>
              <w:pStyle w:val="TableContents"/>
              <w:spacing w:before="0" w:after="283"/>
              <w:rPr/>
            </w:pPr>
            <w:r>
              <w:rPr/>
              <w:t> </w:t>
            </w:r>
          </w:p>
        </w:tc>
        <w:tc>
          <w:tcPr>
            <w:tcW w:w="8627" w:type="dxa"/>
            <w:tcBorders/>
            <w:shd w:fill="auto" w:val="clear"/>
          </w:tcPr>
          <w:p>
            <w:pPr>
              <w:pStyle w:val="TableContents"/>
              <w:spacing w:before="0" w:after="283"/>
              <w:jc w:val="left"/>
              <w:rPr/>
            </w:pPr>
            <w:r>
              <w:rPr/>
              <w:t>Certification of Principal Financial Officer pursuant to 18 U.S.C. 1350.</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654"/>
        <w:gridCol w:w="2210"/>
        <w:gridCol w:w="1341"/>
      </w:tblGrid>
      <w:tr>
        <w:trPr/>
        <w:tc>
          <w:tcPr>
            <w:tcW w:w="6654"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Filed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Furnished herewith.</w:t>
            </w:r>
          </w:p>
        </w:tc>
      </w:tr>
      <w:tr>
        <w:trPr/>
        <w:tc>
          <w:tcPr>
            <w:tcW w:w="6654" w:type="dxa"/>
            <w:tcBorders/>
            <w:shd w:fill="auto" w:val="clear"/>
            <w:vAlign w:val="center"/>
          </w:tcPr>
          <w:p>
            <w:pPr>
              <w:pStyle w:val="TableContents"/>
              <w:spacing w:before="0" w:after="283"/>
              <w:rPr/>
            </w:pPr>
            <w:r>
              <w:rPr/>
              <w:t> </w:t>
            </w:r>
          </w:p>
        </w:tc>
        <w:tc>
          <w:tcPr>
            <w:tcW w:w="3551" w:type="dxa"/>
            <w:gridSpan w:val="2"/>
            <w:tcBorders/>
            <w:shd w:fill="auto" w:val="clear"/>
          </w:tcPr>
          <w:p>
            <w:pPr>
              <w:pStyle w:val="TableContents"/>
              <w:spacing w:before="0" w:after="283"/>
              <w:rPr>
                <w:sz w:val="4"/>
                <w:szCs w:val="4"/>
              </w:rPr>
            </w:pPr>
            <w:r>
              <w:rPr>
                <w:sz w:val="4"/>
                <w:szCs w:val="4"/>
              </w:rPr>
            </w:r>
          </w:p>
        </w:tc>
      </w:tr>
      <w:tr>
        <w:trPr/>
        <w:tc>
          <w:tcPr>
            <w:tcW w:w="6654" w:type="dxa"/>
            <w:tcBorders/>
            <w:shd w:fill="auto" w:val="clear"/>
          </w:tcPr>
          <w:p>
            <w:pPr>
              <w:pStyle w:val="TableContents"/>
              <w:spacing w:before="0" w:after="283"/>
              <w:jc w:val="left"/>
              <w:rPr/>
            </w:pPr>
            <w:r>
              <w:rPr/>
              <w:t>**</w:t>
            </w:r>
          </w:p>
        </w:tc>
        <w:tc>
          <w:tcPr>
            <w:tcW w:w="2210" w:type="dxa"/>
            <w:tcBorders/>
            <w:shd w:fill="auto" w:val="clear"/>
          </w:tcPr>
          <w:p>
            <w:pPr>
              <w:pStyle w:val="TableContents"/>
              <w:spacing w:before="0" w:after="283"/>
              <w:rPr/>
            </w:pPr>
            <w:r>
              <w:rPr/>
              <w:t> </w:t>
            </w:r>
          </w:p>
        </w:tc>
        <w:tc>
          <w:tcPr>
            <w:tcW w:w="1341" w:type="dxa"/>
            <w:tcBorders/>
            <w:shd w:fill="auto" w:val="clear"/>
          </w:tcPr>
          <w:p>
            <w:pPr>
              <w:pStyle w:val="TableContents"/>
              <w:spacing w:before="0" w:after="283"/>
              <w:rPr/>
            </w:pPr>
            <w:r>
              <w:rPr/>
              <w:t>Management compensatory plan or arrangement.</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56 </w:t>
      </w:r>
      <w:r>
        <w:br w:type="page"/>
      </w:r>
    </w:p>
    <w:p>
      <w:pPr>
        <w:pStyle w:val="Heading5"/>
        <w:jc w:val="left"/>
        <w:rPr/>
      </w:pPr>
      <w:bookmarkStart w:id="25" w:name="h50768exv10w3.htm"/>
      <w:bookmarkStart w:id="26" w:name="ksh50768exv10w3"/>
      <w:bookmarkEnd w:id="25"/>
      <w:bookmarkEnd w:id="26"/>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10.3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SEPARATION AND RELEASE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SEPARATION and RELEASE AGREEMENT (Agreement) is made this 21st day of August, 2007 by and between Plains All American GP LLC and all of its parent, subsidiary and affiliate entities (the Company or the Employer) and George R. Coiner (Coiner or the Employee), an individual currently residing at 2520 Robinhood, #1009, Houston, TX 77009. The Employer and Employee are at times referred to collectively as the Parties.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WITNESSETH</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WHEREAS, Coiner is an employee of the Company; and </w:t>
      </w:r>
    </w:p>
    <w:p>
      <w:pPr>
        <w:pStyle w:val="TextBody"/>
        <w:spacing w:before="120" w:after="283"/>
        <w:jc w:val="left"/>
        <w:rPr/>
      </w:pPr>
      <w:r>
        <w:rPr/>
        <w:t>     </w:t>
      </w:r>
      <w:r>
        <w:rPr>
          <w:rFonts w:ascii="Times New Roman;Times;serif" w:hAnsi="Times New Roman;Times;serif"/>
          <w:sz w:val="17"/>
        </w:rPr>
        <w:t xml:space="preserve">WHEREAS, the Company and Coiner have mutually agreed to sever the employment relationship between Employer and Employee on the terms and conditions herein described; and </w:t>
      </w:r>
    </w:p>
    <w:p>
      <w:pPr>
        <w:pStyle w:val="TextBody"/>
        <w:spacing w:before="120" w:after="283"/>
        <w:jc w:val="left"/>
        <w:rPr/>
      </w:pPr>
      <w:r>
        <w:rPr/>
        <w:t>     </w:t>
      </w:r>
      <w:r>
        <w:rPr>
          <w:rFonts w:ascii="Times New Roman;Times;serif" w:hAnsi="Times New Roman;Times;serif"/>
          <w:sz w:val="17"/>
        </w:rPr>
        <w:t xml:space="preserve">WHEREAS, the Company and Coiner desire to provide for a consulting arrangement between Coiner and the Company as set forth herein. </w:t>
      </w:r>
    </w:p>
    <w:p>
      <w:pPr>
        <w:pStyle w:val="TextBody"/>
        <w:spacing w:before="120" w:after="283"/>
        <w:jc w:val="left"/>
        <w:rPr/>
      </w:pPr>
      <w:r>
        <w:rPr/>
        <w:t>     </w:t>
      </w:r>
      <w:r>
        <w:rPr>
          <w:rFonts w:ascii="Times New Roman;Times;serif" w:hAnsi="Times New Roman;Times;serif"/>
          <w:sz w:val="17"/>
        </w:rPr>
        <w:t xml:space="preserve">NOW, THEREFORE, in consideration of the covenants and conditions herein contained, the parties agree as follows: </w:t>
      </w:r>
    </w:p>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pPr>
            <w:r>
              <w:rPr/>
              <w:t>1.</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u w:val="single"/>
              </w:rPr>
              <w:t>Retirement and Severance of Employment</w:t>
            </w:r>
            <w:r>
              <w:rPr/>
              <w:t>. Coiner will retire and, accordingly, Coiners employment with the Company will terminate, effective August 31, 2007 or the date of this Agreement, whichever is later (the Severance Date). Coiner will resign from all positions, offices and directorships, if any, that he holds with any of the Company Affiliates (as defined in Section 5(e) below) effective as of the Severance Date.</w:t>
            </w:r>
          </w:p>
        </w:tc>
      </w:tr>
    </w:tbl>
    <w:tbl>
      <w:tblPr>
        <w:tblW w:w="5000" w:type="pct"/>
        <w:jc w:val="left"/>
        <w:tblInd w:w="0" w:type="dxa"/>
        <w:tblCellMar>
          <w:top w:w="0" w:type="dxa"/>
          <w:left w:w="0" w:type="dxa"/>
          <w:bottom w:w="0" w:type="dxa"/>
          <w:right w:w="0" w:type="dxa"/>
        </w:tblCellMar>
      </w:tblPr>
      <w:tblGrid>
        <w:gridCol w:w="209"/>
        <w:gridCol w:w="128"/>
        <w:gridCol w:w="9868"/>
      </w:tblGrid>
      <w:tr>
        <w:trPr/>
        <w:tc>
          <w:tcPr>
            <w:tcW w:w="209" w:type="dxa"/>
            <w:tcBorders/>
            <w:shd w:fill="auto" w:val="clear"/>
          </w:tcPr>
          <w:p>
            <w:pPr>
              <w:pStyle w:val="TableContents"/>
              <w:spacing w:before="0" w:after="283"/>
              <w:jc w:val="left"/>
              <w:rPr/>
            </w:pPr>
            <w:r>
              <w:rPr/>
              <w:t>2.</w:t>
            </w:r>
          </w:p>
        </w:tc>
        <w:tc>
          <w:tcPr>
            <w:tcW w:w="128" w:type="dxa"/>
            <w:tcBorders/>
            <w:shd w:fill="auto" w:val="clear"/>
          </w:tcPr>
          <w:p>
            <w:pPr>
              <w:pStyle w:val="TableContents"/>
              <w:spacing w:before="0" w:after="283"/>
              <w:rPr/>
            </w:pPr>
            <w:r>
              <w:rPr/>
              <w:t> </w:t>
            </w:r>
          </w:p>
        </w:tc>
        <w:tc>
          <w:tcPr>
            <w:tcW w:w="9868" w:type="dxa"/>
            <w:tcBorders/>
            <w:shd w:fill="auto" w:val="clear"/>
          </w:tcPr>
          <w:p>
            <w:pPr>
              <w:pStyle w:val="TableContents"/>
              <w:spacing w:before="0" w:after="283"/>
              <w:rPr/>
            </w:pPr>
            <w:r>
              <w:rPr>
                <w:u w:val="single"/>
              </w:rPr>
              <w:t>Payments</w:t>
            </w:r>
            <w:r>
              <w:rPr/>
              <w:t>. Subject to the conditions set forth in Section 5 below and Coiners continued compliance with the terms hereof, the Company agrees to pay the following:</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$8,693,836 within seven days of the earlier of (i) the Severance Date and (ii) the date of this Agreement. Coiner acknowledges and agrees that (i) such amount is a gross amount, which will be subject to and reduced by any applicable payroll taxes and (ii) no payment hereunder will involve any contribution to the Companys 401(K) Plan.</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COBRA coverage. The Company agrees to pay COBRA insurance premiums (medical and/or dental) for up to 18 months. In the event that Coiners entitlement to COBRA coverage should cease before that time, the Company will have no obligation to continue payment of Coiners COBRA premiums.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57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1"/>
        <w:gridCol w:w="125"/>
        <w:gridCol w:w="9879"/>
      </w:tblGrid>
      <w:tr>
        <w:trPr/>
        <w:tc>
          <w:tcPr>
            <w:tcW w:w="201"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t>Consulting Arrangement. Coiner will provide consulting services through March 31, 2009 on an as-need basis upon request of, and with adequate notice from, the CEO or President of the Company; provided that Coiner shall not be required to provide such consulting services in excess of forty (40) hours per month. The consulting services requested will be commensurate with matters undertaken by a Senior Vice President. The Company will pay Coiner $500,000 on or around the first day of each quarter commencing October 1, 2007, with the last payment on January 1, 2009.</w:t>
            </w:r>
          </w:p>
        </w:tc>
      </w:tr>
    </w:tbl>
    <w:tbl>
      <w:tblPr>
        <w:tblW w:w="5000" w:type="pct"/>
        <w:jc w:val="left"/>
        <w:tblInd w:w="0" w:type="dxa"/>
        <w:tblCellMar>
          <w:top w:w="0" w:type="dxa"/>
          <w:left w:w="0" w:type="dxa"/>
          <w:bottom w:w="0" w:type="dxa"/>
          <w:right w:w="0" w:type="dxa"/>
        </w:tblCellMar>
      </w:tblPr>
      <w:tblGrid>
        <w:gridCol w:w="202"/>
        <w:gridCol w:w="124"/>
        <w:gridCol w:w="9879"/>
      </w:tblGrid>
      <w:tr>
        <w:trPr/>
        <w:tc>
          <w:tcPr>
            <w:tcW w:w="202" w:type="dxa"/>
            <w:tcBorders/>
            <w:shd w:fill="auto" w:val="clear"/>
          </w:tcPr>
          <w:p>
            <w:pPr>
              <w:pStyle w:val="TableContents"/>
              <w:spacing w:before="0" w:after="283"/>
              <w:jc w:val="left"/>
              <w:rPr/>
            </w:pPr>
            <w:r>
              <w:rPr/>
              <w:t>4.</w:t>
            </w:r>
          </w:p>
        </w:tc>
        <w:tc>
          <w:tcPr>
            <w:tcW w:w="124" w:type="dxa"/>
            <w:tcBorders/>
            <w:shd w:fill="auto" w:val="clear"/>
          </w:tcPr>
          <w:p>
            <w:pPr>
              <w:pStyle w:val="TableContents"/>
              <w:spacing w:before="0" w:after="283"/>
              <w:rPr/>
            </w:pPr>
            <w:r>
              <w:rPr/>
              <w:t> </w:t>
            </w:r>
          </w:p>
        </w:tc>
        <w:tc>
          <w:tcPr>
            <w:tcW w:w="9879" w:type="dxa"/>
            <w:tcBorders/>
            <w:shd w:fill="auto" w:val="clear"/>
          </w:tcPr>
          <w:p>
            <w:pPr>
              <w:pStyle w:val="TableContents"/>
              <w:spacing w:before="0" w:after="283"/>
              <w:rPr/>
            </w:pPr>
            <w:r>
              <w:rPr>
                <w:u w:val="single"/>
              </w:rPr>
              <w:t>Confidential Information and Non-Solicitation Agreement</w:t>
            </w:r>
            <w:r>
              <w:rPr/>
              <w:t>. The provisions of the Confidential Information and Non-Solicitation Agreement dated November 23, 1998 by and between the Company as successor to Plains All American Inc., and Coiner (the Confidentiality Agreement) shall remain in force and effect through March 31, 2010 (the parties hereto intending to, and do hereby, amend the term of the Confidentiality Agreement), and any payments made hereunder shall be subject to Coiners continuing compliance with the provisions of the Confidentiality Agreement. In that regard, Coiner represents that he is and at all times has been in compliance therewith, and after due inquiry the Company is not aware of any breach. Coiner acknowledges that this Agreement constitutes a request from the Company under Section 1(c) of the Confidentiality Agreement to deliver to the Company on the Severance Date all of the documents, records, notebooks, notes, memoranda and similar repositories described therein, including all electronic or digital media, computers, computer files, handhelds, PDAs and cellular devices (the Confidential Documents), and represents and warrants that no copies of the Confidential Documents exist other than those to be delivered hereunder.</w:t>
            </w:r>
          </w:p>
        </w:tc>
      </w:tr>
    </w:tbl>
    <w:tbl>
      <w:tblPr>
        <w:tblW w:w="5000" w:type="pct"/>
        <w:jc w:val="left"/>
        <w:tblInd w:w="0" w:type="dxa"/>
        <w:tblCellMar>
          <w:top w:w="0" w:type="dxa"/>
          <w:left w:w="0" w:type="dxa"/>
          <w:bottom w:w="0" w:type="dxa"/>
          <w:right w:w="0" w:type="dxa"/>
        </w:tblCellMar>
      </w:tblPr>
      <w:tblGrid>
        <w:gridCol w:w="207"/>
        <w:gridCol w:w="127"/>
        <w:gridCol w:w="9871"/>
      </w:tblGrid>
      <w:tr>
        <w:trPr/>
        <w:tc>
          <w:tcPr>
            <w:tcW w:w="207" w:type="dxa"/>
            <w:tcBorders/>
            <w:shd w:fill="auto" w:val="clear"/>
          </w:tcPr>
          <w:p>
            <w:pPr>
              <w:pStyle w:val="TableContents"/>
              <w:spacing w:before="0" w:after="283"/>
              <w:jc w:val="left"/>
              <w:rPr/>
            </w:pPr>
            <w:r>
              <w:rPr/>
              <w:t>5.</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u w:val="single"/>
              </w:rPr>
              <w:t>Coiner Release</w:t>
            </w:r>
            <w:r>
              <w:rPr/>
              <w:t>. Subject to Section 7 hereof and in exchange for the consideration described in Sections 2 and 3 hereof:</w:t>
            </w:r>
          </w:p>
        </w:tc>
      </w:tr>
    </w:tbl>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Except for claims relating to a breach of this Agreement by the Company, Coiner hereby irrevocably, unconditionally, fully and forever releases the Company and the Released Company Parties (as defined below) from all claims, demands, causes of action or similar rights or liabilities of any nature, whether known or unknown, in equity or at law, which Coiner ever had, now has, or may hereafter claim to have, against any or all of them including, but not limited to, those based on, arising out of, or in any way related to:</w:t>
            </w:r>
          </w:p>
        </w:tc>
      </w:tr>
    </w:tbl>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283"/>
              <w:rPr/>
            </w:pPr>
            <w:r>
              <w:rPr/>
              <w:t>any claims for payment, including, but not limited to, claims for salary, bonus and incentive payments, retention payments, benefits payments, accrued vacation benefits, or reimbursement of expense payments, or claims under any equity or incentive grants or awards, including without limitation any transaction grants, phantom units, restricted units or unit options, under any plan or program of the Company or Released Company Parties (but not including the outstanding, vested and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58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815"/>
        <w:gridCol w:w="305"/>
        <w:gridCol w:w="101"/>
        <w:gridCol w:w="8984"/>
      </w:tblGrid>
      <w:tr>
        <w:trPr/>
        <w:tc>
          <w:tcPr>
            <w:tcW w:w="81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pPr>
            <w:r>
              <w:rPr/>
              <w:t>unexercised option to purchase 21,250 Common Units under the Performance Option Plan); and</w:t>
            </w:r>
          </w:p>
        </w:tc>
      </w:tr>
    </w:tbl>
    <w:tbl>
      <w:tblPr>
        <w:tblW w:w="5000" w:type="pct"/>
        <w:jc w:val="left"/>
        <w:tblInd w:w="0" w:type="dxa"/>
        <w:tblCellMar>
          <w:top w:w="0" w:type="dxa"/>
          <w:left w:w="0" w:type="dxa"/>
          <w:bottom w:w="0" w:type="dxa"/>
          <w:right w:w="0" w:type="dxa"/>
        </w:tblCellMar>
      </w:tblPr>
      <w:tblGrid>
        <w:gridCol w:w="815"/>
        <w:gridCol w:w="306"/>
        <w:gridCol w:w="101"/>
        <w:gridCol w:w="8983"/>
      </w:tblGrid>
      <w:tr>
        <w:trPr/>
        <w:tc>
          <w:tcPr>
            <w:tcW w:w="815"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pPr>
            <w:r>
              <w:rPr/>
              <w:t>Coiners employment with the Company and termination of same, including breach of contract (with the exception of claims relating to a breach of this Agreement by the Company, as noted above), wrongful termination, tortious interference with contract, retaliation, intentional infliction of emotional distress, assault, discrimination, harassment, defamation, damage to reputation, conspiracy, negligence, and gross negligence, and any and all claims under any federal, state, or local statute or ordinance, or under any federal, state or local law, whether statutory or at common law or otherwise, including without limitation claims under the Age Discrimination in Employment Act, 29 U.S.C. section 621, the Americans with Disabilities Act, the Fair Labor Standards Act, the Employee Retirement Income Security Act, the Sarbanes-Oxley Act, the False Claims Act, the Texas Commission on Human Rights Act, which Coiner has had, has, or may have in the future as the result of, in connection with, or arising from Coiners employment with, for, or around, any of the entities and individuals identified herein as the Company or Released Company Parties that could have been asserted against the Company Released Company Parties. Coiner understands and agrees that no claims whatsoever against the Company Released Company Parties of the nature described above are reserved or shall be prosecuted or pursued in the future in any forum. This Agreement shall not waive or release any rights or claims Employee may have under the Age Discrimination in Employment Act, which arise after the Severance Date or eight (8) days after Employee executes this Agreement, whichever comes later.</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Coiner agrees never to file a lawsuit or bring any proceeding asserting any cause of action or claim that is released hereby, and not to collect any damages, payment or remedies of any kind if any type of action or proceeding is brought by a third party on his behalf which is covered by this Agreement.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Excluded from this release are any claims which cannot be waived by law in a private agreement between employer and employee.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As of the Severance Date, Coiner and the Company hereby acknowledges that he has no knowledge of any facts that would constitute the basis of a lawsuit, cause of action, or claim, or a charge or complaint with any state or federal agency, against the Company or the Released Company Parties with respect to any acts or events occurring prior to the date hereof in the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59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course of Coiners dealings with the Company and the Released Company Parties.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(e)</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For purposes of this Agreement, Released Company Parties means the Companys subsidiaries, related entities, affiliates, predecessors, successors and assigns, any entity for which it has or exercises direct or indirect management or executory authority or control, and any joint venture involving any of the above (collectively, Company Affiliates), as well as the past, present and future agents, officers, directors, employees, owners, members, partners, control persons and insurers of the Company or Company Affiliates.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(f)</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Each Company Released Party (other than the Company) is expressly a third-party beneficiary hereof.</w:t>
            </w:r>
          </w:p>
        </w:tc>
      </w:tr>
    </w:tbl>
    <w:tbl>
      <w:tblPr>
        <w:tblW w:w="5000" w:type="pct"/>
        <w:jc w:val="left"/>
        <w:tblInd w:w="0" w:type="dxa"/>
        <w:tblCellMar>
          <w:top w:w="0" w:type="dxa"/>
          <w:left w:w="0" w:type="dxa"/>
          <w:bottom w:w="0" w:type="dxa"/>
          <w:right w:w="0" w:type="dxa"/>
        </w:tblCellMar>
      </w:tblPr>
      <w:tblGrid>
        <w:gridCol w:w="200"/>
        <w:gridCol w:w="125"/>
        <w:gridCol w:w="9880"/>
      </w:tblGrid>
      <w:tr>
        <w:trPr/>
        <w:tc>
          <w:tcPr>
            <w:tcW w:w="200" w:type="dxa"/>
            <w:tcBorders/>
            <w:shd w:fill="auto" w:val="clear"/>
          </w:tcPr>
          <w:p>
            <w:pPr>
              <w:pStyle w:val="TableContents"/>
              <w:spacing w:before="0" w:after="283"/>
              <w:jc w:val="left"/>
              <w:rPr/>
            </w:pPr>
            <w:r>
              <w:rPr/>
              <w:t>6.</w:t>
            </w:r>
          </w:p>
        </w:tc>
        <w:tc>
          <w:tcPr>
            <w:tcW w:w="125"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u w:val="single"/>
              </w:rPr>
              <w:t>ADEA Rights</w:t>
            </w:r>
            <w:r>
              <w:rPr/>
              <w:t>. Coiner further acknowledges that:</w:t>
            </w:r>
          </w:p>
        </w:tc>
      </w:tr>
    </w:tbl>
    <w:tbl>
      <w:tblPr>
        <w:tblW w:w="5000" w:type="pct"/>
        <w:jc w:val="left"/>
        <w:tblInd w:w="0" w:type="dxa"/>
        <w:tblCellMar>
          <w:top w:w="0" w:type="dxa"/>
          <w:left w:w="0" w:type="dxa"/>
          <w:bottom w:w="0" w:type="dxa"/>
          <w:right w:w="0" w:type="dxa"/>
        </w:tblCellMar>
      </w:tblPr>
      <w:tblGrid>
        <w:gridCol w:w="203"/>
        <w:gridCol w:w="306"/>
        <w:gridCol w:w="102"/>
        <w:gridCol w:w="9594"/>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He has been advised in writing by virtue of this Agreement that he has the right to seek legal counsel before signing this Agreement.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He has been given twenty-one (21) days within which to consider the waivers included in this Agreement. If Coiner chooses to sign the Agreement at any time prior to that date, it is agreed that Coiner signs willingly and voluntarily and </w:t>
            </w:r>
            <w:r>
              <w:rPr>
                <w:b/>
              </w:rPr>
              <w:t xml:space="preserve">expressly waives </w:t>
            </w:r>
            <w:r>
              <w:rPr/>
              <w:t>his right to wait the entire twenty-one (21) day period as provided in the law. Any offers deemed to be made by the Company herein will expire if Coiner has not signed this Agreement within such period.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 xml:space="preserve">He has </w:t>
            </w:r>
            <w:r>
              <w:rPr>
                <w:b/>
                <w:i/>
              </w:rPr>
              <w:t xml:space="preserve">seven </w:t>
            </w:r>
            <w:r>
              <w:rPr/>
              <w:t xml:space="preserve">(7) </w:t>
            </w:r>
            <w:r>
              <w:rPr>
                <w:b/>
              </w:rPr>
              <w:t xml:space="preserve">days </w:t>
            </w:r>
            <w:r>
              <w:rPr/>
              <w:t>after signing this Agreement to revoke it. This Agreement will not become effective or enforceable until the revocation period has expired. Any notice of revocation of the Agreement is effective only if given to Tim Moore, General Counsel or Harry N. Pefanis, President (at the address of the Company set forth below), in writing by the close of business at 4:30 p.m. on the seventh (7th ) day after the signing of this Agreement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Coiner agrees that he is receiving, pursuant to this Agreement, consideration which is in addition to that to which he would otherwise be entitled.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(e)</w:t>
            </w:r>
          </w:p>
        </w:tc>
        <w:tc>
          <w:tcPr>
            <w:tcW w:w="102" w:type="dxa"/>
            <w:tcBorders/>
            <w:shd w:fill="auto" w:val="clear"/>
          </w:tcPr>
          <w:p>
            <w:pPr>
              <w:pStyle w:val="TableContents"/>
              <w:spacing w:before="0" w:after="283"/>
              <w:rPr/>
            </w:pPr>
            <w:r>
              <w:rPr/>
              <w:t> </w:t>
            </w:r>
          </w:p>
        </w:tc>
        <w:tc>
          <w:tcPr>
            <w:tcW w:w="9594" w:type="dxa"/>
            <w:tcBorders/>
            <w:shd w:fill="auto" w:val="clear"/>
          </w:tcPr>
          <w:p>
            <w:pPr>
              <w:pStyle w:val="TableContents"/>
              <w:spacing w:before="0" w:after="283"/>
              <w:rPr/>
            </w:pPr>
            <w:r>
              <w:rPr/>
              <w:t>Nothing in this Agreement prevents or precludes Coiner from challenging or seeking a determination in good faith of the validity of this release under the ADEA, nor does it impose any condition precedent, penalties or costs for doing so, unless specifically authorized by federal law.</w:t>
            </w:r>
          </w:p>
        </w:tc>
      </w:tr>
    </w:tbl>
    <w:tbl>
      <w:tblPr>
        <w:tblW w:w="5000" w:type="pct"/>
        <w:jc w:val="left"/>
        <w:tblInd w:w="0" w:type="dxa"/>
        <w:tblCellMar>
          <w:top w:w="0" w:type="dxa"/>
          <w:left w:w="0" w:type="dxa"/>
          <w:bottom w:w="0" w:type="dxa"/>
          <w:right w:w="0" w:type="dxa"/>
        </w:tblCellMar>
      </w:tblPr>
      <w:tblGrid>
        <w:gridCol w:w="207"/>
        <w:gridCol w:w="127"/>
        <w:gridCol w:w="9871"/>
      </w:tblGrid>
      <w:tr>
        <w:trPr/>
        <w:tc>
          <w:tcPr>
            <w:tcW w:w="207" w:type="dxa"/>
            <w:tcBorders/>
            <w:shd w:fill="auto" w:val="clear"/>
          </w:tcPr>
          <w:p>
            <w:pPr>
              <w:pStyle w:val="TableContents"/>
              <w:spacing w:before="0" w:after="283"/>
              <w:jc w:val="left"/>
              <w:rPr/>
            </w:pPr>
            <w:r>
              <w:rPr/>
              <w:t>7.</w:t>
            </w:r>
          </w:p>
        </w:tc>
        <w:tc>
          <w:tcPr>
            <w:tcW w:w="127" w:type="dxa"/>
            <w:tcBorders/>
            <w:shd w:fill="auto" w:val="clear"/>
          </w:tcPr>
          <w:p>
            <w:pPr>
              <w:pStyle w:val="TableContents"/>
              <w:spacing w:before="0" w:after="283"/>
              <w:rPr/>
            </w:pPr>
            <w:r>
              <w:rPr/>
              <w:t> </w:t>
            </w:r>
          </w:p>
        </w:tc>
        <w:tc>
          <w:tcPr>
            <w:tcW w:w="9871" w:type="dxa"/>
            <w:tcBorders/>
            <w:shd w:fill="auto" w:val="clear"/>
          </w:tcPr>
          <w:p>
            <w:pPr>
              <w:pStyle w:val="TableContents"/>
              <w:spacing w:before="0" w:after="283"/>
              <w:rPr/>
            </w:pPr>
            <w:r>
              <w:rPr>
                <w:u w:val="single"/>
              </w:rPr>
              <w:t>Revocation</w:t>
            </w:r>
            <w:r>
              <w:rPr/>
              <w:t>. Should Coiner exercise the revocation right after receipt of any consideration under this Agreement, Coiner will return the consideration within five (5) days of the date of revocation. Should Coiner fail to return the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60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consideration in these circumstances, Coiner will be liable to Employer for any attorneys fees expended in obtaining such repayment plus interest.</w:t>
            </w:r>
          </w:p>
        </w:tc>
      </w:tr>
    </w:tbl>
    <w:tbl>
      <w:tblPr>
        <w:tblW w:w="5000" w:type="pct"/>
        <w:jc w:val="left"/>
        <w:tblInd w:w="0" w:type="dxa"/>
        <w:tblCellMar>
          <w:top w:w="0" w:type="dxa"/>
          <w:left w:w="0" w:type="dxa"/>
          <w:bottom w:w="0" w:type="dxa"/>
          <w:right w:w="0" w:type="dxa"/>
        </w:tblCellMar>
      </w:tblPr>
      <w:tblGrid>
        <w:gridCol w:w="205"/>
        <w:gridCol w:w="126"/>
        <w:gridCol w:w="9874"/>
      </w:tblGrid>
      <w:tr>
        <w:trPr/>
        <w:tc>
          <w:tcPr>
            <w:tcW w:w="205" w:type="dxa"/>
            <w:tcBorders/>
            <w:shd w:fill="auto" w:val="clear"/>
          </w:tcPr>
          <w:p>
            <w:pPr>
              <w:pStyle w:val="TableContents"/>
              <w:spacing w:before="0" w:after="283"/>
              <w:jc w:val="left"/>
              <w:rPr/>
            </w:pPr>
            <w:r>
              <w:rPr/>
              <w:t>8.</w:t>
            </w:r>
          </w:p>
        </w:tc>
        <w:tc>
          <w:tcPr>
            <w:tcW w:w="126" w:type="dxa"/>
            <w:tcBorders/>
            <w:shd w:fill="auto" w:val="clear"/>
          </w:tcPr>
          <w:p>
            <w:pPr>
              <w:pStyle w:val="TableContents"/>
              <w:spacing w:before="0" w:after="283"/>
              <w:rPr/>
            </w:pPr>
            <w:r>
              <w:rPr/>
              <w:t> </w:t>
            </w:r>
          </w:p>
        </w:tc>
        <w:tc>
          <w:tcPr>
            <w:tcW w:w="9874" w:type="dxa"/>
            <w:tcBorders/>
            <w:shd w:fill="auto" w:val="clear"/>
          </w:tcPr>
          <w:p>
            <w:pPr>
              <w:pStyle w:val="TableContents"/>
              <w:spacing w:before="0" w:after="283"/>
              <w:rPr/>
            </w:pPr>
            <w:r>
              <w:rPr>
                <w:u w:val="single"/>
              </w:rPr>
              <w:t>Successors and Assigns</w:t>
            </w:r>
            <w:r>
              <w:rPr/>
              <w:t>. This Agreement shall be binding upon, and shall inure to the benefit of the heirs, legal representatives, executors, successors and assigns of the parties hereto.</w:t>
            </w:r>
          </w:p>
        </w:tc>
      </w:tr>
    </w:tbl>
    <w:tbl>
      <w:tblPr>
        <w:tblW w:w="5000" w:type="pct"/>
        <w:jc w:val="left"/>
        <w:tblInd w:w="0" w:type="dxa"/>
        <w:tblCellMar>
          <w:top w:w="0" w:type="dxa"/>
          <w:left w:w="0" w:type="dxa"/>
          <w:bottom w:w="0" w:type="dxa"/>
          <w:right w:w="0" w:type="dxa"/>
        </w:tblCellMar>
      </w:tblPr>
      <w:tblGrid>
        <w:gridCol w:w="202"/>
        <w:gridCol w:w="125"/>
        <w:gridCol w:w="9878"/>
      </w:tblGrid>
      <w:tr>
        <w:trPr/>
        <w:tc>
          <w:tcPr>
            <w:tcW w:w="202" w:type="dxa"/>
            <w:tcBorders/>
            <w:shd w:fill="auto" w:val="clear"/>
          </w:tcPr>
          <w:p>
            <w:pPr>
              <w:pStyle w:val="TableContents"/>
              <w:spacing w:before="0" w:after="283"/>
              <w:jc w:val="left"/>
              <w:rPr/>
            </w:pPr>
            <w:r>
              <w:rPr/>
              <w:t>9.</w:t>
            </w:r>
          </w:p>
        </w:tc>
        <w:tc>
          <w:tcPr>
            <w:tcW w:w="125" w:type="dxa"/>
            <w:tcBorders/>
            <w:shd w:fill="auto" w:val="clear"/>
          </w:tcPr>
          <w:p>
            <w:pPr>
              <w:pStyle w:val="TableContents"/>
              <w:spacing w:before="0" w:after="283"/>
              <w:rPr/>
            </w:pPr>
            <w:r>
              <w:rPr/>
              <w:t> </w:t>
            </w:r>
          </w:p>
        </w:tc>
        <w:tc>
          <w:tcPr>
            <w:tcW w:w="9878" w:type="dxa"/>
            <w:tcBorders/>
            <w:shd w:fill="auto" w:val="clear"/>
          </w:tcPr>
          <w:p>
            <w:pPr>
              <w:pStyle w:val="TableContents"/>
              <w:spacing w:before="0" w:after="283"/>
              <w:rPr/>
            </w:pPr>
            <w:r>
              <w:rPr>
                <w:u w:val="single"/>
              </w:rPr>
              <w:t>Severability</w:t>
            </w:r>
            <w:r>
              <w:rPr/>
              <w:t>. Wherever there is any conflict between any provision of this Agreement and any statute, law, regulation or jurisdiction to be indefinite, invalid or otherwise unenforceable, the entire Agreement shall not fail on account thereof, but the balance of the Agreement shall continue in full force and effect unless such construction would clearly be contrary to the intention of the parties.</w:t>
            </w:r>
          </w:p>
        </w:tc>
      </w:tr>
    </w:tbl>
    <w:tbl>
      <w:tblPr>
        <w:tblW w:w="5000" w:type="pct"/>
        <w:jc w:val="left"/>
        <w:tblInd w:w="0" w:type="dxa"/>
        <w:tblCellMar>
          <w:top w:w="0" w:type="dxa"/>
          <w:left w:w="0" w:type="dxa"/>
          <w:bottom w:w="0" w:type="dxa"/>
          <w:right w:w="0" w:type="dxa"/>
        </w:tblCellMar>
      </w:tblPr>
      <w:tblGrid>
        <w:gridCol w:w="332"/>
        <w:gridCol w:w="136"/>
        <w:gridCol w:w="9737"/>
      </w:tblGrid>
      <w:tr>
        <w:trPr/>
        <w:tc>
          <w:tcPr>
            <w:tcW w:w="332" w:type="dxa"/>
            <w:tcBorders/>
            <w:shd w:fill="auto" w:val="clear"/>
          </w:tcPr>
          <w:p>
            <w:pPr>
              <w:pStyle w:val="TableContents"/>
              <w:spacing w:before="0" w:after="283"/>
              <w:jc w:val="left"/>
              <w:rPr/>
            </w:pPr>
            <w:r>
              <w:rPr/>
              <w:t>10.</w:t>
            </w:r>
          </w:p>
        </w:tc>
        <w:tc>
          <w:tcPr>
            <w:tcW w:w="136" w:type="dxa"/>
            <w:tcBorders/>
            <w:shd w:fill="auto" w:val="clear"/>
          </w:tcPr>
          <w:p>
            <w:pPr>
              <w:pStyle w:val="TableContents"/>
              <w:spacing w:before="0" w:after="283"/>
              <w:rPr/>
            </w:pPr>
            <w:r>
              <w:rPr/>
              <w:t> </w:t>
            </w:r>
          </w:p>
        </w:tc>
        <w:tc>
          <w:tcPr>
            <w:tcW w:w="9737" w:type="dxa"/>
            <w:tcBorders/>
            <w:shd w:fill="auto" w:val="clear"/>
          </w:tcPr>
          <w:p>
            <w:pPr>
              <w:pStyle w:val="TableContents"/>
              <w:spacing w:before="0" w:after="283"/>
              <w:rPr/>
            </w:pPr>
            <w:r>
              <w:rPr>
                <w:u w:val="single"/>
              </w:rPr>
              <w:t>Legal, Governing Law</w:t>
            </w:r>
            <w:r>
              <w:rPr/>
              <w:t>. This Agreement supersedes any and all oral agreements and can only be modified by the parties in a writing signed by both sides expressly stating a specific intent to modify this Agreement. The Agreement shall be governed by and construed in accordance with the laws of the State of Texas. The parties hereby submit to the exclusive jurisdiction of the state courts of Texas, located in Harris County.</w:t>
            </w:r>
          </w:p>
        </w:tc>
      </w:tr>
    </w:tbl>
    <w:tbl>
      <w:tblPr>
        <w:tblW w:w="5000" w:type="pct"/>
        <w:jc w:val="left"/>
        <w:tblInd w:w="0" w:type="dxa"/>
        <w:tblCellMar>
          <w:top w:w="0" w:type="dxa"/>
          <w:left w:w="0" w:type="dxa"/>
          <w:bottom w:w="0" w:type="dxa"/>
          <w:right w:w="0" w:type="dxa"/>
        </w:tblCellMar>
      </w:tblPr>
      <w:tblGrid>
        <w:gridCol w:w="320"/>
        <w:gridCol w:w="131"/>
        <w:gridCol w:w="9754"/>
      </w:tblGrid>
      <w:tr>
        <w:trPr/>
        <w:tc>
          <w:tcPr>
            <w:tcW w:w="320" w:type="dxa"/>
            <w:tcBorders/>
            <w:shd w:fill="auto" w:val="clear"/>
          </w:tcPr>
          <w:p>
            <w:pPr>
              <w:pStyle w:val="TableContents"/>
              <w:spacing w:before="0" w:after="283"/>
              <w:jc w:val="left"/>
              <w:rPr/>
            </w:pPr>
            <w:r>
              <w:rPr/>
              <w:t>11.</w:t>
            </w:r>
          </w:p>
        </w:tc>
        <w:tc>
          <w:tcPr>
            <w:tcW w:w="131" w:type="dxa"/>
            <w:tcBorders/>
            <w:shd w:fill="auto" w:val="clear"/>
          </w:tcPr>
          <w:p>
            <w:pPr>
              <w:pStyle w:val="TableContents"/>
              <w:spacing w:before="0" w:after="283"/>
              <w:rPr/>
            </w:pPr>
            <w:r>
              <w:rPr/>
              <w:t> </w:t>
            </w:r>
          </w:p>
        </w:tc>
        <w:tc>
          <w:tcPr>
            <w:tcW w:w="9754" w:type="dxa"/>
            <w:tcBorders/>
            <w:shd w:fill="auto" w:val="clear"/>
          </w:tcPr>
          <w:p>
            <w:pPr>
              <w:pStyle w:val="TableContents"/>
              <w:spacing w:before="0" w:after="283"/>
              <w:rPr/>
            </w:pPr>
            <w:r>
              <w:rPr>
                <w:u w:val="single"/>
              </w:rPr>
              <w:t>Notices</w:t>
            </w:r>
            <w:r>
              <w:rPr/>
              <w:t>. For purposes of this Agreement, notices and all other communications shall be in writing and shall have been duly given when personally delivered or when mailed by United States certified or registered mail, addressed as follows: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to the Employer: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GP LLC</w:t>
        <w:br/>
        <w:t>333 Clay Street, Suite 1600</w:t>
        <w:br/>
        <w:t>Houston, Texas 77002</w:t>
        <w:br/>
        <w:t>Attention: Tim Moore</w:t>
        <w:br/>
        <w:t>Telephone: 713-646-4484</w:t>
        <w:br/>
        <w:t xml:space="preserve">Facsimile: 713-646-4313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to the Employee: </w:t>
      </w:r>
    </w:p>
    <w:p>
      <w:pPr>
        <w:pStyle w:val="TextBody"/>
        <w:spacing w:before="120" w:after="283"/>
        <w:jc w:val="left"/>
        <w:rPr>
          <w:rFonts w:ascii="Times New Roman;Times;serif" w:hAnsi="Times New Roman;Times;serif"/>
          <w:sz w:val="17"/>
        </w:rPr>
      </w:pPr>
      <w:r>
        <w:rPr>
          <w:rFonts w:ascii="Times New Roman;Times;serif" w:hAnsi="Times New Roman;Times;serif"/>
          <w:sz w:val="17"/>
        </w:rPr>
        <w:t>George R. Coiner</w:t>
        <w:br/>
        <w:t>2520 Robinhood, #1009</w:t>
        <w:br/>
        <w:t xml:space="preserve">Houston, Texas 77009 </w:t>
      </w:r>
    </w:p>
    <w:tbl>
      <w:tblPr>
        <w:tblW w:w="5000" w:type="pct"/>
        <w:jc w:val="left"/>
        <w:tblInd w:w="0" w:type="dxa"/>
        <w:tblCellMar>
          <w:top w:w="0" w:type="dxa"/>
          <w:left w:w="0" w:type="dxa"/>
          <w:bottom w:w="0" w:type="dxa"/>
          <w:right w:w="0" w:type="dxa"/>
        </w:tblCellMar>
      </w:tblPr>
      <w:tblGrid>
        <w:gridCol w:w="334"/>
        <w:gridCol w:w="136"/>
        <w:gridCol w:w="9735"/>
      </w:tblGrid>
      <w:tr>
        <w:trPr/>
        <w:tc>
          <w:tcPr>
            <w:tcW w:w="334" w:type="dxa"/>
            <w:tcBorders/>
            <w:shd w:fill="auto" w:val="clear"/>
          </w:tcPr>
          <w:p>
            <w:pPr>
              <w:pStyle w:val="TableContents"/>
              <w:spacing w:before="0" w:after="283"/>
              <w:jc w:val="left"/>
              <w:rPr/>
            </w:pPr>
            <w:r>
              <w:rPr/>
              <w:t>12.</w:t>
            </w:r>
          </w:p>
        </w:tc>
        <w:tc>
          <w:tcPr>
            <w:tcW w:w="136" w:type="dxa"/>
            <w:tcBorders/>
            <w:shd w:fill="auto" w:val="clear"/>
          </w:tcPr>
          <w:p>
            <w:pPr>
              <w:pStyle w:val="TableContents"/>
              <w:spacing w:before="0" w:after="283"/>
              <w:rPr/>
            </w:pPr>
            <w:r>
              <w:rPr/>
              <w:t> </w:t>
            </w:r>
          </w:p>
        </w:tc>
        <w:tc>
          <w:tcPr>
            <w:tcW w:w="9735" w:type="dxa"/>
            <w:tcBorders/>
            <w:shd w:fill="auto" w:val="clear"/>
          </w:tcPr>
          <w:p>
            <w:pPr>
              <w:pStyle w:val="TableContents"/>
              <w:spacing w:before="0" w:after="283"/>
              <w:rPr/>
            </w:pPr>
            <w:r>
              <w:rPr>
                <w:u w:val="single"/>
              </w:rPr>
              <w:t xml:space="preserve">Further Assurances. </w:t>
            </w:r>
            <w:r>
              <w:rPr/>
              <w:t>The parties hereby agree upon reasonable request to take whatever actions are necessary or helpful in realizing the objectives and intent of this Agreement.</w:t>
            </w:r>
          </w:p>
        </w:tc>
      </w:tr>
    </w:tbl>
    <w:tbl>
      <w:tblPr>
        <w:tblW w:w="5000" w:type="pct"/>
        <w:jc w:val="left"/>
        <w:tblInd w:w="0" w:type="dxa"/>
        <w:tblCellMar>
          <w:top w:w="0" w:type="dxa"/>
          <w:left w:w="0" w:type="dxa"/>
          <w:bottom w:w="0" w:type="dxa"/>
          <w:right w:w="0" w:type="dxa"/>
        </w:tblCellMar>
      </w:tblPr>
      <w:tblGrid>
        <w:gridCol w:w="331"/>
        <w:gridCol w:w="136"/>
        <w:gridCol w:w="9738"/>
      </w:tblGrid>
      <w:tr>
        <w:trPr/>
        <w:tc>
          <w:tcPr>
            <w:tcW w:w="331" w:type="dxa"/>
            <w:tcBorders/>
            <w:shd w:fill="auto" w:val="clear"/>
          </w:tcPr>
          <w:p>
            <w:pPr>
              <w:pStyle w:val="TableContents"/>
              <w:spacing w:before="0" w:after="283"/>
              <w:jc w:val="left"/>
              <w:rPr/>
            </w:pPr>
            <w:r>
              <w:rPr/>
              <w:t>13.</w:t>
            </w:r>
          </w:p>
        </w:tc>
        <w:tc>
          <w:tcPr>
            <w:tcW w:w="136" w:type="dxa"/>
            <w:tcBorders/>
            <w:shd w:fill="auto" w:val="clear"/>
          </w:tcPr>
          <w:p>
            <w:pPr>
              <w:pStyle w:val="TableContents"/>
              <w:spacing w:before="0" w:after="283"/>
              <w:rPr/>
            </w:pPr>
            <w:r>
              <w:rPr/>
              <w:t> </w:t>
            </w:r>
          </w:p>
        </w:tc>
        <w:tc>
          <w:tcPr>
            <w:tcW w:w="9738" w:type="dxa"/>
            <w:tcBorders/>
            <w:shd w:fill="auto" w:val="clear"/>
          </w:tcPr>
          <w:p>
            <w:pPr>
              <w:pStyle w:val="TableContents"/>
              <w:spacing w:before="0" w:after="283"/>
              <w:rPr/>
            </w:pPr>
            <w:r>
              <w:rPr>
                <w:u w:val="single"/>
              </w:rPr>
              <w:t>No Waiver</w:t>
            </w:r>
            <w:r>
              <w:rPr/>
              <w:t>. No failure by either party hereto at any time to give notice of any breach of the other party of, or to require compliance with, any condition or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61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100"/>
        <w:gridCol w:w="101"/>
        <w:gridCol w:w="10004"/>
      </w:tblGrid>
      <w:tr>
        <w:trPr/>
        <w:tc>
          <w:tcPr>
            <w:tcW w:w="100"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10004" w:type="dxa"/>
            <w:tcBorders/>
            <w:shd w:fill="auto" w:val="clear"/>
          </w:tcPr>
          <w:p>
            <w:pPr>
              <w:pStyle w:val="TableContents"/>
              <w:spacing w:before="0" w:after="283"/>
              <w:rPr/>
            </w:pPr>
            <w:r>
              <w:rPr/>
              <w:t>provision of this Agreement shall be deemed a waiver of similar or dissimilar provisions or conditions at the same or at any prior or subsequent time.</w:t>
            </w:r>
          </w:p>
        </w:tc>
      </w:tr>
    </w:tbl>
    <w:tbl>
      <w:tblPr>
        <w:tblW w:w="5000" w:type="pct"/>
        <w:jc w:val="left"/>
        <w:tblInd w:w="0" w:type="dxa"/>
        <w:tblCellMar>
          <w:top w:w="0" w:type="dxa"/>
          <w:left w:w="0" w:type="dxa"/>
          <w:bottom w:w="0" w:type="dxa"/>
          <w:right w:w="0" w:type="dxa"/>
        </w:tblCellMar>
      </w:tblPr>
      <w:tblGrid>
        <w:gridCol w:w="335"/>
        <w:gridCol w:w="136"/>
        <w:gridCol w:w="9734"/>
      </w:tblGrid>
      <w:tr>
        <w:trPr/>
        <w:tc>
          <w:tcPr>
            <w:tcW w:w="335" w:type="dxa"/>
            <w:tcBorders/>
            <w:shd w:fill="auto" w:val="clear"/>
          </w:tcPr>
          <w:p>
            <w:pPr>
              <w:pStyle w:val="TableContents"/>
              <w:spacing w:before="0" w:after="283"/>
              <w:jc w:val="left"/>
              <w:rPr/>
            </w:pPr>
            <w:r>
              <w:rPr/>
              <w:t>14.</w:t>
            </w:r>
          </w:p>
        </w:tc>
        <w:tc>
          <w:tcPr>
            <w:tcW w:w="136" w:type="dxa"/>
            <w:tcBorders/>
            <w:shd w:fill="auto" w:val="clear"/>
          </w:tcPr>
          <w:p>
            <w:pPr>
              <w:pStyle w:val="TableContents"/>
              <w:spacing w:before="0" w:after="283"/>
              <w:rPr/>
            </w:pPr>
            <w:r>
              <w:rPr/>
              <w:t> </w:t>
            </w:r>
          </w:p>
        </w:tc>
        <w:tc>
          <w:tcPr>
            <w:tcW w:w="9734" w:type="dxa"/>
            <w:tcBorders/>
            <w:shd w:fill="auto" w:val="clear"/>
          </w:tcPr>
          <w:p>
            <w:pPr>
              <w:pStyle w:val="TableContents"/>
              <w:spacing w:before="0" w:after="283"/>
              <w:rPr/>
            </w:pPr>
            <w:r>
              <w:rPr>
                <w:u w:val="single"/>
              </w:rPr>
              <w:t>Remedy for Breach of Contract</w:t>
            </w:r>
            <w:r>
              <w:rPr/>
              <w:t>. The Parties agree that in the event there is any breach or asserted breach of the terms, covenants or conditions of this Agreement, the remedy of the Parties hereto shall be in both law and in equity, including injunctive relief for the enforcement of or relief from any provisions of this Agreement.</w:t>
            </w:r>
          </w:p>
        </w:tc>
      </w:tr>
    </w:tbl>
    <w:tbl>
      <w:tblPr>
        <w:tblW w:w="5000" w:type="pct"/>
        <w:jc w:val="left"/>
        <w:tblInd w:w="0" w:type="dxa"/>
        <w:tblCellMar>
          <w:top w:w="0" w:type="dxa"/>
          <w:left w:w="0" w:type="dxa"/>
          <w:bottom w:w="0" w:type="dxa"/>
          <w:right w:w="0" w:type="dxa"/>
        </w:tblCellMar>
      </w:tblPr>
      <w:tblGrid>
        <w:gridCol w:w="323"/>
        <w:gridCol w:w="133"/>
        <w:gridCol w:w="9749"/>
      </w:tblGrid>
      <w:tr>
        <w:trPr/>
        <w:tc>
          <w:tcPr>
            <w:tcW w:w="323" w:type="dxa"/>
            <w:tcBorders/>
            <w:shd w:fill="auto" w:val="clear"/>
          </w:tcPr>
          <w:p>
            <w:pPr>
              <w:pStyle w:val="TableContents"/>
              <w:spacing w:before="0" w:after="283"/>
              <w:jc w:val="left"/>
              <w:rPr/>
            </w:pPr>
            <w:r>
              <w:rPr/>
              <w:t>15.</w:t>
            </w:r>
          </w:p>
        </w:tc>
        <w:tc>
          <w:tcPr>
            <w:tcW w:w="133" w:type="dxa"/>
            <w:tcBorders/>
            <w:shd w:fill="auto" w:val="clear"/>
          </w:tcPr>
          <w:p>
            <w:pPr>
              <w:pStyle w:val="TableContents"/>
              <w:spacing w:before="0" w:after="283"/>
              <w:rPr/>
            </w:pPr>
            <w:r>
              <w:rPr/>
              <w:t> </w:t>
            </w:r>
          </w:p>
        </w:tc>
        <w:tc>
          <w:tcPr>
            <w:tcW w:w="9749" w:type="dxa"/>
            <w:tcBorders/>
            <w:shd w:fill="auto" w:val="clear"/>
          </w:tcPr>
          <w:p>
            <w:pPr>
              <w:pStyle w:val="TableContents"/>
              <w:spacing w:before="0" w:after="283"/>
              <w:rPr/>
            </w:pPr>
            <w:r>
              <w:rPr>
                <w:u w:val="single"/>
              </w:rPr>
              <w:t>Counterparts</w:t>
            </w:r>
            <w:r>
              <w:rPr/>
              <w:t>. This Agreement may be executed in one or more counterparts, each of which shall be deemed to be an original, but all of which together will constitute one and the same Agreement.</w:t>
            </w:r>
          </w:p>
        </w:tc>
      </w:tr>
    </w:tbl>
    <w:tbl>
      <w:tblPr>
        <w:tblW w:w="5000" w:type="pct"/>
        <w:jc w:val="left"/>
        <w:tblInd w:w="0" w:type="dxa"/>
        <w:tblCellMar>
          <w:top w:w="0" w:type="dxa"/>
          <w:left w:w="0" w:type="dxa"/>
          <w:bottom w:w="0" w:type="dxa"/>
          <w:right w:w="0" w:type="dxa"/>
        </w:tblCellMar>
      </w:tblPr>
      <w:tblGrid>
        <w:gridCol w:w="323"/>
        <w:gridCol w:w="133"/>
        <w:gridCol w:w="9749"/>
      </w:tblGrid>
      <w:tr>
        <w:trPr/>
        <w:tc>
          <w:tcPr>
            <w:tcW w:w="323" w:type="dxa"/>
            <w:tcBorders/>
            <w:shd w:fill="auto" w:val="clear"/>
          </w:tcPr>
          <w:p>
            <w:pPr>
              <w:pStyle w:val="TableContents"/>
              <w:spacing w:before="0" w:after="283"/>
              <w:jc w:val="left"/>
              <w:rPr/>
            </w:pPr>
            <w:r>
              <w:rPr/>
              <w:t>16.</w:t>
            </w:r>
          </w:p>
        </w:tc>
        <w:tc>
          <w:tcPr>
            <w:tcW w:w="133" w:type="dxa"/>
            <w:tcBorders/>
            <w:shd w:fill="auto" w:val="clear"/>
          </w:tcPr>
          <w:p>
            <w:pPr>
              <w:pStyle w:val="TableContents"/>
              <w:spacing w:before="0" w:after="283"/>
              <w:rPr/>
            </w:pPr>
            <w:r>
              <w:rPr/>
              <w:t> </w:t>
            </w:r>
          </w:p>
        </w:tc>
        <w:tc>
          <w:tcPr>
            <w:tcW w:w="9749" w:type="dxa"/>
            <w:tcBorders/>
            <w:shd w:fill="auto" w:val="clear"/>
          </w:tcPr>
          <w:p>
            <w:pPr>
              <w:pStyle w:val="TableContents"/>
              <w:spacing w:before="0" w:after="283"/>
              <w:rPr/>
            </w:pPr>
            <w:r>
              <w:rPr>
                <w:u w:val="single"/>
              </w:rPr>
              <w:t>Withholding of Taxes</w:t>
            </w:r>
            <w:r>
              <w:rPr/>
              <w:t>. The Employer may withhold from any benefits or remuneration payable under this Agreement all federal, state, city or other taxes as may be required pursuant to any law or governmental regulation or ruling.</w:t>
            </w:r>
          </w:p>
        </w:tc>
      </w:tr>
    </w:tbl>
    <w:tbl>
      <w:tblPr>
        <w:tblW w:w="5000" w:type="pct"/>
        <w:jc w:val="left"/>
        <w:tblInd w:w="0" w:type="dxa"/>
        <w:tblCellMar>
          <w:top w:w="0" w:type="dxa"/>
          <w:left w:w="0" w:type="dxa"/>
          <w:bottom w:w="0" w:type="dxa"/>
          <w:right w:w="0" w:type="dxa"/>
        </w:tblCellMar>
      </w:tblPr>
      <w:tblGrid>
        <w:gridCol w:w="327"/>
        <w:gridCol w:w="133"/>
        <w:gridCol w:w="9745"/>
      </w:tblGrid>
      <w:tr>
        <w:trPr/>
        <w:tc>
          <w:tcPr>
            <w:tcW w:w="327" w:type="dxa"/>
            <w:tcBorders/>
            <w:shd w:fill="auto" w:val="clear"/>
          </w:tcPr>
          <w:p>
            <w:pPr>
              <w:pStyle w:val="TableContents"/>
              <w:spacing w:before="0" w:after="283"/>
              <w:jc w:val="left"/>
              <w:rPr/>
            </w:pPr>
            <w:r>
              <w:rPr/>
              <w:t>17.</w:t>
            </w:r>
          </w:p>
        </w:tc>
        <w:tc>
          <w:tcPr>
            <w:tcW w:w="133" w:type="dxa"/>
            <w:tcBorders/>
            <w:shd w:fill="auto" w:val="clear"/>
          </w:tcPr>
          <w:p>
            <w:pPr>
              <w:pStyle w:val="TableContents"/>
              <w:spacing w:before="0" w:after="283"/>
              <w:rPr/>
            </w:pPr>
            <w:r>
              <w:rPr/>
              <w:t> </w:t>
            </w:r>
          </w:p>
        </w:tc>
        <w:tc>
          <w:tcPr>
            <w:tcW w:w="9745" w:type="dxa"/>
            <w:tcBorders/>
            <w:shd w:fill="auto" w:val="clear"/>
          </w:tcPr>
          <w:p>
            <w:pPr>
              <w:pStyle w:val="TableContents"/>
              <w:spacing w:before="0" w:after="283"/>
              <w:rPr/>
            </w:pPr>
            <w:r>
              <w:rPr>
                <w:u w:val="single"/>
              </w:rPr>
              <w:t>Section 16 representation</w:t>
            </w:r>
            <w:r>
              <w:rPr/>
              <w:t>. Coiner represents that he has engaged in no transactions in securities of Plains All American Pipeline, L.P. in the last six months that have not been reported under Section 16 of the Securities Exchange Act.</w:t>
            </w:r>
          </w:p>
        </w:tc>
      </w:tr>
    </w:tbl>
    <w:tbl>
      <w:tblPr>
        <w:tblW w:w="5000" w:type="pct"/>
        <w:jc w:val="left"/>
        <w:tblInd w:w="0" w:type="dxa"/>
        <w:tblCellMar>
          <w:top w:w="0" w:type="dxa"/>
          <w:left w:w="0" w:type="dxa"/>
          <w:bottom w:w="0" w:type="dxa"/>
          <w:right w:w="0" w:type="dxa"/>
        </w:tblCellMar>
      </w:tblPr>
      <w:tblGrid>
        <w:gridCol w:w="336"/>
        <w:gridCol w:w="136"/>
        <w:gridCol w:w="9733"/>
      </w:tblGrid>
      <w:tr>
        <w:trPr/>
        <w:tc>
          <w:tcPr>
            <w:tcW w:w="336" w:type="dxa"/>
            <w:tcBorders/>
            <w:shd w:fill="auto" w:val="clear"/>
          </w:tcPr>
          <w:p>
            <w:pPr>
              <w:pStyle w:val="TableContents"/>
              <w:spacing w:before="0" w:after="283"/>
              <w:jc w:val="left"/>
              <w:rPr/>
            </w:pPr>
            <w:r>
              <w:rPr/>
              <w:t>18.</w:t>
            </w:r>
          </w:p>
        </w:tc>
        <w:tc>
          <w:tcPr>
            <w:tcW w:w="136" w:type="dxa"/>
            <w:tcBorders/>
            <w:shd w:fill="auto" w:val="clear"/>
          </w:tcPr>
          <w:p>
            <w:pPr>
              <w:pStyle w:val="TableContents"/>
              <w:spacing w:before="0" w:after="283"/>
              <w:rPr/>
            </w:pPr>
            <w:r>
              <w:rPr/>
              <w:t> </w:t>
            </w:r>
          </w:p>
        </w:tc>
        <w:tc>
          <w:tcPr>
            <w:tcW w:w="9733" w:type="dxa"/>
            <w:tcBorders/>
            <w:shd w:fill="auto" w:val="clear"/>
          </w:tcPr>
          <w:p>
            <w:pPr>
              <w:pStyle w:val="TableContents"/>
              <w:spacing w:before="0" w:after="283"/>
              <w:rPr/>
            </w:pPr>
            <w:r>
              <w:rPr>
                <w:u w:val="single"/>
              </w:rPr>
              <w:t>Headings</w:t>
            </w:r>
            <w:r>
              <w:rPr/>
              <w:t>. The Section headings have been inserted for purposes of convenience and shall not be used for interpretive purposes.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WITNESS WHEREOF, the parties have executed this Agreement as of the date first written above. </w:t>
      </w:r>
    </w:p>
    <w:tbl>
      <w:tblPr>
        <w:tblW w:w="5000" w:type="pct"/>
        <w:jc w:val="center"/>
        <w:tblInd w:w="0" w:type="dxa"/>
        <w:tblCellMar>
          <w:top w:w="0" w:type="dxa"/>
          <w:left w:w="0" w:type="dxa"/>
          <w:bottom w:w="0" w:type="dxa"/>
          <w:right w:w="0" w:type="dxa"/>
        </w:tblCellMar>
      </w:tblPr>
      <w:tblGrid>
        <w:gridCol w:w="4323"/>
        <w:gridCol w:w="222"/>
        <w:gridCol w:w="616"/>
        <w:gridCol w:w="222"/>
        <w:gridCol w:w="4822"/>
      </w:tblGrid>
      <w:tr>
        <w:trPr/>
        <w:tc>
          <w:tcPr>
            <w:tcW w:w="432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822" w:type="dxa"/>
            <w:tcBorders/>
            <w:shd w:fill="auto" w:val="clear"/>
            <w:vAlign w:val="bottom"/>
          </w:tcPr>
          <w:p>
            <w:pPr>
              <w:pStyle w:val="TableContents"/>
              <w:spacing w:before="0" w:after="283"/>
              <w:rPr/>
            </w:pPr>
            <w:r>
              <w:rPr/>
              <w:t> </w:t>
            </w:r>
          </w:p>
        </w:tc>
      </w:tr>
      <w:tr>
        <w:trPr/>
        <w:tc>
          <w:tcPr>
            <w:tcW w:w="4323"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6" w:type="dxa"/>
            <w:tcBorders/>
            <w:shd w:fill="auto" w:val="clear"/>
          </w:tcPr>
          <w:p>
            <w:pPr>
              <w:pStyle w:val="TableContents"/>
              <w:spacing w:before="0" w:after="283"/>
              <w:jc w:val="left"/>
              <w:rPr/>
            </w:pPr>
            <w:r>
              <w:rPr/>
              <w:t xml:space="preserve">By: </w:t>
            </w:r>
          </w:p>
        </w:tc>
        <w:tc>
          <w:tcPr>
            <w:tcW w:w="222" w:type="dxa"/>
            <w:tcBorders/>
            <w:shd w:fill="auto" w:val="clear"/>
            <w:vAlign w:val="bottom"/>
          </w:tcPr>
          <w:p>
            <w:pPr>
              <w:pStyle w:val="TableContents"/>
              <w:spacing w:before="0" w:after="283"/>
              <w:rPr/>
            </w:pPr>
            <w:r>
              <w:rPr/>
              <w:t> </w:t>
            </w:r>
          </w:p>
        </w:tc>
        <w:tc>
          <w:tcPr>
            <w:tcW w:w="4822" w:type="dxa"/>
            <w:tcBorders/>
            <w:shd w:fill="auto" w:val="clear"/>
          </w:tcPr>
          <w:p>
            <w:pPr>
              <w:pStyle w:val="TableContents"/>
              <w:spacing w:before="0" w:after="283"/>
              <w:jc w:val="left"/>
              <w:rPr/>
            </w:pPr>
            <w:r>
              <w:rPr/>
              <w:t>/s/ George R. Coiner</w:t>
            </w:r>
          </w:p>
        </w:tc>
      </w:tr>
      <w:tr>
        <w:trPr/>
        <w:tc>
          <w:tcPr>
            <w:tcW w:w="4323"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6"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2"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23"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2" w:type="dxa"/>
            <w:tcBorders/>
            <w:shd w:fill="auto" w:val="clear"/>
          </w:tcPr>
          <w:p>
            <w:pPr>
              <w:pStyle w:val="TableContents"/>
              <w:spacing w:before="0" w:after="283"/>
              <w:jc w:val="left"/>
              <w:rPr/>
            </w:pPr>
            <w:r>
              <w:rPr/>
              <w:t>George R. Coiner</w:t>
            </w:r>
          </w:p>
        </w:tc>
      </w:tr>
      <w:tr>
        <w:trPr/>
        <w:tc>
          <w:tcPr>
            <w:tcW w:w="4323"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2" w:type="dxa"/>
            <w:tcBorders/>
            <w:shd w:fill="auto" w:val="clear"/>
          </w:tcPr>
          <w:p>
            <w:pPr>
              <w:pStyle w:val="TableContents"/>
              <w:spacing w:before="0" w:after="283"/>
              <w:jc w:val="left"/>
              <w:rPr/>
            </w:pPr>
            <w:r>
              <w:rPr/>
              <w:t> </w:t>
            </w:r>
          </w:p>
        </w:tc>
      </w:tr>
      <w:tr>
        <w:trPr/>
        <w:tc>
          <w:tcPr>
            <w:tcW w:w="4323" w:type="dxa"/>
            <w:tcBorders/>
            <w:shd w:fill="auto" w:val="clea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660" w:type="dxa"/>
            <w:gridSpan w:val="3"/>
            <w:tcBorders/>
            <w:shd w:fill="auto" w:val="clear"/>
          </w:tcPr>
          <w:p>
            <w:pPr>
              <w:pStyle w:val="TableContents"/>
              <w:spacing w:before="0" w:after="283"/>
              <w:jc w:val="left"/>
              <w:rPr/>
            </w:pPr>
            <w:r>
              <w:rPr/>
              <w:t>PLAINS ALL AMERICAN GP LLC</w:t>
            </w:r>
          </w:p>
        </w:tc>
      </w:tr>
      <w:tr>
        <w:trPr/>
        <w:tc>
          <w:tcPr>
            <w:tcW w:w="4323" w:type="dxa"/>
            <w:tcBorders/>
            <w:shd w:fill="auto" w:val="clear"/>
          </w:tcPr>
          <w:p>
            <w:pPr>
              <w:pStyle w:val="TableContents"/>
              <w:spacing w:before="0" w:after="0"/>
              <w:ind w:left="0" w:right="0" w:hanging="0"/>
              <w:rPr/>
            </w:pPr>
            <w:r>
              <w:rPr/>
              <w:t> </w:t>
            </w:r>
          </w:p>
        </w:tc>
        <w:tc>
          <w:tcPr>
            <w:tcW w:w="222" w:type="dxa"/>
            <w:tcBorders/>
            <w:shd w:fill="auto" w:val="clear"/>
            <w:vAlign w:val="bottom"/>
          </w:tcPr>
          <w:p>
            <w:pPr>
              <w:pStyle w:val="TableContents"/>
              <w:spacing w:before="0" w:after="283"/>
              <w:rPr/>
            </w:pPr>
            <w:r>
              <w:rPr/>
              <w:t> </w:t>
            </w:r>
          </w:p>
        </w:tc>
        <w:tc>
          <w:tcPr>
            <w:tcW w:w="616" w:type="dxa"/>
            <w:tcBorders/>
            <w:shd w:fill="auto" w:val="clear"/>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822" w:type="dxa"/>
            <w:tcBorders/>
            <w:shd w:fill="auto" w:val="clear"/>
          </w:tcPr>
          <w:p>
            <w:pPr>
              <w:pStyle w:val="TableContents"/>
              <w:spacing w:before="0" w:after="283"/>
              <w:jc w:val="left"/>
              <w:rPr/>
            </w:pPr>
            <w:r>
              <w:rPr/>
              <w:t> </w:t>
            </w:r>
          </w:p>
        </w:tc>
      </w:tr>
      <w:tr>
        <w:trPr/>
        <w:tc>
          <w:tcPr>
            <w:tcW w:w="4323"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6" w:type="dxa"/>
            <w:tcBorders/>
            <w:shd w:fill="auto" w:val="clear"/>
          </w:tcPr>
          <w:p>
            <w:pPr>
              <w:pStyle w:val="TableContents"/>
              <w:spacing w:before="0" w:after="283"/>
              <w:jc w:val="left"/>
              <w:rPr/>
            </w:pPr>
            <w:r>
              <w:rPr/>
              <w:t xml:space="preserve">By: </w:t>
            </w:r>
          </w:p>
        </w:tc>
        <w:tc>
          <w:tcPr>
            <w:tcW w:w="222" w:type="dxa"/>
            <w:tcBorders/>
            <w:shd w:fill="auto" w:val="clear"/>
            <w:vAlign w:val="bottom"/>
          </w:tcPr>
          <w:p>
            <w:pPr>
              <w:pStyle w:val="TableContents"/>
              <w:spacing w:before="0" w:after="283"/>
              <w:rPr/>
            </w:pPr>
            <w:r>
              <w:rPr/>
              <w:t> </w:t>
            </w:r>
          </w:p>
        </w:tc>
        <w:tc>
          <w:tcPr>
            <w:tcW w:w="4822" w:type="dxa"/>
            <w:tcBorders/>
            <w:shd w:fill="auto" w:val="clear"/>
          </w:tcPr>
          <w:p>
            <w:pPr>
              <w:pStyle w:val="TableContents"/>
              <w:spacing w:before="0" w:after="283"/>
              <w:jc w:val="left"/>
              <w:rPr/>
            </w:pPr>
            <w:r>
              <w:rPr/>
              <w:t>/s/ Harry N. Pefanis</w:t>
            </w:r>
          </w:p>
        </w:tc>
      </w:tr>
      <w:tr>
        <w:trPr/>
        <w:tc>
          <w:tcPr>
            <w:tcW w:w="4323" w:type="dxa"/>
            <w:tcBorders/>
            <w:shd w:fill="auto" w:val="clear"/>
          </w:tcPr>
          <w:p>
            <w:pPr>
              <w:pStyle w:val="TableContents"/>
              <w:spacing w:before="0" w:after="0"/>
              <w:ind w:left="0" w:right="0" w:hanging="0"/>
              <w:rPr/>
            </w:pPr>
            <w:r>
              <w:rPr/>
              <w:t xml:space="preserve">  </w:t>
            </w:r>
          </w:p>
        </w:tc>
        <w:tc>
          <w:tcPr>
            <w:tcW w:w="222" w:type="dxa"/>
            <w:tcBorders/>
            <w:shd w:fill="auto" w:val="clear"/>
            <w:vAlign w:val="center"/>
          </w:tcPr>
          <w:p>
            <w:pPr>
              <w:pStyle w:val="TableContents"/>
              <w:spacing w:before="0" w:after="283"/>
              <w:rPr/>
            </w:pPr>
            <w:r>
              <w:rPr/>
              <w:t> </w:t>
            </w:r>
          </w:p>
        </w:tc>
        <w:tc>
          <w:tcPr>
            <w:tcW w:w="616" w:type="dxa"/>
            <w:tcBorders/>
            <w:shd w:fill="auto" w:val="clear"/>
          </w:tcPr>
          <w:p>
            <w:pPr>
              <w:pStyle w:val="TableContents"/>
              <w:spacing w:before="0" w:after="283"/>
              <w:jc w:val="left"/>
              <w:rPr/>
            </w:pPr>
            <w:r>
              <w:rPr/>
              <w:t> </w:t>
            </w:r>
          </w:p>
        </w:tc>
        <w:tc>
          <w:tcPr>
            <w:tcW w:w="222" w:type="dxa"/>
            <w:tcBorders/>
            <w:shd w:fill="auto" w:val="clear"/>
            <w:vAlign w:val="center"/>
          </w:tcPr>
          <w:p>
            <w:pPr>
              <w:pStyle w:val="TableContents"/>
              <w:spacing w:before="0" w:after="283"/>
              <w:rPr/>
            </w:pPr>
            <w:r>
              <w:rPr/>
              <w:t> </w:t>
            </w:r>
          </w:p>
        </w:tc>
        <w:tc>
          <w:tcPr>
            <w:tcW w:w="4822" w:type="dxa"/>
            <w:tcBorders>
              <w:top w:val="single" w:sz="2" w:space="0" w:color="000000"/>
            </w:tcBorders>
            <w:shd w:fill="auto" w:val="clear"/>
            <w:tcMar>
              <w:top w:w="28" w:type="dxa"/>
            </w:tcMar>
          </w:tcPr>
          <w:p>
            <w:pPr>
              <w:pStyle w:val="TableContents"/>
              <w:spacing w:before="0" w:after="283"/>
              <w:jc w:val="left"/>
              <w:rPr/>
            </w:pPr>
            <w:r>
              <w:rPr/>
              <w:t> </w:t>
            </w:r>
          </w:p>
        </w:tc>
      </w:tr>
      <w:tr>
        <w:trPr/>
        <w:tc>
          <w:tcPr>
            <w:tcW w:w="4323"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6" w:type="dxa"/>
            <w:tcBorders/>
            <w:shd w:fill="auto" w:val="clear"/>
          </w:tcPr>
          <w:p>
            <w:pPr>
              <w:pStyle w:val="TableContents"/>
              <w:spacing w:before="0" w:after="283"/>
              <w:jc w:val="left"/>
              <w:rPr/>
            </w:pPr>
            <w:r>
              <w:rPr/>
              <w:t xml:space="preserve">Name: </w:t>
            </w:r>
          </w:p>
        </w:tc>
        <w:tc>
          <w:tcPr>
            <w:tcW w:w="222" w:type="dxa"/>
            <w:tcBorders/>
            <w:shd w:fill="auto" w:val="clear"/>
            <w:vAlign w:val="bottom"/>
          </w:tcPr>
          <w:p>
            <w:pPr>
              <w:pStyle w:val="TableContents"/>
              <w:spacing w:before="0" w:after="283"/>
              <w:rPr/>
            </w:pPr>
            <w:r>
              <w:rPr/>
              <w:t> </w:t>
            </w:r>
          </w:p>
        </w:tc>
        <w:tc>
          <w:tcPr>
            <w:tcW w:w="4822" w:type="dxa"/>
            <w:tcBorders/>
            <w:shd w:fill="auto" w:val="clear"/>
          </w:tcPr>
          <w:p>
            <w:pPr>
              <w:pStyle w:val="TableContents"/>
              <w:spacing w:before="0" w:after="283"/>
              <w:jc w:val="left"/>
              <w:rPr/>
            </w:pPr>
            <w:r>
              <w:rPr/>
              <w:t>Harry N. Pefanis</w:t>
            </w:r>
          </w:p>
        </w:tc>
      </w:tr>
      <w:tr>
        <w:trPr/>
        <w:tc>
          <w:tcPr>
            <w:tcW w:w="4323" w:type="dxa"/>
            <w:tcBorders/>
            <w:shd w:fill="auto" w:val="clear"/>
          </w:tcPr>
          <w:p>
            <w:pPr>
              <w:pStyle w:val="TableContents"/>
              <w:spacing w:before="0" w:after="0"/>
              <w:ind w:left="0" w:right="0" w:hanging="0"/>
              <w:rPr/>
            </w:pPr>
            <w:r>
              <w:rPr/>
              <w:t xml:space="preserve">  </w:t>
            </w:r>
          </w:p>
        </w:tc>
        <w:tc>
          <w:tcPr>
            <w:tcW w:w="222" w:type="dxa"/>
            <w:tcBorders/>
            <w:shd w:fill="auto" w:val="clear"/>
            <w:vAlign w:val="bottom"/>
          </w:tcPr>
          <w:p>
            <w:pPr>
              <w:pStyle w:val="TableContents"/>
              <w:spacing w:before="0" w:after="283"/>
              <w:rPr/>
            </w:pPr>
            <w:r>
              <w:rPr/>
              <w:t> </w:t>
            </w:r>
          </w:p>
        </w:tc>
        <w:tc>
          <w:tcPr>
            <w:tcW w:w="616" w:type="dxa"/>
            <w:tcBorders/>
            <w:shd w:fill="auto" w:val="clear"/>
          </w:tcPr>
          <w:p>
            <w:pPr>
              <w:pStyle w:val="TableContents"/>
              <w:spacing w:before="0" w:after="283"/>
              <w:jc w:val="left"/>
              <w:rPr/>
            </w:pPr>
            <w:r>
              <w:rPr/>
              <w:t xml:space="preserve">Title: </w:t>
            </w:r>
          </w:p>
        </w:tc>
        <w:tc>
          <w:tcPr>
            <w:tcW w:w="222" w:type="dxa"/>
            <w:tcBorders/>
            <w:shd w:fill="auto" w:val="clear"/>
            <w:vAlign w:val="bottom"/>
          </w:tcPr>
          <w:p>
            <w:pPr>
              <w:pStyle w:val="TableContents"/>
              <w:spacing w:before="0" w:after="283"/>
              <w:rPr/>
            </w:pPr>
            <w:r>
              <w:rPr/>
              <w:t> </w:t>
            </w:r>
          </w:p>
        </w:tc>
        <w:tc>
          <w:tcPr>
            <w:tcW w:w="4822" w:type="dxa"/>
            <w:tcBorders/>
            <w:shd w:fill="auto" w:val="clear"/>
          </w:tcPr>
          <w:p>
            <w:pPr>
              <w:pStyle w:val="TableContents"/>
              <w:spacing w:before="0" w:after="283"/>
              <w:jc w:val="left"/>
              <w:rPr/>
            </w:pPr>
            <w:r>
              <w:rPr/>
              <w:t>President and Chief Operating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62 </w:t>
      </w:r>
      <w:r>
        <w:br w:type="page"/>
      </w:r>
    </w:p>
    <w:p>
      <w:pPr>
        <w:pStyle w:val="Heading5"/>
        <w:jc w:val="left"/>
        <w:rPr/>
      </w:pPr>
      <w:bookmarkStart w:id="27" w:name="h50768exv31w1.htm"/>
      <w:bookmarkStart w:id="28" w:name="ksh50768exv31w1"/>
      <w:bookmarkEnd w:id="27"/>
      <w:bookmarkEnd w:id="28"/>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EXECUTIVE OFFICER</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I, Greg L. Armstrong, certify that: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pPr>
            <w:r>
              <w:rPr/>
              <w:t>1.</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I have reviewed this quarterly report on Form 10-Q of Plains All American Pipeline, L.P.;</w:t>
            </w:r>
          </w:p>
        </w:tc>
      </w:tr>
    </w:tbl>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3.</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4.</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November 7, 2007 </w:t>
      </w:r>
    </w:p>
    <w:tbl>
      <w:tblPr>
        <w:tblW w:w="5000" w:type="pct"/>
        <w:jc w:val="center"/>
        <w:tblInd w:w="0" w:type="dxa"/>
        <w:tblCellMar>
          <w:top w:w="0" w:type="dxa"/>
          <w:left w:w="0" w:type="dxa"/>
          <w:bottom w:w="0" w:type="dxa"/>
          <w:right w:w="0" w:type="dxa"/>
        </w:tblCellMar>
      </w:tblPr>
      <w:tblGrid>
        <w:gridCol w:w="4999"/>
        <w:gridCol w:w="206"/>
        <w:gridCol w:w="5000"/>
      </w:tblGrid>
      <w:tr>
        <w:trPr/>
        <w:tc>
          <w:tcPr>
            <w:tcW w:w="499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000" w:type="dxa"/>
            <w:tcBorders/>
            <w:shd w:fill="auto" w:val="clear"/>
            <w:vAlign w:val="bottom"/>
          </w:tcPr>
          <w:p>
            <w:pPr>
              <w:pStyle w:val="TableContents"/>
              <w:spacing w:before="0" w:after="283"/>
              <w:rPr/>
            </w:pPr>
            <w:r>
              <w:rPr/>
              <w:t> </w:t>
            </w:r>
          </w:p>
        </w:tc>
      </w:tr>
      <w:tr>
        <w:trPr/>
        <w:tc>
          <w:tcPr>
            <w:tcW w:w="4999" w:type="dxa"/>
            <w:tcBorders/>
            <w:shd w:fill="auto" w:val="clear"/>
          </w:tcPr>
          <w:p>
            <w:pPr>
              <w:pStyle w:val="TableContents"/>
              <w:spacing w:before="0" w:after="0"/>
              <w:ind w:left="0" w:right="0" w:hanging="0"/>
              <w:rPr/>
            </w:pPr>
            <w:r>
              <w:rPr/>
              <w:t xml:space="preserve">/s/ </w:t>
            </w:r>
            <w:r>
              <w:rPr>
                <w:smallCaps/>
              </w:rPr>
              <w:t>Greg L. Armstrong</w:t>
            </w:r>
          </w:p>
        </w:tc>
        <w:tc>
          <w:tcPr>
            <w:tcW w:w="206" w:type="dxa"/>
            <w:tcBorders/>
            <w:shd w:fill="auto" w:val="clear"/>
            <w:vAlign w:val="bottom"/>
          </w:tcPr>
          <w:p>
            <w:pPr>
              <w:pStyle w:val="TableContents"/>
              <w:spacing w:before="0" w:after="283"/>
              <w:rPr/>
            </w:pPr>
            <w:r>
              <w:rPr/>
              <w:t> </w:t>
            </w:r>
          </w:p>
        </w:tc>
        <w:tc>
          <w:tcPr>
            <w:tcW w:w="5000"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Greg L. Armstrong </w:t>
            </w:r>
          </w:p>
        </w:tc>
        <w:tc>
          <w:tcPr>
            <w:tcW w:w="206" w:type="dxa"/>
            <w:tcBorders/>
            <w:shd w:fill="auto" w:val="clear"/>
            <w:vAlign w:val="bottom"/>
          </w:tcPr>
          <w:p>
            <w:pPr>
              <w:pStyle w:val="TableContents"/>
              <w:spacing w:before="0" w:after="283"/>
              <w:rPr/>
            </w:pPr>
            <w:r>
              <w:rPr/>
              <w:t> </w:t>
            </w:r>
          </w:p>
        </w:tc>
        <w:tc>
          <w:tcPr>
            <w:tcW w:w="5000" w:type="dxa"/>
            <w:tcBorders/>
            <w:shd w:fill="auto" w:val="clear"/>
          </w:tcPr>
          <w:p>
            <w:pPr>
              <w:pStyle w:val="TableContents"/>
              <w:spacing w:before="0" w:after="283"/>
              <w:jc w:val="left"/>
              <w:rPr/>
            </w:pPr>
            <w:r>
              <w:rPr/>
              <w:t> </w:t>
            </w:r>
          </w:p>
        </w:tc>
      </w:tr>
      <w:tr>
        <w:trPr/>
        <w:tc>
          <w:tcPr>
            <w:tcW w:w="4999" w:type="dxa"/>
            <w:tcBorders/>
            <w:shd w:fill="auto" w:val="clear"/>
          </w:tcPr>
          <w:p>
            <w:pPr>
              <w:pStyle w:val="TableContents"/>
              <w:spacing w:before="0" w:after="0"/>
              <w:ind w:left="0" w:right="0" w:hanging="0"/>
              <w:rPr>
                <w:i/>
              </w:rPr>
            </w:pPr>
            <w:r>
              <w:rPr>
                <w:i/>
              </w:rPr>
              <w:t>Chief Executive Officer</w:t>
            </w:r>
          </w:p>
        </w:tc>
        <w:tc>
          <w:tcPr>
            <w:tcW w:w="206" w:type="dxa"/>
            <w:tcBorders/>
            <w:shd w:fill="auto" w:val="clear"/>
            <w:vAlign w:val="bottom"/>
          </w:tcPr>
          <w:p>
            <w:pPr>
              <w:pStyle w:val="TableContents"/>
              <w:spacing w:before="0" w:after="283"/>
              <w:rPr/>
            </w:pPr>
            <w:r>
              <w:rPr/>
              <w:t> </w:t>
            </w:r>
          </w:p>
        </w:tc>
        <w:tc>
          <w:tcPr>
            <w:tcW w:w="5000"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63 </w:t>
      </w:r>
      <w:r>
        <w:br w:type="page"/>
      </w:r>
    </w:p>
    <w:p>
      <w:pPr>
        <w:pStyle w:val="Heading5"/>
        <w:jc w:val="left"/>
        <w:rPr/>
      </w:pPr>
      <w:bookmarkStart w:id="29" w:name="h50768exv31w2.htm"/>
      <w:bookmarkStart w:id="30" w:name="ksh50768exv31w2"/>
      <w:bookmarkEnd w:id="29"/>
      <w:bookmarkEnd w:id="30"/>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 PRINCIPAL FINANCIAL OFFICER</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Phil Kramer, certify that: </w:t>
      </w:r>
    </w:p>
    <w:tbl>
      <w:tblPr>
        <w:tblW w:w="5000" w:type="pct"/>
        <w:jc w:val="left"/>
        <w:tblInd w:w="0" w:type="dxa"/>
        <w:tblCellMar>
          <w:top w:w="0" w:type="dxa"/>
          <w:left w:w="0" w:type="dxa"/>
          <w:bottom w:w="0" w:type="dxa"/>
          <w:right w:w="0" w:type="dxa"/>
        </w:tblCellMar>
      </w:tblPr>
      <w:tblGrid>
        <w:gridCol w:w="199"/>
        <w:gridCol w:w="126"/>
        <w:gridCol w:w="9880"/>
      </w:tblGrid>
      <w:tr>
        <w:trPr/>
        <w:tc>
          <w:tcPr>
            <w:tcW w:w="199" w:type="dxa"/>
            <w:tcBorders/>
            <w:shd w:fill="auto" w:val="clear"/>
          </w:tcPr>
          <w:p>
            <w:pPr>
              <w:pStyle w:val="TableContents"/>
              <w:spacing w:before="0" w:after="283"/>
              <w:jc w:val="left"/>
              <w:rPr/>
            </w:pPr>
            <w:r>
              <w:rPr/>
              <w:t>1.</w:t>
            </w:r>
          </w:p>
        </w:tc>
        <w:tc>
          <w:tcPr>
            <w:tcW w:w="126" w:type="dxa"/>
            <w:tcBorders/>
            <w:shd w:fill="auto" w:val="clear"/>
          </w:tcPr>
          <w:p>
            <w:pPr>
              <w:pStyle w:val="TableContents"/>
              <w:spacing w:before="0" w:after="283"/>
              <w:rPr/>
            </w:pPr>
            <w:r>
              <w:rPr/>
              <w:t> </w:t>
            </w:r>
          </w:p>
        </w:tc>
        <w:tc>
          <w:tcPr>
            <w:tcW w:w="9880" w:type="dxa"/>
            <w:tcBorders/>
            <w:shd w:fill="auto" w:val="clear"/>
          </w:tcPr>
          <w:p>
            <w:pPr>
              <w:pStyle w:val="TableContents"/>
              <w:spacing w:before="0" w:after="283"/>
              <w:rPr/>
            </w:pPr>
            <w:r>
              <w:rPr/>
              <w:t>I have reviewed this quarterly report on Form 10-Q of Plains All American Pipeline, L.P.;</w:t>
            </w:r>
          </w:p>
        </w:tc>
      </w:tr>
    </w:tbl>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3.</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5000" w:type="pct"/>
        <w:jc w:val="left"/>
        <w:tblInd w:w="0" w:type="dxa"/>
        <w:tblCellMar>
          <w:top w:w="0" w:type="dxa"/>
          <w:left w:w="0" w:type="dxa"/>
          <w:bottom w:w="0" w:type="dxa"/>
          <w:right w:w="0" w:type="dxa"/>
        </w:tblCellMar>
      </w:tblPr>
      <w:tblGrid>
        <w:gridCol w:w="211"/>
        <w:gridCol w:w="129"/>
        <w:gridCol w:w="9865"/>
      </w:tblGrid>
      <w:tr>
        <w:trPr/>
        <w:tc>
          <w:tcPr>
            <w:tcW w:w="211" w:type="dxa"/>
            <w:tcBorders/>
            <w:shd w:fill="auto" w:val="clear"/>
          </w:tcPr>
          <w:p>
            <w:pPr>
              <w:pStyle w:val="TableContents"/>
              <w:spacing w:before="0" w:after="283"/>
              <w:jc w:val="left"/>
              <w:rPr/>
            </w:pPr>
            <w:r>
              <w:rPr/>
              <w:t>4.</w:t>
            </w:r>
          </w:p>
        </w:tc>
        <w:tc>
          <w:tcPr>
            <w:tcW w:w="129" w:type="dxa"/>
            <w:tcBorders/>
            <w:shd w:fill="auto" w:val="clear"/>
          </w:tcPr>
          <w:p>
            <w:pPr>
              <w:pStyle w:val="TableContents"/>
              <w:spacing w:before="0" w:after="283"/>
              <w:rPr/>
            </w:pPr>
            <w:r>
              <w:rPr/>
              <w:t> </w:t>
            </w:r>
          </w:p>
        </w:tc>
        <w:tc>
          <w:tcPr>
            <w:tcW w:w="9865" w:type="dxa"/>
            <w:tcBorders/>
            <w:shd w:fill="auto" w:val="clear"/>
          </w:tcPr>
          <w:p>
            <w:pPr>
              <w:pStyle w:val="TableContents"/>
              <w:spacing w:before="0" w:after="283"/>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November 7, 2007 </w:t>
      </w:r>
    </w:p>
    <w:tbl>
      <w:tblPr>
        <w:tblW w:w="5000" w:type="pct"/>
        <w:jc w:val="center"/>
        <w:tblInd w:w="0" w:type="dxa"/>
        <w:tblCellMar>
          <w:top w:w="0" w:type="dxa"/>
          <w:left w:w="0" w:type="dxa"/>
          <w:bottom w:w="0" w:type="dxa"/>
          <w:right w:w="0" w:type="dxa"/>
        </w:tblCellMar>
      </w:tblPr>
      <w:tblGrid>
        <w:gridCol w:w="4998"/>
        <w:gridCol w:w="208"/>
        <w:gridCol w:w="4999"/>
      </w:tblGrid>
      <w:tr>
        <w:trPr/>
        <w:tc>
          <w:tcPr>
            <w:tcW w:w="4998"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999" w:type="dxa"/>
            <w:tcBorders/>
            <w:shd w:fill="auto" w:val="clear"/>
            <w:vAlign w:val="bottom"/>
          </w:tcPr>
          <w:p>
            <w:pPr>
              <w:pStyle w:val="TableContents"/>
              <w:spacing w:before="0" w:after="283"/>
              <w:rPr/>
            </w:pPr>
            <w:r>
              <w:rPr/>
              <w:t> </w:t>
            </w:r>
          </w:p>
        </w:tc>
      </w:tr>
      <w:tr>
        <w:trPr/>
        <w:tc>
          <w:tcPr>
            <w:tcW w:w="4998" w:type="dxa"/>
            <w:tcBorders/>
            <w:shd w:fill="auto" w:val="clear"/>
          </w:tcPr>
          <w:p>
            <w:pPr>
              <w:pStyle w:val="TableContents"/>
              <w:spacing w:before="0" w:after="0"/>
              <w:ind w:left="0" w:right="0" w:hanging="0"/>
              <w:rPr/>
            </w:pPr>
            <w:r>
              <w:rPr/>
              <w:t xml:space="preserve">/s/ </w:t>
            </w:r>
            <w:r>
              <w:rPr>
                <w:smallCaps/>
              </w:rPr>
              <w:t>Phil Kramer</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 </w:t>
            </w:r>
          </w:p>
        </w:tc>
      </w:tr>
      <w:tr>
        <w:trPr/>
        <w:tc>
          <w:tcPr>
            <w:tcW w:w="4998" w:type="dxa"/>
            <w:tcBorders/>
            <w:shd w:fill="auto" w:val="clear"/>
          </w:tcPr>
          <w:p>
            <w:pPr>
              <w:pStyle w:val="TableContents"/>
              <w:spacing w:before="0" w:after="0"/>
              <w:ind w:left="0" w:right="0" w:hanging="0"/>
              <w:rPr>
                <w:bdr w:val="single" w:sz="2" w:space="1" w:color="000000"/>
              </w:rPr>
            </w:pPr>
            <w:r>
              <w:rPr>
                <w:bdr w:val="single" w:sz="2" w:space="1" w:color="000000"/>
              </w:rPr>
              <w:t> </w:t>
            </w:r>
          </w:p>
          <w:p>
            <w:pPr>
              <w:pStyle w:val="TableContents"/>
              <w:spacing w:before="0" w:after="0"/>
              <w:rPr/>
            </w:pPr>
            <w:r>
              <w:rPr/>
              <w:t xml:space="preserve">Phil Kramer </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 </w:t>
            </w:r>
          </w:p>
        </w:tc>
      </w:tr>
      <w:tr>
        <w:trPr/>
        <w:tc>
          <w:tcPr>
            <w:tcW w:w="4998" w:type="dxa"/>
            <w:tcBorders/>
            <w:shd w:fill="auto" w:val="clear"/>
          </w:tcPr>
          <w:p>
            <w:pPr>
              <w:pStyle w:val="TableContents"/>
              <w:spacing w:before="0" w:after="0"/>
              <w:ind w:left="0" w:right="0" w:hanging="0"/>
              <w:rPr>
                <w:i/>
              </w:rPr>
            </w:pPr>
            <w:r>
              <w:rPr>
                <w:i/>
              </w:rPr>
              <w:t>Chief Financial Officer</w:t>
            </w:r>
          </w:p>
        </w:tc>
        <w:tc>
          <w:tcPr>
            <w:tcW w:w="208" w:type="dxa"/>
            <w:tcBorders/>
            <w:shd w:fill="auto" w:val="clear"/>
            <w:vAlign w:val="bottom"/>
          </w:tcPr>
          <w:p>
            <w:pPr>
              <w:pStyle w:val="TableContents"/>
              <w:spacing w:before="0" w:after="283"/>
              <w:rPr/>
            </w:pPr>
            <w:r>
              <w:rPr/>
              <w:t> </w:t>
            </w:r>
          </w:p>
        </w:tc>
        <w:tc>
          <w:tcPr>
            <w:tcW w:w="4999"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64 </w:t>
      </w:r>
      <w:r>
        <w:br w:type="page"/>
      </w:r>
    </w:p>
    <w:p>
      <w:pPr>
        <w:pStyle w:val="Heading5"/>
        <w:jc w:val="left"/>
        <w:rPr/>
      </w:pPr>
      <w:bookmarkStart w:id="31" w:name="h50768exv32w1.htm"/>
      <w:bookmarkStart w:id="32" w:name="ksh50768exv32w1"/>
      <w:bookmarkEnd w:id="31"/>
      <w:bookmarkEnd w:id="32"/>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PRINCIPAL EXECUTIVE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Greg L. Armstrong, Chief Executive Officer of Plains All American Pipeline, L.P. (the Company), hereby certify that: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accompanying report on Form 10-Q for the period ended September 30, 2007 and filed with the Securities and Exchange Commission on the date hereof (the Report) by the Company fully complies with the requirements of Section 13(a) or 15(d) of the Securities Exchange Act of 1934 (15 U.S.C. 78m(a) or 78o(d));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4750" w:type="pct"/>
        <w:jc w:val="center"/>
        <w:tblInd w:w="0" w:type="dxa"/>
        <w:tblCellMar>
          <w:top w:w="0" w:type="dxa"/>
          <w:left w:w="0" w:type="dxa"/>
          <w:bottom w:w="0" w:type="dxa"/>
          <w:right w:w="0" w:type="dxa"/>
        </w:tblCellMar>
      </w:tblPr>
      <w:tblGrid>
        <w:gridCol w:w="4749"/>
        <w:gridCol w:w="195"/>
        <w:gridCol w:w="4750"/>
      </w:tblGrid>
      <w:tr>
        <w:trPr/>
        <w:tc>
          <w:tcPr>
            <w:tcW w:w="4749"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4750" w:type="dxa"/>
            <w:tcBorders/>
            <w:shd w:fill="auto" w:val="clear"/>
            <w:vAlign w:val="bottom"/>
          </w:tcPr>
          <w:p>
            <w:pPr>
              <w:pStyle w:val="TableContents"/>
              <w:spacing w:before="0" w:after="283"/>
              <w:rPr/>
            </w:pPr>
            <w:r>
              <w:rPr/>
              <w:t> </w:t>
            </w:r>
          </w:p>
        </w:tc>
      </w:tr>
      <w:tr>
        <w:trPr/>
        <w:tc>
          <w:tcPr>
            <w:tcW w:w="4749" w:type="dxa"/>
            <w:tcBorders/>
            <w:shd w:fill="auto" w:val="clear"/>
          </w:tcPr>
          <w:p>
            <w:pPr>
              <w:pStyle w:val="TableContents"/>
              <w:spacing w:before="0" w:after="0"/>
              <w:ind w:left="0" w:right="0" w:hanging="0"/>
              <w:rPr/>
            </w:pPr>
            <w:r>
              <w:rPr/>
              <w:t xml:space="preserve">  </w:t>
            </w:r>
          </w:p>
        </w:tc>
        <w:tc>
          <w:tcPr>
            <w:tcW w:w="195" w:type="dxa"/>
            <w:tcBorders/>
            <w:shd w:fill="auto" w:val="clear"/>
            <w:vAlign w:val="bottom"/>
          </w:tcPr>
          <w:p>
            <w:pPr>
              <w:pStyle w:val="TableContents"/>
              <w:spacing w:before="0" w:after="283"/>
              <w:rPr/>
            </w:pPr>
            <w:r>
              <w:rPr/>
              <w:t> </w:t>
            </w:r>
          </w:p>
        </w:tc>
        <w:tc>
          <w:tcPr>
            <w:tcW w:w="4750" w:type="dxa"/>
            <w:tcBorders/>
            <w:shd w:fill="auto" w:val="clear"/>
          </w:tcPr>
          <w:p>
            <w:pPr>
              <w:pStyle w:val="TableContents"/>
              <w:spacing w:before="0" w:after="283"/>
              <w:jc w:val="left"/>
              <w:rPr/>
            </w:pPr>
            <w:r>
              <w:rPr/>
              <w:t xml:space="preserve">/s/ </w:t>
            </w:r>
            <w:r>
              <w:rPr>
                <w:smallCaps/>
              </w:rPr>
              <w:t>Greg L. Armstrong</w:t>
            </w:r>
          </w:p>
        </w:tc>
      </w:tr>
      <w:tr>
        <w:trPr/>
        <w:tc>
          <w:tcPr>
            <w:tcW w:w="4749" w:type="dxa"/>
            <w:tcBorders/>
            <w:shd w:fill="auto" w:val="clear"/>
          </w:tcPr>
          <w:p>
            <w:pPr>
              <w:pStyle w:val="TableContents"/>
              <w:spacing w:before="0" w:after="0"/>
              <w:ind w:left="0" w:right="0" w:hanging="0"/>
              <w:rPr/>
            </w:pPr>
            <w:r>
              <w:rPr/>
              <w:t xml:space="preserve">  </w:t>
            </w:r>
          </w:p>
        </w:tc>
        <w:tc>
          <w:tcPr>
            <w:tcW w:w="195" w:type="dxa"/>
            <w:tcBorders/>
            <w:shd w:fill="auto" w:val="clear"/>
            <w:vAlign w:val="center"/>
          </w:tcPr>
          <w:p>
            <w:pPr>
              <w:pStyle w:val="TableContents"/>
              <w:spacing w:before="0" w:after="283"/>
              <w:rPr/>
            </w:pPr>
            <w:r>
              <w:rPr/>
              <w:t> </w:t>
            </w:r>
          </w:p>
        </w:tc>
        <w:tc>
          <w:tcPr>
            <w:tcW w:w="4750"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49" w:type="dxa"/>
            <w:tcBorders/>
            <w:shd w:fill="auto" w:val="clear"/>
          </w:tcPr>
          <w:p>
            <w:pPr>
              <w:pStyle w:val="TableContents"/>
              <w:spacing w:before="0" w:after="0"/>
              <w:ind w:left="0" w:right="0" w:hanging="0"/>
              <w:rPr/>
            </w:pPr>
            <w:r>
              <w:rPr/>
              <w:t xml:space="preserve">  </w:t>
            </w:r>
          </w:p>
        </w:tc>
        <w:tc>
          <w:tcPr>
            <w:tcW w:w="195" w:type="dxa"/>
            <w:tcBorders/>
            <w:shd w:fill="auto" w:val="clear"/>
            <w:vAlign w:val="bottom"/>
          </w:tcPr>
          <w:p>
            <w:pPr>
              <w:pStyle w:val="TableContents"/>
              <w:spacing w:before="0" w:after="283"/>
              <w:rPr/>
            </w:pPr>
            <w:r>
              <w:rPr/>
              <w:t> </w:t>
            </w:r>
          </w:p>
        </w:tc>
        <w:tc>
          <w:tcPr>
            <w:tcW w:w="4750" w:type="dxa"/>
            <w:tcBorders/>
            <w:shd w:fill="auto" w:val="clear"/>
          </w:tcPr>
          <w:p>
            <w:pPr>
              <w:pStyle w:val="TableContents"/>
              <w:spacing w:before="0" w:after="283"/>
              <w:jc w:val="left"/>
              <w:rPr/>
            </w:pPr>
            <w:r>
              <w:rPr/>
              <w:t>Name: Greg L. Armstrong</w:t>
            </w:r>
          </w:p>
        </w:tc>
      </w:tr>
      <w:tr>
        <w:trPr/>
        <w:tc>
          <w:tcPr>
            <w:tcW w:w="4749" w:type="dxa"/>
            <w:tcBorders/>
            <w:shd w:fill="auto" w:val="clear"/>
          </w:tcPr>
          <w:p>
            <w:pPr>
              <w:pStyle w:val="TableContents"/>
              <w:spacing w:before="0" w:after="0"/>
              <w:ind w:left="0" w:right="0" w:hanging="0"/>
              <w:rPr/>
            </w:pPr>
            <w:r>
              <w:rPr/>
              <w:t xml:space="preserve">  </w:t>
            </w:r>
          </w:p>
        </w:tc>
        <w:tc>
          <w:tcPr>
            <w:tcW w:w="195" w:type="dxa"/>
            <w:tcBorders/>
            <w:shd w:fill="auto" w:val="clear"/>
            <w:vAlign w:val="bottom"/>
          </w:tcPr>
          <w:p>
            <w:pPr>
              <w:pStyle w:val="TableContents"/>
              <w:spacing w:before="0" w:after="283"/>
              <w:rPr/>
            </w:pPr>
            <w:r>
              <w:rPr/>
              <w:t> </w:t>
            </w:r>
          </w:p>
        </w:tc>
        <w:tc>
          <w:tcPr>
            <w:tcW w:w="4750" w:type="dxa"/>
            <w:tcBorders/>
            <w:shd w:fill="auto" w:val="clear"/>
          </w:tcPr>
          <w:p>
            <w:pPr>
              <w:pStyle w:val="TableContents"/>
              <w:spacing w:before="0" w:after="283"/>
              <w:jc w:val="left"/>
              <w:rPr/>
            </w:pPr>
            <w:r>
              <w:rPr/>
              <w:t>Date: November 7, 2007</w:t>
            </w:r>
          </w:p>
        </w:tc>
      </w:tr>
    </w:tbl>
    <w:p>
      <w:pPr>
        <w:pStyle w:val="TextBody"/>
        <w:jc w:val="center"/>
        <w:rPr>
          <w:rFonts w:ascii="Times New Roman;Times;serif" w:hAnsi="Times New Roman;Times;serif"/>
          <w:sz w:val="17"/>
        </w:rPr>
      </w:pPr>
      <w:r>
        <w:rPr>
          <w:rFonts w:ascii="Times New Roman;Times;serif" w:hAnsi="Times New Roman;Times;serif"/>
          <w:sz w:val="17"/>
        </w:rPr>
        <w:t xml:space="preserve">65 </w:t>
      </w:r>
      <w:r>
        <w:br w:type="page"/>
      </w:r>
    </w:p>
    <w:p>
      <w:pPr>
        <w:pStyle w:val="Heading5"/>
        <w:jc w:val="left"/>
        <w:rPr/>
      </w:pPr>
      <w:bookmarkStart w:id="33" w:name="h50768exv32w2.htm"/>
      <w:bookmarkStart w:id="34" w:name="ksh50768exv32w2"/>
      <w:bookmarkEnd w:id="33"/>
      <w:bookmarkEnd w:id="34"/>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OF</w:t>
        <w:br/>
        <w:t>PRINCIPAL FINANCIAL OFFICER</w:t>
        <w:br/>
        <w:t>OF PLAINS ALL AMERICAN PIPELINE, L.P.</w:t>
        <w:br/>
        <w:t>PURSUANT TO 18 U.S.C. 1350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Phil Kramer, Chief Financial Officer of Plains All American Pipeline, L.P. (the Company), hereby certify that: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accompanying report on Form 10-Q for the period ended September 30, 2007 and filed with the Securities and Exchange Commission on the date hereof (the Report) by the Company fully complies with the requirements of Section 13(a) or 15(d) of the Securities Exchange Act of 1934 (15 U.S.C. 78m(a) or 78o(d));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(ii)</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information contained in the Report fairly presents, in all material respects, the financial condition and results of operations of the Company.</w:t>
            </w:r>
          </w:p>
        </w:tc>
      </w:tr>
    </w:tbl>
    <w:tbl>
      <w:tblPr>
        <w:tblW w:w="4750" w:type="pct"/>
        <w:jc w:val="center"/>
        <w:tblInd w:w="0" w:type="dxa"/>
        <w:tblCellMar>
          <w:top w:w="0" w:type="dxa"/>
          <w:left w:w="0" w:type="dxa"/>
          <w:bottom w:w="0" w:type="dxa"/>
          <w:right w:w="0" w:type="dxa"/>
        </w:tblCellMar>
      </w:tblPr>
      <w:tblGrid>
        <w:gridCol w:w="4748"/>
        <w:gridCol w:w="197"/>
        <w:gridCol w:w="4749"/>
      </w:tblGrid>
      <w:tr>
        <w:trPr/>
        <w:tc>
          <w:tcPr>
            <w:tcW w:w="474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4749" w:type="dxa"/>
            <w:tcBorders/>
            <w:shd w:fill="auto" w:val="clear"/>
            <w:vAlign w:val="bottom"/>
          </w:tcPr>
          <w:p>
            <w:pPr>
              <w:pStyle w:val="TableContents"/>
              <w:spacing w:before="0" w:after="283"/>
              <w:rPr/>
            </w:pPr>
            <w:r>
              <w:rPr/>
              <w:t> </w:t>
            </w:r>
          </w:p>
        </w:tc>
      </w:tr>
      <w:tr>
        <w:trPr/>
        <w:tc>
          <w:tcPr>
            <w:tcW w:w="4748" w:type="dxa"/>
            <w:tcBorders/>
            <w:shd w:fill="auto" w:val="clear"/>
          </w:tcPr>
          <w:p>
            <w:pPr>
              <w:pStyle w:val="TableContents"/>
              <w:spacing w:before="0" w:after="0"/>
              <w:ind w:left="0" w:right="0" w:hanging="0"/>
              <w:rPr/>
            </w:pPr>
            <w:r>
              <w:rPr/>
              <w:t xml:space="preserve">  </w:t>
            </w:r>
          </w:p>
        </w:tc>
        <w:tc>
          <w:tcPr>
            <w:tcW w:w="197"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 xml:space="preserve">/s/ </w:t>
            </w:r>
            <w:r>
              <w:rPr>
                <w:smallCaps/>
              </w:rPr>
              <w:t>Phil Kramer</w:t>
            </w:r>
          </w:p>
        </w:tc>
      </w:tr>
      <w:tr>
        <w:trPr/>
        <w:tc>
          <w:tcPr>
            <w:tcW w:w="4748" w:type="dxa"/>
            <w:tcBorders/>
            <w:shd w:fill="auto" w:val="clear"/>
          </w:tcPr>
          <w:p>
            <w:pPr>
              <w:pStyle w:val="TableContents"/>
              <w:spacing w:before="0" w:after="0"/>
              <w:ind w:left="0" w:right="0" w:hanging="0"/>
              <w:rPr/>
            </w:pPr>
            <w:r>
              <w:rPr/>
              <w:t xml:space="preserve">  </w:t>
            </w:r>
          </w:p>
        </w:tc>
        <w:tc>
          <w:tcPr>
            <w:tcW w:w="197" w:type="dxa"/>
            <w:tcBorders/>
            <w:shd w:fill="auto" w:val="clear"/>
            <w:vAlign w:val="center"/>
          </w:tcPr>
          <w:p>
            <w:pPr>
              <w:pStyle w:val="TableContents"/>
              <w:spacing w:before="0" w:after="283"/>
              <w:rPr/>
            </w:pPr>
            <w:r>
              <w:rPr/>
              <w:t> </w:t>
            </w:r>
          </w:p>
        </w:tc>
        <w:tc>
          <w:tcPr>
            <w:tcW w:w="474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48" w:type="dxa"/>
            <w:tcBorders/>
            <w:shd w:fill="auto" w:val="clear"/>
          </w:tcPr>
          <w:p>
            <w:pPr>
              <w:pStyle w:val="TableContents"/>
              <w:spacing w:before="0" w:after="0"/>
              <w:ind w:left="0" w:right="0" w:hanging="0"/>
              <w:rPr/>
            </w:pPr>
            <w:r>
              <w:rPr/>
              <w:t xml:space="preserve">  </w:t>
            </w:r>
          </w:p>
        </w:tc>
        <w:tc>
          <w:tcPr>
            <w:tcW w:w="197"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Name: Phil Kramer</w:t>
            </w:r>
          </w:p>
        </w:tc>
      </w:tr>
      <w:tr>
        <w:trPr/>
        <w:tc>
          <w:tcPr>
            <w:tcW w:w="4748" w:type="dxa"/>
            <w:tcBorders/>
            <w:shd w:fill="auto" w:val="clear"/>
          </w:tcPr>
          <w:p>
            <w:pPr>
              <w:pStyle w:val="TableContents"/>
              <w:spacing w:before="0" w:after="0"/>
              <w:ind w:left="0" w:right="0" w:hanging="0"/>
              <w:rPr/>
            </w:pPr>
            <w:r>
              <w:rPr/>
              <w:t xml:space="preserve">  </w:t>
            </w:r>
          </w:p>
        </w:tc>
        <w:tc>
          <w:tcPr>
            <w:tcW w:w="197" w:type="dxa"/>
            <w:tcBorders/>
            <w:shd w:fill="auto" w:val="clear"/>
            <w:vAlign w:val="bottom"/>
          </w:tcPr>
          <w:p>
            <w:pPr>
              <w:pStyle w:val="TableContents"/>
              <w:spacing w:before="0" w:after="283"/>
              <w:rPr/>
            </w:pPr>
            <w:r>
              <w:rPr/>
              <w:t> </w:t>
            </w:r>
          </w:p>
        </w:tc>
        <w:tc>
          <w:tcPr>
            <w:tcW w:w="4749" w:type="dxa"/>
            <w:tcBorders/>
            <w:shd w:fill="auto" w:val="clear"/>
          </w:tcPr>
          <w:p>
            <w:pPr>
              <w:pStyle w:val="TableContents"/>
              <w:spacing w:before="0" w:after="283"/>
              <w:jc w:val="left"/>
              <w:rPr/>
            </w:pPr>
            <w:r>
              <w:rPr/>
              <w:t>Date: November 7, 2007</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66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66</Pages>
  <Words>31402</Words>
  <CharactersWithSpaces>204058</CharactersWithSpaces>
  <Paragraphs>16770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