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629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62978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Herbold Chris</w:t>
        </w:r>
      </w:hyperlink>
    </w:p>
    <w:p>
      <w:pPr>
        <w:spacing w:after="0" w:line="32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tcPr>
          <w:p>
            <w:pPr>
              <w:ind w:left="220"/>
              <w:spacing w:after="0"/>
              <w:rPr>
                <w:sz w:val="20"/>
                <w:szCs w:val="20"/>
                <w:color w:val="auto"/>
              </w:rPr>
            </w:pPr>
            <w:r>
              <w:rPr>
                <w:rFonts w:ascii="Arial" w:cs="Arial" w:eastAsia="Arial" w:hAnsi="Arial"/>
                <w:sz w:val="13"/>
                <w:szCs w:val="13"/>
                <w:color w:val="auto"/>
              </w:rPr>
              <w:t>(First)</w:t>
            </w:r>
          </w:p>
        </w:tc>
        <w:tc>
          <w:tcPr>
            <w:tcW w:w="130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81"/>
        </w:trPr>
        <w:tc>
          <w:tcPr>
            <w:tcW w:w="40" w:type="dxa"/>
            <w:vAlign w:val="bottom"/>
          </w:tcPr>
          <w:p>
            <w:pPr>
              <w:spacing w:after="0"/>
              <w:rPr>
                <w:sz w:val="24"/>
                <w:szCs w:val="24"/>
                <w:color w:val="auto"/>
              </w:rPr>
            </w:pPr>
          </w:p>
        </w:tc>
        <w:tc>
          <w:tcPr>
            <w:tcW w:w="2480" w:type="dxa"/>
            <w:vAlign w:val="bottom"/>
            <w:gridSpan w:val="2"/>
          </w:tcPr>
          <w:p>
            <w:pPr>
              <w:spacing w:after="0"/>
              <w:rPr>
                <w:sz w:val="20"/>
                <w:szCs w:val="20"/>
                <w:color w:val="auto"/>
              </w:rPr>
            </w:pPr>
            <w:r>
              <w:rPr>
                <w:rFonts w:ascii="Arial" w:cs="Arial" w:eastAsia="Arial" w:hAnsi="Arial"/>
                <w:sz w:val="17"/>
                <w:szCs w:val="17"/>
                <w:color w:val="0000FF"/>
                <w:w w:val="97"/>
              </w:rPr>
              <w:t>333 CLAY STREET, SUITE 1600</w:t>
            </w:r>
          </w:p>
        </w:tc>
        <w:tc>
          <w:tcPr>
            <w:tcW w:w="1300" w:type="dxa"/>
            <w:vAlign w:val="bottom"/>
          </w:tcPr>
          <w:p>
            <w:pPr>
              <w:spacing w:after="0"/>
              <w:rPr>
                <w:sz w:val="24"/>
                <w:szCs w:val="24"/>
                <w:color w:val="auto"/>
              </w:rPr>
            </w:pPr>
          </w:p>
        </w:tc>
      </w:tr>
      <w:tr>
        <w:trPr>
          <w:trHeight w:val="210"/>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r>
      <w:tr>
        <w:trPr>
          <w:trHeight w:val="2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40"/>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420" w:type="dxa"/>
            <w:vAlign w:val="bottom"/>
          </w:tcPr>
          <w:p>
            <w:pPr>
              <w:ind w:left="220"/>
              <w:spacing w:after="0"/>
              <w:rPr>
                <w:sz w:val="20"/>
                <w:szCs w:val="20"/>
                <w:color w:val="auto"/>
              </w:rPr>
            </w:pPr>
            <w:r>
              <w:rPr>
                <w:rFonts w:ascii="Arial" w:cs="Arial" w:eastAsia="Arial" w:hAnsi="Arial"/>
                <w:sz w:val="17"/>
                <w:szCs w:val="17"/>
                <w:color w:val="0000FF"/>
              </w:rPr>
              <w:t>TX</w:t>
            </w:r>
          </w:p>
        </w:tc>
        <w:tc>
          <w:tcPr>
            <w:tcW w:w="1300" w:type="dxa"/>
            <w:vAlign w:val="bottom"/>
          </w:tcPr>
          <w:p>
            <w:pPr>
              <w:ind w:left="60"/>
              <w:spacing w:after="0"/>
              <w:rPr>
                <w:sz w:val="20"/>
                <w:szCs w:val="20"/>
                <w:color w:val="auto"/>
              </w:rPr>
            </w:pPr>
            <w:r>
              <w:rPr>
                <w:rFonts w:ascii="Arial" w:cs="Arial" w:eastAsia="Arial" w:hAnsi="Arial"/>
                <w:sz w:val="17"/>
                <w:szCs w:val="17"/>
                <w:color w:val="0000FF"/>
              </w:rPr>
              <w:t>77002</w:t>
            </w:r>
          </w:p>
        </w:tc>
      </w:tr>
      <w:tr>
        <w:trPr>
          <w:trHeight w:val="156"/>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tcPr>
          <w:p>
            <w:pPr>
              <w:ind w:left="220"/>
              <w:spacing w:after="0"/>
              <w:rPr>
                <w:sz w:val="20"/>
                <w:szCs w:val="20"/>
                <w:color w:val="auto"/>
              </w:rPr>
            </w:pPr>
            <w:r>
              <w:rPr>
                <w:rFonts w:ascii="Arial" w:cs="Arial" w:eastAsia="Arial" w:hAnsi="Arial"/>
                <w:sz w:val="13"/>
                <w:szCs w:val="13"/>
                <w:color w:val="auto"/>
              </w:rPr>
              <w:t>(State)</w:t>
            </w:r>
          </w:p>
        </w:tc>
        <w:tc>
          <w:tcPr>
            <w:tcW w:w="130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6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1"/>
                <w:szCs w:val="21"/>
                <w:color w:val="0000EE"/>
              </w:rPr>
            </w:pPr>
            <w:hyperlink r:id="rId13">
              <w:r>
                <w:rPr>
                  <w:rFonts w:ascii="Arial" w:cs="Arial" w:eastAsia="Arial" w:hAnsi="Arial"/>
                  <w:sz w:val="21"/>
                  <w:szCs w:val="21"/>
                  <w:color w:val="0000EE"/>
                </w:rPr>
                <w:t xml:space="preserve">PLAINS ALL AMERICAN PIPELINE LP </w:t>
              </w:r>
            </w:hyperlink>
            <w:r>
              <w:rPr>
                <w:rFonts w:ascii="Arial" w:cs="Arial" w:eastAsia="Arial" w:hAnsi="Arial"/>
                <w:sz w:val="21"/>
                <w:szCs w:val="21"/>
                <w:color w:val="000000"/>
              </w:rPr>
              <w:t>[</w:t>
            </w:r>
          </w:p>
        </w:tc>
        <w:tc>
          <w:tcPr>
            <w:tcW w:w="194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60" w:type="dxa"/>
            <w:vAlign w:val="bottom"/>
            <w:vMerge w:val="restart"/>
          </w:tcPr>
          <w:p>
            <w:pPr>
              <w:spacing w:after="0"/>
              <w:rPr>
                <w:sz w:val="11"/>
                <w:szCs w:val="11"/>
                <w:color w:val="auto"/>
              </w:rPr>
            </w:pPr>
          </w:p>
        </w:tc>
        <w:tc>
          <w:tcPr>
            <w:tcW w:w="3720" w:type="dxa"/>
            <w:vAlign w:val="bottom"/>
            <w:tcBorders>
              <w:top w:val="single" w:sz="8" w:color="0000EE"/>
            </w:tcBorders>
            <w:vMerge w:val="restart"/>
          </w:tcPr>
          <w:p>
            <w:pPr>
              <w:spacing w:after="0"/>
              <w:rPr>
                <w:sz w:val="20"/>
                <w:szCs w:val="20"/>
                <w:color w:val="auto"/>
              </w:rPr>
            </w:pPr>
            <w:r>
              <w:rPr>
                <w:rFonts w:ascii="Arial" w:cs="Arial" w:eastAsia="Arial" w:hAnsi="Arial"/>
                <w:sz w:val="17"/>
                <w:szCs w:val="17"/>
                <w:color w:val="0000FF"/>
              </w:rPr>
              <w:t xml:space="preserve">PAA </w:t>
            </w:r>
            <w:r>
              <w:rPr>
                <w:rFonts w:ascii="Arial" w:cs="Arial" w:eastAsia="Arial" w:hAnsi="Arial"/>
                <w:sz w:val="21"/>
                <w:szCs w:val="21"/>
                <w:color w:val="000000"/>
              </w:rPr>
              <w:t>]</w:t>
            </w:r>
          </w:p>
        </w:tc>
        <w:tc>
          <w:tcPr>
            <w:tcW w:w="180" w:type="dxa"/>
            <w:vAlign w:val="bottom"/>
            <w:vMerge w:val="restart"/>
          </w:tcPr>
          <w:p>
            <w:pPr>
              <w:spacing w:after="0"/>
              <w:rPr>
                <w:sz w:val="11"/>
                <w:szCs w:val="11"/>
                <w:color w:val="auto"/>
              </w:rPr>
            </w:pPr>
          </w:p>
        </w:tc>
        <w:tc>
          <w:tcPr>
            <w:tcW w:w="500" w:type="dxa"/>
            <w:vAlign w:val="bottom"/>
          </w:tcPr>
          <w:p>
            <w:pPr>
              <w:spacing w:after="0"/>
              <w:rPr>
                <w:sz w:val="11"/>
                <w:szCs w:val="11"/>
                <w:color w:val="auto"/>
              </w:rPr>
            </w:pPr>
          </w:p>
        </w:tc>
        <w:tc>
          <w:tcPr>
            <w:tcW w:w="1440" w:type="dxa"/>
            <w:vAlign w:val="bottom"/>
          </w:tcPr>
          <w:p>
            <w:pPr>
              <w:ind w:left="120"/>
              <w:spacing w:after="0" w:line="135" w:lineRule="exact"/>
              <w:rPr>
                <w:sz w:val="20"/>
                <w:szCs w:val="20"/>
                <w:color w:val="auto"/>
              </w:rPr>
            </w:pPr>
            <w:r>
              <w:rPr>
                <w:rFonts w:ascii="Arial" w:cs="Arial" w:eastAsia="Arial" w:hAnsi="Arial"/>
                <w:sz w:val="13"/>
                <w:szCs w:val="13"/>
                <w:color w:val="auto"/>
              </w:rPr>
              <w:t>Director</w:t>
            </w:r>
          </w:p>
        </w:tc>
        <w:tc>
          <w:tcPr>
            <w:tcW w:w="1500" w:type="dxa"/>
            <w:vAlign w:val="bottom"/>
          </w:tcPr>
          <w:p>
            <w:pPr>
              <w:ind w:left="320"/>
              <w:spacing w:after="0" w:line="135"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4"/>
        </w:trPr>
        <w:tc>
          <w:tcPr>
            <w:tcW w:w="60" w:type="dxa"/>
            <w:vAlign w:val="bottom"/>
            <w:vMerge w:val="continue"/>
          </w:tcPr>
          <w:p>
            <w:pPr>
              <w:spacing w:after="0"/>
              <w:rPr>
                <w:sz w:val="12"/>
                <w:szCs w:val="12"/>
                <w:color w:val="auto"/>
              </w:rPr>
            </w:pPr>
          </w:p>
        </w:tc>
        <w:tc>
          <w:tcPr>
            <w:tcW w:w="372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4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3"/>
        </w:trPr>
        <w:tc>
          <w:tcPr>
            <w:tcW w:w="60" w:type="dxa"/>
            <w:vAlign w:val="bottom"/>
          </w:tcPr>
          <w:p>
            <w:pPr>
              <w:spacing w:after="0"/>
              <w:rPr>
                <w:sz w:val="3"/>
                <w:szCs w:val="3"/>
                <w:color w:val="auto"/>
              </w:rPr>
            </w:pPr>
          </w:p>
        </w:tc>
        <w:tc>
          <w:tcPr>
            <w:tcW w:w="3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60" w:type="dxa"/>
            <w:vAlign w:val="bottom"/>
            <w:tcBorders>
              <w:bottom w:val="single" w:sz="8" w:color="2C2C2C"/>
            </w:tcBorders>
          </w:tcPr>
          <w:p>
            <w:pPr>
              <w:spacing w:after="0"/>
              <w:rPr>
                <w:sz w:val="7"/>
                <w:szCs w:val="7"/>
                <w:color w:val="auto"/>
              </w:rPr>
            </w:pPr>
          </w:p>
        </w:tc>
        <w:tc>
          <w:tcPr>
            <w:tcW w:w="37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144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3960" w:type="dxa"/>
            <w:vAlign w:val="bottom"/>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396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2940" w:type="dxa"/>
            <w:vAlign w:val="bottom"/>
            <w:gridSpan w:val="2"/>
            <w:vMerge w:val="restart"/>
          </w:tcPr>
          <w:p>
            <w:pPr>
              <w:ind w:left="80"/>
              <w:spacing w:after="0"/>
              <w:rPr>
                <w:sz w:val="20"/>
                <w:szCs w:val="20"/>
                <w:color w:val="auto"/>
              </w:rPr>
            </w:pPr>
            <w:r>
              <w:rPr>
                <w:rFonts w:ascii="Arial" w:cs="Arial" w:eastAsia="Arial" w:hAnsi="Arial"/>
                <w:sz w:val="17"/>
                <w:szCs w:val="17"/>
                <w:color w:val="0000FF"/>
              </w:rPr>
              <w:t>VP-Acctg &amp; Chief Acctg Officer</w:t>
            </w:r>
          </w:p>
        </w:tc>
        <w:tc>
          <w:tcPr>
            <w:tcW w:w="0" w:type="dxa"/>
            <w:vAlign w:val="bottom"/>
          </w:tcPr>
          <w:p>
            <w:pPr>
              <w:spacing w:after="0"/>
              <w:rPr>
                <w:sz w:val="1"/>
                <w:szCs w:val="1"/>
                <w:color w:val="auto"/>
              </w:rPr>
            </w:pPr>
          </w:p>
        </w:tc>
      </w:tr>
      <w:tr>
        <w:trPr>
          <w:trHeight w:val="114"/>
        </w:trPr>
        <w:tc>
          <w:tcPr>
            <w:tcW w:w="3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08/25/2016</w:t>
            </w: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9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7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60" w:type="dxa"/>
            <w:vAlign w:val="bottom"/>
            <w:tcBorders>
              <w:bottom w:val="single" w:sz="8" w:color="2C2C2C"/>
            </w:tcBorders>
          </w:tcPr>
          <w:p>
            <w:pPr>
              <w:spacing w:after="0"/>
              <w:rPr>
                <w:sz w:val="11"/>
                <w:szCs w:val="11"/>
                <w:color w:val="auto"/>
              </w:rPr>
            </w:pPr>
          </w:p>
        </w:tc>
        <w:tc>
          <w:tcPr>
            <w:tcW w:w="37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344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396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40"/>
        <w:spacing w:after="0" w:line="236" w:lineRule="auto"/>
        <w:tabs>
          <w:tab w:leader="none" w:pos="456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80"/>
        <w:spacing w:after="0"/>
        <w:rPr>
          <w:sz w:val="20"/>
          <w:szCs w:val="20"/>
          <w:color w:val="auto"/>
        </w:rPr>
      </w:pPr>
      <w:r>
        <w:rPr>
          <w:rFonts w:ascii="Arial" w:cs="Arial" w:eastAsia="Arial" w:hAnsi="Arial"/>
          <w:sz w:val="13"/>
          <w:szCs w:val="13"/>
          <w:color w:val="auto"/>
        </w:rPr>
        <w:t>Form filed by More than One Reporting</w:t>
      </w:r>
    </w:p>
    <w:p>
      <w:pPr>
        <w:ind w:left="4580"/>
        <w:spacing w:after="0"/>
        <w:rPr>
          <w:sz w:val="20"/>
          <w:szCs w:val="20"/>
          <w:color w:val="auto"/>
        </w:rPr>
      </w:pPr>
      <w:r>
        <w:rPr>
          <w:rFonts w:ascii="Arial" w:cs="Arial" w:eastAsia="Arial" w:hAnsi="Arial"/>
          <w:sz w:val="13"/>
          <w:szCs w:val="13"/>
          <w:color w:val="auto"/>
        </w:rPr>
        <w:t>Person</w:t>
      </w:r>
    </w:p>
    <w:p>
      <w:pPr>
        <w:spacing w:after="0" w:line="315" w:lineRule="exact"/>
        <w:rPr>
          <w:sz w:val="24"/>
          <w:szCs w:val="24"/>
          <w:color w:val="auto"/>
        </w:rPr>
      </w:pPr>
    </w:p>
    <w:p>
      <w:pPr>
        <w:sectPr>
          <w:pgSz w:w="11900" w:h="16838" w:orient="portrait"/>
          <w:cols w:equalWidth="0" w:num="2">
            <w:col w:w="3900" w:space="10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7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140" w:type="dxa"/>
            <w:vAlign w:val="bottom"/>
            <w:vMerge w:val="restart"/>
          </w:tcPr>
          <w:p>
            <w:pPr>
              <w:jc w:val="right"/>
              <w:ind w:right="198"/>
              <w:spacing w:after="0"/>
              <w:rPr>
                <w:sz w:val="20"/>
                <w:szCs w:val="20"/>
                <w:color w:val="auto"/>
              </w:rPr>
            </w:pPr>
            <w:r>
              <w:rPr>
                <w:rFonts w:ascii="Arial" w:cs="Arial" w:eastAsia="Arial" w:hAnsi="Arial"/>
                <w:sz w:val="13"/>
                <w:szCs w:val="13"/>
                <w:color w:val="0000FF"/>
              </w:rPr>
              <w:t>08/25/2016</w:t>
            </w:r>
          </w:p>
        </w:tc>
        <w:tc>
          <w:tcPr>
            <w:tcW w:w="1120" w:type="dxa"/>
            <w:vAlign w:val="bottom"/>
          </w:tcPr>
          <w:p>
            <w:pPr>
              <w:spacing w:after="0"/>
              <w:rPr>
                <w:sz w:val="16"/>
                <w:szCs w:val="16"/>
                <w:color w:val="auto"/>
              </w:rPr>
            </w:pPr>
          </w:p>
        </w:tc>
        <w:tc>
          <w:tcPr>
            <w:tcW w:w="84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520" w:type="dxa"/>
            <w:vAlign w:val="bottom"/>
            <w:vMerge w:val="restart"/>
          </w:tcPr>
          <w:p>
            <w:pPr>
              <w:ind w:left="80"/>
              <w:spacing w:after="0"/>
              <w:rPr>
                <w:sz w:val="20"/>
                <w:szCs w:val="20"/>
                <w:color w:val="auto"/>
              </w:rPr>
            </w:pPr>
            <w:r>
              <w:rPr>
                <w:rFonts w:ascii="Arial" w:cs="Arial" w:eastAsia="Arial" w:hAnsi="Arial"/>
                <w:sz w:val="13"/>
                <w:szCs w:val="13"/>
                <w:color w:val="0000FF"/>
              </w:rPr>
              <w:t>66,000</w:t>
            </w:r>
          </w:p>
        </w:tc>
        <w:tc>
          <w:tcPr>
            <w:tcW w:w="300" w:type="dxa"/>
            <w:vAlign w:val="bottom"/>
          </w:tcPr>
          <w:p>
            <w:pPr>
              <w:spacing w:after="0"/>
              <w:rPr>
                <w:sz w:val="16"/>
                <w:szCs w:val="16"/>
                <w:color w:val="auto"/>
              </w:rPr>
            </w:pPr>
          </w:p>
        </w:tc>
        <w:tc>
          <w:tcPr>
            <w:tcW w:w="820" w:type="dxa"/>
            <w:vAlign w:val="bottom"/>
            <w:vMerge w:val="restart"/>
          </w:tcPr>
          <w:p>
            <w:pPr>
              <w:ind w:left="300"/>
              <w:spacing w:after="0"/>
              <w:rPr>
                <w:sz w:val="20"/>
                <w:szCs w:val="20"/>
                <w:color w:val="auto"/>
              </w:rPr>
            </w:pPr>
            <w:r>
              <w:rPr>
                <w:rFonts w:ascii="Arial" w:cs="Arial" w:eastAsia="Arial" w:hAnsi="Arial"/>
                <w:sz w:val="11"/>
                <w:szCs w:val="11"/>
                <w:color w:val="008000"/>
              </w:rPr>
              <w:t>(3)(4)</w:t>
            </w:r>
          </w:p>
        </w:tc>
        <w:tc>
          <w:tcPr>
            <w:tcW w:w="740" w:type="dxa"/>
            <w:vAlign w:val="bottom"/>
            <w:vMerge w:val="restart"/>
          </w:tcPr>
          <w:p>
            <w:pPr>
              <w:jc w:val="right"/>
              <w:ind w:right="161"/>
              <w:spacing w:after="0"/>
              <w:rPr>
                <w:sz w:val="20"/>
                <w:szCs w:val="20"/>
                <w:color w:val="auto"/>
              </w:rPr>
            </w:pPr>
            <w:r>
              <w:rPr>
                <w:rFonts w:ascii="Arial" w:cs="Arial" w:eastAsia="Arial" w:hAnsi="Arial"/>
                <w:sz w:val="11"/>
                <w:szCs w:val="11"/>
                <w:color w:val="008000"/>
              </w:rPr>
              <w:t>(3)(4)</w:t>
            </w: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66,000</w:t>
            </w:r>
          </w:p>
        </w:tc>
        <w:tc>
          <w:tcPr>
            <w:tcW w:w="72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vMerge w:val="restart"/>
          </w:tcPr>
          <w:p>
            <w:pPr>
              <w:ind w:left="300"/>
              <w:spacing w:after="0"/>
              <w:rPr>
                <w:sz w:val="20"/>
                <w:szCs w:val="20"/>
                <w:color w:val="auto"/>
              </w:rPr>
            </w:pPr>
            <w:r>
              <w:rPr>
                <w:rFonts w:ascii="Arial" w:cs="Arial" w:eastAsia="Arial" w:hAnsi="Arial"/>
                <w:sz w:val="13"/>
                <w:szCs w:val="13"/>
                <w:color w:val="0000FF"/>
              </w:rPr>
              <w:t>66,000</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720" w:type="dxa"/>
            <w:vAlign w:val="bottom"/>
          </w:tcPr>
          <w:p>
            <w:pPr>
              <w:ind w:left="60"/>
              <w:spacing w:after="0" w:line="68" w:lineRule="exact"/>
              <w:rPr>
                <w:sz w:val="20"/>
                <w:szCs w:val="20"/>
                <w:color w:val="auto"/>
              </w:rPr>
            </w:pPr>
            <w:r>
              <w:rPr>
                <w:rFonts w:ascii="Arial" w:cs="Arial" w:eastAsia="Arial" w:hAnsi="Arial"/>
                <w:sz w:val="6"/>
                <w:szCs w:val="6"/>
                <w:color w:val="0000FF"/>
              </w:rPr>
              <w:t>Units</w:t>
            </w:r>
            <w:r>
              <w:rPr>
                <w:rFonts w:ascii="Arial" w:cs="Arial" w:eastAsia="Arial" w:hAnsi="Arial"/>
                <w:sz w:val="7"/>
                <w:szCs w:val="7"/>
                <w:color w:val="008000"/>
                <w:vertAlign w:val="superscript"/>
              </w:rPr>
              <w:t>(1)</w:t>
            </w:r>
          </w:p>
        </w:tc>
        <w:tc>
          <w:tcPr>
            <w:tcW w:w="80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tcPr>
          <w:p>
            <w:pPr>
              <w:ind w:left="180"/>
              <w:spacing w:after="0" w:line="68" w:lineRule="exact"/>
              <w:rPr>
                <w:sz w:val="20"/>
                <w:szCs w:val="20"/>
                <w:color w:val="auto"/>
              </w:rPr>
            </w:pPr>
            <w:r>
              <w:rPr>
                <w:rFonts w:ascii="Arial" w:cs="Arial" w:eastAsia="Arial" w:hAnsi="Arial"/>
                <w:sz w:val="7"/>
                <w:szCs w:val="7"/>
                <w:color w:val="0000FF"/>
              </w:rPr>
              <w:t>Units</w:t>
            </w:r>
          </w:p>
        </w:tc>
        <w:tc>
          <w:tcPr>
            <w:tcW w:w="5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7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5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 of Phantom Units under Long-Term Incentive Plan (includes associated distribution equivalent rights (payable in cash)).</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One common unit is deliverable, upon vesting, for each phantom unit that vests.</w:t>
      </w:r>
    </w:p>
    <w:p>
      <w:pPr>
        <w:spacing w:after="0" w:line="51" w:lineRule="exact"/>
        <w:rPr>
          <w:rFonts w:ascii="Arial" w:cs="Arial" w:eastAsia="Arial" w:hAnsi="Arial"/>
          <w:sz w:val="13"/>
          <w:szCs w:val="13"/>
          <w:color w:val="008000"/>
        </w:rPr>
      </w:pPr>
    </w:p>
    <w:p>
      <w:pPr>
        <w:ind w:left="40" w:right="180" w:firstLine="8"/>
        <w:spacing w:after="0" w:line="248"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units will vest as follows: (i) one-third shall vest on the August 2019 distribution date, (ii) one-sixth shall vest on the August 2020 distribution date, (iii) one-sixth shall vest on the August 2021 distribution date, (iv) one-sixth shall vest on the date on which the Partnership pays an annualized quarterly distribution of at least $2.50 per unit; however, in the event the $2.50 distribution threshold is not met prior to the August 2022 distribution date, the applicable phantom units will vest on such distribution date provided that on or prior to such date, PAA shall have achieved a minimum annualized distribution rate of $2.30 per unit, and</w:t>
      </w:r>
    </w:p>
    <w:p>
      <w:pPr>
        <w:spacing w:after="0" w:line="26" w:lineRule="exact"/>
        <w:rPr>
          <w:rFonts w:ascii="Arial" w:cs="Arial" w:eastAsia="Arial" w:hAnsi="Arial"/>
          <w:sz w:val="13"/>
          <w:szCs w:val="13"/>
          <w:color w:val="008000"/>
        </w:rPr>
      </w:pPr>
    </w:p>
    <w:p>
      <w:pPr>
        <w:ind w:left="40" w:right="340" w:firstLine="8"/>
        <w:spacing w:after="0" w:line="254"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 one-sixth shall vest on the date on which the Partnership pays an annualized quarterly distribution of at least $2.65 per unit; however, in the event the $2.65 distribution threshold is not met prior to the August 2022 distribution date, the applicable phantom units will vest on such distribution date provided that on or prior to such date, PAA shall have achieved a minimum annualized distribution rate of $2.30 per unit. Any phantom units that have not vested as of the August 2022 distribution date will be forfeited.</w:t>
      </w:r>
    </w:p>
    <w:p>
      <w:pPr>
        <w:spacing w:after="0" w:line="1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2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/s/ Chris Herbold</w:t>
            </w:r>
          </w:p>
        </w:tc>
        <w:tc>
          <w:tcPr>
            <w:tcW w:w="108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08/29/2016</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7929"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2020-01-19T08:46:21Z</dcterms:created>
  <dcterms:modified xsi:type="dcterms:W3CDTF">2020-01-19T08:46:21Z</dcterms:modified>
</cp:coreProperties>
</file>