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-595630</wp:posOffset>
            </wp:positionV>
            <wp:extent cx="8255" cy="5962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-603885</wp:posOffset>
            </wp:positionV>
            <wp:extent cx="8255" cy="6045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-579755</wp:posOffset>
            </wp:positionV>
            <wp:extent cx="1264920" cy="556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5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26035</wp:posOffset>
            </wp:positionV>
            <wp:extent cx="6970395" cy="1587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58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Herbold Chris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333 CLAY STREET, SUITE 1600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4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77002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PLAINS ALL AMERICAN PIPELINE LP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Sr. VP and Chief Acctg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08/13/2020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-2436495</wp:posOffset>
            </wp:positionH>
            <wp:positionV relativeFrom="paragraph">
              <wp:posOffset>147320</wp:posOffset>
            </wp:positionV>
            <wp:extent cx="6970395" cy="1700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0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08/14/2020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11,000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60,389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08/14/2020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2,679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7.97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57,710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08/14/2020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1,500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59,210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08/14/2020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366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7.97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58,844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08/14/2020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08/14/2020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08/14/2020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08/14/2020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08/13/2020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75,190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(4)(5)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(4)(5)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75,190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75,190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-2191385</wp:posOffset>
            </wp:positionV>
            <wp:extent cx="7034530" cy="2288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288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associated distribution equivalent rights payable in cash).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/>
        <w:spacing w:after="0" w:line="281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These phantom units will vest as follows: (a) Tranche 1, consisting of 37,595 phantom units, will vest on the August 2023 distribution date assuming continued service through such date; (b) Tranche 2, consisting of 18,798 phantom units (assuming 100% payout at target), will potentially vest on the August 2023 distribution date at a scaled payout range of between 0% to 200% (0 units to 37,596 units) based on PAA's total shareholder return (TSR) over the three-year period ending June 30, 2023 compared to the TSR of a selected peer group; and (c) Tranche 3, consisting of 18,797 phantom units (assuming 100% payout at target), will potentially vest on the August 2023 distribution date at a scaled payout range of between 0% to 200% (0 units to 37,594 units) based on (i) PAA achieving cumulative distributable cash flow per common unit equivalent of $6.00 over the three-year period ending June 30, 2023 and (ii) PAA achieving a leverage ratio as of June 30, 2023 consistent with the leverage ratio assumed in its long term plan as of August 2020.</w:t>
      </w:r>
    </w:p>
    <w:p>
      <w:pPr>
        <w:spacing w:after="0" w:line="8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200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DERs associated with Tranche 1 will accrue for the first year and be paid in cash in a lump sum on the August 2021 distribution date; beginning in November 2021, DERs associated with Tranche 1 will be paid quarterly until the phantom units vest. DERs associated with Tranches 2 and 3 will accrue during the three-year vesting period and be paid in cash in a lump sum on the August 2023 distribution date with respect to each phantom unit that vests on such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/s/ Chris Herbold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08/17/2020</w:t>
            </w: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7929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2020-08-17T18:52:38Z</dcterms:created>
  <dcterms:modified xsi:type="dcterms:W3CDTF">2020-08-17T18:52:38Z</dcterms:modified>
</cp:coreProperties>
</file>