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March 2,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760" w:right="239" w:bottom="144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60"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meet with members of the financial community at a number of conferences to be held in New York, New York from March 3-5, 2020, including the Morgan Stanley Global Energy &amp; Power Conference, Barclays Select Series: Midstream &amp; Infrastructure Corporate Access Days and Barclays Investment Grade Energy &amp; Pipeline Corporate Days. The meetings will cover an industry overview, PAA’s commercial and operating activities, forward growth outlook, financial positioning and other related matters. The presentation materials that will be used for these meetings will be made available for viewing by 7:45 a.m. EST on Tuesday, March 3, 2020, at </w:t>
      </w:r>
      <w:r>
        <w:rPr>
          <w:rFonts w:ascii="Arial" w:cs="Arial" w:eastAsia="Arial" w:hAnsi="Arial"/>
          <w:sz w:val="17"/>
          <w:szCs w:val="17"/>
          <w:u w:val="single" w:color="auto"/>
          <w:color w:val="auto"/>
        </w:rPr>
        <w:t>www.plainsallamerican.com</w:t>
      </w:r>
      <w:r>
        <w:rPr>
          <w:rFonts w:ascii="Arial" w:cs="Arial" w:eastAsia="Arial" w:hAnsi="Arial"/>
          <w:sz w:val="17"/>
          <w:szCs w:val="17"/>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McGee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2020-03-02T16:08:31Z</dcterms:created>
  <dcterms:modified xsi:type="dcterms:W3CDTF">2020-03-02T16:08:31Z</dcterms:modified>
</cp:coreProperties>
</file>