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5, 2014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38" w:right="23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38" w:right="23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ectPr>
          <w:pgSz w:w="11900" w:h="16838" w:orient="portrait"/>
          <w:cols w:equalWidth="0" w:num="1">
            <w:col w:w="11420"/>
          </w:cols>
          <w:pgMar w:left="240" w:top="538" w:right="239" w:bottom="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(d)</w:t>
        <w:tab/>
        <w:t>Exhibit 99.1 — Press Release dated November 5, 2014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Plains All American Pipeline, L.P. (the “Partnership”) today issued a press release reporting its third-quarter 2014 results. We are furnishing the press release, attached as Exhibit 99.1, pursuant to Item 2.02 and Item 7.01 of Form 8-K. Pursuant to Item 7.01, we are also providing detailed guidance for financial performance for the fourth quarter and full year 2014 as well as preliminary guidance for calendar year 2015.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Fourth Quarter 2014 Guidance and Full Year 2015 Preliminary Guidance</w:t>
      </w:r>
    </w:p>
    <w:p>
      <w:pPr>
        <w:spacing w:after="0" w:line="229" w:lineRule="exact"/>
        <w:rPr>
          <w:sz w:val="24"/>
          <w:szCs w:val="24"/>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based our guidance for the three-month period ending December 31, 2014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2014 guidance and our preliminary 2015 guidance do not include the impact of any pending or future acquisitions.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November 4, 2014. We undertake no obligation to publicly update or revise any forward-looking statements.</w:t>
      </w:r>
    </w:p>
    <w:p>
      <w:pPr>
        <w:spacing w:after="0" w:line="189" w:lineRule="exact"/>
        <w:rPr>
          <w:sz w:val="24"/>
          <w:szCs w:val="24"/>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w:t>
      </w:r>
    </w:p>
    <w:p>
      <w:pPr>
        <w:sectPr>
          <w:pgSz w:w="11900" w:h="16838" w:orient="portrait"/>
          <w:cols w:equalWidth="0" w:num="1">
            <w:col w:w="11420"/>
          </w:cols>
          <w:pgMar w:left="240" w:top="538" w:right="239" w:bottom="0" w:gutter="0" w:footer="0" w:header="0"/>
          <w:type w:val="continuous"/>
        </w:sectPr>
      </w:pPr>
    </w:p>
    <w:bookmarkStart w:id="1" w:name="page2"/>
    <w:bookmarkEnd w:id="1"/>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EBITDA (as defined below in Note 1 to the “Operating and Financial Guidance” table) is a non-GAAP financial measure. Net income represents one of the two most directly comparable GAAP measures to EBITDA. In Note 9 below, we reconcile net income to EBITDA and adjusted EBITDA for the 2014 guidance periods presented. Cash flows from operating activities is the other most comparable GAAP measure. We do not, however, reconcile cash flows from operating activities to EBITDA, because such reconciliations are impractical for forecasted periods. We encourage you to visit our website at </w:t>
      </w:r>
      <w:r>
        <w:rPr>
          <w:rFonts w:ascii="Times New Roman" w:cs="Times New Roman" w:eastAsia="Times New Roman" w:hAnsi="Times New Roman"/>
          <w:sz w:val="18"/>
          <w:szCs w:val="18"/>
          <w:i w:val="1"/>
          <w:iCs w:val="1"/>
          <w:color w:val="auto"/>
        </w:rPr>
        <w:t xml:space="preserve">www.plainsallamerican.com </w:t>
      </w:r>
      <w:r>
        <w:rPr>
          <w:rFonts w:ascii="Times New Roman" w:cs="Times New Roman" w:eastAsia="Times New Roman" w:hAnsi="Times New Roman"/>
          <w:sz w:val="18"/>
          <w:szCs w:val="18"/>
          <w:color w:val="auto"/>
        </w:rPr>
        <w:t>(in particular the section under Investor Relations entitled “Guidance and Non-GAAP Reconciliations”), which 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reconciliation of EBITDA as well as certain other commonly used non-GAAP financial measures. These measures may exclude, for example,</w:t>
      </w:r>
    </w:p>
    <w:p>
      <w:pPr>
        <w:spacing w:after="0" w:line="1" w:lineRule="exact"/>
        <w:rPr>
          <w:sz w:val="20"/>
          <w:szCs w:val="20"/>
          <w:color w:val="auto"/>
        </w:rPr>
      </w:pPr>
    </w:p>
    <w:p>
      <w:pPr>
        <w:ind w:right="180" w:firstLine="8"/>
        <w:spacing w:after="0" w:line="253"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Guidance (a)</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9 Months</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 Months Ending</w:t>
            </w: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gridSpan w:val="4"/>
          </w:tcPr>
          <w:p>
            <w:pPr>
              <w:jc w:val="right"/>
              <w:ind w:right="611"/>
              <w:spacing w:after="0" w:line="118" w:lineRule="exact"/>
              <w:rPr>
                <w:sz w:val="20"/>
                <w:szCs w:val="20"/>
                <w:color w:val="auto"/>
              </w:rPr>
            </w:pPr>
            <w:r>
              <w:rPr>
                <w:rFonts w:ascii="Times New Roman" w:cs="Times New Roman" w:eastAsia="Times New Roman" w:hAnsi="Times New Roman"/>
                <w:sz w:val="13"/>
                <w:szCs w:val="13"/>
                <w:b w:val="1"/>
                <w:bCs w:val="1"/>
                <w:color w:val="auto"/>
              </w:rPr>
              <w:t>12 Months Ending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Sep 30, 2014</w:t>
            </w:r>
          </w:p>
        </w:tc>
        <w:tc>
          <w:tcPr>
            <w:tcW w:w="260" w:type="dxa"/>
            <w:vAlign w:val="bottom"/>
          </w:tcPr>
          <w:p>
            <w:pPr>
              <w:spacing w:after="0"/>
              <w:rPr>
                <w:sz w:val="12"/>
                <w:szCs w:val="12"/>
                <w:color w:val="auto"/>
              </w:rPr>
            </w:pPr>
          </w:p>
        </w:tc>
        <w:tc>
          <w:tcPr>
            <w:tcW w:w="11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00" w:type="dxa"/>
            <w:vAlign w:val="bottom"/>
          </w:tcPr>
          <w:p>
            <w:pPr>
              <w:spacing w:after="0"/>
              <w:rPr>
                <w:sz w:val="12"/>
                <w:szCs w:val="12"/>
                <w:color w:val="auto"/>
              </w:rPr>
            </w:pPr>
          </w:p>
        </w:tc>
        <w:tc>
          <w:tcPr>
            <w:tcW w:w="74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20" w:type="dxa"/>
            <w:vAlign w:val="bottom"/>
          </w:tcPr>
          <w:p>
            <w:pPr>
              <w:spacing w:after="0"/>
              <w:rPr>
                <w:sz w:val="12"/>
                <w:szCs w:val="12"/>
                <w:color w:val="auto"/>
              </w:rPr>
            </w:pPr>
          </w:p>
        </w:tc>
        <w:tc>
          <w:tcPr>
            <w:tcW w:w="8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lef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Profit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revenues (including equity earnings from</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unconsolidated entities)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20"/>
                <w:szCs w:val="20"/>
                <w:color w:val="auto"/>
              </w:rPr>
            </w:pP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3,940</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Field operating costs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left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1,360</w:t>
            </w:r>
          </w:p>
        </w:tc>
        <w:tc>
          <w:tcPr>
            <w:tcW w:w="10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left w:val="single" w:sz="8" w:color="CCEEFF"/>
            </w:tcBorders>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to Limited Partners (b)</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Limited Partner Unit (b)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Per Unit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Limited Partner Unit (b)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Per Unit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583</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2,158</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lef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Items Impacting Comparability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 on selected items impacting comparability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gain / (loss) on foreign currency revaluation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Borders>
              <w:left w:val="single" w:sz="8" w:color="auto"/>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Gains / (losses) from derivative activities net of</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Borders>
              <w:lef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left w:val="single" w:sz="8" w:color="auto"/>
            </w:tcBorders>
            <w:gridSpan w:val="2"/>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 Net</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260" w:type="dxa"/>
            <w:vAlign w:val="bottom"/>
            <w:tcBorders>
              <w:left w:val="single" w:sz="8" w:color="auto"/>
            </w:tcBorders>
            <w:gridSpan w:val="2"/>
            <w:vMerge w:val="continue"/>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tcBorders>
              <w:lef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Income attributable to PAA</w:t>
            </w:r>
          </w:p>
        </w:tc>
        <w:tc>
          <w:tcPr>
            <w:tcW w:w="34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tcBorders>
              <w:top w:val="single" w:sz="8" w:color="CCEEFF"/>
              <w:left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CCEEFF"/>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CCEEFF"/>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CCEEFF"/>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CCEEFF"/>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lef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Excluding Selected Items Impacting Comparability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936</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Facilities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Supply and Logistics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left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lef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Borders>
              <w:left w:val="single" w:sz="8" w:color="auto"/>
              <w:bottom w:val="single" w:sz="8" w:color="CCEEFF"/>
            </w:tcBorders>
            <w:gridSpan w:val="2"/>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985</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2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1,300</w:t>
            </w:r>
          </w:p>
        </w:tc>
        <w:tc>
          <w:tcPr>
            <w:tcW w:w="3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left w:val="single" w:sz="8" w:color="auto"/>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Adjusted Net Income Per Limited Partner Unit (b)</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left w:val="single" w:sz="8" w:color="auto"/>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Diluted Adjusted Net Income Per Limited Partner Unit</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60" w:type="dxa"/>
            <w:vAlign w:val="bottom"/>
            <w:tcBorders>
              <w:left w:val="single" w:sz="8" w:color="auto"/>
            </w:tcBorders>
            <w:gridSpan w:val="2"/>
            <w:vMerge w:val="continue"/>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2860" w:type="dxa"/>
            <w:vAlign w:val="bottom"/>
            <w:tcBorders>
              <w:left w:val="single" w:sz="8" w:color="auto"/>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9" w:gutter="0" w:footer="0" w:header="0"/>
        </w:sectPr>
      </w:pPr>
    </w:p>
    <w:bookmarkStart w:id="2" w:name="page3"/>
    <w:bookmarkEnd w:id="2"/>
    <w:p>
      <w:pPr>
        <w:spacing w:after="0" w:line="62" w:lineRule="exact"/>
        <w:rPr>
          <w:sz w:val="20"/>
          <w:szCs w:val="20"/>
          <w:color w:val="auto"/>
        </w:rPr>
      </w:pPr>
    </w:p>
    <w:p>
      <w:pPr>
        <w:ind w:left="660" w:right="200" w:hanging="652"/>
        <w:spacing w:after="0" w:line="257"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average foreign exchange rate is $1.10 Canadian to $1.00 U.S. for the three-month period ending December 31, 2014. The rate as of November 4, 2014 was $1.14 Canadian to $1.00 U.S. A $0.05 change in the FX rate will impact adjusted EBITDA for the three months ending December 31, 2014 by approximately $4 million.</w:t>
      </w:r>
    </w:p>
    <w:p>
      <w:pPr>
        <w:spacing w:after="0" w:line="1" w:lineRule="exact"/>
        <w:rPr>
          <w:rFonts w:ascii="Times New Roman" w:cs="Times New Roman" w:eastAsia="Times New Roman" w:hAnsi="Times New Roman"/>
          <w:sz w:val="18"/>
          <w:szCs w:val="18"/>
          <w:color w:val="auto"/>
        </w:rPr>
      </w:pPr>
    </w:p>
    <w:p>
      <w:pPr>
        <w:ind w:left="660" w:right="80" w:hanging="652"/>
        <w:spacing w:after="0" w:line="254" w:lineRule="auto"/>
        <w:tabs>
          <w:tab w:leader="none" w:pos="6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Significant Assumptions: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Definitions.</w:t>
      </w:r>
    </w:p>
    <w:p>
      <w:pPr>
        <w:sectPr>
          <w:pgSz w:w="11900" w:h="16900" w:orient="portrait"/>
          <w:cols w:equalWidth="0" w:num="1">
            <w:col w:w="11400"/>
          </w:cols>
          <w:pgMar w:left="240" w:top="121" w:right="259" w:bottom="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Profit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DCF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FASB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Bbls/d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(GP)</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taxes and depreciation and amortization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(including equity earnings, as applicable) less field operating costs and segment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Accounting Standards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Barrels per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liquids. Includes ethane and natural gasoline products as well as propane and butane, which are often referred 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context requires, “general partner” or “GP” refers to any or all of (i) PAA GP LLC, the owner of our 2%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(ii) Plains AAP, L.P., the sole member of PAA GP LLC and owner of our incentive distribution rights and (iii) Plains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GP LLC, the general partner of Plains AAP, L.P.</w:t>
      </w:r>
    </w:p>
    <w:p>
      <w:pPr>
        <w:spacing w:after="0" w:line="200" w:lineRule="exact"/>
        <w:rPr>
          <w:sz w:val="20"/>
          <w:szCs w:val="20"/>
          <w:color w:val="auto"/>
        </w:rPr>
      </w:pPr>
    </w:p>
    <w:p>
      <w:pPr>
        <w:sectPr>
          <w:pgSz w:w="11900" w:h="16900" w:orient="portrait"/>
          <w:cols w:equalWidth="0" w:num="2">
            <w:col w:w="1520" w:space="560"/>
            <w:col w:w="9320"/>
          </w:cols>
          <w:pgMar w:left="240" w:top="121" w:right="259" w:bottom="0" w:gutter="0" w:footer="0" w:header="0"/>
          <w:type w:val="continuous"/>
        </w:sectPr>
      </w:pPr>
    </w:p>
    <w:p>
      <w:pPr>
        <w:spacing w:after="0" w:line="5" w:lineRule="exact"/>
        <w:rPr>
          <w:sz w:val="20"/>
          <w:szCs w:val="20"/>
          <w:color w:val="auto"/>
        </w:rPr>
      </w:pPr>
    </w:p>
    <w:p>
      <w:pPr>
        <w:ind w:left="660" w:right="22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 We manage our operations through three operating segments: (i) Transportation, (ii) Facilities and (iii) Supply and Logistics.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is a brief explanation of the operating activities for each segment as well as key metrics.</w:t>
      </w:r>
    </w:p>
    <w:p>
      <w:pPr>
        <w:spacing w:after="0" w:line="158" w:lineRule="exact"/>
        <w:rPr>
          <w:rFonts w:ascii="Times New Roman" w:cs="Times New Roman" w:eastAsia="Times New Roman" w:hAnsi="Times New Roman"/>
          <w:sz w:val="18"/>
          <w:szCs w:val="18"/>
          <w:color w:val="auto"/>
        </w:rPr>
      </w:pPr>
    </w:p>
    <w:p>
      <w:pPr>
        <w:ind w:left="980" w:hanging="32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Transportation.</w:t>
      </w:r>
      <w:r>
        <w:rPr>
          <w:rFonts w:ascii="Times New Roman" w:cs="Times New Roman" w:eastAsia="Times New Roman" w:hAnsi="Times New Roman"/>
          <w:sz w:val="18"/>
          <w:szCs w:val="18"/>
          <w:color w:val="auto"/>
        </w:rPr>
        <w:t xml:space="preserve"> 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interests ranging from 22% to 50% and account for these under the equity method of accounting.</w:t>
      </w:r>
    </w:p>
    <w:p>
      <w:pPr>
        <w:spacing w:after="0" w:line="181" w:lineRule="exact"/>
        <w:rPr>
          <w:rFonts w:ascii="Times New Roman" w:cs="Times New Roman" w:eastAsia="Times New Roman" w:hAnsi="Times New Roman"/>
          <w:sz w:val="18"/>
          <w:szCs w:val="18"/>
          <w:color w:val="auto"/>
        </w:rPr>
      </w:pPr>
    </w:p>
    <w:p>
      <w:pPr>
        <w:ind w:left="98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7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8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80" w:type="dxa"/>
            <w:vAlign w:val="bottom"/>
          </w:tcPr>
          <w:p>
            <w:pPr>
              <w:jc w:val="center"/>
              <w:ind w:left="189"/>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18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8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8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 31, 2014</w:t>
            </w: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Daily Volumes (MBbls/d)</w:t>
            </w: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 American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Bakken Area Systems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Basin/Mesa/Sunrise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Capline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Eagle Ford Area Systems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63 / 2000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Manito</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Rainbow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Rangeland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Saskatchewan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White Cliffs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4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w:t>
            </w:r>
          </w:p>
        </w:tc>
        <w:tc>
          <w:tcPr>
            <w:tcW w:w="2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Borders>
              <w:bottom w:val="single" w:sz="8" w:color="CCEEFF"/>
            </w:tcBorders>
          </w:tcPr>
          <w:p>
            <w:pPr>
              <w:spacing w:after="0"/>
              <w:rPr>
                <w:sz w:val="20"/>
                <w:szCs w:val="20"/>
                <w:color w:val="auto"/>
              </w:rPr>
            </w:pPr>
          </w:p>
        </w:tc>
      </w:tr>
    </w:tbl>
    <w:p>
      <w:pPr>
        <w:sectPr>
          <w:pgSz w:w="11900" w:h="16900" w:orient="portrait"/>
          <w:cols w:equalWidth="0" w:num="1">
            <w:col w:w="11400"/>
          </w:cols>
          <w:pgMar w:left="240" w:top="121" w:right="259" w:bottom="0" w:gutter="0" w:footer="0" w:header="0"/>
          <w:type w:val="continuous"/>
        </w:sectPr>
      </w:pPr>
    </w:p>
    <w:bookmarkStart w:id="3" w:name="page4"/>
    <w:bookmarkEnd w:id="3"/>
    <w:p>
      <w:pPr>
        <w:spacing w:after="0" w:line="5" w:lineRule="exact"/>
        <w:rPr>
          <w:sz w:val="20"/>
          <w:szCs w:val="20"/>
          <w:color w:val="auto"/>
        </w:rPr>
      </w:pPr>
    </w:p>
    <w:tbl>
      <w:tblPr>
        <w:tblLayout w:type="fixed"/>
        <w:tblInd w:w="12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Trucking</w:t>
            </w:r>
          </w:p>
        </w:tc>
        <w:tc>
          <w:tcPr>
            <w:tcW w:w="4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Profit per Barrel ($/Bbl)</w:t>
            </w: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3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Excluding Selected Items Impacting Comparability</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0.66</w:t>
            </w:r>
            <w:r>
              <w:rPr>
                <w:rFonts w:ascii="Times New Roman" w:cs="Times New Roman" w:eastAsia="Times New Roman" w:hAnsi="Times New Roman"/>
                <w:sz w:val="11"/>
                <w:szCs w:val="11"/>
                <w:color w:val="auto"/>
              </w:rPr>
              <w:t>(1)</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0.63</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4" w:hanging="340"/>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Mid-point of guidance.</w:t>
      </w:r>
    </w:p>
    <w:p>
      <w:pPr>
        <w:spacing w:after="0" w:line="223" w:lineRule="exact"/>
        <w:rPr>
          <w:rFonts w:ascii="Times New Roman" w:cs="Times New Roman" w:eastAsia="Times New Roman" w:hAnsi="Times New Roman"/>
          <w:sz w:val="18"/>
          <w:szCs w:val="18"/>
          <w:color w:val="auto"/>
        </w:rPr>
      </w:pPr>
    </w:p>
    <w:p>
      <w:pPr>
        <w:ind w:left="324" w:right="240" w:hanging="324"/>
        <w:spacing w:after="0" w:line="261"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Our Facilities segment operations generally consist of fee-based activities associated with providing storage, terminalling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leases and processing arrangements.</w:t>
      </w:r>
    </w:p>
    <w:p>
      <w:pPr>
        <w:spacing w:after="0" w:line="182" w:lineRule="exact"/>
        <w:rPr>
          <w:rFonts w:ascii="Times New Roman" w:cs="Times New Roman" w:eastAsia="Times New Roman" w:hAnsi="Times New Roman"/>
          <w:sz w:val="18"/>
          <w:szCs w:val="18"/>
          <w:color w:val="auto"/>
        </w:rPr>
      </w:pPr>
    </w:p>
    <w:p>
      <w:pPr>
        <w:ind w:left="324"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fees from NGL fractionation and isomerization, (v) fees from gas and condensate processing services and (vi) hub service fees associated with natural gas park and loan activities, interruptible storage services and wheeling and balancing services. Adjusted segment profit is forecasted using the volume assumptions in the table below, priced at forecasted rates, less estimated field operating costs and G&amp;A expenses. Field operating costs do not include depreciation.</w:t>
      </w:r>
    </w:p>
    <w:p>
      <w:pPr>
        <w:spacing w:after="0" w:line="188"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84"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80" w:type="dxa"/>
            <w:vAlign w:val="bottom"/>
          </w:tcPr>
          <w:p>
            <w:pPr>
              <w:spacing w:after="0"/>
              <w:rPr>
                <w:sz w:val="12"/>
                <w:szCs w:val="12"/>
                <w:color w:val="auto"/>
              </w:rPr>
            </w:pPr>
          </w:p>
        </w:tc>
        <w:tc>
          <w:tcPr>
            <w:tcW w:w="14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16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180" w:type="dxa"/>
            <w:vAlign w:val="bottom"/>
          </w:tcPr>
          <w:p>
            <w:pPr>
              <w:spacing w:after="0"/>
              <w:rPr>
                <w:sz w:val="15"/>
                <w:szCs w:val="15"/>
                <w:color w:val="auto"/>
              </w:rPr>
            </w:pPr>
          </w:p>
        </w:tc>
        <w:tc>
          <w:tcPr>
            <w:tcW w:w="14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Data</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Crude Oil, Refined Products, and NGL Terminalling</w:t>
            </w:r>
          </w:p>
        </w:tc>
        <w:tc>
          <w:tcPr>
            <w:tcW w:w="200" w:type="dxa"/>
            <w:vAlign w:val="bottom"/>
          </w:tcPr>
          <w:p>
            <w:pPr>
              <w:spacing w:after="0"/>
              <w:rPr>
                <w:sz w:val="17"/>
                <w:szCs w:val="17"/>
                <w:color w:val="auto"/>
              </w:rPr>
            </w:pPr>
          </w:p>
        </w:tc>
        <w:tc>
          <w:tcPr>
            <w:tcW w:w="1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7"/>
                <w:szCs w:val="17"/>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7"/>
                <w:szCs w:val="17"/>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Storage (MMBbls/Mo.)</w:t>
            </w:r>
          </w:p>
        </w:tc>
        <w:tc>
          <w:tcPr>
            <w:tcW w:w="20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Rail Load / Unload Volumes (MBbls/d)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Natural Gas Storage (Bcf/Mo.)</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NGL Fractionation (MBbls/d)</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Facilities Activities Total</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Avg. Capacity (MMBbls/Mo.) (1)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per Barrel ($/Bbl)</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Selected Items Impacting Comparability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0.40</w:t>
            </w:r>
            <w:r>
              <w:rPr>
                <w:rFonts w:ascii="Times New Roman" w:cs="Times New Roman" w:eastAsia="Times New Roman" w:hAnsi="Times New Roman"/>
                <w:sz w:val="11"/>
                <w:szCs w:val="11"/>
                <w:color w:val="auto"/>
              </w:rPr>
              <w:t>(2)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0.41</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4" w:hanging="320"/>
        <w:spacing w:after="0" w:line="254" w:lineRule="auto"/>
        <w:tabs>
          <w:tab w:leader="none" w:pos="65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3" w:lineRule="exact"/>
        <w:rPr>
          <w:rFonts w:ascii="Times New Roman" w:cs="Times New Roman" w:eastAsia="Times New Roman" w:hAnsi="Times New Roman"/>
          <w:sz w:val="18"/>
          <w:szCs w:val="18"/>
          <w:color w:val="auto"/>
        </w:rPr>
      </w:pPr>
    </w:p>
    <w:p>
      <w:pPr>
        <w:ind w:left="664" w:hanging="340"/>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Mid-point of guidance.</w:t>
      </w:r>
    </w:p>
    <w:p>
      <w:pPr>
        <w:spacing w:after="0" w:line="20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and Logistics</w:t>
      </w:r>
      <w:r>
        <w:rPr>
          <w:rFonts w:ascii="Times New Roman" w:cs="Times New Roman" w:eastAsia="Times New Roman" w:hAnsi="Times New Roman"/>
          <w:sz w:val="18"/>
          <w:szCs w:val="18"/>
          <w:color w:val="auto"/>
        </w:rPr>
        <w:t>. Our Supply and Logistics segment operations generally consist of the following merchant-related activities:</w:t>
      </w:r>
    </w:p>
    <w:p>
      <w:pPr>
        <w:spacing w:after="0" w:line="227" w:lineRule="exact"/>
        <w:rPr>
          <w:rFonts w:ascii="Times New Roman" w:cs="Times New Roman" w:eastAsia="Times New Roman" w:hAnsi="Times New Roman"/>
          <w:sz w:val="18"/>
          <w:szCs w:val="18"/>
          <w:color w:val="auto"/>
        </w:rPr>
      </w:pPr>
    </w:p>
    <w:p>
      <w:pPr>
        <w:ind w:left="644" w:right="2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purchase of U.S. and Canadian crude oil at the wellhead, the bulk purchase of crude oil at pipeline, terminal and rail facilities, and the purchase of cargos at their load port and various other locations in transit;</w:t>
      </w:r>
    </w:p>
    <w:p>
      <w:pPr>
        <w:spacing w:after="0" w:line="161" w:lineRule="exact"/>
        <w:rPr>
          <w:rFonts w:ascii="Times New Roman" w:cs="Times New Roman" w:eastAsia="Times New Roman" w:hAnsi="Times New Roman"/>
          <w:sz w:val="18"/>
          <w:szCs w:val="18"/>
          <w:color w:val="auto"/>
        </w:rPr>
      </w:pPr>
    </w:p>
    <w:p>
      <w:pPr>
        <w:ind w:left="324" w:right="2280"/>
        <w:spacing w:after="0" w:line="5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storage of inventory during contango market conditions and the seasonal storage of NGL and natural gas; · the purchase of NGL from producers, refiners, processors and other marketers;</w:t>
      </w: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resale or exchange of crude oil and NGL at various points along the distribution chain to refiners or other resellers to maximize profits;</w:t>
      </w:r>
    </w:p>
    <w:p>
      <w:pPr>
        <w:spacing w:after="0" w:line="225" w:lineRule="exact"/>
        <w:rPr>
          <w:rFonts w:ascii="Times New Roman" w:cs="Times New Roman" w:eastAsia="Times New Roman" w:hAnsi="Times New Roman"/>
          <w:sz w:val="18"/>
          <w:szCs w:val="18"/>
          <w:color w:val="auto"/>
        </w:rPr>
      </w:pPr>
    </w:p>
    <w:p>
      <w:pPr>
        <w:ind w:left="644" w:right="1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transportation of crude oil and NGL on trucks, barges, railcars, pipelines and ocean-going vessels from various delivery points, market hub locations or directly to end users such as refineries, processors and fractionation facilities; and</w:t>
      </w:r>
    </w:p>
    <w:p>
      <w:pPr>
        <w:spacing w:after="0" w:line="161"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purchase and sale of natural gas.</w:t>
      </w:r>
    </w:p>
    <w:p>
      <w:pPr>
        <w:spacing w:after="0" w:line="225" w:lineRule="exact"/>
        <w:rPr>
          <w:rFonts w:ascii="Times New Roman" w:cs="Times New Roman" w:eastAsia="Times New Roman" w:hAnsi="Times New Roman"/>
          <w:sz w:val="18"/>
          <w:szCs w:val="18"/>
          <w:color w:val="auto"/>
        </w:rPr>
      </w:pPr>
    </w:p>
    <w:p>
      <w:pPr>
        <w:ind w:left="324"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December 31, 2014 reflect the current market structure and seasonal, and weather-related variations in NGL and natural gas sales. Our guidance is also based on an expectation that domestic crude oil production will continue to increase in line with increases over the last couple of years. Variations in weather, market structure or volatility could cause actual results to differ materially from forecasted results.</w:t>
      </w:r>
    </w:p>
    <w:p>
      <w:pPr>
        <w:sectPr>
          <w:pgSz w:w="11900" w:h="16843" w:orient="portrait"/>
          <w:cols w:equalWidth="0" w:num="1">
            <w:col w:w="10744"/>
          </w:cols>
          <w:pgMar w:left="896" w:top="140" w:right="259" w:bottom="0" w:gutter="0" w:footer="0" w:header="0"/>
        </w:sectPr>
      </w:pPr>
    </w:p>
    <w:p>
      <w:pPr>
        <w:spacing w:after="0" w:line="189"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6</w:t>
      </w:r>
    </w:p>
    <w:p>
      <w:pPr>
        <w:sectPr>
          <w:pgSz w:w="11900" w:h="16843" w:orient="portrait"/>
          <w:cols w:equalWidth="0" w:num="1">
            <w:col w:w="10744"/>
          </w:cols>
          <w:pgMar w:left="896" w:top="140" w:right="259" w:bottom="0" w:gutter="0" w:footer="0" w:header="0"/>
          <w:type w:val="continuous"/>
        </w:sectPr>
      </w:pPr>
    </w:p>
    <w:bookmarkStart w:id="4" w:name="page5"/>
    <w:bookmarkEnd w:id="4"/>
    <w:p>
      <w:pPr>
        <w:ind w:left="97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spacing w:after="0" w:line="181" w:lineRule="exact"/>
        <w:rPr>
          <w:sz w:val="20"/>
          <w:szCs w:val="20"/>
          <w:color w:val="auto"/>
        </w:rPr>
      </w:pPr>
    </w:p>
    <w:tbl>
      <w:tblPr>
        <w:tblLayout w:type="fixed"/>
        <w:tblInd w:w="832"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17"/>
        </w:trPr>
        <w:tc>
          <w:tcPr>
            <w:tcW w:w="47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60" w:type="dxa"/>
            <w:vAlign w:val="bottom"/>
          </w:tcPr>
          <w:p>
            <w:pPr>
              <w:spacing w:after="0"/>
              <w:rPr>
                <w:sz w:val="10"/>
                <w:szCs w:val="10"/>
                <w:color w:val="auto"/>
              </w:rPr>
            </w:pPr>
          </w:p>
        </w:tc>
      </w:tr>
      <w:tr>
        <w:trPr>
          <w:trHeight w:val="149"/>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20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7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18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200" w:type="dxa"/>
            <w:vAlign w:val="bottom"/>
          </w:tcPr>
          <w:p>
            <w:pPr>
              <w:spacing w:after="0"/>
              <w:rPr>
                <w:sz w:val="15"/>
                <w:szCs w:val="15"/>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 31, 2014</w:t>
            </w:r>
          </w:p>
        </w:tc>
      </w:tr>
      <w:tr>
        <w:trPr>
          <w:trHeight w:val="196"/>
        </w:trPr>
        <w:tc>
          <w:tcPr>
            <w:tcW w:w="47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Average Daily Volumes (MBbls/d)</w:t>
            </w: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995</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NGL Sales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r>
      <w:tr>
        <w:trPr>
          <w:trHeight w:val="250"/>
        </w:trPr>
        <w:tc>
          <w:tcPr>
            <w:tcW w:w="47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tcBorders>
              <w:bottom w:val="single" w:sz="8" w:color="CCEEFF"/>
            </w:tcBorders>
          </w:tcPr>
          <w:p>
            <w:pPr>
              <w:spacing w:after="0"/>
              <w:rPr>
                <w:sz w:val="21"/>
                <w:szCs w:val="21"/>
                <w:color w:val="auto"/>
              </w:rPr>
            </w:pPr>
          </w:p>
        </w:tc>
      </w:tr>
      <w:tr>
        <w:trPr>
          <w:trHeight w:val="197"/>
        </w:trPr>
        <w:tc>
          <w:tcPr>
            <w:tcW w:w="4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 per Barrel ($/Bbl)</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Excluding Selected Items Impacting Comparability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w:t>
            </w:r>
            <w:r>
              <w:rPr>
                <w:rFonts w:ascii="Times New Roman" w:cs="Times New Roman" w:eastAsia="Times New Roman" w:hAnsi="Times New Roman"/>
                <w:sz w:val="11"/>
                <w:szCs w:val="11"/>
                <w:color w:val="auto"/>
              </w:rPr>
              <w:t>(1)</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r>
              <w:rPr>
                <w:rFonts w:ascii="Times New Roman" w:cs="Times New Roman" w:eastAsia="Times New Roman" w:hAnsi="Times New Roman"/>
                <w:sz w:val="11"/>
                <w:szCs w:val="11"/>
                <w:color w:val="auto"/>
              </w:rPr>
              <w:t>(1)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312" w:hanging="340"/>
        <w:spacing w:after="0"/>
        <w:tabs>
          <w:tab w:leader="none" w:pos="13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Mid-point of guidance.</w:t>
      </w:r>
    </w:p>
    <w:p>
      <w:pPr>
        <w:spacing w:after="0" w:line="223" w:lineRule="exact"/>
        <w:rPr>
          <w:rFonts w:ascii="Times New Roman" w:cs="Times New Roman" w:eastAsia="Times New Roman" w:hAnsi="Times New Roman"/>
          <w:sz w:val="18"/>
          <w:szCs w:val="18"/>
          <w:color w:val="auto"/>
        </w:rPr>
      </w:pPr>
    </w:p>
    <w:p>
      <w:pPr>
        <w:jc w:val="both"/>
        <w:ind w:left="332" w:right="140" w:hanging="332"/>
        <w:spacing w:after="0" w:line="267"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We forecast depreciation and amortization based on our existing depreciable assets, forecasted capital expenditures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projected in-service dates. Depreciation may vary due to gains and losses on intermittent sales of assets, asset retirement obligations, asset impairments, acceleration of depreciation or foreign exchange rates.</w:t>
      </w:r>
    </w:p>
    <w:p>
      <w:pPr>
        <w:spacing w:after="0" w:line="175" w:lineRule="exact"/>
        <w:rPr>
          <w:rFonts w:ascii="Times New Roman" w:cs="Times New Roman" w:eastAsia="Times New Roman" w:hAnsi="Times New Roman"/>
          <w:sz w:val="18"/>
          <w:szCs w:val="18"/>
          <w:color w:val="auto"/>
        </w:rPr>
      </w:pPr>
    </w:p>
    <w:p>
      <w:pPr>
        <w:ind w:left="332" w:right="260" w:hanging="332"/>
        <w:spacing w:after="0" w:line="258"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Acquisitions. Although acquisitions constitute a key element of our growth strategy, the forecasted results and associated estimates do not include the impact of any pending or future acquisitions. We forecast capital expenditures during the calendar year of 2014 to be approximately $2.050 billion for expansion projects with an additional $185 to $205 million for maintenance capital projects. During the first nine months of 2014, we spent $1,552 million and $151 million for expansion and maintenance projects, respectively. The following are some of the more notable projects and forecasted expenditures for the year ending December 31, 2014:</w:t>
      </w:r>
    </w:p>
    <w:p>
      <w:pPr>
        <w:spacing w:after="0" w:line="178" w:lineRule="exact"/>
        <w:rPr>
          <w:sz w:val="20"/>
          <w:szCs w:val="20"/>
          <w:color w:val="auto"/>
        </w:rPr>
      </w:pPr>
    </w:p>
    <w:tbl>
      <w:tblPr>
        <w:tblLayout w:type="fixed"/>
        <w:tblInd w:w="161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Calendar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Expansion Capital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Permian Basin Area Projects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Cactus Pipeline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 Rail Terminal Projects </w:t>
            </w:r>
            <w:r>
              <w:rPr>
                <w:rFonts w:ascii="Times New Roman" w:cs="Times New Roman" w:eastAsia="Times New Roman" w:hAnsi="Times New Roman"/>
                <w:sz w:val="23"/>
                <w:szCs w:val="23"/>
                <w:color w:val="auto"/>
                <w:vertAlign w:val="superscript"/>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Ft. Sask Facility Projects / NGL Line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Eagle Ford JV Project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Western Oklahoma Extension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Mississippian Lime Pipeline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White Cliffs Expansion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Line 63 Reactivation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Natural Gas Storage Expansions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Diamond Pipeline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St. James Facility Expansions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Other Projects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Potential Adjustments for Timing / Scope Refinement (2)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$100 + $100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Projected Expansion Capital Expenditures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$1,950 - $2,150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$185 - $205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312" w:hanging="340"/>
        <w:spacing w:after="0"/>
        <w:tabs>
          <w:tab w:leader="none" w:pos="13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projects located in or near Bakersfield, CA, Carr, CO, Van Hook, ND and Kerrobert, Canada.</w:t>
      </w:r>
    </w:p>
    <w:p>
      <w:pPr>
        <w:spacing w:after="0" w:line="27" w:lineRule="exact"/>
        <w:rPr>
          <w:rFonts w:ascii="Times New Roman" w:cs="Times New Roman" w:eastAsia="Times New Roman" w:hAnsi="Times New Roman"/>
          <w:sz w:val="18"/>
          <w:szCs w:val="18"/>
          <w:color w:val="auto"/>
        </w:rPr>
      </w:pPr>
    </w:p>
    <w:p>
      <w:pPr>
        <w:ind w:left="1292" w:right="120" w:hanging="320"/>
        <w:spacing w:after="0" w:line="261" w:lineRule="auto"/>
        <w:tabs>
          <w:tab w:leader="none" w:pos="12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2" w:right="600" w:hanging="332"/>
        <w:spacing w:after="0" w:line="284"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Structure. </w:t>
      </w:r>
      <w:r>
        <w:rPr>
          <w:rFonts w:ascii="Times New Roman" w:cs="Times New Roman" w:eastAsia="Times New Roman" w:hAnsi="Times New Roman"/>
          <w:sz w:val="18"/>
          <w:szCs w:val="18"/>
          <w:color w:val="auto"/>
        </w:rPr>
        <w:t>This guidance is based on our capital structure as of September 30, 2014 and adjusted for estimated equity issuances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continuous offering program.</w:t>
      </w:r>
    </w:p>
    <w:p>
      <w:pPr>
        <w:spacing w:after="0" w:line="158" w:lineRule="exact"/>
        <w:rPr>
          <w:rFonts w:ascii="Times New Roman" w:cs="Times New Roman" w:eastAsia="Times New Roman" w:hAnsi="Times New Roman"/>
          <w:sz w:val="18"/>
          <w:szCs w:val="18"/>
          <w:color w:val="auto"/>
        </w:rPr>
      </w:pPr>
    </w:p>
    <w:p>
      <w:pPr>
        <w:ind w:left="332" w:right="60" w:hanging="332"/>
        <w:spacing w:after="0" w:line="261"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Debt balances are projected based on estimated cash flows, estimated distribution rates, estimated capital expenditures for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October 2014.</w:t>
      </w:r>
    </w:p>
    <w:p>
      <w:pPr>
        <w:spacing w:after="0" w:line="182" w:lineRule="exact"/>
        <w:rPr>
          <w:rFonts w:ascii="Times New Roman" w:cs="Times New Roman" w:eastAsia="Times New Roman" w:hAnsi="Times New Roman"/>
          <w:sz w:val="18"/>
          <w:szCs w:val="18"/>
          <w:color w:val="auto"/>
        </w:rPr>
      </w:pPr>
    </w:p>
    <w:p>
      <w:pPr>
        <w:ind w:left="332"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net of amounts capitalized for major expansion capital projects and does not include interest on borrowings for hedged inventory. We treat interest on hedged inventory borrowings as carrying costs of crude oil, NGL, and natural gas and include it in purchases and related costs.</w:t>
      </w:r>
    </w:p>
    <w:p>
      <w:pPr>
        <w:sectPr>
          <w:pgSz w:w="11900" w:h="16838" w:orient="portrait"/>
          <w:cols w:equalWidth="0" w:num="1">
            <w:col w:w="11392"/>
          </w:cols>
          <w:pgMar w:left="248" w:top="729" w:right="259" w:bottom="0" w:gutter="0" w:footer="0" w:header="0"/>
        </w:sectPr>
      </w:pPr>
    </w:p>
    <w:bookmarkStart w:id="5" w:name="page6"/>
    <w:bookmarkEnd w:id="5"/>
    <w:p>
      <w:pPr>
        <w:ind w:left="340" w:right="220" w:hanging="314"/>
        <w:spacing w:after="0" w:line="261" w:lineRule="auto"/>
        <w:tabs>
          <w:tab w:leader="none" w:pos="3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expect our Canadian income tax expense to be approximately $29 million and $119 million for the three-month and twelve-month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ending December 31,2014, respectively, of which approximately $26 million and $88 million, respectively, is classified as a current income tax expense. For the twelve-month period ending December 31, 2014 we expect to have a deferred tax expense of $31 million. All or part of the annual income tax expense of $119 million may result in a tax credit to our equity holders.</w:t>
      </w:r>
    </w:p>
    <w:p>
      <w:pPr>
        <w:spacing w:after="0" w:line="180" w:lineRule="exact"/>
        <w:rPr>
          <w:rFonts w:ascii="Times New Roman" w:cs="Times New Roman" w:eastAsia="Times New Roman" w:hAnsi="Times New Roman"/>
          <w:sz w:val="18"/>
          <w:szCs w:val="18"/>
          <w:color w:val="auto"/>
        </w:rPr>
      </w:pPr>
    </w:p>
    <w:p>
      <w:pPr>
        <w:ind w:left="340" w:right="220" w:hanging="332"/>
        <w:spacing w:after="0" w:line="277"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Equity-Indexed Compensation Plans. </w:t>
      </w:r>
      <w:r>
        <w:rPr>
          <w:rFonts w:ascii="Times New Roman" w:cs="Times New Roman" w:eastAsia="Times New Roman" w:hAnsi="Times New Roman"/>
          <w:sz w:val="17"/>
          <w:szCs w:val="17"/>
          <w:color w:val="auto"/>
        </w:rPr>
        <w:t>The majority of grants outstanding under our various equity-indexed compensation plans contain vesting criteria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November 5, 2014, estimated vesting dates range from November 2014 to August 2019 and annualized benchmark distribution levels range from $2.05 to $3.10. For some awards, a percentage of any units remaining unvested as of a certain date will vest on such date and all others will be forfeited.</w:t>
      </w:r>
    </w:p>
    <w:p>
      <w:pPr>
        <w:spacing w:after="0" w:line="170" w:lineRule="exact"/>
        <w:rPr>
          <w:rFonts w:ascii="Times New Roman" w:cs="Times New Roman" w:eastAsia="Times New Roman" w:hAnsi="Times New Roman"/>
          <w:sz w:val="17"/>
          <w:szCs w:val="17"/>
          <w:color w:val="auto"/>
        </w:rPr>
      </w:pPr>
    </w:p>
    <w:p>
      <w:pPr>
        <w:ind w:left="340"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October 8, 2014, we declared an annualized distribution of $2.64 payable on November 14, 2014 to our unitholders of record as of October 31, 2014. For the purposes of guidance, we have made the assessment that an annualized $2.90 distribution level is probable of occurring, and accordingly, guidance includes an accrual over the applicable service period at an assumed market price of $56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our then current probability assessment regarding distributions, and (iv) new equity-indexed compensation award grants, including the timing of such grant issuances. For example, a $2 change in the unit price would change the fourth-quarter equity-indexed compensation expense by approximately $4 million. Therefore, actual net income could differ from our projections.</w:t>
      </w:r>
    </w:p>
    <w:p>
      <w:pPr>
        <w:spacing w:after="0" w:line="183" w:lineRule="exact"/>
        <w:rPr>
          <w:rFonts w:ascii="Times New Roman" w:cs="Times New Roman" w:eastAsia="Times New Roman" w:hAnsi="Times New Roman"/>
          <w:sz w:val="17"/>
          <w:szCs w:val="17"/>
          <w:color w:val="auto"/>
        </w:rPr>
      </w:pPr>
    </w:p>
    <w:p>
      <w:pPr>
        <w:ind w:left="340" w:right="280" w:hanging="332"/>
        <w:spacing w:after="0" w:line="28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Reconciliation of Net Income to EBITDA and Adjusted EBITDA. </w:t>
      </w:r>
      <w:r>
        <w:rPr>
          <w:rFonts w:ascii="Times New Roman" w:cs="Times New Roman" w:eastAsia="Times New Roman" w:hAnsi="Times New Roman"/>
          <w:sz w:val="18"/>
          <w:szCs w:val="18"/>
          <w:color w:val="auto"/>
        </w:rPr>
        <w:t>The following table reconciles net income to EBITDA and Adjusted EBITDA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nine-month period ended September 30, 2014 and the three-month and twelve-month periods ending December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4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9 Months</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 Months Ending</w:t>
            </w: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4"/>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12 Months Ending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3"/>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Sep 30, 2014</w:t>
            </w: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to EBITDA and Adjusted EBITDA</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1,301</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w:t>
            </w: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tcPr>
          <w:p>
            <w:pPr>
              <w:spacing w:after="0"/>
              <w:rPr>
                <w:sz w:val="18"/>
                <w:szCs w:val="18"/>
                <w:color w:val="auto"/>
              </w:rPr>
            </w:pPr>
          </w:p>
        </w:tc>
      </w:tr>
      <w:tr>
        <w:trPr>
          <w:trHeight w:val="250"/>
        </w:trPr>
        <w:tc>
          <w:tcPr>
            <w:tcW w:w="4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3"/>
              </w:rPr>
              <w:t>2,158</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97"/>
        </w:trPr>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Selected Items Impacting Comparability of EBITDA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93"/>
              </w:rPr>
              <w:t>2,150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0" w:right="500" w:hanging="332"/>
        <w:spacing w:after="0" w:line="284"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Implied DCF. </w:t>
      </w:r>
      <w:r>
        <w:rPr>
          <w:rFonts w:ascii="Times New Roman" w:cs="Times New Roman" w:eastAsia="Times New Roman" w:hAnsi="Times New Roman"/>
          <w:sz w:val="18"/>
          <w:szCs w:val="18"/>
          <w:color w:val="auto"/>
        </w:rPr>
        <w:t>The following table reconciles adjusted EBITDA to implied DCF for the nine-month period ended September 30, 2014 and the three-month and twelve-month periods ending December 31, 2014.</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5"/>
                <w:szCs w:val="15"/>
                <w:color w:val="auto"/>
              </w:rPr>
            </w:pPr>
          </w:p>
        </w:tc>
        <w:tc>
          <w:tcPr>
            <w:tcW w:w="2940" w:type="dxa"/>
            <w:vAlign w:val="bottom"/>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Mid-Point Guidance</w:t>
            </w:r>
          </w:p>
        </w:tc>
      </w:tr>
      <w:tr>
        <w:trPr>
          <w:trHeight w:val="117"/>
        </w:trPr>
        <w:tc>
          <w:tcPr>
            <w:tcW w:w="3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00" w:type="dxa"/>
            <w:vAlign w:val="bottom"/>
            <w:gridSpan w:val="2"/>
          </w:tcPr>
          <w:p>
            <w:pPr>
              <w:spacing w:after="0"/>
              <w:rPr>
                <w:sz w:val="10"/>
                <w:szCs w:val="10"/>
                <w:color w:val="auto"/>
              </w:rPr>
            </w:pPr>
          </w:p>
        </w:tc>
      </w:tr>
      <w:tr>
        <w:trPr>
          <w:trHeight w:val="149"/>
        </w:trPr>
        <w:tc>
          <w:tcPr>
            <w:tcW w:w="3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73"/>
        </w:trPr>
        <w:tc>
          <w:tcPr>
            <w:tcW w:w="3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16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 31, 2014</w:t>
            </w:r>
          </w:p>
        </w:tc>
      </w:tr>
      <w:tr>
        <w:trPr>
          <w:trHeight w:val="142"/>
        </w:trPr>
        <w:tc>
          <w:tcPr>
            <w:tcW w:w="3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Implied DCF</w:t>
            </w:r>
          </w:p>
        </w:tc>
        <w:tc>
          <w:tcPr>
            <w:tcW w:w="1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2015 Guidance</w:t>
      </w:r>
    </w:p>
    <w:p>
      <w:pPr>
        <w:spacing w:after="0" w:line="229" w:lineRule="exact"/>
        <w:rPr>
          <w:sz w:val="20"/>
          <w:szCs w:val="20"/>
          <w:color w:val="auto"/>
        </w:rPr>
      </w:pPr>
    </w:p>
    <w:p>
      <w:pPr>
        <w:ind w:right="480" w:firstLine="288"/>
        <w:spacing w:after="0" w:line="276" w:lineRule="auto"/>
        <w:rPr>
          <w:sz w:val="20"/>
          <w:szCs w:val="20"/>
          <w:color w:val="auto"/>
        </w:rPr>
      </w:pPr>
      <w:r>
        <w:rPr>
          <w:rFonts w:ascii="Times New Roman" w:cs="Times New Roman" w:eastAsia="Times New Roman" w:hAnsi="Times New Roman"/>
          <w:sz w:val="17"/>
          <w:szCs w:val="17"/>
          <w:color w:val="auto"/>
        </w:rPr>
        <w:t>Our preliminary adjusted EBITDA guidance for 2015 is based on (i) operating and financial performance of our existing assets that is assumed to be generally in line with recent performance trends, appropriately adjusted for known and expected developments as well as estimated market conditions,</w:t>
      </w:r>
    </w:p>
    <w:p>
      <w:pPr>
        <w:spacing w:after="0" w:line="1" w:lineRule="exact"/>
        <w:rPr>
          <w:sz w:val="20"/>
          <w:szCs w:val="20"/>
          <w:color w:val="auto"/>
        </w:rPr>
      </w:pPr>
    </w:p>
    <w:p>
      <w:pPr>
        <w:ind w:right="240" w:firstLine="8"/>
        <w:spacing w:after="0" w:line="254"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from expansion capital projects in line with our expectations and (iii) the assumed average foreign rate of $1.10 Canadian to $1.00 U.S. dollar (a $0.05 change in the FX rate would impact Adjusted EBITDA by approximately $30 million). Our preliminary 2015 guidance does not include the impact of any pending or future acquisitions. The following table summarizes the range of selected key financial data of our preliminary guidance for calendar year 2015.</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Preliminary Calendar 2015 Guidance (in millions)</w:t>
      </w:r>
    </w:p>
    <w:p>
      <w:pPr>
        <w:spacing w:after="0" w:line="223" w:lineRule="exact"/>
        <w:rPr>
          <w:sz w:val="20"/>
          <w:szCs w:val="20"/>
          <w:color w:val="auto"/>
        </w:rPr>
      </w:pPr>
    </w:p>
    <w:tbl>
      <w:tblPr>
        <w:tblLayout w:type="fixed"/>
        <w:tblInd w:w="196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Implied DCF</w:t>
            </w:r>
          </w:p>
        </w:tc>
        <w:tc>
          <w:tcPr>
            <w:tcW w:w="44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5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80" w:type="dxa"/>
            <w:vAlign w:val="bottom"/>
            <w:tcBorders>
              <w:bottom w:val="single" w:sz="8" w:color="CCEEFF"/>
            </w:tcBorders>
          </w:tcPr>
          <w:p>
            <w:pPr>
              <w:spacing w:after="0"/>
              <w:rPr>
                <w:sz w:val="21"/>
                <w:szCs w:val="21"/>
                <w:color w:val="auto"/>
              </w:rPr>
            </w:pPr>
          </w:p>
        </w:tc>
      </w:tr>
      <w:tr>
        <w:trPr>
          <w:trHeight w:val="197"/>
        </w:trPr>
        <w:tc>
          <w:tcPr>
            <w:tcW w:w="2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Expansion Capital</w:t>
            </w:r>
          </w:p>
        </w:tc>
        <w:tc>
          <w:tcPr>
            <w:tcW w:w="134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r>
    </w:tbl>
    <w:p>
      <w:pPr>
        <w:sectPr>
          <w:pgSz w:w="11900" w:h="16838" w:orient="portrait"/>
          <w:cols w:equalWidth="0" w:num="1">
            <w:col w:w="11460"/>
          </w:cols>
          <w:pgMar w:left="240" w:top="119" w:right="199" w:bottom="0" w:gutter="0" w:footer="0" w:header="0"/>
        </w:sectPr>
      </w:pPr>
    </w:p>
    <w:bookmarkStart w:id="6" w:name="page7"/>
    <w:bookmarkEnd w:id="6"/>
    <w:p>
      <w:pPr>
        <w:spacing w:after="0" w:line="32" w:lineRule="exact"/>
        <w:rPr>
          <w:sz w:val="20"/>
          <w:szCs w:val="20"/>
          <w:color w:val="auto"/>
        </w:rPr>
      </w:pPr>
    </w:p>
    <w:p>
      <w:pPr>
        <w:ind w:right="60" w:firstLine="288"/>
        <w:spacing w:after="0" w:line="255" w:lineRule="auto"/>
        <w:rPr>
          <w:sz w:val="20"/>
          <w:szCs w:val="20"/>
          <w:color w:val="auto"/>
        </w:rPr>
      </w:pPr>
      <w:r>
        <w:rPr>
          <w:rFonts w:ascii="Times New Roman" w:cs="Times New Roman" w:eastAsia="Times New Roman" w:hAnsi="Times New Roman"/>
          <w:sz w:val="18"/>
          <w:szCs w:val="18"/>
          <w:color w:val="auto"/>
        </w:rPr>
        <w:t>The preliminary 2015 midpoint adjusted EBITDA guidance of $2,425 is forecasted to be approximately 76% from our fee based Transportation and Facilities segments, and 24% ($570 million) from our Supply and Logistics segment. Our preliminary guidance for interest expense is based on our capital structure as of September 30, 2014 and adjusted for estimated equity issuances under our continuous equity offering program, forecasted fixed rate senior note issuances, approved capital projects for 2014, and the assumption that 2015 capital projects will range between $1.5 billion and $2.0 billion. Our preliminary guidance for maintenance capital expenditures is based on our estimated average level of recurring expenditures of approximately $215 million. Our preliminary guidance for adjusted EBITDA does not include a forecast of selected items impacting comparability, such as equity compensation expense, as it is impractical to forecast such items.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Associated Risks</w:t>
      </w:r>
    </w:p>
    <w:p>
      <w:pPr>
        <w:spacing w:after="0" w:line="229" w:lineRule="exact"/>
        <w:rPr>
          <w:sz w:val="20"/>
          <w:szCs w:val="20"/>
          <w:color w:val="auto"/>
        </w:rPr>
      </w:pPr>
    </w:p>
    <w:p>
      <w:pPr>
        <w:ind w:firstLine="285"/>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internal growth projects;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2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76"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access to capital;</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25"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25"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rFonts w:ascii="Times New Roman" w:cs="Times New Roman" w:eastAsia="Times New Roman" w:hAnsi="Times New Roman"/>
          <w:sz w:val="18"/>
          <w:szCs w:val="18"/>
          <w:color w:val="auto"/>
        </w:rPr>
      </w:pPr>
    </w:p>
    <w:p>
      <w:pPr>
        <w:ind w:left="340" w:right="680" w:hanging="332"/>
        <w:spacing w:after="0" w:line="282" w:lineRule="auto"/>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ectPr>
          <w:pgSz w:w="11900" w:h="16870" w:orient="portrait"/>
          <w:cols w:equalWidth="0" w:num="1">
            <w:col w:w="11380"/>
          </w:cols>
          <w:pgMar w:left="240" w:top="121" w:right="279" w:bottom="0" w:gutter="0" w:footer="0" w:header="0"/>
        </w:sectPr>
      </w:pPr>
    </w:p>
    <w:bookmarkStart w:id="7" w:name="page8"/>
    <w:bookmarkEnd w:id="7"/>
    <w:p>
      <w:pPr>
        <w:ind w:left="340" w:right="760" w:hanging="332"/>
        <w:spacing w:after="0" w:line="282" w:lineRule="auto"/>
        <w:tabs>
          <w:tab w:leader="none" w:pos="3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61"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80" w:firstLine="28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25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25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2014</w:t>
            </w:r>
          </w:p>
        </w:tc>
        <w:tc>
          <w:tcPr>
            <w:tcW w:w="25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Kingswell-Smith</w:t>
            </w:r>
          </w:p>
        </w:tc>
        <w:tc>
          <w:tcPr>
            <w:tcW w:w="40" w:type="dxa"/>
            <w:vAlign w:val="bottom"/>
          </w:tcPr>
          <w:p>
            <w:pPr>
              <w:spacing w:after="0"/>
              <w:rPr>
                <w:sz w:val="24"/>
                <w:szCs w:val="24"/>
                <w:color w:val="auto"/>
              </w:rPr>
            </w:pPr>
          </w:p>
        </w:tc>
      </w:tr>
      <w:tr>
        <w:trPr>
          <w:trHeight w:val="189"/>
        </w:trPr>
        <w:tc>
          <w:tcPr>
            <w:tcW w:w="3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Charles Kingswell-Smith</w:t>
            </w:r>
          </w:p>
        </w:tc>
        <w:tc>
          <w:tcPr>
            <w:tcW w:w="40" w:type="dxa"/>
            <w:vAlign w:val="bottom"/>
          </w:tcPr>
          <w:p>
            <w:pPr>
              <w:spacing w:after="0"/>
              <w:rPr>
                <w:sz w:val="16"/>
                <w:szCs w:val="16"/>
                <w:color w:val="auto"/>
              </w:rPr>
            </w:pPr>
          </w:p>
        </w:tc>
      </w:tr>
      <w:tr>
        <w:trPr>
          <w:trHeight w:val="236"/>
        </w:trPr>
        <w:tc>
          <w:tcPr>
            <w:tcW w:w="37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Vice President-Finance</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12</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702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Report Third-Quarter 2014 Results</w:t>
      </w:r>
    </w:p>
    <w:p>
      <w:pPr>
        <w:spacing w:after="0" w:line="229" w:lineRule="exact"/>
        <w:rPr>
          <w:sz w:val="20"/>
          <w:szCs w:val="20"/>
          <w:color w:val="auto"/>
        </w:rPr>
      </w:pPr>
    </w:p>
    <w:p>
      <w:pPr>
        <w:ind w:right="300" w:firstLine="702"/>
        <w:spacing w:after="0" w:line="282" w:lineRule="auto"/>
        <w:rPr>
          <w:sz w:val="20"/>
          <w:szCs w:val="20"/>
          <w:color w:val="auto"/>
        </w:rPr>
      </w:pPr>
      <w:r>
        <w:rPr>
          <w:rFonts w:ascii="Times New Roman" w:cs="Times New Roman" w:eastAsia="Times New Roman" w:hAnsi="Times New Roman"/>
          <w:sz w:val="18"/>
          <w:szCs w:val="18"/>
          <w:color w:val="auto"/>
        </w:rPr>
        <w:t>(Houston — November 5, 2014) Plains All American Pipeline, L.P. (NYSE: PAA) and Plains GP Holdings (NYSE: PAGP) today reported third-quarter 2014 results, with PAA’s results exceeding the midpoint of its quarterly guidance range by approximately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220" w:type="dxa"/>
            <w:vAlign w:val="bottom"/>
          </w:tcPr>
          <w:p>
            <w:pPr>
              <w:spacing w:after="0"/>
              <w:rPr>
                <w:sz w:val="12"/>
                <w:szCs w:val="12"/>
                <w:color w:val="auto"/>
              </w:rPr>
            </w:pPr>
          </w:p>
        </w:tc>
        <w:tc>
          <w:tcPr>
            <w:tcW w:w="9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Pr>
          <w:p>
            <w:pPr>
              <w:spacing w:after="0"/>
              <w:rPr>
                <w:sz w:val="12"/>
                <w:szCs w:val="12"/>
                <w:color w:val="auto"/>
              </w:rPr>
            </w:pPr>
          </w:p>
        </w:tc>
        <w:tc>
          <w:tcPr>
            <w:tcW w:w="10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0.52</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1,642</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220" w:type="dxa"/>
            <w:vAlign w:val="bottom"/>
          </w:tcPr>
          <w:p>
            <w:pPr>
              <w:spacing w:after="0"/>
              <w:rPr>
                <w:sz w:val="12"/>
                <w:szCs w:val="12"/>
                <w:color w:val="auto"/>
              </w:rPr>
            </w:pPr>
          </w:p>
        </w:tc>
        <w:tc>
          <w:tcPr>
            <w:tcW w:w="9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Pr>
          <w:p>
            <w:pPr>
              <w:spacing w:after="0"/>
              <w:rPr>
                <w:sz w:val="12"/>
                <w:szCs w:val="12"/>
                <w:color w:val="auto"/>
              </w:rPr>
            </w:pPr>
          </w:p>
        </w:tc>
        <w:tc>
          <w:tcPr>
            <w:tcW w:w="10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unit declared for the period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0.6600</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200" w:hanging="652"/>
        <w:spacing w:after="0" w:line="241"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GAAP measures.</w:t>
      </w:r>
    </w:p>
    <w:p>
      <w:pPr>
        <w:spacing w:after="0" w:line="20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“PAA delivered strong third-quarter results,” stated Greg L. Armstrong, Chairman and CEO of Plains All American. “Solid execution in all three segments combined with certain timing shifts between the third and fourth quarter periods resulted in across-the-board over-performance relative to the midpoint of our guidance range.”</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We remain on track to achieve each of our 2014 goals. PAA and PAGP achieved their respective distribution growth objectives of 10% and 25% for 2014. PAA’s quarterly distribution of $0.66 per unit to be paid next week represents a 10% increase over the distribution paid in November 2013, and PAGP’s quarterly distribution of $0.19075 per share represents a 28% increase over the initial quarterly distribution included in its October 2013 IPO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25" w:lineRule="exact"/>
        <w:rPr>
          <w:sz w:val="20"/>
          <w:szCs w:val="20"/>
          <w:color w:val="auto"/>
        </w:rPr>
      </w:pPr>
    </w:p>
    <w:p>
      <w:pPr>
        <w:ind w:right="220" w:firstLine="810"/>
        <w:spacing w:after="0" w:line="266" w:lineRule="auto"/>
        <w:rPr>
          <w:sz w:val="20"/>
          <w:szCs w:val="20"/>
          <w:color w:val="auto"/>
        </w:rPr>
      </w:pPr>
      <w:r>
        <w:rPr>
          <w:rFonts w:ascii="Times New Roman" w:cs="Times New Roman" w:eastAsia="Times New Roman" w:hAnsi="Times New Roman"/>
          <w:sz w:val="18"/>
          <w:szCs w:val="18"/>
          <w:color w:val="auto"/>
        </w:rPr>
        <w:t>Armstrong noted that despite PAA’s strong performance relative to its third quarter guidance, PAA maintained its full year guidance for adjusted EBITDA of $2.175 billion, taking into account both inter-quarter timing adjustments and inherent uncertainty associated with the commodity price environment.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“PAA also provided preliminary adjusted EBITDA guidance for 2015 of $2.35 to $2.5 billion. We believe our preliminary 2015 guidance range reflects a cautious and prudent approach that acknowledges uncertainties associated with the recent decreases in oil prices and related differentials as well as the potential drilling reductions by producers in various crude oil resource plays. At the $2.425 billion midpoint of this preliminary guidance range, adjusted EBITDA is forecasted to increase approximately 11% year-over-year. Absent acquisitions, we are targeting to grow PAA’s distribution by approximately 7% to 10% over 2014, while achieving coverage in line with our minimum target range. PAGP’s corresponding distribution growth target is approximately 21%.”</w:t>
      </w:r>
    </w:p>
    <w:p>
      <w:pPr>
        <w:spacing w:after="0" w:line="18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Armstrong added, “PAA is well positioned for recent developments as our existing asset base and capital program are focused primarily on the core shale basins and key market areas and we ended the quarter with a strong balance sheet, our credit metrics compare favorably to our stated target metrics and we have approximately $2.5 billion in committed liquidity.”</w:t>
      </w:r>
    </w:p>
    <w:p>
      <w:pPr>
        <w:sectPr>
          <w:pgSz w:w="11900" w:h="16838" w:orient="portrait"/>
          <w:cols w:equalWidth="0" w:num="1">
            <w:col w:w="11420"/>
          </w:cols>
          <w:pgMar w:left="240" w:top="117" w:right="239" w:bottom="0" w:gutter="0" w:footer="0" w:header="0"/>
        </w:sectPr>
      </w:pPr>
    </w:p>
    <w:bookmarkStart w:id="9" w:name="page10"/>
    <w:bookmarkEnd w:id="9"/>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selected PAA financial information by segment for the third quarter and first nine months of 2014: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comparability of segment profit </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237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149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i w:val="1"/>
                <w:iCs w:val="1"/>
                <w:color w:val="auto"/>
              </w:rPr>
              <w:t>141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adjusted segment</w:t>
            </w:r>
          </w:p>
        </w:tc>
        <w:tc>
          <w:tcPr>
            <w:tcW w:w="80" w:type="dxa"/>
            <w:vAlign w:val="bottom"/>
            <w:shd w:val="clear" w:color="auto" w:fill="CCEEFF"/>
          </w:tcPr>
          <w:p>
            <w:pPr>
              <w:spacing w:after="0"/>
              <w:rPr>
                <w:sz w:val="16"/>
                <w:szCs w:val="16"/>
                <w:color w:val="auto"/>
              </w:rPr>
            </w:pPr>
          </w:p>
        </w:tc>
        <w:tc>
          <w:tcPr>
            <w:tcW w:w="1280" w:type="dxa"/>
            <w:vAlign w:val="bottom"/>
            <w:gridSpan w:val="3"/>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i w:val="1"/>
                <w:iCs w:val="1"/>
                <w:color w:val="auto"/>
              </w:rPr>
              <w:t>16%</w:t>
            </w:r>
          </w:p>
        </w:tc>
        <w:tc>
          <w:tcPr>
            <w:tcW w:w="18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-1%</w:t>
            </w:r>
          </w:p>
        </w:tc>
        <w:tc>
          <w:tcPr>
            <w:tcW w:w="1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14%</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profit versus 2013 period</w:t>
            </w:r>
          </w:p>
        </w:tc>
        <w:tc>
          <w:tcPr>
            <w:tcW w:w="8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comparability of segment profit </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680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446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i w:val="1"/>
                <w:iCs w:val="1"/>
                <w:color w:val="auto"/>
              </w:rPr>
              <w:t>479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547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459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adjusted segment</w:t>
            </w:r>
          </w:p>
        </w:tc>
        <w:tc>
          <w:tcPr>
            <w:tcW w:w="80" w:type="dxa"/>
            <w:vAlign w:val="bottom"/>
            <w:shd w:val="clear" w:color="auto" w:fill="CCEEFF"/>
          </w:tcPr>
          <w:p>
            <w:pPr>
              <w:spacing w:after="0"/>
              <w:rPr>
                <w:sz w:val="16"/>
                <w:szCs w:val="16"/>
                <w:color w:val="auto"/>
              </w:rPr>
            </w:pPr>
          </w:p>
        </w:tc>
        <w:tc>
          <w:tcPr>
            <w:tcW w:w="1280" w:type="dxa"/>
            <w:vAlign w:val="bottom"/>
            <w:gridSpan w:val="3"/>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i w:val="1"/>
                <w:iCs w:val="1"/>
                <w:color w:val="auto"/>
              </w:rPr>
              <w:t>24%</w:t>
            </w:r>
          </w:p>
        </w:tc>
        <w:tc>
          <w:tcPr>
            <w:tcW w:w="18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-3%</w:t>
            </w:r>
          </w:p>
        </w:tc>
        <w:tc>
          <w:tcPr>
            <w:tcW w:w="1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-30%</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profit versus 2013 period</w:t>
            </w:r>
          </w:p>
        </w:tc>
        <w:tc>
          <w:tcPr>
            <w:tcW w:w="8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43"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0" w:right="200" w:hanging="11"/>
        <w:spacing w:after="0" w:line="255" w:lineRule="auto"/>
        <w:rPr>
          <w:sz w:val="20"/>
          <w:szCs w:val="20"/>
          <w:color w:val="auto"/>
        </w:rPr>
      </w:pPr>
      <w:r>
        <w:rPr>
          <w:rFonts w:ascii="Times New Roman" w:cs="Times New Roman" w:eastAsia="Times New Roman" w:hAnsi="Times New Roman"/>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2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223520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43" w:orient="portrait"/>
          <w:cols w:equalWidth="0" w:num="2">
            <w:col w:w="140" w:space="500"/>
            <w:col w:w="1078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Third-quarter 2014 Transportation adjusted segment profit increased 16% versus comparable 2013 results. This increase was primarily driven by higher crude oil pipeline volumes associated with the continued increase in crude oil production and our related, recently completed organic growth projects, partially offset by the sale of our refined products pipelines in 2013.</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Third-quarter 2014 Facilities adjusted segment profit decreased 1% over comparable 2013 results. This decrease was primarily due to the impact of recontracting capacity originally contracted at higher rates within our natural gas storage operations. This impact was partially offset by increased profitability from our NGL storage and fractionation activities.</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Third-quarter 2014 Supply and Logistics adjusted segment profit increased by approximately 14% relative to comparable 2013 results. This increase was primarily related to more favorable crude oil market conditions during the third quarter of 2014 and growth in crude oil lease gathering volumes. These impacts were partially offset by less favorable NGL market conditions in the third quarter of 2014 compared to the same 2013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Q3 2014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Q2 2014</w:t>
            </w: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provided in</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IPO prospectus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share declared for the period</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0.19075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0.18340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0.14904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Q3 2014 distribution percentage growth over previous benchmarks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7"/>
          <w:szCs w:val="17"/>
          <w:color w:val="auto"/>
        </w:rPr>
        <w:t>PAA and PAGP will hold a conference call on November 6, 2014 (see details below). Prior to this conference call, PAA will furnish a current report on Form 8-K, which will include material in this news release as well as PAA’s financial and operational guidance for the fourth quarter and full year of 2014</w:t>
      </w:r>
    </w:p>
    <w:p>
      <w:pPr>
        <w:sectPr>
          <w:pgSz w:w="11900" w:h="16943" w:orient="portrait"/>
          <w:cols w:equalWidth="0" w:num="1">
            <w:col w:w="11420"/>
          </w:cols>
          <w:pgMar w:left="240" w:top="121" w:right="239" w:bottom="0" w:gutter="0" w:footer="0" w:header="0"/>
          <w:type w:val="continuous"/>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t>and preliminary guidance for 2015. A copy of the Form 8-K will be available at www.plainsallamerican.com, where PAA and PAGP routinely post important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PAA and PAGP conference call will be held at 11:00 a.m. EST on Thursday, November 6, 2014 to discuss the following items:</w:t>
      </w:r>
    </w:p>
    <w:p>
      <w:pPr>
        <w:spacing w:after="0" w:line="225"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third-quarter 2014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major expansion projects;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guidance for the fourth quarter and full year of 2014;</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2015 adjusted EBITDA, implied DCF, 2015 distribution growth targets and growth capital investment guidance;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and PAGP’s outlook for the future.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Access Instructions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Alternatively, access to the live conference call is available by dialing toll free (800) 230-1776. International callers should dial (612) 234-9960. No password is required. The slide presentation accompanying the conference call will be available a few minutes prior to the call under the “Events and Presentations” tab of the PAA and PAGP Investor Relations sections of the above referenced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Telephonic Replay Instructions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listen to a telephonic replay of the conference call, please dial (800) 475-6701, or (320) 365-3844 for international callers, and enter replay access code 334663. The replay will be available beginning Thursday, November 6, 2014, at approximately 1:00 p.m. EST and will continue until 11:59 p.m. EST on December 6,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7" w:lineRule="exact"/>
        <w:rPr>
          <w:sz w:val="20"/>
          <w:szCs w:val="20"/>
          <w:color w:val="auto"/>
        </w:rPr>
      </w:pPr>
    </w:p>
    <w:p>
      <w:pPr>
        <w:ind w:right="300" w:firstLine="8"/>
        <w:spacing w:after="0" w:line="255" w:lineRule="auto"/>
        <w:tabs>
          <w:tab w:leader="none" w:pos="3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ectPr>
          <w:pgSz w:w="11900" w:h="16838" w:orient="portrait"/>
          <w:cols w:equalWidth="0" w:num="1">
            <w:col w:w="11400"/>
          </w:cols>
          <w:pgMar w:left="240" w:top="121" w:right="259" w:bottom="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ectPr>
          <w:pgSz w:w="11900" w:h="16838" w:orient="portrait"/>
          <w:cols w:equalWidth="0" w:num="1">
            <w:col w:w="11400"/>
          </w:cols>
          <w:pgMar w:left="240" w:top="121" w:right="259" w:bottom="0" w:gutter="0" w:footer="0" w:header="0"/>
          <w:type w:val="continuous"/>
        </w:sectPr>
      </w:pPr>
    </w:p>
    <w:bookmarkStart w:id="11" w:name="page12"/>
    <w:bookmarkEnd w:id="11"/>
    <w:p>
      <w:pPr>
        <w:spacing w:after="0" w:line="3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environmental liabilities or events that are not covered by an indemnity, insurance or existing reserves;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weather interference with business operations or project construction, including the impact of extreme weather events or conditions;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shortages or cost increases of supplies, materials or labor; the effectiveness of our risk management activities;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3.9 million barrels per day of crude oil and NGL on its pipelines. PAA is headquartered in Houston, Texas.</w:t>
      </w:r>
    </w:p>
    <w:p>
      <w:pPr>
        <w:spacing w:after="0" w:line="18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11,127</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10,703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34,005</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10,166</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31,116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2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404</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337"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1540" w:type="dxa"/>
            <w:vAlign w:val="bottom"/>
          </w:tcPr>
          <w:p>
            <w:pPr>
              <w:spacing w:after="0"/>
              <w:rPr>
                <w:sz w:val="22"/>
                <w:szCs w:val="22"/>
                <w:color w:val="auto"/>
              </w:rPr>
            </w:pPr>
          </w:p>
        </w:tc>
        <w:tc>
          <w:tcPr>
            <w:tcW w:w="740" w:type="dxa"/>
            <w:vAlign w:val="bottom"/>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w:t>
            </w:r>
          </w:p>
        </w:tc>
        <w:tc>
          <w:tcPr>
            <w:tcW w:w="7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630</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tcBorders>
              <w:top w:val="single" w:sz="8" w:color="CCEEFF"/>
              <w:bottom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GENERAL PARTNER</w:t>
            </w: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74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0.52</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74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0.52</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gridSpan w:val="3"/>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BASIC WEIGHTED AVERAGE LIMITED PARTNER UNITS</w:t>
            </w:r>
          </w:p>
        </w:tc>
        <w:tc>
          <w:tcPr>
            <w:tcW w:w="74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7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gridSpan w:val="3"/>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DILUTED WEIGHTED AVERAGE LIMITED PARTNER UNITS</w:t>
            </w:r>
          </w:p>
        </w:tc>
        <w:tc>
          <w:tcPr>
            <w:tcW w:w="74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w:t>
            </w:r>
          </w:p>
        </w:tc>
        <w:tc>
          <w:tcPr>
            <w:tcW w:w="7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3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RESULTS</w:t>
            </w:r>
          </w:p>
        </w:tc>
        <w:tc>
          <w:tcPr>
            <w:tcW w:w="1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2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millions, except per unit data)</w:t>
            </w: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1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5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985</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74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0.53</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0.53</w:t>
            </w:r>
          </w:p>
        </w:tc>
        <w:tc>
          <w:tcPr>
            <w:tcW w:w="5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480</w:t>
            </w:r>
          </w:p>
        </w:tc>
        <w:tc>
          <w:tcPr>
            <w:tcW w:w="5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1,606</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color w:val="auto"/>
              </w:rPr>
              <w:t>- more -</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8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4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(713) 646-4100 / (866) 809-1291</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11,965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7,609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2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CAPITALIZATION RATIOS</w:t>
      </w:r>
    </w:p>
    <w:p>
      <w:pPr>
        <w:sectPr>
          <w:pgSz w:w="11900" w:h="16838" w:orient="portrait"/>
          <w:cols w:equalWidth="0" w:num="1">
            <w:col w:w="11460"/>
          </w:cols>
          <w:pgMar w:left="240" w:top="356" w:right="19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7,613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8,130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book capitalization</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gridSpan w:val="2"/>
            <w:vMerge w:val="continue"/>
          </w:tcPr>
          <w:p>
            <w:pPr>
              <w:spacing w:after="0"/>
              <w:rPr>
                <w:sz w:val="20"/>
                <w:szCs w:val="20"/>
                <w:color w:val="auto"/>
              </w:rPr>
            </w:pPr>
          </w:p>
        </w:tc>
        <w:tc>
          <w:tcPr>
            <w:tcW w:w="22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16,719</w:t>
            </w:r>
          </w:p>
        </w:tc>
        <w:tc>
          <w:tcPr>
            <w:tcW w:w="28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15,531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1920" w:type="dxa"/>
            <w:vAlign w:val="bottom"/>
          </w:tcPr>
          <w:p>
            <w:pPr>
              <w:spacing w:after="0"/>
              <w:rPr>
                <w:sz w:val="18"/>
                <w:szCs w:val="18"/>
                <w:color w:val="auto"/>
              </w:rPr>
            </w:pPr>
          </w:p>
        </w:tc>
        <w:tc>
          <w:tcPr>
            <w:tcW w:w="38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38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r>
      <w:tr>
        <w:trPr>
          <w:trHeight w:val="432"/>
        </w:trPr>
        <w:tc>
          <w:tcPr>
            <w:tcW w:w="46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 more -</w:t>
            </w:r>
          </w:p>
        </w:tc>
        <w:tc>
          <w:tcPr>
            <w:tcW w:w="3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6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38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(713) 646-4100 / (866) 809-1291</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68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382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60" w:type="dxa"/>
            <w:vAlign w:val="bottom"/>
          </w:tcPr>
          <w:p>
            <w:pPr>
              <w:spacing w:after="0"/>
              <w:rPr>
                <w:sz w:val="10"/>
                <w:szCs w:val="10"/>
                <w:color w:val="auto"/>
              </w:rPr>
            </w:pPr>
          </w:p>
        </w:tc>
        <w:tc>
          <w:tcPr>
            <w:tcW w:w="1000" w:type="dxa"/>
            <w:vAlign w:val="bottom"/>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40" w:type="dxa"/>
            <w:vAlign w:val="bottom"/>
          </w:tcPr>
          <w:p>
            <w:pPr>
              <w:spacing w:after="0"/>
              <w:rPr>
                <w:sz w:val="10"/>
                <w:szCs w:val="10"/>
                <w:color w:val="auto"/>
              </w:rPr>
            </w:pPr>
          </w:p>
        </w:tc>
        <w:tc>
          <w:tcPr>
            <w:tcW w:w="980" w:type="dxa"/>
            <w:vAlign w:val="bottom"/>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 (3)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of segment profit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60" w:type="dxa"/>
            <w:vAlign w:val="bottom"/>
          </w:tcPr>
          <w:p>
            <w:pPr>
              <w:spacing w:after="0"/>
              <w:rPr>
                <w:sz w:val="10"/>
                <w:szCs w:val="10"/>
                <w:color w:val="auto"/>
              </w:rPr>
            </w:pPr>
          </w:p>
        </w:tc>
        <w:tc>
          <w:tcPr>
            <w:tcW w:w="1000" w:type="dxa"/>
            <w:vAlign w:val="bottom"/>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40" w:type="dxa"/>
            <w:vAlign w:val="bottom"/>
          </w:tcPr>
          <w:p>
            <w:pPr>
              <w:spacing w:after="0"/>
              <w:rPr>
                <w:sz w:val="10"/>
                <w:szCs w:val="10"/>
                <w:color w:val="auto"/>
              </w:rPr>
            </w:pPr>
          </w:p>
        </w:tc>
        <w:tc>
          <w:tcPr>
            <w:tcW w:w="980" w:type="dxa"/>
            <w:vAlign w:val="bottom"/>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 (3)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of segment profit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27" w:lineRule="exact"/>
        <w:rPr>
          <w:sz w:val="20"/>
          <w:szCs w:val="20"/>
          <w:color w:val="auto"/>
        </w:rPr>
      </w:pPr>
    </w:p>
    <w:p>
      <w:pPr>
        <w:ind w:left="20" w:right="80" w:hanging="11"/>
        <w:spacing w:after="0" w:line="261" w:lineRule="auto"/>
        <w:rPr>
          <w:sz w:val="20"/>
          <w:szCs w:val="20"/>
          <w:color w:val="auto"/>
        </w:rPr>
      </w:pPr>
      <w:r>
        <w:rPr>
          <w:rFonts w:ascii="Times New Roman" w:cs="Times New Roman" w:eastAsia="Times New Roman" w:hAnsi="Times New Roman"/>
          <w:sz w:val="18"/>
          <w:szCs w:val="18"/>
          <w:color w:val="auto"/>
        </w:rPr>
        <w:t>Field operating costs and Segment general and administrative expenses exclude equity-indexed compensation expense, which is presented separately in the table above.</w:t>
      </w:r>
    </w:p>
    <w:p>
      <w:pPr>
        <w:sectPr>
          <w:pgSz w:w="11900" w:h="16838" w:orient="portrait"/>
          <w:cols w:equalWidth="0" w:num="2">
            <w:col w:w="140" w:space="500"/>
            <w:col w:w="10820"/>
          </w:cols>
          <w:pgMar w:left="240" w:top="121" w:right="199" w:bottom="0" w:gutter="0" w:footer="0" w:header="0"/>
          <w:type w:val="continuous"/>
        </w:sectPr>
      </w:pPr>
    </w:p>
    <w:bookmarkStart w:id="14" w:name="page15"/>
    <w:bookmarkEnd w:id="14"/>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non-GAAP financial measures may not be impacted by each of the selected items impacting comparability.</w:t>
      </w:r>
    </w:p>
    <w:p>
      <w:pPr>
        <w:spacing w:after="0" w:line="2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223520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10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Borders>
              <w:bottom w:val="single" w:sz="8" w:color="auto"/>
            </w:tcBorders>
            <w:gridSpan w:val="3"/>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3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7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Transportation activities (average daily volumes in thousands of barrels per</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 activities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American</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Bakken Area Systems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Basin / Mesa</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743</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Capline</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Eagle Ford Area Systems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Line 63 / Line 2000</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Manito</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776</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Rainbow</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Rangeland</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Saskatchewan</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White Cliffs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831</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Co-Ed</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Refined Products Pipelines</w:t>
            </w:r>
          </w:p>
        </w:tc>
        <w:tc>
          <w:tcPr>
            <w:tcW w:w="138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7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 activities total</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4,095</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3,621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Trucking</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activities total</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4,226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Facilities activities (average monthly volumes):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Crude oil, refined products and NGL terminalling and storage (average</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7"/>
                <w:szCs w:val="17"/>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monthly capacity in millions of barrels)</w:t>
            </w:r>
          </w:p>
        </w:tc>
        <w:tc>
          <w:tcPr>
            <w:tcW w:w="7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Rail load / unload volumes (average volumes in thousands of barrels per day)</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160"/>
              <w:spacing w:after="0" w:line="191" w:lineRule="exact"/>
              <w:rPr>
                <w:sz w:val="20"/>
                <w:szCs w:val="20"/>
                <w:color w:val="auto"/>
              </w:rPr>
            </w:pPr>
            <w:r>
              <w:rPr>
                <w:rFonts w:ascii="Times New Roman" w:cs="Times New Roman" w:eastAsia="Times New Roman" w:hAnsi="Times New Roman"/>
                <w:sz w:val="18"/>
                <w:szCs w:val="18"/>
                <w:color w:val="auto"/>
              </w:rPr>
              <w:t>Natural gas storage (average monthly working capacity in billions of cubic</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0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tcPr>
          <w:p>
            <w:pPr>
              <w:spacing w:after="0"/>
              <w:rPr>
                <w:sz w:val="13"/>
                <w:szCs w:val="13"/>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feet)</w:t>
            </w:r>
          </w:p>
        </w:tc>
        <w:tc>
          <w:tcPr>
            <w:tcW w:w="7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NGL fractionation (average volumes in thousands of barrels per day)</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bottom w:val="single" w:sz="8" w:color="CCEEFF"/>
            </w:tcBorders>
          </w:tcPr>
          <w:p>
            <w:pPr>
              <w:ind w:left="160"/>
              <w:spacing w:after="0" w:line="197" w:lineRule="exact"/>
              <w:rPr>
                <w:sz w:val="20"/>
                <w:szCs w:val="20"/>
                <w:color w:val="auto"/>
              </w:rPr>
            </w:pPr>
            <w:r>
              <w:rPr>
                <w:rFonts w:ascii="Times New Roman" w:cs="Times New Roman" w:eastAsia="Times New Roman" w:hAnsi="Times New Roman"/>
                <w:sz w:val="17"/>
                <w:szCs w:val="17"/>
                <w:color w:val="auto"/>
              </w:rPr>
              <w:t xml:space="preserve">Facilities activities total (average monthly volumes in millions of barrels) </w:t>
            </w:r>
            <w:r>
              <w:rPr>
                <w:rFonts w:ascii="Times New Roman" w:cs="Times New Roman" w:eastAsia="Times New Roman" w:hAnsi="Times New Roman"/>
                <w:sz w:val="22"/>
                <w:szCs w:val="22"/>
                <w:color w:val="auto"/>
                <w:vertAlign w:val="superscript"/>
              </w:rPr>
              <w:t>(2)</w:t>
            </w: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CEEFF"/>
            </w:tcBorders>
            <w:vMerge w:val="continue"/>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bottom w:val="single" w:sz="8" w:color="CCEEFF"/>
            </w:tcBorders>
            <w:vMerge w:val="continue"/>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Supply and Logistics activities (average daily volumes in thousands of</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barrels per day):</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NGL sales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Waterborne cargos</w:t>
            </w:r>
          </w:p>
        </w:tc>
        <w:tc>
          <w:tcPr>
            <w:tcW w:w="138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7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Supply and Logistics activities total</w:t>
            </w: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1,124</w:t>
            </w: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1,005</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0" w:right="200" w:hanging="11"/>
        <w:spacing w:after="0" w:line="261" w:lineRule="auto"/>
        <w:rPr>
          <w:sz w:val="20"/>
          <w:szCs w:val="20"/>
          <w:color w:val="auto"/>
        </w:rPr>
      </w:pPr>
      <w:r>
        <w:rPr>
          <w:rFonts w:ascii="Times New Roman" w:cs="Times New Roman" w:eastAsia="Times New Roman" w:hAnsi="Times New Roman"/>
          <w:sz w:val="18"/>
          <w:szCs w:val="18"/>
          <w:color w:val="auto"/>
        </w:rPr>
        <w:t>Volumes associated with assets employed through acquisitions and internal growth projects represent total volumes (attributable to our interest) for the number of days or months we employed the assets divided by the number of days or months in the period.</w:t>
      </w:r>
    </w:p>
    <w:p>
      <w:pPr>
        <w:ind w:left="20" w:right="20" w:hanging="11"/>
        <w:spacing w:after="0" w:line="254" w:lineRule="auto"/>
        <w:rPr>
          <w:sz w:val="20"/>
          <w:szCs w:val="20"/>
          <w:color w:val="auto"/>
        </w:rPr>
      </w:pPr>
      <w:r>
        <w:rPr>
          <w:rFonts w:ascii="Times New Roman" w:cs="Times New Roman" w:eastAsia="Times New Roman" w:hAnsi="Times New Roman"/>
          <w:sz w:val="18"/>
          <w:szCs w:val="18"/>
          <w:color w:val="auto"/>
        </w:rPr>
        <w:t>Facilities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18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ectPr>
          <w:pgSz w:w="11900" w:h="16838" w:orient="portrait"/>
          <w:cols w:equalWidth="0" w:num="2">
            <w:col w:w="140" w:space="500"/>
            <w:col w:w="10780"/>
          </w:cols>
          <w:pgMar w:left="240" w:top="121" w:right="239" w:bottom="0" w:gutter="0" w:footer="0" w:header="0"/>
          <w:type w:val="continuous"/>
        </w:sectPr>
      </w:pPr>
    </w:p>
    <w:bookmarkStart w:id="15" w:name="page16"/>
    <w:bookmarkEnd w:id="15"/>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42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EARNINGS PER LIMITED PARTNER UNIT </w:t>
      </w:r>
      <w:r>
        <w:rPr>
          <w:rFonts w:ascii="Times New Roman" w:cs="Times New Roman" w:eastAsia="Times New Roman" w:hAnsi="Times New Roman"/>
          <w:sz w:val="18"/>
          <w:szCs w:val="18"/>
          <w:color w:val="auto"/>
        </w:rPr>
        <w:t>(in millions, except per unit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160" w:type="dxa"/>
            <w:vAlign w:val="bottom"/>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60" w:type="dxa"/>
            <w:vAlign w:val="bottom"/>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w:t>
            </w:r>
          </w:p>
        </w:tc>
        <w:tc>
          <w:tcPr>
            <w:tcW w:w="78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and distributions to participating</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w:t>
            </w: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60" w:type="dxa"/>
            <w:vAlign w:val="bottom"/>
            <w:vMerge w:val="restart"/>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w:t>
            </w:r>
          </w:p>
        </w:tc>
        <w:tc>
          <w:tcPr>
            <w:tcW w:w="780" w:type="dxa"/>
            <w:vAlign w:val="bottom"/>
            <w:vMerge w:val="restart"/>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w:t>
            </w:r>
          </w:p>
        </w:tc>
        <w:tc>
          <w:tcPr>
            <w:tcW w:w="36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two-class method for MLPs</w:t>
            </w:r>
          </w:p>
        </w:tc>
        <w:tc>
          <w:tcPr>
            <w:tcW w:w="76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limited partner units outstanding</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limited partner unit</w:t>
            </w:r>
          </w:p>
        </w:tc>
        <w:tc>
          <w:tcPr>
            <w:tcW w:w="76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0.52</w:t>
            </w:r>
          </w:p>
        </w:tc>
        <w:tc>
          <w:tcPr>
            <w:tcW w:w="78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60" w:type="dxa"/>
            <w:vAlign w:val="bottom"/>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w:t>
            </w:r>
          </w:p>
        </w:tc>
        <w:tc>
          <w:tcPr>
            <w:tcW w:w="78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and distributions to participating</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w:t>
            </w: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60" w:type="dxa"/>
            <w:vAlign w:val="bottom"/>
            <w:vMerge w:val="restart"/>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w:t>
            </w:r>
          </w:p>
        </w:tc>
        <w:tc>
          <w:tcPr>
            <w:tcW w:w="780" w:type="dxa"/>
            <w:vAlign w:val="bottom"/>
            <w:vMerge w:val="restart"/>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w:t>
            </w:r>
          </w:p>
        </w:tc>
        <w:tc>
          <w:tcPr>
            <w:tcW w:w="36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two-class method for MLPs</w:t>
            </w:r>
          </w:p>
        </w:tc>
        <w:tc>
          <w:tcPr>
            <w:tcW w:w="76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limited partner units outstanding</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units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limited partner units outstanding</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limited partner unit</w:t>
            </w:r>
          </w:p>
        </w:tc>
        <w:tc>
          <w:tcPr>
            <w:tcW w:w="76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0.52</w:t>
            </w:r>
          </w:p>
        </w:tc>
        <w:tc>
          <w:tcPr>
            <w:tcW w:w="78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4" w:orient="portrait"/>
          <w:cols w:equalWidth="0" w:num="1">
            <w:col w:w="11420"/>
          </w:cols>
          <w:pgMar w:left="240" w:top="729"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0" w:right="80" w:hanging="11"/>
        <w:spacing w:after="0" w:line="255" w:lineRule="auto"/>
        <w:rPr>
          <w:sz w:val="20"/>
          <w:szCs w:val="20"/>
          <w:color w:val="auto"/>
        </w:rPr>
      </w:pPr>
      <w:r>
        <w:rPr>
          <w:rFonts w:ascii="Times New Roman" w:cs="Times New Roman" w:eastAsia="Times New Roman" w:hAnsi="Times New Roman"/>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3" w:lineRule="exact"/>
        <w:rPr>
          <w:sz w:val="20"/>
          <w:szCs w:val="20"/>
          <w:color w:val="auto"/>
        </w:rPr>
      </w:pPr>
    </w:p>
    <w:p>
      <w:pPr>
        <w:ind w:left="20" w:right="100" w:hanging="11"/>
        <w:spacing w:after="0" w:line="254" w:lineRule="auto"/>
        <w:rPr>
          <w:sz w:val="20"/>
          <w:szCs w:val="20"/>
          <w:color w:val="auto"/>
        </w:rPr>
      </w:pPr>
      <w:r>
        <w:rPr>
          <w:rFonts w:ascii="Times New Roman" w:cs="Times New Roman" w:eastAsia="Times New Roman" w:hAnsi="Times New Roman"/>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8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223520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84" w:orient="portrait"/>
          <w:cols w:equalWidth="0" w:num="2">
            <w:col w:w="140" w:space="500"/>
            <w:col w:w="10780"/>
          </w:cols>
          <w:pgMar w:left="240" w:top="729"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80" w:type="dxa"/>
            <w:vAlign w:val="bottom"/>
            <w:gridSpan w:val="4"/>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 Income/(Loss)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Gains/(losses) from derivative activities net of inventory valuation adjustments</w:t>
            </w:r>
          </w:p>
        </w:tc>
        <w:tc>
          <w:tcPr>
            <w:tcW w:w="760" w:type="dxa"/>
            <w:vAlign w:val="bottom"/>
            <w:vMerge w:val="restart"/>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vMerge w:val="restart"/>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9"/>
        </w:trPr>
        <w:tc>
          <w:tcPr>
            <w:tcW w:w="6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w:t>
            </w:r>
          </w:p>
        </w:tc>
        <w:tc>
          <w:tcPr>
            <w:tcW w:w="76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gain/(loss) on foreign currency revaluation</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selected items impacting comparability</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84" w:orient="portrait"/>
          <w:cols w:equalWidth="0" w:num="1">
            <w:col w:w="11420"/>
          </w:cols>
          <w:pgMar w:left="240" w:top="729" w:right="239" w:bottom="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Selected items impacting comparability of net income attributable to PAA</w:t>
            </w: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to basic net income per limited partner unit</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6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Impact to diluted net income per limited partner unit</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vMerge w:val="continue"/>
          </w:tcPr>
          <w:p>
            <w:pPr>
              <w:spacing w:after="0"/>
              <w:rPr>
                <w:sz w:val="17"/>
                <w:szCs w:val="17"/>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40" w:type="dxa"/>
            <w:vAlign w:val="bottom"/>
            <w:vMerge w:val="continue"/>
          </w:tcPr>
          <w:p>
            <w:pPr>
              <w:spacing w:after="0"/>
              <w:rPr>
                <w:sz w:val="17"/>
                <w:szCs w:val="17"/>
                <w:color w:val="auto"/>
              </w:rPr>
            </w:pP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40" w:type="dxa"/>
            <w:vAlign w:val="bottom"/>
            <w:vMerge w:val="continue"/>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648"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27" w:lineRule="exact"/>
        <w:rPr>
          <w:sz w:val="20"/>
          <w:szCs w:val="20"/>
          <w:color w:val="auto"/>
        </w:rPr>
      </w:pPr>
    </w:p>
    <w:p>
      <w:pPr>
        <w:ind w:left="20" w:right="560" w:hanging="11"/>
        <w:spacing w:after="0" w:line="250" w:lineRule="auto"/>
        <w:rPr>
          <w:sz w:val="20"/>
          <w:szCs w:val="20"/>
          <w:color w:val="auto"/>
        </w:rPr>
      </w:pPr>
      <w:r>
        <w:rPr>
          <w:rFonts w:ascii="Times New Roman" w:cs="Times New Roman" w:eastAsia="Times New Roman" w:hAnsi="Times New Roman"/>
          <w:sz w:val="18"/>
          <w:szCs w:val="18"/>
          <w:color w:val="auto"/>
        </w:rPr>
        <w:t>Includes mark-to-market gains and losses resulting from derivative instruments that are related to underlying activities in future periods or the reversal of mark-to-market gains and losses from the prior period, net of inventory valuation adjustments, as applicable.</w:t>
      </w:r>
    </w:p>
    <w:p>
      <w:pPr>
        <w:spacing w:after="0" w:line="1" w:lineRule="exact"/>
        <w:rPr>
          <w:sz w:val="20"/>
          <w:szCs w:val="20"/>
          <w:color w:val="auto"/>
        </w:rPr>
      </w:pPr>
    </w:p>
    <w:p>
      <w:pPr>
        <w:ind w:left="20" w:right="220" w:hanging="11"/>
        <w:spacing w:after="0" w:line="250" w:lineRule="auto"/>
        <w:rPr>
          <w:sz w:val="20"/>
          <w:szCs w:val="20"/>
          <w:color w:val="auto"/>
        </w:rPr>
      </w:pPr>
      <w:r>
        <w:rPr>
          <w:rFonts w:ascii="Times New Roman" w:cs="Times New Roman" w:eastAsia="Times New Roman" w:hAnsi="Times New Roman"/>
          <w:sz w:val="18"/>
          <w:szCs w:val="18"/>
          <w:color w:val="auto"/>
        </w:rPr>
        <w:t>Equity-indexed compensation expense above excludes the portion of equity-indexed compensation expense represented by grants under LTIP that, pursuant to the terms of the grant, will be settled in cash only and have no impact on diluted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other immaterial selected items impacting comparability, as well as the noncontrolling interests’ portion of selected items.</w:t>
      </w:r>
    </w:p>
    <w:p>
      <w:pPr>
        <w:spacing w:after="0" w:line="2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223520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91" w:right="239" w:bottom="6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32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ADJUSTED BASIC AND DILUTED EARNINGS PER LIMITED PARTNER UNIT </w:t>
      </w:r>
      <w:r>
        <w:rPr>
          <w:rFonts w:ascii="Times New Roman" w:cs="Times New Roman" w:eastAsia="Times New Roman" w:hAnsi="Times New Roman"/>
          <w:sz w:val="18"/>
          <w:szCs w:val="18"/>
          <w:color w:val="auto"/>
        </w:rPr>
        <w:t>(in millions, except per unit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160" w:type="dxa"/>
            <w:vAlign w:val="bottom"/>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Adjusted Net Income per Limited Partner Unit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60" w:type="dxa"/>
            <w:vAlign w:val="bottom"/>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w:t>
            </w:r>
          </w:p>
        </w:tc>
        <w:tc>
          <w:tcPr>
            <w:tcW w:w="78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net income attributable to PAA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(2)</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 available to limited partners</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and distributions to participating</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limited partners’ net income</w:t>
            </w:r>
          </w:p>
        </w:tc>
        <w:tc>
          <w:tcPr>
            <w:tcW w:w="76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limited partner units outstanding</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adjusted net income per limited partner unit</w:t>
            </w:r>
          </w:p>
        </w:tc>
        <w:tc>
          <w:tcPr>
            <w:tcW w:w="76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0.53</w:t>
            </w:r>
          </w:p>
        </w:tc>
        <w:tc>
          <w:tcPr>
            <w:tcW w:w="78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0.54</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60" w:type="dxa"/>
            <w:vAlign w:val="bottom"/>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w:t>
            </w:r>
          </w:p>
        </w:tc>
        <w:tc>
          <w:tcPr>
            <w:tcW w:w="78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net income attributable to PAA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(2)</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 available to limited partners</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and distributions to participating</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limited partners’ net income</w:t>
            </w:r>
          </w:p>
        </w:tc>
        <w:tc>
          <w:tcPr>
            <w:tcW w:w="76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limited partner units outstanding</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limited partner unit</w:t>
            </w:r>
          </w:p>
        </w:tc>
        <w:tc>
          <w:tcPr>
            <w:tcW w:w="76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0.53</w:t>
            </w:r>
          </w:p>
        </w:tc>
        <w:tc>
          <w:tcPr>
            <w:tcW w:w="78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0.53</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648"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27" w:lineRule="exact"/>
        <w:rPr>
          <w:sz w:val="20"/>
          <w:szCs w:val="20"/>
          <w:color w:val="auto"/>
        </w:rPr>
      </w:pPr>
    </w:p>
    <w:p>
      <w:pPr>
        <w:ind w:left="20" w:right="60" w:hanging="11"/>
        <w:spacing w:after="0" w:line="254" w:lineRule="auto"/>
        <w:rPr>
          <w:sz w:val="20"/>
          <w:szCs w:val="20"/>
          <w:color w:val="auto"/>
        </w:rPr>
      </w:pPr>
      <w:r>
        <w:rPr>
          <w:rFonts w:ascii="Times New Roman" w:cs="Times New Roman" w:eastAsia="Times New Roman" w:hAnsi="Times New Roman"/>
          <w:sz w:val="18"/>
          <w:szCs w:val="18"/>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8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223520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91" w:right="239" w:bottom="648" w:gutter="0" w:footer="0" w:header="0"/>
          <w:type w:val="continuous"/>
        </w:sectPr>
      </w:pPr>
    </w:p>
    <w:bookmarkStart w:id="17" w:name="page18"/>
    <w:bookmarkEnd w:id="1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DATA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80" w:type="dxa"/>
            <w:vAlign w:val="bottom"/>
            <w:gridSpan w:val="4"/>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60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4"/>
        </w:trPr>
        <w:tc>
          <w:tcPr>
            <w:tcW w:w="60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to Earnings Before Interest, Taxes, Depreciation and</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 (“EBITDA”) and Excluding Selected Items Impacting</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8"/>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Comparability (“Adjusted EBITDA”) Reconciliations</w:t>
            </w: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800" w:type="dxa"/>
            <w:vAlign w:val="bottom"/>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w:t>
            </w:r>
          </w:p>
        </w:tc>
        <w:tc>
          <w:tcPr>
            <w:tcW w:w="84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996</w:t>
            </w:r>
          </w:p>
        </w:tc>
        <w:tc>
          <w:tcPr>
            <w:tcW w:w="700" w:type="dxa"/>
            <w:vAlign w:val="bottom"/>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1,074</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Income tax expense</w:t>
            </w: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7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w:t>
            </w: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76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1,625</w:t>
            </w:r>
          </w:p>
        </w:tc>
        <w:tc>
          <w:tcPr>
            <w:tcW w:w="240" w:type="dxa"/>
            <w:vAlign w:val="bottom"/>
          </w:tcPr>
          <w:p>
            <w:pPr>
              <w:spacing w:after="0"/>
              <w:rPr>
                <w:sz w:val="18"/>
                <w:szCs w:val="18"/>
                <w:color w:val="auto"/>
              </w:rPr>
            </w:pPr>
          </w:p>
        </w:tc>
        <w:tc>
          <w:tcPr>
            <w:tcW w:w="700" w:type="dxa"/>
            <w:vAlign w:val="bottom"/>
            <w:tcBorders>
              <w:top w:val="single" w:sz="8" w:color="auto"/>
            </w:tcBorders>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EBITDA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6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1,606</w:t>
            </w: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8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60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to Implied Distributable Cash Flow (“DCF”)</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w:t>
            </w: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w:t>
            </w:r>
          </w:p>
        </w:tc>
        <w:tc>
          <w:tcPr>
            <w:tcW w:w="82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1,606</w:t>
            </w: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1,697</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7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7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7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 in unconsolidated entities, net of distributions</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0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Implied DCF</w:t>
            </w:r>
          </w:p>
        </w:tc>
        <w:tc>
          <w:tcPr>
            <w:tcW w:w="76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1,145</w:t>
            </w: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distributions that pertain to the current period’s net income, which are paid in the subsequent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18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r>
      <w:tr>
        <w:trPr>
          <w:trHeight w:val="173"/>
        </w:trPr>
        <w:tc>
          <w:tcPr>
            <w:tcW w:w="4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 Reconciliation</w:t>
            </w:r>
          </w:p>
        </w:tc>
        <w:tc>
          <w:tcPr>
            <w:tcW w:w="1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140" w:type="dxa"/>
            <w:vAlign w:val="bottom"/>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526</w:t>
            </w: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5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1,625</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items to reconcile to cash flows from operating activities:</w:t>
            </w: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6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724"/>
              <w:spacing w:after="0"/>
              <w:rPr>
                <w:sz w:val="20"/>
                <w:szCs w:val="20"/>
                <w:color w:val="auto"/>
              </w:rPr>
            </w:pPr>
            <w:r>
              <w:rPr>
                <w:rFonts w:ascii="Times New Roman" w:cs="Times New Roman" w:eastAsia="Times New Roman" w:hAnsi="Times New Roman"/>
                <w:sz w:val="18"/>
                <w:szCs w:val="18"/>
                <w:color w:val="auto"/>
              </w:rPr>
              <w:t>- more -</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466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140" w:type="dxa"/>
            <w:vAlign w:val="bottom"/>
            <w:gridSpan w:val="2"/>
          </w:tcPr>
          <w:p>
            <w:pPr>
              <w:jc w:val="right"/>
              <w:ind w:right="344"/>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4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(713) 646-4100 / (866) 809-1291</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9"/>
        </w:trPr>
        <w:tc>
          <w:tcPr>
            <w:tcW w:w="46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92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PAGP</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PAA</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8"/>
                <w:szCs w:val="8"/>
                <w:b w:val="1"/>
                <w:bCs w:val="1"/>
                <w:color w:val="auto"/>
              </w:rPr>
              <w:t>(1)</w:t>
            </w:r>
          </w:p>
        </w:tc>
        <w:tc>
          <w:tcPr>
            <w:tcW w:w="920" w:type="dxa"/>
            <w:vAlign w:val="bottom"/>
            <w:tcBorders>
              <w:right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8"/>
                <w:szCs w:val="8"/>
                <w:b w:val="1"/>
                <w:bCs w:val="1"/>
                <w:color w:val="auto"/>
              </w:rPr>
              <w:t>(1)</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11,127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Pr>
          <w:p>
            <w:pPr>
              <w:ind w:left="160"/>
              <w:spacing w:after="0" w:line="185" w:lineRule="exact"/>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10,723</w:t>
            </w:r>
          </w:p>
        </w:tc>
        <w:tc>
          <w:tcPr>
            <w:tcW w:w="4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32,744</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404</w:t>
            </w:r>
          </w:p>
        </w:tc>
        <w:tc>
          <w:tcPr>
            <w:tcW w:w="4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1,261</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996</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PAGP</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0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0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WEIGHTED</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AVERAGE CLASS A SHARES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5,160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7,609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8,071</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7,591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86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31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DISTRIBUTION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Q3 2014 PAGP DISTRIBUTION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Q3 2014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Distribution/LP Unit</w:t>
            </w:r>
          </w:p>
        </w:tc>
        <w:tc>
          <w:tcPr>
            <w:tcW w:w="4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GP Distribution/LP Unit</w:t>
            </w:r>
          </w:p>
        </w:tc>
        <w:tc>
          <w:tcPr>
            <w:tcW w:w="4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Distribution/LP Unit</w:t>
            </w:r>
          </w:p>
        </w:tc>
        <w:tc>
          <w:tcPr>
            <w:tcW w:w="4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LP Units Outstanding at 10/31/14</w:t>
            </w:r>
          </w:p>
        </w:tc>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GP Distribution</w:t>
            </w:r>
          </w:p>
        </w:tc>
        <w:tc>
          <w:tcPr>
            <w:tcW w:w="4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IDR Reduction</w:t>
            </w: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from PAA to AAP</w:t>
            </w:r>
          </w:p>
        </w:tc>
        <w:tc>
          <w:tcPr>
            <w:tcW w:w="4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Debt Service</w:t>
            </w: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G&amp;A Expense</w:t>
            </w:r>
          </w:p>
        </w:tc>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Other</w:t>
            </w: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Available for Distribution by AAP</w:t>
            </w:r>
          </w:p>
        </w:tc>
        <w:tc>
          <w:tcPr>
            <w:tcW w:w="4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to AAP Partners</w:t>
            </w:r>
          </w:p>
        </w:tc>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AAP Owners &amp; AAP Management (79.1% economic interest)</w:t>
            </w:r>
          </w:p>
        </w:tc>
        <w:tc>
          <w:tcPr>
            <w:tcW w:w="4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PAGP (20.9% economic interest)</w:t>
            </w:r>
          </w:p>
        </w:tc>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5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distributions to AAP Partners</w:t>
            </w:r>
          </w:p>
        </w:tc>
        <w:tc>
          <w:tcPr>
            <w:tcW w:w="46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 to PAGP Investors</w:t>
            </w:r>
          </w:p>
        </w:tc>
        <w:tc>
          <w:tcPr>
            <w:tcW w:w="4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PAGP Class A Shares Outstanding at 10/31/14</w:t>
            </w:r>
          </w:p>
        </w:tc>
        <w:tc>
          <w:tcPr>
            <w:tcW w:w="4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PAGP Distribution/Class A Share</w:t>
            </w:r>
          </w:p>
        </w:tc>
        <w:tc>
          <w:tcPr>
            <w:tcW w:w="46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(1)</w:t>
            </w:r>
          </w:p>
        </w:tc>
        <w:tc>
          <w:tcPr>
            <w:tcW w:w="5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Amounts may not recalculate due to rounding.</w:t>
            </w: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8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 more -</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48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1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Contacts:</w:t>
            </w:r>
          </w:p>
        </w:tc>
        <w:tc>
          <w:tcPr>
            <w:tcW w:w="22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Smith</w:t>
            </w:r>
          </w:p>
        </w:tc>
        <w:tc>
          <w:tcPr>
            <w:tcW w:w="2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Al Swanson</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Investor Relations</w:t>
            </w:r>
          </w:p>
        </w:tc>
        <w:tc>
          <w:tcPr>
            <w:tcW w:w="69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(866) 809-1291</w:t>
            </w:r>
          </w:p>
        </w:tc>
        <w:tc>
          <w:tcPr>
            <w:tcW w:w="69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(800) 564-3036</w:t>
            </w:r>
          </w:p>
        </w:tc>
        <w:tc>
          <w:tcPr>
            <w:tcW w:w="40" w:type="dxa"/>
            <w:vAlign w:val="bottom"/>
          </w:tcPr>
          <w:p>
            <w:pPr>
              <w:spacing w:after="0"/>
              <w:rPr>
                <w:sz w:val="24"/>
                <w:szCs w:val="24"/>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386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70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(713) 646-4100 / (866) 809-1291</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386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7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lowerRoman"/>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decimal"/>
      <w:start w:val="2"/>
    </w:lvl>
    <w:lvl w:ilvl="1">
      <w:lvlJc w:val="left"/>
      <w:lvlText w:val="%2"/>
      <w:numFmt w:val="lowerLetter"/>
      <w:start w:val="1"/>
    </w:lvl>
  </w:abstractNum>
  <w:abstractNum w:abstractNumId="4">
    <w:nsid w:val="41A7C4C9"/>
    <w:multiLevelType w:val="hybridMultilevel"/>
    <w:lvl w:ilvl="0">
      <w:lvlJc w:val="left"/>
      <w:lvlText w:val="%1"/>
      <w:numFmt w:val="lowerLetter"/>
      <w:start w:val="1"/>
    </w:lvl>
    <w:lvl w:ilvl="1">
      <w:lvlJc w:val="left"/>
      <w:lvlText w:val="(%2)"/>
      <w:numFmt w:val="decimal"/>
      <w:start w:val="1"/>
    </w:lvl>
  </w:abstractNum>
  <w:abstractNum w:abstractNumId="5">
    <w:nsid w:val="6B68079A"/>
    <w:multiLevelType w:val="hybridMultilevel"/>
    <w:lvl w:ilvl="0">
      <w:lvlJc w:val="left"/>
      <w:lvlText w:val="%1."/>
      <w:numFmt w:val="lowerLetter"/>
      <w:start w:val="2"/>
    </w:lvl>
    <w:lvl w:ilvl="1">
      <w:lvlJc w:val="left"/>
      <w:lvlText w:val="%2"/>
      <w:numFmt w:val="decimal"/>
      <w:start w:val="1"/>
    </w:lvl>
  </w:abstractNum>
  <w:abstractNum w:abstractNumId="6">
    <w:nsid w:val="4E6AFB66"/>
    <w:multiLevelType w:val="hybridMultilevel"/>
    <w:lvl w:ilvl="0">
      <w:lvlJc w:val="left"/>
      <w:lvlText w:val="%1"/>
      <w:numFmt w:val="lowerLetter"/>
      <w:start w:val="1"/>
    </w:lvl>
    <w:lvl w:ilvl="1">
      <w:lvlJc w:val="left"/>
      <w:lvlText w:val="(%2)"/>
      <w:numFmt w:val="decimal"/>
      <w:start w:val="1"/>
    </w:lvl>
  </w:abstractNum>
  <w:abstractNum w:abstractNumId="7">
    <w:nsid w:val="25E45D32"/>
    <w:multiLevelType w:val="hybridMultilevel"/>
    <w:lvl w:ilvl="0">
      <w:lvlJc w:val="left"/>
      <w:lvlText w:val="%1."/>
      <w:numFmt w:val="lowerLetter"/>
      <w:start w:val="3"/>
    </w:lvl>
    <w:lvl w:ilvl="1">
      <w:lvlJc w:val="left"/>
      <w:lvlText w:val="%2"/>
      <w:numFmt w:val="decimal"/>
      <w:start w:val="1"/>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decimal"/>
      <w:start w:val="3"/>
    </w:lvl>
    <w:lvl w:ilvl="1">
      <w:lvlJc w:val="left"/>
      <w:lvlText w:val="%2"/>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5"/>
    </w:lvl>
  </w:abstractNum>
  <w:abstractNum w:abstractNumId="12">
    <w:nsid w:val="257130A3"/>
    <w:multiLevelType w:val="hybridMultilevel"/>
    <w:lvl w:ilvl="0">
      <w:lvlJc w:val="left"/>
      <w:lvlText w:val="%1"/>
      <w:numFmt w:val="decimal"/>
      <w:start w:val="1"/>
    </w:lvl>
    <w:lvl w:ilvl="1">
      <w:lvlJc w:val="left"/>
      <w:lvlText w:val="%2."/>
      <w:numFmt w:val="decimal"/>
      <w:start w:val="7"/>
    </w:lvl>
  </w:abstractNum>
  <w:abstractNum w:abstractNumId="13">
    <w:nsid w:val="62BBD95A"/>
    <w:multiLevelType w:val="hybridMultilevel"/>
    <w:lvl w:ilvl="0">
      <w:lvlJc w:val="left"/>
      <w:lvlText w:val="%1."/>
      <w:numFmt w:val="decimal"/>
      <w:start w:val="8"/>
    </w:lvl>
    <w:lvl w:ilvl="1">
      <w:lvlJc w:val="left"/>
      <w:lvlText w:val="%2"/>
      <w:numFmt w:val="decimal"/>
      <w:start w:val="1"/>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lowerRoman"/>
      <w:start w:val="2"/>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Roman"/>
      <w:start w:val="4"/>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2020-01-30T15:00:13Z</dcterms:created>
  <dcterms:modified xsi:type="dcterms:W3CDTF">2020-01-30T15:00:13Z</dcterms:modified>
</cp:coreProperties>
</file>