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100" w:firstLine="8"/>
        <w:spacing w:after="0" w:line="496"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6, 2019, the Registrant issued a press release reporting its second-quarter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Exhibit 99.1 — </w:t>
      </w:r>
      <w:hyperlink r:id="rId13">
        <w:r>
          <w:rPr>
            <w:rFonts w:ascii="Arial" w:cs="Arial" w:eastAsia="Arial" w:hAnsi="Arial"/>
            <w:sz w:val="18"/>
            <w:szCs w:val="18"/>
            <w:u w:val="single" w:color="auto"/>
            <w:color w:val="0000EE"/>
          </w:rPr>
          <w:t>Press Release dated August 6, 2019</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2019</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40"/>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2019 Results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(Houston — August 6, 2019) Plains All American Pipeline, L.P. (NYSE: PAA) and Plains GP Holdings (NYSE: PAGP) today reported second-quarter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Highlights</w:t>
      </w:r>
    </w:p>
    <w:p>
      <w:pPr>
        <w:spacing w:after="0" w:line="229"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2Q19 financial and operating results ahead of expectations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2019 Adjusted EBITDA guidance and increased 2019 capital program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Executing capital program, sanctioning new capital-efficient growth projects, and advancing new commercial opportunities</w:t>
      </w:r>
    </w:p>
    <w:p>
      <w:pPr>
        <w:spacing w:after="0" w:line="225"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“We reported solid second-quarter results and increased guidance for the full year,” stated Willie Chiang, Chief Executive Officer of Plains All American Pipeline. “We have materially advanced a number of key initiatives that optimize our systems in a capital-efficient manner and enhance our positioning through alignment with industry partners. Furthermore, we ended the quarter with improved leverage metrics, more than $2.9 billion of committed liquidity and substantial distribution coverage.”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26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671%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w w:val="98"/>
              </w:rPr>
              <w:t xml:space="preserve">Diluted weighted average common units outstanding </w:t>
            </w:r>
            <w:r>
              <w:rPr>
                <w:rFonts w:ascii="Arial" w:cs="Arial" w:eastAsia="Arial" w:hAnsi="Arial"/>
                <w:sz w:val="23"/>
                <w:szCs w:val="23"/>
                <w:color w:val="auto"/>
                <w:w w:val="98"/>
                <w:vertAlign w:val="superscript"/>
              </w:rPr>
              <w:t>(1)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126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60" w:hanging="332"/>
        <w:spacing w:after="0" w:line="234"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2019, includes all potentially dilutive securities outstanding (our Series A preferred units and equity-indexed compensation awards) during the period. See the “Computation of Basic and Diluted Net Income Per Common Unit” table attached hereto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net income attributable to PAA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0.67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0.62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2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2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ind w:left="340" w:right="160" w:hanging="332"/>
        <w:spacing w:after="0" w:line="229"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second quarter and first half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9"/>
              </w:rPr>
              <w:t>Segment Adjusted EBITDA</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9"/>
              </w:rPr>
              <w:t>Transportation</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0"/>
                <w:szCs w:val="10"/>
                <w:color w:val="auto"/>
              </w:rPr>
            </w:pPr>
          </w:p>
        </w:tc>
        <w:tc>
          <w:tcPr>
            <w:tcW w:w="116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2019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June 30, 2018</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b w:val="1"/>
                <w:bCs w:val="1"/>
                <w:i w:val="1"/>
                <w:iCs w:val="1"/>
                <w:color w:val="auto"/>
              </w:rPr>
              <w:t>14%</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i w:val="1"/>
                <w:iCs w:val="1"/>
                <w:color w:val="auto"/>
              </w:rPr>
              <w:t>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 further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jc w:val="right"/>
              <w:ind w:right="88"/>
              <w:spacing w:after="0"/>
              <w:rPr>
                <w:sz w:val="20"/>
                <w:szCs w:val="20"/>
                <w:color w:val="auto"/>
              </w:rPr>
            </w:pPr>
            <w:r>
              <w:rPr>
                <w:rFonts w:ascii="Arial" w:cs="Arial" w:eastAsia="Arial" w:hAnsi="Arial"/>
                <w:sz w:val="18"/>
                <w:szCs w:val="18"/>
                <w:b w:val="1"/>
                <w:bCs w:val="1"/>
                <w:i w:val="1"/>
                <w:iCs w:val="1"/>
                <w:color w:val="auto"/>
              </w:rPr>
              <w:t>22%</w:t>
            </w:r>
          </w:p>
        </w:tc>
        <w:tc>
          <w:tcPr>
            <w:tcW w:w="240" w:type="dxa"/>
            <w:vAlign w:val="bottom"/>
          </w:tcPr>
          <w:p>
            <w:pPr>
              <w:spacing w:after="0"/>
              <w:rPr>
                <w:sz w:val="13"/>
                <w:szCs w:val="13"/>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i w:val="1"/>
                <w:iCs w:val="1"/>
                <w:color w:val="auto"/>
              </w:rPr>
              <w:t>1%</w:t>
            </w:r>
          </w:p>
        </w:tc>
        <w:tc>
          <w:tcPr>
            <w:tcW w:w="200" w:type="dxa"/>
            <w:vAlign w:val="bottom"/>
          </w:tcPr>
          <w:p>
            <w:pPr>
              <w:spacing w:after="0"/>
              <w:rPr>
                <w:sz w:val="13"/>
                <w:szCs w:val="13"/>
                <w:color w:val="auto"/>
              </w:rPr>
            </w:pPr>
          </w:p>
        </w:tc>
        <w:tc>
          <w:tcPr>
            <w:tcW w:w="1260" w:type="dxa"/>
            <w:vAlign w:val="bottom"/>
            <w:gridSpan w:val="3"/>
            <w:vMerge w:val="restart"/>
          </w:tcPr>
          <w:p>
            <w:pPr>
              <w:ind w:left="8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9"/>
              </w:rPr>
              <w:t>Segment Adjusted EBITDA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9"/>
              </w:rPr>
              <w:t>Transportation</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0"/>
                <w:szCs w:val="10"/>
                <w:color w:val="auto"/>
              </w:rPr>
            </w:pPr>
          </w:p>
        </w:tc>
        <w:tc>
          <w:tcPr>
            <w:tcW w:w="116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2019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Six Months Ended June 30, 2018</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w:t>
            </w:r>
          </w:p>
        </w:tc>
        <w:tc>
          <w:tcPr>
            <w:tcW w:w="2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b w:val="1"/>
                <w:bCs w:val="1"/>
                <w:i w:val="1"/>
                <w:iCs w:val="1"/>
                <w:color w:val="auto"/>
              </w:rPr>
              <w:t>16%</w:t>
            </w: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i w:val="1"/>
                <w:iCs w:val="1"/>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 further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jc w:val="right"/>
              <w:ind w:right="88"/>
              <w:spacing w:after="0"/>
              <w:rPr>
                <w:sz w:val="20"/>
                <w:szCs w:val="20"/>
                <w:color w:val="auto"/>
              </w:rPr>
            </w:pPr>
            <w:r>
              <w:rPr>
                <w:rFonts w:ascii="Arial" w:cs="Arial" w:eastAsia="Arial" w:hAnsi="Arial"/>
                <w:sz w:val="18"/>
                <w:szCs w:val="18"/>
                <w:b w:val="1"/>
                <w:bCs w:val="1"/>
                <w:i w:val="1"/>
                <w:iCs w:val="1"/>
                <w:color w:val="auto"/>
              </w:rPr>
              <w:t>24%</w:t>
            </w:r>
          </w:p>
        </w:tc>
        <w:tc>
          <w:tcPr>
            <w:tcW w:w="240" w:type="dxa"/>
            <w:vAlign w:val="bottom"/>
          </w:tcPr>
          <w:p>
            <w:pPr>
              <w:spacing w:after="0"/>
              <w:rPr>
                <w:sz w:val="13"/>
                <w:szCs w:val="13"/>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Pr>
          <w:p>
            <w:pPr>
              <w:spacing w:after="0"/>
              <w:rPr>
                <w:sz w:val="13"/>
                <w:szCs w:val="13"/>
                <w:color w:val="auto"/>
              </w:rPr>
            </w:pPr>
          </w:p>
        </w:tc>
        <w:tc>
          <w:tcPr>
            <w:tcW w:w="1260" w:type="dxa"/>
            <w:vAlign w:val="bottom"/>
            <w:gridSpan w:val="3"/>
            <w:vMerge w:val="restart"/>
          </w:tcPr>
          <w:p>
            <w:pPr>
              <w:ind w:left="8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Second-quarter 2019 Transportation Segment Adjusted EBITDA increased by 14% over comparable 2018 results. This increase was primarily driven by increased volume on our Permian Basin systems, including the start-up of our Sunrise II pipeline in the fourth quarter of 2018. Second-quarter 2019 results also benefited from increased volumes on certain of our pipelines in the Central region. These favorable results were partially offset by our sale of an interest in the BridgeTex pipeline in the third quarter of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Second-quarter 2019 Facilities Segment Adjusted EBITDA was in line with comparable 2018 results.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Second-quarter 2019 Supply and Logistics Segment Adjusted EBITDA increased versus comparable 2018 results due to favorable crude oil differentials in the Permian Basin and Canada and improved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2019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1,287</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1,307</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2,035</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0.94x</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2.03x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5,889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Third-Quarter Adjusted EBITDA as Percentage of Full Year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25" w:lineRule="exact"/>
        <w:rPr>
          <w:sz w:val="20"/>
          <w:szCs w:val="20"/>
          <w:color w:val="auto"/>
        </w:rPr>
      </w:pPr>
    </w:p>
    <w:p>
      <w:pPr>
        <w:ind w:left="340" w:right="4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left="340" w:right="80"/>
        <w:spacing w:after="0" w:line="253" w:lineRule="auto"/>
        <w:rPr>
          <w:sz w:val="20"/>
          <w:szCs w:val="20"/>
          <w:color w:val="auto"/>
        </w:rPr>
      </w:pPr>
      <w:r>
        <w:rPr>
          <w:rFonts w:ascii="Arial" w:cs="Arial" w:eastAsia="Arial" w:hAnsi="Arial"/>
          <w:sz w:val="18"/>
          <w:szCs w:val="18"/>
          <w:color w:val="auto"/>
        </w:rPr>
        <w:t>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20" w:hanging="312"/>
        <w:spacing w:after="0" w:line="208" w:lineRule="auto"/>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40" w:hanging="332"/>
        <w:spacing w:after="0" w:line="233"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Distributions on our Series A preferred units were paid-in-kind for all 2017 quarterly distributions and for the February 2018 quarterly distribution. Distributions on our Series A preferred units have been paid in cash since the May 2018 quarterly distribution. Distributions on our Series B preferred units are payable semi-annually in arrears on May 15 and November 15. A pro-rated initial distribution on the Series B preferred units was paid on November 15, 2017.</w:t>
      </w:r>
    </w:p>
    <w:p>
      <w:pPr>
        <w:spacing w:after="0" w:line="3" w:lineRule="exact"/>
        <w:rPr>
          <w:rFonts w:ascii="Arial" w:cs="Arial" w:eastAsia="Arial" w:hAnsi="Arial"/>
          <w:sz w:val="23"/>
          <w:szCs w:val="23"/>
          <w:color w:val="auto"/>
          <w:vertAlign w:val="superscript"/>
        </w:rPr>
      </w:pPr>
    </w:p>
    <w:p>
      <w:pPr>
        <w:ind w:left="340" w:right="640" w:hanging="332"/>
        <w:spacing w:after="0" w:line="219"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2017 and 2018. 2019 (G) reflects the cash distribution per common unit paid in February and the increased annualized distribution rate of $1.44 per common unit for the remainder of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Q2 2019</w:t>
            </w: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Q1 2019</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2018</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Q2 2019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August 6,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second-quarter 2019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https://event.webcasts.com/starthere.jsp?ei=1251736&amp;tp_key=2d06962a49.</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8,253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7,244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7,802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5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15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5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15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67"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3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08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8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5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80" w:type="dxa"/>
            <w:vAlign w:val="bottom"/>
            <w:gridSpan w:val="2"/>
          </w:tcPr>
          <w:p>
            <w:pPr>
              <w:jc w:val="right"/>
              <w:ind w:right="602"/>
              <w:spacing w:after="0"/>
              <w:rPr>
                <w:sz w:val="20"/>
                <w:szCs w:val="20"/>
                <w:color w:val="auto"/>
              </w:rPr>
            </w:pPr>
            <w:r>
              <w:rPr>
                <w:rFonts w:ascii="Arial" w:cs="Arial" w:eastAsia="Arial" w:hAnsi="Arial"/>
                <w:sz w:val="18"/>
                <w:szCs w:val="18"/>
                <w:color w:val="auto"/>
              </w:rPr>
              <w:t>- more -</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080" w:type="dxa"/>
            <w:vAlign w:val="bottom"/>
            <w:gridSpan w:val="2"/>
          </w:tcPr>
          <w:p>
            <w:pPr>
              <w:jc w:val="right"/>
              <w:ind w:right="122"/>
              <w:spacing w:after="0"/>
              <w:rPr>
                <w:sz w:val="20"/>
                <w:szCs w:val="20"/>
                <w:color w:val="auto"/>
              </w:rPr>
            </w:pPr>
            <w:r>
              <w:rPr>
                <w:rFonts w:ascii="Arial" w:cs="Arial" w:eastAsia="Arial" w:hAnsi="Arial"/>
                <w:sz w:val="18"/>
                <w:szCs w:val="18"/>
                <w:b w:val="1"/>
                <w:bCs w:val="1"/>
                <w:color w:val="auto"/>
                <w:w w:val="98"/>
              </w:rPr>
              <w:t>Houston, Texas 77002</w:t>
            </w:r>
          </w:p>
        </w:tc>
        <w:tc>
          <w:tcPr>
            <w:tcW w:w="2480" w:type="dxa"/>
            <w:vAlign w:val="bottom"/>
            <w:gridSpan w:val="7"/>
          </w:tcPr>
          <w:p>
            <w:pPr>
              <w:ind w:left="260"/>
              <w:spacing w:after="0"/>
              <w:rPr>
                <w:sz w:val="20"/>
                <w:szCs w:val="20"/>
                <w:color w:val="auto"/>
              </w:rPr>
            </w:pPr>
            <w:r>
              <w:rPr>
                <w:rFonts w:ascii="Arial" w:cs="Arial" w:eastAsia="Arial" w:hAnsi="Arial"/>
                <w:sz w:val="18"/>
                <w:szCs w:val="18"/>
                <w:b w:val="1"/>
                <w:bCs w:val="1"/>
                <w:color w:val="auto"/>
                <w:w w:val="91"/>
              </w:rPr>
              <w:t>713-646-4100 / 866-809-1291</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182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4,282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9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8,945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12,941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13,073</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13,073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Borders>
              <w:bottom w:val="single" w:sz="8" w:color="CCEEFF"/>
            </w:tcBorders>
            <w:gridSpan w:val="2"/>
            <w:vMerge w:val="continue"/>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22,719</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4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1,416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6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727</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44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44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26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six months ended June 30, 2018 as the effect was antidilutive.</w:t>
      </w:r>
    </w:p>
    <w:p>
      <w:pPr>
        <w:spacing w:after="0" w:line="1" w:lineRule="exact"/>
        <w:rPr>
          <w:rFonts w:ascii="Arial" w:cs="Arial" w:eastAsia="Arial" w:hAnsi="Arial"/>
          <w:sz w:val="23"/>
          <w:szCs w:val="23"/>
          <w:color w:val="auto"/>
          <w:vertAlign w:val="superscript"/>
        </w:rPr>
      </w:pPr>
    </w:p>
    <w:p>
      <w:pPr>
        <w:ind w:left="340" w:right="40" w:hanging="332"/>
        <w:spacing w:after="0" w:line="234"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(2)</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40" w:type="dxa"/>
            <w:vAlign w:val="bottom"/>
          </w:tcPr>
          <w:p>
            <w:pPr>
              <w:ind w:left="180"/>
              <w:spacing w:after="0"/>
              <w:rPr>
                <w:sz w:val="20"/>
                <w:szCs w:val="20"/>
                <w:color w:val="auto"/>
              </w:rPr>
            </w:pPr>
            <w:r>
              <w:rPr>
                <w:rFonts w:ascii="Arial" w:cs="Arial" w:eastAsia="Arial" w:hAnsi="Arial"/>
                <w:sz w:val="18"/>
                <w:szCs w:val="18"/>
                <w:color w:val="auto"/>
                <w:w w:val="99"/>
              </w:rPr>
              <w:t>Selected items impacting comparability - Adjusted EBITDA</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Gain on investment in unconsolidated entities </w:t>
            </w:r>
            <w:r>
              <w:rPr>
                <w:rFonts w:ascii="Arial" w:cs="Arial" w:eastAsia="Arial" w:hAnsi="Arial"/>
                <w:sz w:val="23"/>
                <w:szCs w:val="23"/>
                <w:color w:val="auto"/>
                <w:vertAlign w:val="superscript"/>
              </w:rPr>
              <w:t>(8)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w:t>
            </w: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40" w:type="dxa"/>
            <w:vAlign w:val="bottom"/>
            <w:vMerge w:val="continue"/>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attributable to PAA</w:t>
            </w:r>
          </w:p>
        </w:tc>
        <w:tc>
          <w:tcPr>
            <w:tcW w:w="10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40" w:hanging="332"/>
        <w:spacing w:after="0" w:line="234"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 January 2019, the owners of the Capline pipeline system contributed their undivided joint interests in the Capline pipeline system for equity interests in Capline Pipeline Company LLC (“Capline LLC”). This transaction resulted in a loss of control of our undivided joint interest, which was derecognized and contributed to Capline LLC. This loss of control required us to measure our equity interest in Capline LLC at fair value. The resulting gain was classified as a selected item impacting comparability.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161290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00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1,416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9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00" w:type="dxa"/>
            <w:vAlign w:val="bottom"/>
          </w:tcPr>
          <w:p>
            <w:pPr>
              <w:spacing w:after="0"/>
              <w:rPr>
                <w:sz w:val="18"/>
                <w:szCs w:val="18"/>
                <w:color w:val="auto"/>
              </w:rPr>
            </w:pPr>
          </w:p>
        </w:tc>
        <w:tc>
          <w:tcPr>
            <w:tcW w:w="960" w:type="dxa"/>
            <w:vAlign w:val="bottom"/>
            <w:tcBorders>
              <w:top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727</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100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00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00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six months ended June 30, 2018 as the effect was antidilutive.</w:t>
      </w:r>
    </w:p>
    <w:p>
      <w:pPr>
        <w:ind w:left="340" w:right="40" w:hanging="332"/>
        <w:spacing w:after="0" w:line="234"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gridSpan w:val="4"/>
          </w:tcPr>
          <w:p>
            <w:pPr>
              <w:jc w:val="right"/>
              <w:ind w:right="26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8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44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0.54</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8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(0.38)</w:t>
            </w: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8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Selected items impacting comparability per common unit</w:t>
            </w: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20" w:type="dxa"/>
            <w:vAlign w:val="bottom"/>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0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w w:val="99"/>
              </w:rPr>
              <w:t>713-646-4100 / 866-809-1291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65"/>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45"/>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0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Adjusted EBITDA and Implied DCF</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Income tax expense/(benefit)</w:t>
            </w:r>
          </w:p>
        </w:tc>
        <w:tc>
          <w:tcPr>
            <w:tcW w:w="8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Adjusted EBITDA</w:t>
            </w:r>
          </w:p>
        </w:tc>
        <w:tc>
          <w:tcPr>
            <w:tcW w:w="80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8"/>
                <w:szCs w:val="18"/>
                <w:color w:val="auto"/>
              </w:rPr>
            </w:pPr>
          </w:p>
        </w:tc>
        <w:tc>
          <w:tcPr>
            <w:tcW w:w="860" w:type="dxa"/>
            <w:vAlign w:val="bottom"/>
            <w:tcBorders>
              <w:top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4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ind w:left="160"/>
              <w:spacing w:after="0" w:line="201" w:lineRule="exact"/>
              <w:rPr>
                <w:sz w:val="20"/>
                <w:szCs w:val="20"/>
                <w:color w:val="auto"/>
              </w:rPr>
            </w:pPr>
            <w:r>
              <w:rPr>
                <w:rFonts w:ascii="Arial" w:cs="Arial" w:eastAsia="Arial" w:hAnsi="Arial"/>
                <w:sz w:val="18"/>
                <w:szCs w:val="18"/>
                <w:color w:val="auto"/>
              </w:rPr>
              <w:t>Adjusted equity earnings in unconsolidated entities, net of</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3"/>
                <w:szCs w:val="23"/>
                <w:color w:val="auto"/>
                <w:vertAlign w:val="superscript"/>
              </w:rPr>
              <w:t>(4)</w:t>
            </w:r>
          </w:p>
        </w:tc>
        <w:tc>
          <w:tcPr>
            <w:tcW w:w="8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80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8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80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8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8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798</w:t>
            </w: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2.02x</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1.23x</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2.46x</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2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40" w:right="20" w:hanging="332"/>
        <w:spacing w:after="0" w:line="234"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semi-annually in arrears on May 15 and November 15.</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40" w:hanging="332"/>
        <w:spacing w:after="0" w:line="233"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pacing w:after="0" w:line="3"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4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(2)</w:t>
            </w:r>
          </w:p>
        </w:tc>
        <w:tc>
          <w:tcPr>
            <w:tcW w:w="1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(4)</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820" w:hanging="332"/>
        <w:spacing w:after="0" w:line="227"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ind w:left="320" w:hanging="312"/>
        <w:spacing w:after="0" w:line="205" w:lineRule="auto"/>
        <w:tabs>
          <w:tab w:leader="none" w:pos="32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36"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have been paid in cash since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40" w:hanging="332"/>
        <w:spacing w:after="0" w:line="233"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jc w:val="center"/>
              <w:ind w:right="334"/>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0.54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0.19</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0.73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00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0.54</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020" w:type="dxa"/>
            <w:vAlign w:val="bottom"/>
            <w:gridSpan w:val="3"/>
            <w:shd w:val="clear" w:color="auto" w:fill="CCEEFF"/>
          </w:tcPr>
          <w:p>
            <w:pPr>
              <w:jc w:val="right"/>
              <w:ind w:right="69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8"/>
                <w:szCs w:val="18"/>
                <w:color w:val="auto"/>
                <w:w w:val="94"/>
              </w:rPr>
              <w:t>Reconciling items per common unit and common equivalent unit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8"/>
                <w:szCs w:val="18"/>
                <w:color w:val="auto"/>
              </w:rPr>
              <w:t>0.17</w:t>
            </w:r>
          </w:p>
        </w:tc>
        <w:tc>
          <w:tcPr>
            <w:tcW w:w="96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(0.22)</w:t>
            </w:r>
          </w:p>
        </w:tc>
        <w:tc>
          <w:tcPr>
            <w:tcW w:w="54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89"/>
        </w:trPr>
        <w:tc>
          <w:tcPr>
            <w:tcW w:w="4840" w:type="dxa"/>
            <w:vAlign w:val="bottom"/>
            <w:gridSpan w:val="2"/>
          </w:tcPr>
          <w:p>
            <w:pPr>
              <w:jc w:val="right"/>
              <w:ind w:right="4250"/>
              <w:spacing w:after="0"/>
              <w:rPr>
                <w:sz w:val="20"/>
                <w:szCs w:val="20"/>
                <w:color w:val="auto"/>
              </w:rPr>
            </w:pPr>
            <w:r>
              <w:rPr>
                <w:rFonts w:ascii="Arial" w:cs="Arial" w:eastAsia="Arial" w:hAnsi="Arial"/>
                <w:sz w:val="12"/>
                <w:szCs w:val="12"/>
                <w:color w:val="auto"/>
              </w:rPr>
              <w:t>(1) (3)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0.71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4"/>
          </w:tcPr>
          <w:p>
            <w:pPr>
              <w:jc w:val="center"/>
              <w:ind w:left="717"/>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1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725 million, 727 million and 725 million, respectively.</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and 717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67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6"/>
              </w:rPr>
              <w:t>June 30,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4"/>
              </w:rPr>
              <w:t>June 30, 2018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Logistics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 valuation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6"/>
              </w:rPr>
              <w:t>June 30,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June 30, 2018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Logistics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 valuation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8"/>
                <w:szCs w:val="18"/>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loss on foreign currency revaluation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Transportation segment (average daily volumes in thousands</w:t>
            </w:r>
          </w:p>
        </w:tc>
        <w:tc>
          <w:tcPr>
            <w:tcW w:w="8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4,575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3,734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4,423</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525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313</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Liquids storage (average monthly capacity in millions of</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7"/>
                <w:szCs w:val="17"/>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109</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barrels)</w:t>
            </w:r>
          </w:p>
        </w:tc>
        <w:tc>
          <w:tcPr>
            <w:tcW w:w="8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w:t>
            </w:r>
          </w:p>
        </w:tc>
        <w:tc>
          <w:tcPr>
            <w:tcW w:w="8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billions of cubic feet)</w:t>
            </w:r>
          </w:p>
        </w:tc>
        <w:tc>
          <w:tcPr>
            <w:tcW w:w="5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NGL fractionation (average volumes in thousands of barrels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132</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per day)</w:t>
            </w:r>
          </w:p>
        </w:tc>
        <w:tc>
          <w:tcPr>
            <w:tcW w:w="8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Facilities segment total volumes (average monthly volumes in</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3"/>
                <w:szCs w:val="13"/>
                <w:color w:val="auto"/>
              </w:rPr>
            </w:pPr>
          </w:p>
        </w:tc>
        <w:tc>
          <w:tcPr>
            <w:tcW w:w="9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(3)</w:t>
            </w:r>
          </w:p>
        </w:tc>
        <w:tc>
          <w:tcPr>
            <w:tcW w:w="8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thousands of barrels per day):</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520" w:type="dxa"/>
            <w:vAlign w:val="bottom"/>
          </w:tcPr>
          <w:p>
            <w:pPr>
              <w:jc w:val="right"/>
              <w:spacing w:after="0"/>
              <w:rPr>
                <w:sz w:val="20"/>
                <w:szCs w:val="20"/>
                <w:color w:val="auto"/>
              </w:rPr>
            </w:pPr>
            <w:r>
              <w:rPr>
                <w:rFonts w:ascii="Arial" w:cs="Arial" w:eastAsia="Arial" w:hAnsi="Arial"/>
                <w:sz w:val="18"/>
                <w:szCs w:val="18"/>
                <w:color w:val="auto"/>
              </w:rPr>
              <w:t>1,102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1,028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5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7"/>
              </w:rPr>
              <w:t>Six Months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410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172</w:t>
            </w:r>
          </w:p>
        </w:tc>
        <w:tc>
          <w:tcPr>
            <w:tcW w:w="9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r>
      <w:tr>
        <w:trPr>
          <w:trHeight w:val="210"/>
        </w:trPr>
        <w:tc>
          <w:tcPr>
            <w:tcW w:w="4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582</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200</w:t>
            </w:r>
          </w:p>
        </w:tc>
        <w:tc>
          <w:tcPr>
            <w:tcW w:w="9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478</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4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784</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4"/>
          </w:tcPr>
          <w:p>
            <w:pPr>
              <w:jc w:val="center"/>
              <w:ind w:left="717"/>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10"/>
        </w:trPr>
        <w:tc>
          <w:tcPr>
            <w:tcW w:w="4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4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71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20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$8 million, $(10) million, $(15) million and $(9) million for the three and six months ended June 30, 2019 and 2018,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 w:lineRule="exact"/>
        <w:rPr>
          <w:rFonts w:ascii="Arial" w:cs="Arial" w:eastAsia="Arial" w:hAnsi="Arial"/>
          <w:sz w:val="23"/>
          <w:szCs w:val="23"/>
          <w:color w:val="auto"/>
          <w:vertAlign w:val="superscript"/>
        </w:rPr>
      </w:pPr>
    </w:p>
    <w:p>
      <w:pPr>
        <w:ind w:left="340" w:right="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Consolidated Statements of Operations, adjusted for selected items impacting comparability of $10 million and $32 million for the twelve months ended December 31, 2018 and 2017,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center"/>
              <w:ind w:left="996"/>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center"/>
              <w:ind w:left="897"/>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Facilities</w:t>
            </w:r>
          </w:p>
        </w:tc>
        <w:tc>
          <w:tcPr>
            <w:tcW w:w="14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 assets</w:t>
            </w:r>
          </w:p>
        </w:tc>
        <w:tc>
          <w:tcPr>
            <w:tcW w:w="140" w:type="dxa"/>
            <w:vAlign w:val="bottom"/>
            <w:vMerge w:val="continue"/>
            <w:shd w:val="clear" w:color="auto" w:fill="CCEEFF"/>
          </w:tcPr>
          <w:p>
            <w:pPr>
              <w:spacing w:after="0"/>
              <w:rPr>
                <w:sz w:val="18"/>
                <w:szCs w:val="18"/>
                <w:color w:val="auto"/>
              </w:rPr>
            </w:pPr>
          </w:p>
        </w:tc>
        <w:tc>
          <w:tcPr>
            <w:tcW w:w="1240" w:type="dxa"/>
            <w:vAlign w:val="bottom"/>
            <w:tcBorders>
              <w:right w:val="single" w:sz="8" w:color="CCEEFF"/>
            </w:tcBorders>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left="897"/>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 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Facilities</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2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 assets</w:t>
            </w:r>
          </w:p>
        </w:tc>
        <w:tc>
          <w:tcPr>
            <w:tcW w:w="140" w:type="dxa"/>
            <w:vAlign w:val="bottom"/>
            <w:vMerge w:val="continue"/>
            <w:shd w:val="clear" w:color="auto" w:fill="CCEEFF"/>
          </w:tcPr>
          <w:p>
            <w:pPr>
              <w:spacing w:after="0"/>
              <w:rPr>
                <w:sz w:val="18"/>
                <w:szCs w:val="18"/>
                <w:color w:val="auto"/>
              </w:rPr>
            </w:pPr>
          </w:p>
        </w:tc>
        <w:tc>
          <w:tcPr>
            <w:tcW w:w="1240" w:type="dxa"/>
            <w:vAlign w:val="bottom"/>
            <w:tcBorders>
              <w:right w:val="single" w:sz="8" w:color="CCEEFF"/>
            </w:tcBorders>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spacing w:after="0" w:line="1" w:lineRule="exact"/>
        <w:rPr>
          <w:rFonts w:ascii="Arial" w:cs="Arial" w:eastAsia="Arial" w:hAnsi="Arial"/>
          <w:sz w:val="23"/>
          <w:szCs w:val="23"/>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31"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2019</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PAA</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40" w:type="dxa"/>
            <w:vAlign w:val="bottom"/>
          </w:tcPr>
          <w:p>
            <w:pPr>
              <w:spacing w:after="0"/>
              <w:rPr>
                <w:sz w:val="10"/>
                <w:szCs w:val="10"/>
                <w:color w:val="auto"/>
              </w:rPr>
            </w:pPr>
          </w:p>
        </w:tc>
        <w:tc>
          <w:tcPr>
            <w:tcW w:w="96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PAA</w:t>
            </w: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4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3"/>
          </w:tcPr>
          <w:p>
            <w:pPr>
              <w:jc w:val="center"/>
              <w:ind w:right="1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7,244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7,244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7,551</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w w:val="94"/>
              </w:rPr>
              <w:t>(Gains)/losses on asset sales and asset impairments,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income attributable to noncontrolling interests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80" w:type="dxa"/>
            <w:vAlign w:val="bottom"/>
            <w:gridSpan w:val="8"/>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8"/>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2018</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11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4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1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14,362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2"/>
              </w:rPr>
              <w:t>(Gains)/losses on asset sales and asset impairments,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w w:val="96"/>
              </w:rPr>
              <w:t>Net income attributable to noncontrolling interests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4,291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Long-term operating lease right-of-use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assets, net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CAPITAL</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4,301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12,941</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1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Incremental net income attributable to PAGP resulting from</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assumed exchange of AAP Management Units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20" w:type="dxa"/>
            <w:vAlign w:val="bottom"/>
          </w:tcPr>
          <w:p>
            <w:pPr>
              <w:ind w:left="160"/>
              <w:spacing w:after="0" w:line="182" w:lineRule="exact"/>
              <w:rPr>
                <w:sz w:val="20"/>
                <w:szCs w:val="20"/>
                <w:color w:val="auto"/>
              </w:rPr>
            </w:pPr>
            <w:r>
              <w:rPr>
                <w:rFonts w:ascii="Arial" w:cs="Arial" w:eastAsia="Arial" w:hAnsi="Arial"/>
                <w:sz w:val="18"/>
                <w:szCs w:val="18"/>
                <w:color w:val="auto"/>
                <w:w w:val="99"/>
              </w:rPr>
              <w:t>Net income attributable to PAGP including incremental net</w:t>
            </w:r>
          </w:p>
        </w:tc>
        <w:tc>
          <w:tcPr>
            <w:tcW w:w="1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from assumed exchange of AAP Management</w:t>
            </w:r>
          </w:p>
        </w:tc>
        <w:tc>
          <w:tcPr>
            <w:tcW w:w="100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213</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Units</w:t>
            </w:r>
          </w:p>
        </w:tc>
        <w:tc>
          <w:tcPr>
            <w:tcW w:w="100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Dilutive shares resulting from assumed exchange of AAP</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Units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1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3"/>
                <w:szCs w:val="23"/>
                <w:color w:val="auto"/>
                <w:vertAlign w:val="superscript"/>
              </w:rPr>
              <w:t>(1)</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40" w:hanging="332"/>
        <w:spacing w:after="0" w:line="254" w:lineRule="auto"/>
        <w:tabs>
          <w:tab w:leader="none" w:pos="328"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For the three and six months ended June 30, 2019 and 2018, the possible exchange of any AAP units would have had an antidilutive effect on basic net income per Class A share. For the three months ended June 30, 2019, the possible exchange of AAP Management Units would have had a dilutive effect on basic net income per Class A share and for the six months ended June 30, 2019 and the three and six months ended June 30, 2018, the possible exchange of AAP Management units would not have had a dilutive effect on basic net income per Class A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300" w:type="dxa"/>
            <w:vAlign w:val="bottom"/>
          </w:tcPr>
          <w:p>
            <w:pPr>
              <w:ind w:left="1120"/>
              <w:spacing w:after="0"/>
              <w:rPr>
                <w:sz w:val="20"/>
                <w:szCs w:val="20"/>
                <w:color w:val="auto"/>
              </w:rPr>
            </w:pPr>
            <w:r>
              <w:rPr>
                <w:rFonts w:ascii="Arial" w:cs="Arial" w:eastAsia="Arial" w:hAnsi="Arial"/>
                <w:sz w:val="18"/>
                <w:szCs w:val="18"/>
                <w:color w:val="auto"/>
              </w:rPr>
              <w:t>Brett Magill</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300" w:type="dxa"/>
            <w:vAlign w:val="bottom"/>
          </w:tcPr>
          <w:p>
            <w:pPr>
              <w:ind w:left="1120"/>
              <w:spacing w:after="0"/>
              <w:rPr>
                <w:sz w:val="20"/>
                <w:szCs w:val="20"/>
                <w:color w:val="auto"/>
              </w:rPr>
            </w:pPr>
            <w:r>
              <w:rPr>
                <w:rFonts w:ascii="Arial" w:cs="Arial" w:eastAsia="Arial" w:hAnsi="Arial"/>
                <w:sz w:val="18"/>
                <w:szCs w:val="18"/>
                <w:color w:val="auto"/>
                <w:w w:val="94"/>
              </w:rPr>
              <w:t>(866) 809-1291</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3" Type="http://schemas.openxmlformats.org/officeDocument/2006/relationships/hyperlink" Target="file:///data/convert/a19-16627_1ex99d1.htm#Exhibit99_1_121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2019-11-30T09:13:03Z</dcterms:created>
  <dcterms:modified xsi:type="dcterms:W3CDTF">2019-11-30T09:13:03Z</dcterms:modified>
</cp:coreProperties>
</file>