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SCHEDULE 13G</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1804035</wp:posOffset>
            </wp:positionH>
            <wp:positionV relativeFrom="paragraph">
              <wp:posOffset>81280</wp:posOffset>
            </wp:positionV>
            <wp:extent cx="364871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48710" cy="3873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CLASS A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1804035</wp:posOffset>
            </wp:positionH>
            <wp:positionV relativeFrom="paragraph">
              <wp:posOffset>73025</wp:posOffset>
            </wp:positionV>
            <wp:extent cx="364871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48710" cy="3873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72651A108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1804035</wp:posOffset>
            </wp:positionH>
            <wp:positionV relativeFrom="paragraph">
              <wp:posOffset>64135</wp:posOffset>
            </wp:positionV>
            <wp:extent cx="364871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48710" cy="3873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both"/>
        <w:spacing w:after="0" w:line="232" w:lineRule="exact"/>
        <w:rPr>
          <w:sz w:val="20"/>
          <w:szCs w:val="20"/>
          <w:color w:val="auto"/>
        </w:rPr>
      </w:pPr>
      <w:r>
        <w:rPr>
          <w:rFonts w:ascii="Arial" w:cs="Arial" w:eastAsia="Arial" w:hAnsi="Arial"/>
          <w:sz w:val="18"/>
          <w:szCs w:val="18"/>
          <w:color w:val="auto"/>
        </w:rPr>
        <w:t xml:space="preserve">Check the following box if a fee is being paid with this statement </w:t>
      </w:r>
      <w:r>
        <w:rPr>
          <w:rFonts w:ascii="MS PGothic" w:cs="MS PGothic" w:eastAsia="MS PGothic" w:hAnsi="MS PGothic"/>
          <w:sz w:val="18"/>
          <w:szCs w:val="18"/>
          <w:color w:val="auto"/>
        </w:rPr>
        <w:t>☐</w:t>
      </w:r>
      <w:r>
        <w:rPr>
          <w:rFonts w:ascii="Arial" w:cs="Arial" w:eastAsia="Arial" w:hAnsi="Arial"/>
          <w:sz w:val="18"/>
          <w:szCs w:val="18"/>
          <w:color w:val="auto"/>
        </w:rPr>
        <w:t>.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3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160655</wp:posOffset>
            </wp:positionV>
            <wp:extent cx="72720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1" w:name="page2"/>
    <w:bookmarkEnd w:id="1"/>
    <w:p>
      <w:pPr>
        <w:spacing w:after="0"/>
        <w:tabs>
          <w:tab w:leader="none" w:pos="5540" w:val="left"/>
          <w:tab w:leader="none" w:pos="9800" w:val="left"/>
        </w:tabs>
        <w:rPr>
          <w:sz w:val="20"/>
          <w:szCs w:val="20"/>
          <w:color w:val="auto"/>
        </w:rPr>
      </w:pPr>
      <w:r>
        <w:rPr>
          <w:rFonts w:ascii="Arial" w:cs="Arial" w:eastAsia="Arial" w:hAnsi="Arial"/>
          <w:sz w:val="18"/>
          <w:szCs w:val="18"/>
          <w:color w:val="auto"/>
        </w:rPr>
        <w:t>CUSIP NO. 72651A108</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6"/>
          <w:szCs w:val="16"/>
          <w:color w:val="auto"/>
        </w:rPr>
        <w:t>PAGE 2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6457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6457315"/>
                    </a:xfrm>
                    <a:prstGeom prst="rect">
                      <a:avLst/>
                    </a:prstGeom>
                    <a:noFill/>
                  </pic:spPr>
                </pic:pic>
              </a:graphicData>
            </a:graphic>
          </wp:anchor>
        </w:drawing>
      </w:r>
    </w:p>
    <w:p>
      <w:pPr>
        <w:spacing w:after="0" w:line="26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NAMES OF REPORTING PERSONS</w:t>
      </w:r>
    </w:p>
    <w:p>
      <w:pPr>
        <w:ind w:left="1420" w:hanging="797"/>
        <w:spacing w:after="0" w:line="182" w:lineRule="auto"/>
        <w:tabs>
          <w:tab w:leader="none" w:pos="1420" w:val="left"/>
        </w:tabs>
        <w:numPr>
          <w:ilvl w:val="0"/>
          <w:numId w:val="1"/>
        </w:numPr>
        <w:rPr>
          <w:rFonts w:ascii="Arial" w:cs="Arial" w:eastAsia="Arial" w:hAnsi="Arial"/>
          <w:sz w:val="34"/>
          <w:szCs w:val="34"/>
          <w:b w:val="1"/>
          <w:bCs w:val="1"/>
          <w:color w:val="auto"/>
          <w:vertAlign w:val="subscript"/>
        </w:rPr>
      </w:pPr>
      <w:r>
        <w:rPr>
          <w:rFonts w:ascii="Arial" w:cs="Arial" w:eastAsia="Arial" w:hAnsi="Arial"/>
          <w:sz w:val="15"/>
          <w:szCs w:val="15"/>
          <w:b w:val="1"/>
          <w:bCs w:val="1"/>
          <w:color w:val="auto"/>
        </w:rPr>
        <w:t>S.S. or I.R.S. IDENTIFICATION NOS. OF ABOVE PERSONS (ENTITIES ONLY)</w:t>
      </w:r>
    </w:p>
    <w:p>
      <w:pPr>
        <w:spacing w:after="0" w:line="91" w:lineRule="exact"/>
        <w:rPr>
          <w:sz w:val="20"/>
          <w:szCs w:val="20"/>
          <w:color w:val="auto"/>
        </w:rPr>
      </w:pPr>
    </w:p>
    <w:p>
      <w:pPr>
        <w:ind w:left="1420"/>
        <w:spacing w:after="0"/>
        <w:tabs>
          <w:tab w:leader="none" w:pos="18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KAYNE ANDERSON CAPITAL ADVISORS, L.P. - 95-4486379</w:t>
      </w:r>
    </w:p>
    <w:p>
      <w:pPr>
        <w:ind w:left="1420"/>
        <w:spacing w:after="0"/>
        <w:tabs>
          <w:tab w:leader="none" w:pos="1820" w:val="left"/>
          <w:tab w:leader="none" w:pos="5240" w:val="left"/>
        </w:tabs>
        <w:rPr>
          <w:sz w:val="20"/>
          <w:szCs w:val="20"/>
          <w:color w:val="auto"/>
        </w:rPr>
      </w:pPr>
      <w:r>
        <w:rPr>
          <w:rFonts w:ascii="Arial" w:cs="Arial" w:eastAsia="Arial" w:hAnsi="Arial"/>
          <w:sz w:val="18"/>
          <w:szCs w:val="18"/>
          <w:color w:val="auto"/>
        </w:rPr>
        <w:t>(B)</w:t>
        <w:tab/>
        <w:t>RICHARD A. KAYNE</w:t>
      </w:r>
      <w:r>
        <w:rPr>
          <w:sz w:val="20"/>
          <w:szCs w:val="20"/>
          <w:color w:val="auto"/>
        </w:rPr>
        <w:tab/>
      </w:r>
      <w:r>
        <w:rPr>
          <w:rFonts w:ascii="Arial" w:cs="Arial" w:eastAsia="Arial" w:hAnsi="Arial"/>
          <w:sz w:val="18"/>
          <w:szCs w:val="18"/>
          <w:color w:val="auto"/>
        </w:rPr>
        <w:t>-</w:t>
      </w:r>
    </w:p>
    <w:p>
      <w:pPr>
        <w:spacing w:after="0" w:line="81"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CHECK THE APPROPRIATE BOX IF A MEMBER OF A GROUP*</w:t>
      </w:r>
    </w:p>
    <w:p>
      <w:pPr>
        <w:ind w:left="1420" w:hanging="797"/>
        <w:spacing w:after="0" w:line="322" w:lineRule="exact"/>
        <w:tabs>
          <w:tab w:leader="none" w:pos="1420" w:val="left"/>
        </w:tabs>
        <w:numPr>
          <w:ilvl w:val="0"/>
          <w:numId w:val="2"/>
        </w:numPr>
        <w:rPr>
          <w:rFonts w:ascii="Arial" w:cs="Arial" w:eastAsia="Arial" w:hAnsi="Arial"/>
          <w:sz w:val="32"/>
          <w:szCs w:val="32"/>
          <w:b w:val="1"/>
          <w:bCs w:val="1"/>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p>
      <w:pPr>
        <w:spacing w:after="0" w:line="36" w:lineRule="exact"/>
        <w:rPr>
          <w:rFonts w:ascii="Arial" w:cs="Arial" w:eastAsia="Arial" w:hAnsi="Arial"/>
          <w:sz w:val="32"/>
          <w:szCs w:val="32"/>
          <w:b w:val="1"/>
          <w:bCs w:val="1"/>
          <w:color w:val="auto"/>
        </w:rPr>
      </w:pPr>
    </w:p>
    <w:p>
      <w:pPr>
        <w:ind w:left="1420"/>
        <w:spacing w:after="0" w:line="207" w:lineRule="exact"/>
        <w:rPr>
          <w:rFonts w:ascii="Arial" w:cs="Arial" w:eastAsia="Arial" w:hAnsi="Arial"/>
          <w:sz w:val="32"/>
          <w:szCs w:val="32"/>
          <w:b w:val="1"/>
          <w:bCs w:val="1"/>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p>
      <w:pPr>
        <w:spacing w:after="0" w:line="51" w:lineRule="exact"/>
        <w:rPr>
          <w:rFonts w:ascii="Arial" w:cs="Arial" w:eastAsia="Arial" w:hAnsi="Arial"/>
          <w:sz w:val="32"/>
          <w:szCs w:val="32"/>
          <w:b w:val="1"/>
          <w:bCs w:val="1"/>
          <w:color w:val="auto"/>
        </w:rPr>
      </w:pPr>
    </w:p>
    <w:p>
      <w:pPr>
        <w:ind w:left="1420"/>
        <w:spacing w:after="0"/>
        <w:rPr>
          <w:rFonts w:ascii="Arial" w:cs="Arial" w:eastAsia="Arial" w:hAnsi="Arial"/>
          <w:sz w:val="32"/>
          <w:szCs w:val="32"/>
          <w:b w:val="1"/>
          <w:bCs w:val="1"/>
          <w:color w:val="auto"/>
        </w:rPr>
      </w:pPr>
      <w:r>
        <w:rPr>
          <w:rFonts w:ascii="Arial" w:cs="Arial" w:eastAsia="Arial" w:hAnsi="Arial"/>
          <w:sz w:val="18"/>
          <w:szCs w:val="18"/>
          <w:b w:val="1"/>
          <w:bCs w:val="1"/>
          <w:color w:val="auto"/>
        </w:rPr>
        <w:t>SEC USE ONLY</w:t>
      </w:r>
    </w:p>
    <w:p>
      <w:pPr>
        <w:ind w:left="620"/>
        <w:spacing w:after="0"/>
        <w:rPr>
          <w:sz w:val="20"/>
          <w:szCs w:val="20"/>
          <w:color w:val="auto"/>
        </w:rPr>
      </w:pPr>
      <w:r>
        <w:rPr>
          <w:rFonts w:ascii="Arial" w:cs="Arial" w:eastAsia="Arial" w:hAnsi="Arial"/>
          <w:sz w:val="32"/>
          <w:szCs w:val="32"/>
          <w:b w:val="1"/>
          <w:bCs w:val="1"/>
          <w:color w:val="auto"/>
        </w:rPr>
        <w:t>3</w:t>
      </w:r>
    </w:p>
    <w:p>
      <w:pPr>
        <w:spacing w:after="0" w:line="249"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CITIZENSHIP OR PLACE OF ORGANIZATION</w:t>
      </w:r>
    </w:p>
    <w:p>
      <w:pPr>
        <w:ind w:left="1420" w:hanging="797"/>
        <w:spacing w:after="0" w:line="214" w:lineRule="auto"/>
        <w:tabs>
          <w:tab w:leader="none" w:pos="1420" w:val="left"/>
        </w:tabs>
        <w:numPr>
          <w:ilvl w:val="0"/>
          <w:numId w:val="3"/>
        </w:numPr>
        <w:rPr>
          <w:rFonts w:ascii="Arial" w:cs="Arial" w:eastAsia="Arial" w:hAnsi="Arial"/>
          <w:sz w:val="32"/>
          <w:szCs w:val="32"/>
          <w:b w:val="1"/>
          <w:bCs w:val="1"/>
          <w:color w:val="auto"/>
        </w:rPr>
      </w:pPr>
      <w:r>
        <w:rPr>
          <w:rFonts w:ascii="Arial" w:cs="Arial" w:eastAsia="Arial" w:hAnsi="Arial"/>
          <w:sz w:val="18"/>
          <w:szCs w:val="18"/>
          <w:color w:val="auto"/>
        </w:rPr>
        <w:t>(A) IS A CALIFORNIA LIMITED PARTNERSHIP</w:t>
      </w:r>
    </w:p>
    <w:p>
      <w:pPr>
        <w:spacing w:after="0" w:line="2" w:lineRule="exact"/>
        <w:rPr>
          <w:rFonts w:ascii="Arial" w:cs="Arial" w:eastAsia="Arial" w:hAnsi="Arial"/>
          <w:sz w:val="32"/>
          <w:szCs w:val="32"/>
          <w:b w:val="1"/>
          <w:bCs w:val="1"/>
          <w:color w:val="auto"/>
        </w:rPr>
      </w:pPr>
    </w:p>
    <w:p>
      <w:pPr>
        <w:ind w:left="1420"/>
        <w:spacing w:after="0"/>
        <w:rPr>
          <w:rFonts w:ascii="Arial" w:cs="Arial" w:eastAsia="Arial" w:hAnsi="Arial"/>
          <w:sz w:val="32"/>
          <w:szCs w:val="32"/>
          <w:b w:val="1"/>
          <w:bCs w:val="1"/>
          <w:color w:val="auto"/>
        </w:rPr>
      </w:pPr>
      <w:r>
        <w:rPr>
          <w:rFonts w:ascii="Arial" w:cs="Arial" w:eastAsia="Arial" w:hAnsi="Arial"/>
          <w:sz w:val="18"/>
          <w:szCs w:val="18"/>
          <w:color w:val="auto"/>
        </w:rPr>
        <w:t>(B) UNITED STATES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400" w:type="dxa"/>
            <w:vAlign w:val="bottom"/>
            <w:tcBorders>
              <w:top w:val="single" w:sz="8" w:color="auto"/>
            </w:tcBorders>
          </w:tcPr>
          <w:p>
            <w:pPr>
              <w:spacing w:after="0"/>
              <w:rPr>
                <w:sz w:val="22"/>
                <w:szCs w:val="22"/>
                <w:color w:val="auto"/>
              </w:rPr>
            </w:pPr>
          </w:p>
        </w:tc>
        <w:tc>
          <w:tcPr>
            <w:tcW w:w="660" w:type="dxa"/>
            <w:vAlign w:val="bottom"/>
            <w:tcBorders>
              <w:top w:val="single" w:sz="8" w:color="auto"/>
              <w:right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480" w:type="dxa"/>
            <w:vAlign w:val="bottom"/>
            <w:tcBorders>
              <w:top w:val="single" w:sz="8" w:color="auto"/>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87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8700" w:type="dxa"/>
            <w:vAlign w:val="bottom"/>
          </w:tcPr>
          <w:p>
            <w:pPr>
              <w:ind w:left="20"/>
              <w:spacing w:after="0"/>
              <w:rPr>
                <w:sz w:val="20"/>
                <w:szCs w:val="20"/>
                <w:color w:val="auto"/>
              </w:rPr>
            </w:pPr>
            <w:r>
              <w:rPr>
                <w:rFonts w:ascii="Arial" w:cs="Arial" w:eastAsia="Arial" w:hAnsi="Arial"/>
                <w:sz w:val="18"/>
                <w:szCs w:val="18"/>
                <w:color w:val="auto"/>
              </w:rPr>
              <w:t>(A) 0</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8700" w:type="dxa"/>
            <w:vAlign w:val="bottom"/>
          </w:tcPr>
          <w:p>
            <w:pPr>
              <w:ind w:left="20"/>
              <w:spacing w:after="0"/>
              <w:rPr>
                <w:sz w:val="20"/>
                <w:szCs w:val="20"/>
                <w:color w:val="auto"/>
              </w:rPr>
            </w:pPr>
            <w:r>
              <w:rPr>
                <w:rFonts w:ascii="Arial" w:cs="Arial" w:eastAsia="Arial" w:hAnsi="Arial"/>
                <w:sz w:val="18"/>
                <w:szCs w:val="18"/>
                <w:color w:val="auto"/>
              </w:rPr>
              <w:t>(B) 501,441</w:t>
            </w:r>
          </w:p>
        </w:tc>
        <w:tc>
          <w:tcPr>
            <w:tcW w:w="0" w:type="dxa"/>
            <w:vAlign w:val="bottom"/>
          </w:tcPr>
          <w:p>
            <w:pPr>
              <w:spacing w:after="0"/>
              <w:rPr>
                <w:sz w:val="1"/>
                <w:szCs w:val="1"/>
                <w:color w:val="auto"/>
              </w:rPr>
            </w:pPr>
          </w:p>
        </w:tc>
      </w:tr>
      <w:tr>
        <w:trPr>
          <w:trHeight w:val="54"/>
        </w:trPr>
        <w:tc>
          <w:tcPr>
            <w:tcW w:w="1400" w:type="dxa"/>
            <w:vAlign w:val="bottom"/>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8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870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45"/>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180" w:type="dxa"/>
            <w:vAlign w:val="bottom"/>
          </w:tcPr>
          <w:p>
            <w:pPr>
              <w:spacing w:after="0"/>
              <w:rPr>
                <w:sz w:val="21"/>
                <w:szCs w:val="21"/>
                <w:color w:val="auto"/>
              </w:rPr>
            </w:pPr>
          </w:p>
        </w:tc>
        <w:tc>
          <w:tcPr>
            <w:tcW w:w="480" w:type="dxa"/>
            <w:vAlign w:val="bottom"/>
            <w:tcBorders>
              <w:right w:val="single" w:sz="8" w:color="auto"/>
            </w:tcBorders>
            <w:vMerge w:val="continue"/>
          </w:tcPr>
          <w:p>
            <w:pPr>
              <w:spacing w:after="0"/>
              <w:rPr>
                <w:sz w:val="21"/>
                <w:szCs w:val="21"/>
                <w:color w:val="auto"/>
              </w:rPr>
            </w:pPr>
          </w:p>
        </w:tc>
        <w:tc>
          <w:tcPr>
            <w:tcW w:w="8700" w:type="dxa"/>
            <w:vAlign w:val="bottom"/>
          </w:tcPr>
          <w:p>
            <w:pPr>
              <w:ind w:left="20"/>
              <w:spacing w:after="0"/>
              <w:rPr>
                <w:sz w:val="20"/>
                <w:szCs w:val="20"/>
                <w:color w:val="auto"/>
              </w:rPr>
            </w:pPr>
            <w:r>
              <w:rPr>
                <w:rFonts w:ascii="Arial" w:cs="Arial" w:eastAsia="Arial" w:hAnsi="Arial"/>
                <w:sz w:val="18"/>
                <w:szCs w:val="18"/>
                <w:color w:val="auto"/>
              </w:rPr>
              <w:t>(A) 13,112,040</w:t>
            </w:r>
          </w:p>
        </w:tc>
        <w:tc>
          <w:tcPr>
            <w:tcW w:w="0" w:type="dxa"/>
            <w:vAlign w:val="bottom"/>
          </w:tcPr>
          <w:p>
            <w:pPr>
              <w:spacing w:after="0"/>
              <w:rPr>
                <w:sz w:val="1"/>
                <w:szCs w:val="1"/>
                <w:color w:val="auto"/>
              </w:rPr>
            </w:pPr>
          </w:p>
        </w:tc>
      </w:tr>
      <w:tr>
        <w:trPr>
          <w:trHeight w:val="214"/>
        </w:trPr>
        <w:tc>
          <w:tcPr>
            <w:tcW w:w="20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18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8700" w:type="dxa"/>
            <w:vAlign w:val="bottom"/>
          </w:tcPr>
          <w:p>
            <w:pPr>
              <w:ind w:left="20"/>
              <w:spacing w:after="0"/>
              <w:rPr>
                <w:sz w:val="20"/>
                <w:szCs w:val="20"/>
                <w:color w:val="auto"/>
              </w:rPr>
            </w:pPr>
            <w:r>
              <w:rPr>
                <w:rFonts w:ascii="Arial" w:cs="Arial" w:eastAsia="Arial" w:hAnsi="Arial"/>
                <w:sz w:val="18"/>
                <w:szCs w:val="18"/>
                <w:color w:val="auto"/>
              </w:rPr>
              <w:t>(B) 13,112,040</w:t>
            </w:r>
          </w:p>
        </w:tc>
        <w:tc>
          <w:tcPr>
            <w:tcW w:w="0" w:type="dxa"/>
            <w:vAlign w:val="bottom"/>
          </w:tcPr>
          <w:p>
            <w:pPr>
              <w:spacing w:after="0"/>
              <w:rPr>
                <w:sz w:val="1"/>
                <w:szCs w:val="1"/>
                <w:color w:val="auto"/>
              </w:rPr>
            </w:pPr>
          </w:p>
        </w:tc>
      </w:tr>
      <w:tr>
        <w:trPr>
          <w:trHeight w:val="108"/>
        </w:trPr>
        <w:tc>
          <w:tcPr>
            <w:tcW w:w="2060" w:type="dxa"/>
            <w:vAlign w:val="bottom"/>
            <w:tcBorders>
              <w:right w:val="single" w:sz="8" w:color="auto"/>
            </w:tcBorders>
            <w:gridSpan w:val="2"/>
            <w:vMerge w:val="restart"/>
          </w:tcPr>
          <w:p>
            <w:pPr>
              <w:jc w:val="center"/>
              <w:spacing w:after="0" w:line="198" w:lineRule="exact"/>
              <w:rPr>
                <w:sz w:val="20"/>
                <w:szCs w:val="20"/>
                <w:color w:val="auto"/>
              </w:rPr>
            </w:pPr>
            <w:r>
              <w:rPr>
                <w:rFonts w:ascii="Arial" w:cs="Arial" w:eastAsia="Arial" w:hAnsi="Arial"/>
                <w:sz w:val="18"/>
                <w:szCs w:val="18"/>
                <w:b w:val="1"/>
                <w:bCs w:val="1"/>
                <w:color w:val="auto"/>
              </w:rPr>
              <w:t>OWNED BY EACH</w:t>
            </w: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8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2060" w:type="dxa"/>
            <w:vAlign w:val="bottom"/>
            <w:tcBorders>
              <w:right w:val="single" w:sz="8" w:color="auto"/>
            </w:tcBorders>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87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67"/>
        </w:trPr>
        <w:tc>
          <w:tcPr>
            <w:tcW w:w="20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180" w:type="dxa"/>
            <w:vAlign w:val="bottom"/>
          </w:tcPr>
          <w:p>
            <w:pPr>
              <w:spacing w:after="0"/>
              <w:rPr>
                <w:sz w:val="14"/>
                <w:szCs w:val="14"/>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8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60" w:type="dxa"/>
            <w:vAlign w:val="bottom"/>
            <w:tcBorders>
              <w:right w:val="single" w:sz="8" w:color="auto"/>
            </w:tcBorders>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right w:val="single" w:sz="8" w:color="auto"/>
            </w:tcBorders>
            <w:vMerge w:val="continue"/>
          </w:tcPr>
          <w:p>
            <w:pPr>
              <w:spacing w:after="0"/>
              <w:rPr>
                <w:sz w:val="4"/>
                <w:szCs w:val="4"/>
                <w:color w:val="auto"/>
              </w:rPr>
            </w:pPr>
          </w:p>
        </w:tc>
        <w:tc>
          <w:tcPr>
            <w:tcW w:w="8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Pr>
          <w:p>
            <w:pPr>
              <w:jc w:val="center"/>
              <w:ind w:left="538"/>
              <w:spacing w:after="0"/>
              <w:rPr>
                <w:sz w:val="20"/>
                <w:szCs w:val="20"/>
                <w:color w:val="auto"/>
              </w:rPr>
            </w:pPr>
            <w:r>
              <w:rPr>
                <w:rFonts w:ascii="Arial" w:cs="Arial" w:eastAsia="Arial" w:hAnsi="Arial"/>
                <w:sz w:val="18"/>
                <w:szCs w:val="18"/>
                <w:b w:val="1"/>
                <w:bCs w:val="1"/>
                <w:color w:val="auto"/>
              </w:rPr>
              <w:t>WITH</w:t>
            </w: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continue"/>
          </w:tcPr>
          <w:p>
            <w:pPr>
              <w:spacing w:after="0"/>
              <w:rPr>
                <w:sz w:val="20"/>
                <w:szCs w:val="20"/>
                <w:color w:val="auto"/>
              </w:rPr>
            </w:pPr>
          </w:p>
        </w:tc>
        <w:tc>
          <w:tcPr>
            <w:tcW w:w="8700" w:type="dxa"/>
            <w:vAlign w:val="bottom"/>
          </w:tcPr>
          <w:p>
            <w:pPr>
              <w:ind w:left="20"/>
              <w:spacing w:after="0"/>
              <w:rPr>
                <w:sz w:val="20"/>
                <w:szCs w:val="20"/>
                <w:color w:val="auto"/>
              </w:rPr>
            </w:pPr>
            <w:r>
              <w:rPr>
                <w:rFonts w:ascii="Arial" w:cs="Arial" w:eastAsia="Arial" w:hAnsi="Arial"/>
                <w:sz w:val="18"/>
                <w:szCs w:val="18"/>
                <w:color w:val="auto"/>
              </w:rPr>
              <w:t>(A) 0</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8700" w:type="dxa"/>
            <w:vAlign w:val="bottom"/>
          </w:tcPr>
          <w:p>
            <w:pPr>
              <w:ind w:left="20"/>
              <w:spacing w:after="0"/>
              <w:rPr>
                <w:sz w:val="20"/>
                <w:szCs w:val="20"/>
                <w:color w:val="auto"/>
              </w:rPr>
            </w:pPr>
            <w:r>
              <w:rPr>
                <w:rFonts w:ascii="Arial" w:cs="Arial" w:eastAsia="Arial" w:hAnsi="Arial"/>
                <w:sz w:val="18"/>
                <w:szCs w:val="18"/>
                <w:color w:val="auto"/>
              </w:rPr>
              <w:t>(B) 501,441</w:t>
            </w:r>
          </w:p>
        </w:tc>
        <w:tc>
          <w:tcPr>
            <w:tcW w:w="0" w:type="dxa"/>
            <w:vAlign w:val="bottom"/>
          </w:tcPr>
          <w:p>
            <w:pPr>
              <w:spacing w:after="0"/>
              <w:rPr>
                <w:sz w:val="1"/>
                <w:szCs w:val="1"/>
                <w:color w:val="auto"/>
              </w:rPr>
            </w:pPr>
          </w:p>
        </w:tc>
      </w:tr>
      <w:tr>
        <w:trPr>
          <w:trHeight w:val="54"/>
        </w:trPr>
        <w:tc>
          <w:tcPr>
            <w:tcW w:w="1400" w:type="dxa"/>
            <w:vAlign w:val="bottom"/>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right w:val="single" w:sz="8" w:color="auto"/>
            </w:tcBorders>
          </w:tcPr>
          <w:p>
            <w:pPr>
              <w:spacing w:after="0"/>
              <w:rPr>
                <w:sz w:val="4"/>
                <w:szCs w:val="4"/>
                <w:color w:val="auto"/>
              </w:rPr>
            </w:pPr>
          </w:p>
        </w:tc>
        <w:tc>
          <w:tcPr>
            <w:tcW w:w="8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870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283"/>
        </w:trPr>
        <w:tc>
          <w:tcPr>
            <w:tcW w:w="140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right w:val="single" w:sz="8" w:color="auto"/>
            </w:tcBorders>
            <w:vMerge w:val="continue"/>
          </w:tcPr>
          <w:p>
            <w:pPr>
              <w:spacing w:after="0"/>
              <w:rPr>
                <w:sz w:val="24"/>
                <w:szCs w:val="24"/>
                <w:color w:val="auto"/>
              </w:rPr>
            </w:pPr>
          </w:p>
        </w:tc>
        <w:tc>
          <w:tcPr>
            <w:tcW w:w="8700" w:type="dxa"/>
            <w:vAlign w:val="bottom"/>
          </w:tcPr>
          <w:p>
            <w:pPr>
              <w:ind w:left="20"/>
              <w:spacing w:after="0"/>
              <w:rPr>
                <w:sz w:val="20"/>
                <w:szCs w:val="20"/>
                <w:color w:val="auto"/>
              </w:rPr>
            </w:pPr>
            <w:r>
              <w:rPr>
                <w:rFonts w:ascii="Arial" w:cs="Arial" w:eastAsia="Arial" w:hAnsi="Arial"/>
                <w:sz w:val="18"/>
                <w:szCs w:val="18"/>
                <w:color w:val="auto"/>
              </w:rPr>
              <w:t>(A) 13,112,040</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8700" w:type="dxa"/>
            <w:vAlign w:val="bottom"/>
          </w:tcPr>
          <w:p>
            <w:pPr>
              <w:ind w:left="20"/>
              <w:spacing w:after="0"/>
              <w:rPr>
                <w:sz w:val="20"/>
                <w:szCs w:val="20"/>
                <w:color w:val="auto"/>
              </w:rPr>
            </w:pPr>
            <w:r>
              <w:rPr>
                <w:rFonts w:ascii="Arial" w:cs="Arial" w:eastAsia="Arial" w:hAnsi="Arial"/>
                <w:sz w:val="18"/>
                <w:szCs w:val="18"/>
                <w:color w:val="auto"/>
              </w:rPr>
              <w:t>(B) 13,112,040</w:t>
            </w:r>
          </w:p>
        </w:tc>
        <w:tc>
          <w:tcPr>
            <w:tcW w:w="0" w:type="dxa"/>
            <w:vAlign w:val="bottom"/>
          </w:tcPr>
          <w:p>
            <w:pPr>
              <w:spacing w:after="0"/>
              <w:rPr>
                <w:sz w:val="1"/>
                <w:szCs w:val="1"/>
                <w:color w:val="auto"/>
              </w:rPr>
            </w:pPr>
          </w:p>
        </w:tc>
      </w:tr>
      <w:tr>
        <w:trPr>
          <w:trHeight w:val="54"/>
        </w:trPr>
        <w:tc>
          <w:tcPr>
            <w:tcW w:w="1400" w:type="dxa"/>
            <w:vAlign w:val="bottom"/>
            <w:tcBorders>
              <w:bottom w:val="single" w:sz="8" w:color="auto"/>
            </w:tcBorders>
          </w:tcPr>
          <w:p>
            <w:pPr>
              <w:spacing w:after="0"/>
              <w:rPr>
                <w:sz w:val="4"/>
                <w:szCs w:val="4"/>
                <w:color w:val="auto"/>
              </w:rPr>
            </w:pPr>
          </w:p>
        </w:tc>
        <w:tc>
          <w:tcPr>
            <w:tcW w:w="66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right w:val="single" w:sz="8" w:color="auto"/>
            </w:tcBorders>
            <w:gridSpan w:val="2"/>
          </w:tcPr>
          <w:p>
            <w:pPr>
              <w:spacing w:after="0"/>
              <w:rPr>
                <w:sz w:val="4"/>
                <w:szCs w:val="4"/>
                <w:color w:val="auto"/>
              </w:rPr>
            </w:pPr>
          </w:p>
        </w:tc>
        <w:tc>
          <w:tcPr>
            <w:tcW w:w="8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002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83"/>
        </w:trPr>
        <w:tc>
          <w:tcPr>
            <w:tcW w:w="1400" w:type="dxa"/>
            <w:vAlign w:val="bottom"/>
            <w:tcBorders>
              <w:right w:val="single" w:sz="8" w:color="auto"/>
            </w:tcBorders>
            <w:vMerge w:val="continue"/>
          </w:tcPr>
          <w:p>
            <w:pPr>
              <w:spacing w:after="0"/>
              <w:rPr>
                <w:sz w:val="24"/>
                <w:szCs w:val="24"/>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auto"/>
              </w:rPr>
              <w:t>(A) 13,112,040</w:t>
            </w:r>
          </w:p>
        </w:tc>
        <w:tc>
          <w:tcPr>
            <w:tcW w:w="8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0" w:type="dxa"/>
            <w:vAlign w:val="bottom"/>
            <w:tcBorders>
              <w:right w:val="single" w:sz="8" w:color="auto"/>
            </w:tcBorders>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Arial" w:cs="Arial" w:eastAsia="Arial" w:hAnsi="Arial"/>
                <w:sz w:val="18"/>
                <w:szCs w:val="18"/>
                <w:color w:val="auto"/>
              </w:rPr>
              <w:t>(B) 13,613,481</w:t>
            </w:r>
          </w:p>
        </w:tc>
        <w:tc>
          <w:tcPr>
            <w:tcW w:w="8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8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1002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right w:val="single" w:sz="8" w:color="auto"/>
            </w:tcBorders>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8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8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1002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0" w:type="dxa"/>
            <w:vAlign w:val="bottom"/>
          </w:tcPr>
          <w:p>
            <w:pPr>
              <w:spacing w:after="0"/>
              <w:rPr>
                <w:sz w:val="1"/>
                <w:szCs w:val="1"/>
                <w:color w:val="auto"/>
              </w:rPr>
            </w:pPr>
          </w:p>
        </w:tc>
      </w:tr>
      <w:tr>
        <w:trPr>
          <w:trHeight w:val="283"/>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w w:val="99"/>
              </w:rPr>
              <w:t>(A) 5.77%</w:t>
            </w:r>
          </w:p>
        </w:tc>
        <w:tc>
          <w:tcPr>
            <w:tcW w:w="48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0" w:type="dxa"/>
            <w:vAlign w:val="bottom"/>
            <w:tcBorders>
              <w:right w:val="single" w:sz="8" w:color="auto"/>
            </w:tcBorders>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w w:val="99"/>
              </w:rPr>
              <w:t>(B) 5.99%</w:t>
            </w:r>
          </w:p>
        </w:tc>
        <w:tc>
          <w:tcPr>
            <w:tcW w:w="48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8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1002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0" w:type="dxa"/>
            <w:vAlign w:val="bottom"/>
          </w:tcPr>
          <w:p>
            <w:pPr>
              <w:spacing w:after="0"/>
              <w:rPr>
                <w:sz w:val="1"/>
                <w:szCs w:val="1"/>
                <w:color w:val="auto"/>
              </w:rPr>
            </w:pPr>
          </w:p>
        </w:tc>
      </w:tr>
      <w:tr>
        <w:trPr>
          <w:trHeight w:val="283"/>
        </w:trPr>
        <w:tc>
          <w:tcPr>
            <w:tcW w:w="1400" w:type="dxa"/>
            <w:vAlign w:val="bottom"/>
            <w:tcBorders>
              <w:right w:val="single" w:sz="8" w:color="auto"/>
            </w:tcBorders>
            <w:vMerge w:val="continue"/>
          </w:tcPr>
          <w:p>
            <w:pPr>
              <w:spacing w:after="0"/>
              <w:rPr>
                <w:sz w:val="24"/>
                <w:szCs w:val="24"/>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(A) IA</w:t>
            </w:r>
          </w:p>
        </w:tc>
        <w:tc>
          <w:tcPr>
            <w:tcW w:w="48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0" w:type="dxa"/>
            <w:vAlign w:val="bottom"/>
            <w:tcBorders>
              <w:right w:val="single" w:sz="8" w:color="auto"/>
            </w:tcBorders>
          </w:tcPr>
          <w:p>
            <w:pPr>
              <w:spacing w:after="0"/>
              <w:rPr>
                <w:sz w:val="20"/>
                <w:szCs w:val="20"/>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rPr>
              <w:t>(B) IN</w:t>
            </w:r>
          </w:p>
        </w:tc>
        <w:tc>
          <w:tcPr>
            <w:tcW w:w="48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6"/>
        </w:trPr>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700" w:type="dxa"/>
            <w:vAlign w:val="bottom"/>
          </w:tcPr>
          <w:p>
            <w:pPr>
              <w:ind w:left="1140"/>
              <w:spacing w:after="0"/>
              <w:rPr>
                <w:sz w:val="20"/>
                <w:szCs w:val="20"/>
                <w:color w:val="auto"/>
              </w:rPr>
            </w:pPr>
            <w:r>
              <w:rPr>
                <w:rFonts w:ascii="Arial" w:cs="Arial" w:eastAsia="Arial" w:hAnsi="Arial"/>
                <w:sz w:val="18"/>
                <w:szCs w:val="18"/>
                <w:color w:val="auto"/>
              </w:rPr>
              <w:t>*SEE INSTRUCTIONS BEFORE FILLING OUT!</w:t>
            </w:r>
          </w:p>
        </w:tc>
        <w:tc>
          <w:tcPr>
            <w:tcW w:w="0" w:type="dxa"/>
            <w:vAlign w:val="bottom"/>
          </w:tcPr>
          <w:p>
            <w:pPr>
              <w:spacing w:after="0"/>
              <w:rPr>
                <w:sz w:val="1"/>
                <w:szCs w:val="1"/>
                <w:color w:val="auto"/>
              </w:rPr>
            </w:pPr>
          </w:p>
        </w:tc>
      </w:tr>
      <w:tr>
        <w:trPr>
          <w:trHeight w:val="582"/>
        </w:trPr>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700" w:type="dxa"/>
            <w:vAlign w:val="bottom"/>
          </w:tcPr>
          <w:p>
            <w:pPr>
              <w:ind w:left="2600"/>
              <w:spacing w:after="0"/>
              <w:rPr>
                <w:sz w:val="20"/>
                <w:szCs w:val="20"/>
                <w:color w:val="auto"/>
              </w:rPr>
            </w:pPr>
            <w:r>
              <w:rPr>
                <w:rFonts w:ascii="Arial" w:cs="Arial" w:eastAsia="Arial" w:hAnsi="Arial"/>
                <w:sz w:val="14"/>
                <w:szCs w:val="14"/>
                <w:color w:val="auto"/>
              </w:rPr>
              <w:t>PAGE 2 OF 8</w:t>
            </w: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320" w:type="dxa"/>
            <w:vAlign w:val="bottom"/>
          </w:tcPr>
          <w:p>
            <w:pPr>
              <w:jc w:val="center"/>
              <w:ind w:left="2270"/>
              <w:spacing w:after="0"/>
              <w:rPr>
                <w:sz w:val="20"/>
                <w:szCs w:val="20"/>
                <w:color w:val="auto"/>
              </w:rPr>
            </w:pPr>
            <w:r>
              <w:rPr>
                <w:rFonts w:ascii="Arial" w:cs="Arial" w:eastAsia="Arial" w:hAnsi="Arial"/>
                <w:sz w:val="18"/>
                <w:szCs w:val="18"/>
                <w:color w:val="auto"/>
                <w:w w:val="88"/>
              </w:rPr>
              <w:t>United States</w:t>
            </w:r>
          </w:p>
        </w:tc>
        <w:tc>
          <w:tcPr>
            <w:tcW w:w="190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220" w:type="dxa"/>
            <w:vAlign w:val="bottom"/>
            <w:gridSpan w:val="2"/>
          </w:tcPr>
          <w:p>
            <w:pPr>
              <w:jc w:val="center"/>
              <w:ind w:left="370"/>
              <w:spacing w:after="0"/>
              <w:rPr>
                <w:sz w:val="20"/>
                <w:szCs w:val="20"/>
                <w:color w:val="auto"/>
              </w:rPr>
            </w:pPr>
            <w:r>
              <w:rPr>
                <w:rFonts w:ascii="Arial" w:cs="Arial" w:eastAsia="Arial" w:hAnsi="Arial"/>
                <w:sz w:val="18"/>
                <w:szCs w:val="18"/>
                <w:color w:val="auto"/>
                <w:w w:val="89"/>
              </w:rPr>
              <w:t>Securities and Exchange Commission</w:t>
            </w:r>
          </w:p>
        </w:tc>
      </w:tr>
      <w:tr>
        <w:trPr>
          <w:trHeight w:val="459"/>
        </w:trPr>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320" w:type="dxa"/>
            <w:vAlign w:val="bottom"/>
          </w:tcPr>
          <w:p>
            <w:pPr>
              <w:jc w:val="center"/>
              <w:ind w:left="2250"/>
              <w:spacing w:after="0"/>
              <w:rPr>
                <w:sz w:val="20"/>
                <w:szCs w:val="20"/>
                <w:color w:val="auto"/>
              </w:rPr>
            </w:pPr>
            <w:r>
              <w:rPr>
                <w:rFonts w:ascii="Arial" w:cs="Arial" w:eastAsia="Arial" w:hAnsi="Arial"/>
                <w:sz w:val="18"/>
                <w:szCs w:val="18"/>
                <w:color w:val="auto"/>
                <w:w w:val="89"/>
              </w:rPr>
              <w:t>Schedule 13G</w:t>
            </w:r>
          </w:p>
        </w:tc>
        <w:tc>
          <w:tcPr>
            <w:tcW w:w="1900" w:type="dxa"/>
            <w:vAlign w:val="bottom"/>
          </w:tcPr>
          <w:p>
            <w:pPr>
              <w:spacing w:after="0"/>
              <w:rPr>
                <w:sz w:val="24"/>
                <w:szCs w:val="24"/>
                <w:color w:val="auto"/>
              </w:rPr>
            </w:pPr>
          </w:p>
        </w:tc>
      </w:tr>
      <w:tr>
        <w:trPr>
          <w:trHeight w:val="459"/>
        </w:trPr>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320" w:type="dxa"/>
            <w:vAlign w:val="bottom"/>
          </w:tcPr>
          <w:p>
            <w:pPr>
              <w:jc w:val="center"/>
              <w:ind w:left="2250"/>
              <w:spacing w:after="0"/>
              <w:rPr>
                <w:sz w:val="20"/>
                <w:szCs w:val="20"/>
                <w:color w:val="auto"/>
              </w:rPr>
            </w:pPr>
            <w:r>
              <w:rPr>
                <w:rFonts w:ascii="Arial" w:cs="Arial" w:eastAsia="Arial" w:hAnsi="Arial"/>
                <w:sz w:val="18"/>
                <w:szCs w:val="18"/>
                <w:color w:val="auto"/>
              </w:rPr>
              <w:t>*********************</w:t>
            </w:r>
          </w:p>
        </w:tc>
        <w:tc>
          <w:tcPr>
            <w:tcW w:w="1900" w:type="dxa"/>
            <w:vAlign w:val="bottom"/>
          </w:tcPr>
          <w:p>
            <w:pPr>
              <w:spacing w:after="0"/>
              <w:rPr>
                <w:sz w:val="24"/>
                <w:szCs w:val="24"/>
                <w:color w:val="auto"/>
              </w:rPr>
            </w:pPr>
          </w:p>
        </w:tc>
      </w:tr>
      <w:tr>
        <w:trPr>
          <w:trHeight w:val="445"/>
        </w:trPr>
        <w:tc>
          <w:tcPr>
            <w:tcW w:w="600" w:type="dxa"/>
            <w:vAlign w:val="bottom"/>
          </w:tcPr>
          <w:p>
            <w:pPr>
              <w:spacing w:after="0"/>
              <w:rPr>
                <w:sz w:val="20"/>
                <w:szCs w:val="20"/>
                <w:color w:val="auto"/>
              </w:rPr>
            </w:pPr>
            <w:r>
              <w:rPr>
                <w:rFonts w:ascii="Arial" w:cs="Arial" w:eastAsia="Arial" w:hAnsi="Arial"/>
                <w:sz w:val="18"/>
                <w:szCs w:val="18"/>
                <w:color w:val="auto"/>
              </w:rPr>
              <w:t>Item 1.</w:t>
            </w:r>
          </w:p>
        </w:tc>
        <w:tc>
          <w:tcPr>
            <w:tcW w:w="440" w:type="dxa"/>
            <w:vAlign w:val="bottom"/>
          </w:tcPr>
          <w:p>
            <w:pPr>
              <w:ind w:left="100"/>
              <w:spacing w:after="0"/>
              <w:rPr>
                <w:sz w:val="20"/>
                <w:szCs w:val="20"/>
                <w:color w:val="auto"/>
              </w:rPr>
            </w:pPr>
            <w:r>
              <w:rPr>
                <w:rFonts w:ascii="Arial" w:cs="Arial" w:eastAsia="Arial" w:hAnsi="Arial"/>
                <w:sz w:val="18"/>
                <w:szCs w:val="18"/>
                <w:color w:val="auto"/>
              </w:rPr>
              <w:t>(a)</w:t>
            </w:r>
          </w:p>
        </w:tc>
        <w:tc>
          <w:tcPr>
            <w:tcW w:w="1340" w:type="dxa"/>
            <w:vAlign w:val="bottom"/>
          </w:tcPr>
          <w:p>
            <w:pPr>
              <w:ind w:left="120"/>
              <w:spacing w:after="0"/>
              <w:rPr>
                <w:sz w:val="20"/>
                <w:szCs w:val="20"/>
                <w:color w:val="auto"/>
              </w:rPr>
            </w:pPr>
            <w:r>
              <w:rPr>
                <w:rFonts w:ascii="Arial" w:cs="Arial" w:eastAsia="Arial" w:hAnsi="Arial"/>
                <w:sz w:val="18"/>
                <w:szCs w:val="18"/>
                <w:color w:val="auto"/>
              </w:rPr>
              <w:t>Issuer:</w:t>
            </w:r>
          </w:p>
        </w:tc>
        <w:tc>
          <w:tcPr>
            <w:tcW w:w="4320" w:type="dxa"/>
            <w:vAlign w:val="bottom"/>
          </w:tcPr>
          <w:p>
            <w:pPr>
              <w:ind w:left="140"/>
              <w:spacing w:after="0"/>
              <w:rPr>
                <w:sz w:val="20"/>
                <w:szCs w:val="20"/>
                <w:color w:val="auto"/>
              </w:rPr>
            </w:pPr>
            <w:r>
              <w:rPr>
                <w:rFonts w:ascii="Arial" w:cs="Arial" w:eastAsia="Arial" w:hAnsi="Arial"/>
                <w:sz w:val="18"/>
                <w:szCs w:val="18"/>
                <w:color w:val="auto"/>
              </w:rPr>
              <w:t>Plains GP Holdings, L.P.</w:t>
            </w:r>
          </w:p>
        </w:tc>
        <w:tc>
          <w:tcPr>
            <w:tcW w:w="1900" w:type="dxa"/>
            <w:vAlign w:val="bottom"/>
          </w:tcPr>
          <w:p>
            <w:pPr>
              <w:spacing w:after="0"/>
              <w:rPr>
                <w:sz w:val="24"/>
                <w:szCs w:val="24"/>
                <w:color w:val="auto"/>
              </w:rPr>
            </w:pPr>
          </w:p>
        </w:tc>
      </w:tr>
      <w:tr>
        <w:trPr>
          <w:trHeight w:val="216"/>
        </w:trPr>
        <w:tc>
          <w:tcPr>
            <w:tcW w:w="600" w:type="dxa"/>
            <w:vAlign w:val="bottom"/>
          </w:tcPr>
          <w:p>
            <w:pPr>
              <w:spacing w:after="0"/>
              <w:rPr>
                <w:sz w:val="18"/>
                <w:szCs w:val="18"/>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(b)</w:t>
            </w:r>
          </w:p>
        </w:tc>
        <w:tc>
          <w:tcPr>
            <w:tcW w:w="1340" w:type="dxa"/>
            <w:vAlign w:val="bottom"/>
          </w:tcPr>
          <w:p>
            <w:pPr>
              <w:ind w:left="120"/>
              <w:spacing w:after="0"/>
              <w:rPr>
                <w:sz w:val="20"/>
                <w:szCs w:val="20"/>
                <w:color w:val="auto"/>
              </w:rPr>
            </w:pPr>
            <w:r>
              <w:rPr>
                <w:rFonts w:ascii="Arial" w:cs="Arial" w:eastAsia="Arial" w:hAnsi="Arial"/>
                <w:sz w:val="18"/>
                <w:szCs w:val="18"/>
                <w:color w:val="auto"/>
              </w:rPr>
              <w:t>Address:</w:t>
            </w:r>
          </w:p>
        </w:tc>
        <w:tc>
          <w:tcPr>
            <w:tcW w:w="4320" w:type="dxa"/>
            <w:vAlign w:val="bottom"/>
          </w:tcPr>
          <w:p>
            <w:pPr>
              <w:ind w:left="140"/>
              <w:spacing w:after="0"/>
              <w:rPr>
                <w:sz w:val="20"/>
                <w:szCs w:val="20"/>
                <w:color w:val="auto"/>
              </w:rPr>
            </w:pPr>
            <w:r>
              <w:rPr>
                <w:rFonts w:ascii="Arial" w:cs="Arial" w:eastAsia="Arial" w:hAnsi="Arial"/>
                <w:sz w:val="18"/>
                <w:szCs w:val="18"/>
                <w:color w:val="auto"/>
              </w:rPr>
              <w:t>333 Clay Street Suite 1600</w:t>
            </w:r>
          </w:p>
        </w:tc>
        <w:tc>
          <w:tcPr>
            <w:tcW w:w="190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320" w:type="dxa"/>
            <w:vAlign w:val="bottom"/>
          </w:tcPr>
          <w:p>
            <w:pPr>
              <w:ind w:left="140"/>
              <w:spacing w:after="0"/>
              <w:rPr>
                <w:sz w:val="20"/>
                <w:szCs w:val="20"/>
                <w:color w:val="auto"/>
              </w:rPr>
            </w:pPr>
            <w:r>
              <w:rPr>
                <w:rFonts w:ascii="Arial" w:cs="Arial" w:eastAsia="Arial" w:hAnsi="Arial"/>
                <w:sz w:val="18"/>
                <w:szCs w:val="18"/>
                <w:color w:val="auto"/>
              </w:rPr>
              <w:t>Houston, TX 77002</w:t>
            </w:r>
          </w:p>
        </w:tc>
        <w:tc>
          <w:tcPr>
            <w:tcW w:w="1900" w:type="dxa"/>
            <w:vAlign w:val="bottom"/>
          </w:tcPr>
          <w:p>
            <w:pPr>
              <w:spacing w:after="0"/>
              <w:rPr>
                <w:sz w:val="20"/>
                <w:szCs w:val="20"/>
                <w:color w:val="auto"/>
              </w:rPr>
            </w:pPr>
          </w:p>
        </w:tc>
      </w:tr>
      <w:tr>
        <w:trPr>
          <w:trHeight w:val="445"/>
        </w:trPr>
        <w:tc>
          <w:tcPr>
            <w:tcW w:w="600" w:type="dxa"/>
            <w:vAlign w:val="bottom"/>
          </w:tcPr>
          <w:p>
            <w:pPr>
              <w:spacing w:after="0"/>
              <w:rPr>
                <w:sz w:val="20"/>
                <w:szCs w:val="20"/>
                <w:color w:val="auto"/>
              </w:rPr>
            </w:pPr>
            <w:r>
              <w:rPr>
                <w:rFonts w:ascii="Arial" w:cs="Arial" w:eastAsia="Arial" w:hAnsi="Arial"/>
                <w:sz w:val="18"/>
                <w:szCs w:val="18"/>
                <w:color w:val="auto"/>
              </w:rPr>
              <w:t>Item 2.</w:t>
            </w:r>
          </w:p>
        </w:tc>
        <w:tc>
          <w:tcPr>
            <w:tcW w:w="440" w:type="dxa"/>
            <w:vAlign w:val="bottom"/>
          </w:tcPr>
          <w:p>
            <w:pPr>
              <w:ind w:left="100"/>
              <w:spacing w:after="0"/>
              <w:rPr>
                <w:sz w:val="20"/>
                <w:szCs w:val="20"/>
                <w:color w:val="auto"/>
              </w:rPr>
            </w:pPr>
            <w:r>
              <w:rPr>
                <w:rFonts w:ascii="Arial" w:cs="Arial" w:eastAsia="Arial" w:hAnsi="Arial"/>
                <w:sz w:val="18"/>
                <w:szCs w:val="18"/>
                <w:color w:val="auto"/>
              </w:rPr>
              <w:t>(a)</w:t>
            </w:r>
          </w:p>
        </w:tc>
        <w:tc>
          <w:tcPr>
            <w:tcW w:w="1340" w:type="dxa"/>
            <w:vAlign w:val="bottom"/>
          </w:tcPr>
          <w:p>
            <w:pPr>
              <w:ind w:left="120"/>
              <w:spacing w:after="0"/>
              <w:rPr>
                <w:sz w:val="20"/>
                <w:szCs w:val="20"/>
                <w:color w:val="auto"/>
              </w:rPr>
            </w:pPr>
            <w:r>
              <w:rPr>
                <w:rFonts w:ascii="Arial" w:cs="Arial" w:eastAsia="Arial" w:hAnsi="Arial"/>
                <w:sz w:val="18"/>
                <w:szCs w:val="18"/>
                <w:color w:val="auto"/>
              </w:rPr>
              <w:t>Filing Persons:</w:t>
            </w:r>
          </w:p>
        </w:tc>
        <w:tc>
          <w:tcPr>
            <w:tcW w:w="4320" w:type="dxa"/>
            <w:vAlign w:val="bottom"/>
          </w:tcPr>
          <w:p>
            <w:pPr>
              <w:ind w:left="160"/>
              <w:spacing w:after="0"/>
              <w:rPr>
                <w:sz w:val="20"/>
                <w:szCs w:val="20"/>
                <w:color w:val="auto"/>
              </w:rPr>
            </w:pPr>
            <w:r>
              <w:rPr>
                <w:rFonts w:ascii="Arial" w:cs="Arial" w:eastAsia="Arial" w:hAnsi="Arial"/>
                <w:sz w:val="18"/>
                <w:szCs w:val="18"/>
                <w:color w:val="auto"/>
              </w:rPr>
              <w:t>Kayne Anderson</w:t>
            </w:r>
          </w:p>
        </w:tc>
        <w:tc>
          <w:tcPr>
            <w:tcW w:w="1900" w:type="dxa"/>
            <w:vAlign w:val="bottom"/>
          </w:tcPr>
          <w:p>
            <w:pPr>
              <w:ind w:left="40"/>
              <w:spacing w:after="0"/>
              <w:rPr>
                <w:sz w:val="20"/>
                <w:szCs w:val="20"/>
                <w:color w:val="auto"/>
              </w:rPr>
            </w:pPr>
            <w:r>
              <w:rPr>
                <w:rFonts w:ascii="Arial" w:cs="Arial" w:eastAsia="Arial" w:hAnsi="Arial"/>
                <w:sz w:val="18"/>
                <w:szCs w:val="18"/>
                <w:color w:val="auto"/>
              </w:rPr>
              <w:t>Richard A. Kayne</w:t>
            </w:r>
          </w:p>
        </w:tc>
      </w:tr>
      <w:tr>
        <w:trPr>
          <w:trHeight w:val="230"/>
        </w:trPr>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Capital Advisors, L.P.</w:t>
            </w:r>
          </w:p>
        </w:tc>
        <w:tc>
          <w:tcPr>
            <w:tcW w:w="1900" w:type="dxa"/>
            <w:vAlign w:val="bottom"/>
          </w:tcPr>
          <w:p>
            <w:pPr>
              <w:spacing w:after="0"/>
              <w:rPr>
                <w:sz w:val="20"/>
                <w:szCs w:val="20"/>
                <w:color w:val="auto"/>
              </w:rPr>
            </w:pPr>
          </w:p>
        </w:tc>
      </w:tr>
      <w:tr>
        <w:trPr>
          <w:trHeight w:val="418"/>
        </w:trPr>
        <w:tc>
          <w:tcPr>
            <w:tcW w:w="600" w:type="dxa"/>
            <w:vAlign w:val="bottom"/>
          </w:tcPr>
          <w:p>
            <w:pPr>
              <w:spacing w:after="0"/>
              <w:rPr>
                <w:sz w:val="24"/>
                <w:szCs w:val="24"/>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(b)</w:t>
            </w:r>
          </w:p>
        </w:tc>
        <w:tc>
          <w:tcPr>
            <w:tcW w:w="1340" w:type="dxa"/>
            <w:vAlign w:val="bottom"/>
          </w:tcPr>
          <w:p>
            <w:pPr>
              <w:ind w:left="120"/>
              <w:spacing w:after="0"/>
              <w:rPr>
                <w:sz w:val="20"/>
                <w:szCs w:val="20"/>
                <w:color w:val="auto"/>
              </w:rPr>
            </w:pPr>
            <w:r>
              <w:rPr>
                <w:rFonts w:ascii="Arial" w:cs="Arial" w:eastAsia="Arial" w:hAnsi="Arial"/>
                <w:sz w:val="18"/>
                <w:szCs w:val="18"/>
                <w:color w:val="auto"/>
              </w:rPr>
              <w:t>Addresses:</w:t>
            </w:r>
          </w:p>
        </w:tc>
        <w:tc>
          <w:tcPr>
            <w:tcW w:w="4320" w:type="dxa"/>
            <w:vAlign w:val="bottom"/>
          </w:tcPr>
          <w:p>
            <w:pPr>
              <w:ind w:left="160"/>
              <w:spacing w:after="0"/>
              <w:rPr>
                <w:sz w:val="20"/>
                <w:szCs w:val="20"/>
                <w:color w:val="auto"/>
              </w:rPr>
            </w:pPr>
            <w:r>
              <w:rPr>
                <w:rFonts w:ascii="Arial" w:cs="Arial" w:eastAsia="Arial" w:hAnsi="Arial"/>
                <w:sz w:val="18"/>
                <w:szCs w:val="18"/>
                <w:color w:val="auto"/>
              </w:rPr>
              <w:t>1800 Avenue of the Stars,</w:t>
            </w:r>
          </w:p>
        </w:tc>
        <w:tc>
          <w:tcPr>
            <w:tcW w:w="1900" w:type="dxa"/>
            <w:vAlign w:val="bottom"/>
          </w:tcPr>
          <w:p>
            <w:pPr>
              <w:ind w:left="40"/>
              <w:spacing w:after="0"/>
              <w:rPr>
                <w:sz w:val="20"/>
                <w:szCs w:val="20"/>
                <w:color w:val="auto"/>
              </w:rPr>
            </w:pPr>
            <w:r>
              <w:rPr>
                <w:rFonts w:ascii="Arial" w:cs="Arial" w:eastAsia="Arial" w:hAnsi="Arial"/>
                <w:sz w:val="18"/>
                <w:szCs w:val="18"/>
                <w:color w:val="auto"/>
                <w:w w:val="88"/>
              </w:rPr>
              <w:t>1800 Avenue of the Stars,</w:t>
            </w:r>
          </w:p>
        </w:tc>
      </w:tr>
      <w:tr>
        <w:trPr>
          <w:trHeight w:val="216"/>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Third Floor</w:t>
            </w:r>
          </w:p>
        </w:tc>
        <w:tc>
          <w:tcPr>
            <w:tcW w:w="1900" w:type="dxa"/>
            <w:vAlign w:val="bottom"/>
          </w:tcPr>
          <w:p>
            <w:pPr>
              <w:ind w:left="40"/>
              <w:spacing w:after="0"/>
              <w:rPr>
                <w:sz w:val="20"/>
                <w:szCs w:val="20"/>
                <w:color w:val="auto"/>
              </w:rPr>
            </w:pPr>
            <w:r>
              <w:rPr>
                <w:rFonts w:ascii="Arial" w:cs="Arial" w:eastAsia="Arial" w:hAnsi="Arial"/>
                <w:sz w:val="18"/>
                <w:szCs w:val="18"/>
                <w:color w:val="auto"/>
              </w:rPr>
              <w:t>Third Floor</w:t>
            </w:r>
          </w:p>
        </w:tc>
      </w:tr>
      <w:tr>
        <w:trPr>
          <w:trHeight w:val="230"/>
        </w:trPr>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Los Angeles, CA 90067</w:t>
            </w:r>
          </w:p>
        </w:tc>
        <w:tc>
          <w:tcPr>
            <w:tcW w:w="1900" w:type="dxa"/>
            <w:vAlign w:val="bottom"/>
          </w:tcPr>
          <w:p>
            <w:pPr>
              <w:ind w:left="40"/>
              <w:spacing w:after="0"/>
              <w:rPr>
                <w:sz w:val="20"/>
                <w:szCs w:val="20"/>
                <w:color w:val="auto"/>
              </w:rPr>
            </w:pPr>
            <w:r>
              <w:rPr>
                <w:rFonts w:ascii="Arial" w:cs="Arial" w:eastAsia="Arial" w:hAnsi="Arial"/>
                <w:sz w:val="18"/>
                <w:szCs w:val="18"/>
                <w:color w:val="auto"/>
                <w:w w:val="97"/>
              </w:rPr>
              <w:t>Los Angeles, CA 90067</w:t>
            </w:r>
          </w:p>
        </w:tc>
      </w:tr>
      <w:tr>
        <w:trPr>
          <w:trHeight w:val="418"/>
        </w:trPr>
        <w:tc>
          <w:tcPr>
            <w:tcW w:w="600" w:type="dxa"/>
            <w:vAlign w:val="bottom"/>
          </w:tcPr>
          <w:p>
            <w:pPr>
              <w:spacing w:after="0"/>
              <w:rPr>
                <w:sz w:val="24"/>
                <w:szCs w:val="24"/>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(c)</w:t>
            </w:r>
          </w:p>
        </w:tc>
        <w:tc>
          <w:tcPr>
            <w:tcW w:w="1340" w:type="dxa"/>
            <w:vAlign w:val="bottom"/>
          </w:tcPr>
          <w:p>
            <w:pPr>
              <w:ind w:left="120"/>
              <w:spacing w:after="0"/>
              <w:rPr>
                <w:sz w:val="20"/>
                <w:szCs w:val="20"/>
                <w:color w:val="auto"/>
              </w:rPr>
            </w:pPr>
            <w:r>
              <w:rPr>
                <w:rFonts w:ascii="Arial" w:cs="Arial" w:eastAsia="Arial" w:hAnsi="Arial"/>
                <w:sz w:val="18"/>
                <w:szCs w:val="18"/>
                <w:color w:val="auto"/>
              </w:rPr>
              <w:t>Citizenship:</w:t>
            </w:r>
          </w:p>
        </w:tc>
        <w:tc>
          <w:tcPr>
            <w:tcW w:w="4320" w:type="dxa"/>
            <w:vAlign w:val="bottom"/>
          </w:tcPr>
          <w:p>
            <w:pPr>
              <w:ind w:left="160"/>
              <w:spacing w:after="0"/>
              <w:rPr>
                <w:sz w:val="20"/>
                <w:szCs w:val="20"/>
                <w:color w:val="auto"/>
              </w:rPr>
            </w:pPr>
            <w:r>
              <w:rPr>
                <w:rFonts w:ascii="Arial" w:cs="Arial" w:eastAsia="Arial" w:hAnsi="Arial"/>
                <w:sz w:val="18"/>
                <w:szCs w:val="18"/>
                <w:color w:val="auto"/>
              </w:rPr>
              <w:t>Kayne Anderson Capital Advisors, L.P. is a</w:t>
            </w:r>
          </w:p>
        </w:tc>
        <w:tc>
          <w:tcPr>
            <w:tcW w:w="1900" w:type="dxa"/>
            <w:vAlign w:val="bottom"/>
          </w:tcPr>
          <w:p>
            <w:pPr>
              <w:spacing w:after="0"/>
              <w:rPr>
                <w:sz w:val="24"/>
                <w:szCs w:val="24"/>
                <w:color w:val="auto"/>
              </w:rPr>
            </w:pPr>
          </w:p>
        </w:tc>
      </w:tr>
      <w:tr>
        <w:trPr>
          <w:trHeight w:val="216"/>
        </w:trPr>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California limited partnership</w:t>
            </w:r>
          </w:p>
        </w:tc>
        <w:tc>
          <w:tcPr>
            <w:tcW w:w="190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Richard A. Kayne is a U.S. Citizen</w:t>
            </w:r>
          </w:p>
        </w:tc>
        <w:tc>
          <w:tcPr>
            <w:tcW w:w="1900" w:type="dxa"/>
            <w:vAlign w:val="bottom"/>
          </w:tcPr>
          <w:p>
            <w:pPr>
              <w:spacing w:after="0"/>
              <w:rPr>
                <w:sz w:val="20"/>
                <w:szCs w:val="20"/>
                <w:color w:val="auto"/>
              </w:rPr>
            </w:pPr>
          </w:p>
        </w:tc>
      </w:tr>
      <w:tr>
        <w:trPr>
          <w:trHeight w:val="418"/>
        </w:trPr>
        <w:tc>
          <w:tcPr>
            <w:tcW w:w="600" w:type="dxa"/>
            <w:vAlign w:val="bottom"/>
          </w:tcPr>
          <w:p>
            <w:pPr>
              <w:spacing w:after="0"/>
              <w:rPr>
                <w:sz w:val="24"/>
                <w:szCs w:val="24"/>
                <w:color w:val="auto"/>
              </w:rPr>
            </w:pPr>
          </w:p>
        </w:tc>
        <w:tc>
          <w:tcPr>
            <w:tcW w:w="440" w:type="dxa"/>
            <w:vAlign w:val="bottom"/>
          </w:tcPr>
          <w:p>
            <w:pPr>
              <w:ind w:left="100"/>
              <w:spacing w:after="0"/>
              <w:rPr>
                <w:sz w:val="20"/>
                <w:szCs w:val="20"/>
                <w:color w:val="auto"/>
              </w:rPr>
            </w:pPr>
            <w:r>
              <w:rPr>
                <w:rFonts w:ascii="Arial" w:cs="Arial" w:eastAsia="Arial" w:hAnsi="Arial"/>
                <w:sz w:val="18"/>
                <w:szCs w:val="18"/>
                <w:color w:val="auto"/>
              </w:rPr>
              <w:t>(d)</w:t>
            </w:r>
          </w:p>
        </w:tc>
        <w:tc>
          <w:tcPr>
            <w:tcW w:w="1340" w:type="dxa"/>
            <w:vAlign w:val="bottom"/>
          </w:tcPr>
          <w:p>
            <w:pPr>
              <w:ind w:left="120"/>
              <w:spacing w:after="0"/>
              <w:rPr>
                <w:sz w:val="20"/>
                <w:szCs w:val="20"/>
                <w:color w:val="auto"/>
              </w:rPr>
            </w:pPr>
            <w:r>
              <w:rPr>
                <w:rFonts w:ascii="Arial" w:cs="Arial" w:eastAsia="Arial" w:hAnsi="Arial"/>
                <w:sz w:val="18"/>
                <w:szCs w:val="18"/>
                <w:color w:val="auto"/>
              </w:rPr>
              <w:t>Title of Class</w:t>
            </w:r>
          </w:p>
        </w:tc>
        <w:tc>
          <w:tcPr>
            <w:tcW w:w="43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30"/>
        </w:trPr>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ind w:left="120"/>
              <w:spacing w:after="0"/>
              <w:rPr>
                <w:sz w:val="20"/>
                <w:szCs w:val="20"/>
                <w:color w:val="auto"/>
              </w:rPr>
            </w:pPr>
            <w:r>
              <w:rPr>
                <w:rFonts w:ascii="Arial" w:cs="Arial" w:eastAsia="Arial" w:hAnsi="Arial"/>
                <w:sz w:val="18"/>
                <w:szCs w:val="18"/>
                <w:color w:val="auto"/>
              </w:rPr>
              <w:t>of Securities:</w:t>
            </w:r>
          </w:p>
        </w:tc>
        <w:tc>
          <w:tcPr>
            <w:tcW w:w="4320" w:type="dxa"/>
            <w:vAlign w:val="bottom"/>
          </w:tcPr>
          <w:p>
            <w:pPr>
              <w:ind w:left="160"/>
              <w:spacing w:after="0"/>
              <w:rPr>
                <w:sz w:val="20"/>
                <w:szCs w:val="20"/>
                <w:color w:val="auto"/>
              </w:rPr>
            </w:pPr>
            <w:r>
              <w:rPr>
                <w:rFonts w:ascii="Arial" w:cs="Arial" w:eastAsia="Arial" w:hAnsi="Arial"/>
                <w:sz w:val="18"/>
                <w:szCs w:val="18"/>
                <w:color w:val="auto"/>
              </w:rPr>
              <w:t>Class A Shares</w:t>
            </w:r>
          </w:p>
        </w:tc>
        <w:tc>
          <w:tcPr>
            <w:tcW w:w="1900" w:type="dxa"/>
            <w:vAlign w:val="bottom"/>
          </w:tcPr>
          <w:p>
            <w:pPr>
              <w:spacing w:after="0"/>
              <w:rPr>
                <w:sz w:val="20"/>
                <w:szCs w:val="20"/>
                <w:color w:val="auto"/>
              </w:rPr>
            </w:pPr>
          </w:p>
        </w:tc>
      </w:tr>
    </w:tbl>
    <w:p>
      <w:pPr>
        <w:spacing w:after="0" w:line="202" w:lineRule="exact"/>
        <w:rPr>
          <w:sz w:val="20"/>
          <w:szCs w:val="20"/>
          <w:color w:val="auto"/>
        </w:rPr>
      </w:pPr>
    </w:p>
    <w:p>
      <w:pPr>
        <w:ind w:left="1160" w:hanging="463"/>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Cusip Number:    72651A108</w:t>
      </w:r>
    </w:p>
    <w:p>
      <w:pPr>
        <w:spacing w:after="0" w:line="25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Rule 13d-1(b) or 13d-2(b), check whether the person filing is a:</w:t>
      </w:r>
    </w:p>
    <w:p>
      <w:pPr>
        <w:spacing w:after="0" w:line="225" w:lineRule="exact"/>
        <w:rPr>
          <w:sz w:val="20"/>
          <w:szCs w:val="20"/>
          <w:color w:val="auto"/>
        </w:rPr>
      </w:pPr>
    </w:p>
    <w:p>
      <w:pPr>
        <w:ind w:right="580" w:firstLine="697"/>
        <w:spacing w:after="0" w:line="516" w:lineRule="auto"/>
        <w:tabs>
          <w:tab w:leader="none" w:pos="1148" w:val="left"/>
        </w:tabs>
        <w:numPr>
          <w:ilvl w:val="0"/>
          <w:numId w:val="5"/>
        </w:numPr>
        <w:rPr>
          <w:rFonts w:ascii="Arial" w:cs="Arial" w:eastAsia="Arial" w:hAnsi="Arial"/>
          <w:sz w:val="18"/>
          <w:szCs w:val="18"/>
          <w:color w:val="auto"/>
        </w:rPr>
      </w:pPr>
      <w:r>
        <w:rPr>
          <w:rFonts w:ascii="Arial" w:cs="Arial" w:eastAsia="Arial" w:hAnsi="Arial"/>
          <w:sz w:val="18"/>
          <w:szCs w:val="18"/>
          <w:color w:val="auto"/>
        </w:rPr>
        <w:t>Kayne Anderson Capital Advisors, L.P., is an investment adviser registered under section 203 of the Investment Advisers Act of 1940. Item 4. Ownership</w:t>
      </w:r>
    </w:p>
    <w:p>
      <w:pPr>
        <w:spacing w:after="0" w:line="1"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(a)</w:t>
            </w:r>
          </w:p>
        </w:tc>
        <w:tc>
          <w:tcPr>
            <w:tcW w:w="6700" w:type="dxa"/>
            <w:vAlign w:val="bottom"/>
          </w:tcPr>
          <w:p>
            <w:pPr>
              <w:ind w:left="120"/>
              <w:spacing w:after="0"/>
              <w:rPr>
                <w:sz w:val="20"/>
                <w:szCs w:val="20"/>
                <w:color w:val="auto"/>
              </w:rPr>
            </w:pPr>
            <w:r>
              <w:rPr>
                <w:rFonts w:ascii="Arial" w:cs="Arial" w:eastAsia="Arial" w:hAnsi="Arial"/>
                <w:sz w:val="18"/>
                <w:szCs w:val="18"/>
                <w:color w:val="auto"/>
              </w:rPr>
              <w:t>Amount Beneficially Owned:</w:t>
            </w:r>
          </w:p>
        </w:tc>
        <w:tc>
          <w:tcPr>
            <w:tcW w:w="3680" w:type="dxa"/>
            <w:vAlign w:val="bottom"/>
          </w:tcPr>
          <w:p>
            <w:pPr>
              <w:spacing w:after="0"/>
              <w:rPr>
                <w:sz w:val="20"/>
                <w:szCs w:val="20"/>
                <w:color w:val="auto"/>
              </w:rPr>
            </w:pPr>
          </w:p>
        </w:tc>
      </w:tr>
      <w:tr>
        <w:trPr>
          <w:trHeight w:val="418"/>
        </w:trPr>
        <w:tc>
          <w:tcPr>
            <w:tcW w:w="7040" w:type="dxa"/>
            <w:vAlign w:val="bottom"/>
            <w:gridSpan w:val="2"/>
          </w:tcPr>
          <w:p>
            <w:pPr>
              <w:spacing w:after="0"/>
              <w:rPr>
                <w:sz w:val="20"/>
                <w:szCs w:val="20"/>
                <w:color w:val="auto"/>
              </w:rPr>
            </w:pPr>
            <w:r>
              <w:rPr>
                <w:rFonts w:ascii="Arial" w:cs="Arial" w:eastAsia="Arial" w:hAnsi="Arial"/>
                <w:sz w:val="18"/>
                <w:szCs w:val="18"/>
                <w:color w:val="auto"/>
              </w:rPr>
              <w:t>Kayne Anderson Capital Advisors, L.P. Managed Accounts</w:t>
            </w:r>
          </w:p>
        </w:tc>
        <w:tc>
          <w:tcPr>
            <w:tcW w:w="3680" w:type="dxa"/>
            <w:vAlign w:val="bottom"/>
          </w:tcPr>
          <w:p>
            <w:pPr>
              <w:jc w:val="right"/>
              <w:spacing w:after="0"/>
              <w:rPr>
                <w:sz w:val="20"/>
                <w:szCs w:val="20"/>
                <w:color w:val="auto"/>
              </w:rPr>
            </w:pPr>
            <w:r>
              <w:rPr>
                <w:rFonts w:ascii="Arial" w:cs="Arial" w:eastAsia="Arial" w:hAnsi="Arial"/>
                <w:sz w:val="18"/>
                <w:szCs w:val="18"/>
                <w:color w:val="auto"/>
              </w:rPr>
              <w:t>13,112,040</w:t>
            </w:r>
          </w:p>
        </w:tc>
      </w:tr>
      <w:tr>
        <w:trPr>
          <w:trHeight w:val="230"/>
        </w:trPr>
        <w:tc>
          <w:tcPr>
            <w:tcW w:w="7040" w:type="dxa"/>
            <w:vAlign w:val="bottom"/>
            <w:gridSpan w:val="2"/>
          </w:tcPr>
          <w:p>
            <w:pPr>
              <w:spacing w:after="0"/>
              <w:rPr>
                <w:sz w:val="20"/>
                <w:szCs w:val="20"/>
                <w:color w:val="auto"/>
              </w:rPr>
            </w:pPr>
            <w:r>
              <w:rPr>
                <w:rFonts w:ascii="Arial" w:cs="Arial" w:eastAsia="Arial" w:hAnsi="Arial"/>
                <w:sz w:val="18"/>
                <w:szCs w:val="18"/>
                <w:color w:val="auto"/>
              </w:rPr>
              <w:t>Richard A. Kayne</w:t>
            </w:r>
          </w:p>
        </w:tc>
        <w:tc>
          <w:tcPr>
            <w:tcW w:w="3680" w:type="dxa"/>
            <w:vAlign w:val="bottom"/>
          </w:tcPr>
          <w:p>
            <w:pPr>
              <w:jc w:val="right"/>
              <w:spacing w:after="0"/>
              <w:rPr>
                <w:sz w:val="20"/>
                <w:szCs w:val="20"/>
                <w:color w:val="auto"/>
              </w:rPr>
            </w:pPr>
            <w:r>
              <w:rPr>
                <w:rFonts w:ascii="Arial" w:cs="Arial" w:eastAsia="Arial" w:hAnsi="Arial"/>
                <w:sz w:val="18"/>
                <w:szCs w:val="18"/>
                <w:color w:val="auto"/>
              </w:rPr>
              <w:t>13,613,481</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rPr>
              <w:t>(b)</w:t>
            </w:r>
          </w:p>
        </w:tc>
        <w:tc>
          <w:tcPr>
            <w:tcW w:w="6700" w:type="dxa"/>
            <w:vAlign w:val="bottom"/>
          </w:tcPr>
          <w:p>
            <w:pPr>
              <w:ind w:left="120"/>
              <w:spacing w:after="0"/>
              <w:rPr>
                <w:sz w:val="20"/>
                <w:szCs w:val="20"/>
                <w:color w:val="auto"/>
              </w:rPr>
            </w:pPr>
            <w:r>
              <w:rPr>
                <w:rFonts w:ascii="Arial" w:cs="Arial" w:eastAsia="Arial" w:hAnsi="Arial"/>
                <w:sz w:val="18"/>
                <w:szCs w:val="18"/>
                <w:color w:val="auto"/>
              </w:rPr>
              <w:t>Percent of Class:</w:t>
            </w:r>
          </w:p>
        </w:tc>
        <w:tc>
          <w:tcPr>
            <w:tcW w:w="3680" w:type="dxa"/>
            <w:vAlign w:val="bottom"/>
          </w:tcPr>
          <w:p>
            <w:pPr>
              <w:jc w:val="right"/>
              <w:spacing w:after="0"/>
              <w:rPr>
                <w:sz w:val="20"/>
                <w:szCs w:val="20"/>
                <w:color w:val="auto"/>
              </w:rPr>
            </w:pPr>
            <w:r>
              <w:rPr>
                <w:rFonts w:ascii="Arial" w:cs="Arial" w:eastAsia="Arial" w:hAnsi="Arial"/>
                <w:sz w:val="18"/>
                <w:szCs w:val="18"/>
                <w:color w:val="auto"/>
              </w:rPr>
              <w:t>(A) 5.77%</w:t>
            </w:r>
          </w:p>
        </w:tc>
      </w:tr>
      <w:tr>
        <w:trPr>
          <w:trHeight w:val="230"/>
        </w:trPr>
        <w:tc>
          <w:tcPr>
            <w:tcW w:w="34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3680" w:type="dxa"/>
            <w:vAlign w:val="bottom"/>
          </w:tcPr>
          <w:p>
            <w:pPr>
              <w:jc w:val="right"/>
              <w:spacing w:after="0"/>
              <w:rPr>
                <w:sz w:val="20"/>
                <w:szCs w:val="20"/>
                <w:color w:val="auto"/>
              </w:rPr>
            </w:pPr>
            <w:r>
              <w:rPr>
                <w:rFonts w:ascii="Arial" w:cs="Arial" w:eastAsia="Arial" w:hAnsi="Arial"/>
                <w:sz w:val="18"/>
                <w:szCs w:val="18"/>
                <w:color w:val="auto"/>
              </w:rPr>
              <w:t>(B) 5.99%</w:t>
            </w:r>
          </w:p>
        </w:tc>
      </w:tr>
      <w:tr>
        <w:trPr>
          <w:trHeight w:val="418"/>
        </w:trPr>
        <w:tc>
          <w:tcPr>
            <w:tcW w:w="340" w:type="dxa"/>
            <w:vAlign w:val="bottom"/>
          </w:tcPr>
          <w:p>
            <w:pPr>
              <w:spacing w:after="0"/>
              <w:rPr>
                <w:sz w:val="20"/>
                <w:szCs w:val="20"/>
                <w:color w:val="auto"/>
              </w:rPr>
            </w:pPr>
            <w:r>
              <w:rPr>
                <w:rFonts w:ascii="Arial" w:cs="Arial" w:eastAsia="Arial" w:hAnsi="Arial"/>
                <w:sz w:val="18"/>
                <w:szCs w:val="18"/>
                <w:color w:val="auto"/>
              </w:rPr>
              <w:t>(c)</w:t>
            </w:r>
          </w:p>
        </w:tc>
        <w:tc>
          <w:tcPr>
            <w:tcW w:w="6700" w:type="dxa"/>
            <w:vAlign w:val="bottom"/>
          </w:tcPr>
          <w:p>
            <w:pPr>
              <w:ind w:left="120"/>
              <w:spacing w:after="0"/>
              <w:rPr>
                <w:sz w:val="20"/>
                <w:szCs w:val="20"/>
                <w:color w:val="auto"/>
              </w:rPr>
            </w:pPr>
            <w:r>
              <w:rPr>
                <w:rFonts w:ascii="Arial" w:cs="Arial" w:eastAsia="Arial" w:hAnsi="Arial"/>
                <w:sz w:val="18"/>
                <w:szCs w:val="18"/>
                <w:color w:val="auto"/>
              </w:rPr>
              <w:t>Number of shares as to which such person has:</w:t>
            </w:r>
          </w:p>
        </w:tc>
        <w:tc>
          <w:tcPr>
            <w:tcW w:w="36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Arial" w:cs="Arial" w:eastAsia="Arial" w:hAnsi="Arial"/>
                <w:sz w:val="18"/>
                <w:szCs w:val="18"/>
                <w:color w:val="auto"/>
              </w:rPr>
              <w:t>(i) sole power to vote or direct to vote</w:t>
            </w:r>
          </w:p>
        </w:tc>
        <w:tc>
          <w:tcPr>
            <w:tcW w:w="3680" w:type="dxa"/>
            <w:vAlign w:val="bottom"/>
          </w:tcPr>
          <w:p>
            <w:pPr>
              <w:jc w:val="right"/>
              <w:spacing w:after="0"/>
              <w:rPr>
                <w:sz w:val="20"/>
                <w:szCs w:val="20"/>
                <w:color w:val="auto"/>
              </w:rPr>
            </w:pPr>
            <w:r>
              <w:rPr>
                <w:rFonts w:ascii="Arial" w:cs="Arial" w:eastAsia="Arial" w:hAnsi="Arial"/>
                <w:sz w:val="18"/>
                <w:szCs w:val="18"/>
                <w:color w:val="auto"/>
              </w:rPr>
              <w:t>(A) 0</w:t>
            </w:r>
          </w:p>
        </w:tc>
      </w:tr>
      <w:tr>
        <w:trPr>
          <w:trHeight w:val="216"/>
        </w:trPr>
        <w:tc>
          <w:tcPr>
            <w:tcW w:w="34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3680" w:type="dxa"/>
            <w:vAlign w:val="bottom"/>
          </w:tcPr>
          <w:p>
            <w:pPr>
              <w:jc w:val="right"/>
              <w:spacing w:after="0"/>
              <w:rPr>
                <w:sz w:val="20"/>
                <w:szCs w:val="20"/>
                <w:color w:val="auto"/>
              </w:rPr>
            </w:pPr>
            <w:r>
              <w:rPr>
                <w:rFonts w:ascii="Arial" w:cs="Arial" w:eastAsia="Arial" w:hAnsi="Arial"/>
                <w:sz w:val="18"/>
                <w:szCs w:val="18"/>
                <w:color w:val="auto"/>
              </w:rPr>
              <w:t>(B) 501,441</w:t>
            </w:r>
          </w:p>
        </w:tc>
      </w:tr>
      <w:tr>
        <w:trPr>
          <w:trHeight w:val="216"/>
        </w:trPr>
        <w:tc>
          <w:tcPr>
            <w:tcW w:w="34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Arial" w:cs="Arial" w:eastAsia="Arial" w:hAnsi="Arial"/>
                <w:sz w:val="18"/>
                <w:szCs w:val="18"/>
                <w:color w:val="auto"/>
              </w:rPr>
              <w:t>(ii) shared power to vote or direct the vote</w:t>
            </w:r>
          </w:p>
        </w:tc>
        <w:tc>
          <w:tcPr>
            <w:tcW w:w="3680" w:type="dxa"/>
            <w:vAlign w:val="bottom"/>
          </w:tcPr>
          <w:p>
            <w:pPr>
              <w:jc w:val="right"/>
              <w:spacing w:after="0"/>
              <w:rPr>
                <w:sz w:val="20"/>
                <w:szCs w:val="20"/>
                <w:color w:val="auto"/>
              </w:rPr>
            </w:pPr>
            <w:r>
              <w:rPr>
                <w:rFonts w:ascii="Arial" w:cs="Arial" w:eastAsia="Arial" w:hAnsi="Arial"/>
                <w:sz w:val="18"/>
                <w:szCs w:val="18"/>
                <w:color w:val="auto"/>
              </w:rPr>
              <w:t>(A) 13,112,040</w:t>
            </w:r>
          </w:p>
        </w:tc>
      </w:tr>
      <w:tr>
        <w:trPr>
          <w:trHeight w:val="216"/>
        </w:trPr>
        <w:tc>
          <w:tcPr>
            <w:tcW w:w="34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3680" w:type="dxa"/>
            <w:vAlign w:val="bottom"/>
          </w:tcPr>
          <w:p>
            <w:pPr>
              <w:jc w:val="right"/>
              <w:spacing w:after="0"/>
              <w:rPr>
                <w:sz w:val="20"/>
                <w:szCs w:val="20"/>
                <w:color w:val="auto"/>
              </w:rPr>
            </w:pPr>
            <w:r>
              <w:rPr>
                <w:rFonts w:ascii="Arial" w:cs="Arial" w:eastAsia="Arial" w:hAnsi="Arial"/>
                <w:sz w:val="18"/>
                <w:szCs w:val="18"/>
                <w:color w:val="auto"/>
              </w:rPr>
              <w:t>(B) 13,112,040</w:t>
            </w:r>
          </w:p>
        </w:tc>
      </w:tr>
      <w:tr>
        <w:trPr>
          <w:trHeight w:val="216"/>
        </w:trPr>
        <w:tc>
          <w:tcPr>
            <w:tcW w:w="34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Arial" w:cs="Arial" w:eastAsia="Arial" w:hAnsi="Arial"/>
                <w:sz w:val="18"/>
                <w:szCs w:val="18"/>
                <w:color w:val="auto"/>
              </w:rPr>
              <w:t>(iii) sole power to dispose or direct the disposition</w:t>
            </w:r>
          </w:p>
        </w:tc>
        <w:tc>
          <w:tcPr>
            <w:tcW w:w="3680" w:type="dxa"/>
            <w:vAlign w:val="bottom"/>
          </w:tcPr>
          <w:p>
            <w:pPr>
              <w:jc w:val="right"/>
              <w:spacing w:after="0"/>
              <w:rPr>
                <w:sz w:val="20"/>
                <w:szCs w:val="20"/>
                <w:color w:val="auto"/>
              </w:rPr>
            </w:pPr>
            <w:r>
              <w:rPr>
                <w:rFonts w:ascii="Arial" w:cs="Arial" w:eastAsia="Arial" w:hAnsi="Arial"/>
                <w:sz w:val="18"/>
                <w:szCs w:val="18"/>
                <w:color w:val="auto"/>
              </w:rPr>
              <w:t>(A) 0</w:t>
            </w:r>
          </w:p>
        </w:tc>
      </w:tr>
      <w:tr>
        <w:trPr>
          <w:trHeight w:val="216"/>
        </w:trPr>
        <w:tc>
          <w:tcPr>
            <w:tcW w:w="34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3680" w:type="dxa"/>
            <w:vAlign w:val="bottom"/>
          </w:tcPr>
          <w:p>
            <w:pPr>
              <w:jc w:val="right"/>
              <w:spacing w:after="0"/>
              <w:rPr>
                <w:sz w:val="20"/>
                <w:szCs w:val="20"/>
                <w:color w:val="auto"/>
              </w:rPr>
            </w:pPr>
            <w:r>
              <w:rPr>
                <w:rFonts w:ascii="Arial" w:cs="Arial" w:eastAsia="Arial" w:hAnsi="Arial"/>
                <w:sz w:val="18"/>
                <w:szCs w:val="18"/>
                <w:color w:val="auto"/>
              </w:rPr>
              <w:t>(B) 501,441</w:t>
            </w:r>
          </w:p>
        </w:tc>
      </w:tr>
      <w:tr>
        <w:trPr>
          <w:trHeight w:val="216"/>
        </w:trPr>
        <w:tc>
          <w:tcPr>
            <w:tcW w:w="340" w:type="dxa"/>
            <w:vAlign w:val="bottom"/>
          </w:tcPr>
          <w:p>
            <w:pPr>
              <w:spacing w:after="0"/>
              <w:rPr>
                <w:sz w:val="18"/>
                <w:szCs w:val="18"/>
                <w:color w:val="auto"/>
              </w:rPr>
            </w:pPr>
          </w:p>
        </w:tc>
        <w:tc>
          <w:tcPr>
            <w:tcW w:w="6700" w:type="dxa"/>
            <w:vAlign w:val="bottom"/>
          </w:tcPr>
          <w:p>
            <w:pPr>
              <w:ind w:left="120"/>
              <w:spacing w:after="0"/>
              <w:rPr>
                <w:sz w:val="20"/>
                <w:szCs w:val="20"/>
                <w:color w:val="auto"/>
              </w:rPr>
            </w:pPr>
            <w:r>
              <w:rPr>
                <w:rFonts w:ascii="Arial" w:cs="Arial" w:eastAsia="Arial" w:hAnsi="Arial"/>
                <w:sz w:val="18"/>
                <w:szCs w:val="18"/>
                <w:color w:val="auto"/>
              </w:rPr>
              <w:t>(iv) shared power to dispose or direct the disposition of</w:t>
            </w:r>
          </w:p>
        </w:tc>
        <w:tc>
          <w:tcPr>
            <w:tcW w:w="3680" w:type="dxa"/>
            <w:vAlign w:val="bottom"/>
          </w:tcPr>
          <w:p>
            <w:pPr>
              <w:jc w:val="right"/>
              <w:spacing w:after="0"/>
              <w:rPr>
                <w:sz w:val="20"/>
                <w:szCs w:val="20"/>
                <w:color w:val="auto"/>
              </w:rPr>
            </w:pPr>
            <w:r>
              <w:rPr>
                <w:rFonts w:ascii="Arial" w:cs="Arial" w:eastAsia="Arial" w:hAnsi="Arial"/>
                <w:sz w:val="18"/>
                <w:szCs w:val="18"/>
                <w:color w:val="auto"/>
              </w:rPr>
              <w:t>(A) 13,112,040</w:t>
            </w:r>
          </w:p>
        </w:tc>
      </w:tr>
      <w:tr>
        <w:trPr>
          <w:trHeight w:val="230"/>
        </w:trPr>
        <w:tc>
          <w:tcPr>
            <w:tcW w:w="34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3680" w:type="dxa"/>
            <w:vAlign w:val="bottom"/>
          </w:tcPr>
          <w:p>
            <w:pPr>
              <w:jc w:val="right"/>
              <w:spacing w:after="0"/>
              <w:rPr>
                <w:sz w:val="20"/>
                <w:szCs w:val="20"/>
                <w:color w:val="auto"/>
              </w:rPr>
            </w:pPr>
            <w:r>
              <w:rPr>
                <w:rFonts w:ascii="Arial" w:cs="Arial" w:eastAsia="Arial" w:hAnsi="Arial"/>
                <w:sz w:val="18"/>
                <w:szCs w:val="18"/>
                <w:color w:val="auto"/>
              </w:rPr>
              <w:t>(B) 13,112,040</w:t>
            </w: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13G</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10620" w:type="dxa"/>
            <w:vAlign w:val="bottom"/>
          </w:tcPr>
          <w:p>
            <w:pPr>
              <w:jc w:val="center"/>
              <w:ind w:right="711"/>
              <w:spacing w:after="0"/>
              <w:rPr>
                <w:sz w:val="20"/>
                <w:szCs w:val="20"/>
                <w:color w:val="auto"/>
              </w:rPr>
            </w:pPr>
            <w:r>
              <w:rPr>
                <w:rFonts w:ascii="Arial" w:cs="Arial" w:eastAsia="Arial" w:hAnsi="Arial"/>
                <w:sz w:val="18"/>
                <w:szCs w:val="18"/>
                <w:color w:val="auto"/>
                <w:w w:val="90"/>
              </w:rPr>
              <w:t>Plains GP Holdings, L.P.(Issuer)</w:t>
            </w:r>
          </w:p>
        </w:tc>
      </w:tr>
      <w:tr>
        <w:trPr>
          <w:trHeight w:val="230"/>
        </w:trPr>
        <w:tc>
          <w:tcPr>
            <w:tcW w:w="800" w:type="dxa"/>
            <w:vAlign w:val="bottom"/>
          </w:tcPr>
          <w:p>
            <w:pPr>
              <w:spacing w:after="0"/>
              <w:rPr>
                <w:sz w:val="20"/>
                <w:szCs w:val="20"/>
                <w:color w:val="auto"/>
              </w:rPr>
            </w:pPr>
          </w:p>
        </w:tc>
        <w:tc>
          <w:tcPr>
            <w:tcW w:w="10620" w:type="dxa"/>
            <w:vAlign w:val="bottom"/>
          </w:tcPr>
          <w:p>
            <w:pPr>
              <w:jc w:val="center"/>
              <w:ind w:right="711"/>
              <w:spacing w:after="0"/>
              <w:rPr>
                <w:sz w:val="20"/>
                <w:szCs w:val="20"/>
                <w:color w:val="auto"/>
              </w:rPr>
            </w:pPr>
            <w:r>
              <w:rPr>
                <w:rFonts w:ascii="Arial" w:cs="Arial" w:eastAsia="Arial" w:hAnsi="Arial"/>
                <w:sz w:val="18"/>
                <w:szCs w:val="18"/>
                <w:color w:val="auto"/>
              </w:rPr>
              <w:t>**************************</w:t>
            </w:r>
          </w:p>
        </w:tc>
      </w:tr>
      <w:tr>
        <w:trPr>
          <w:trHeight w:val="445"/>
        </w:trPr>
        <w:tc>
          <w:tcPr>
            <w:tcW w:w="800" w:type="dxa"/>
            <w:vAlign w:val="bottom"/>
          </w:tcPr>
          <w:p>
            <w:pPr>
              <w:spacing w:after="0"/>
              <w:rPr>
                <w:sz w:val="20"/>
                <w:szCs w:val="20"/>
                <w:color w:val="auto"/>
              </w:rPr>
            </w:pPr>
            <w:r>
              <w:rPr>
                <w:rFonts w:ascii="Arial" w:cs="Arial" w:eastAsia="Arial" w:hAnsi="Arial"/>
                <w:sz w:val="18"/>
                <w:szCs w:val="18"/>
                <w:color w:val="auto"/>
              </w:rPr>
              <w:t>Item 5.</w:t>
            </w:r>
          </w:p>
        </w:tc>
        <w:tc>
          <w:tcPr>
            <w:tcW w:w="10620" w:type="dxa"/>
            <w:vAlign w:val="bottom"/>
          </w:tcPr>
          <w:p>
            <w:pPr>
              <w:ind w:left="180"/>
              <w:spacing w:after="0"/>
              <w:rPr>
                <w:sz w:val="20"/>
                <w:szCs w:val="20"/>
                <w:color w:val="auto"/>
              </w:rPr>
            </w:pPr>
            <w:r>
              <w:rPr>
                <w:rFonts w:ascii="Arial" w:cs="Arial" w:eastAsia="Arial" w:hAnsi="Arial"/>
                <w:sz w:val="18"/>
                <w:szCs w:val="18"/>
                <w:color w:val="auto"/>
              </w:rPr>
              <w:t>Ownership of Five Percent or Less of a Class</w:t>
            </w:r>
          </w:p>
        </w:tc>
      </w:tr>
      <w:tr>
        <w:trPr>
          <w:trHeight w:val="183"/>
        </w:trPr>
        <w:tc>
          <w:tcPr>
            <w:tcW w:w="800" w:type="dxa"/>
            <w:vAlign w:val="bottom"/>
          </w:tcPr>
          <w:p>
            <w:pPr>
              <w:spacing w:after="0"/>
              <w:rPr>
                <w:sz w:val="15"/>
                <w:szCs w:val="15"/>
                <w:color w:val="auto"/>
              </w:rPr>
            </w:pPr>
          </w:p>
        </w:tc>
        <w:tc>
          <w:tcPr>
            <w:tcW w:w="10620" w:type="dxa"/>
            <w:vAlign w:val="bottom"/>
          </w:tcPr>
          <w:p>
            <w:pPr>
              <w:ind w:left="180"/>
              <w:spacing w:after="0" w:line="183" w:lineRule="exact"/>
              <w:rPr>
                <w:sz w:val="20"/>
                <w:szCs w:val="20"/>
                <w:color w:val="auto"/>
              </w:rPr>
            </w:pPr>
            <w:r>
              <w:rPr>
                <w:rFonts w:ascii="Arial" w:cs="Arial" w:eastAsia="Arial" w:hAnsi="Arial"/>
                <w:sz w:val="18"/>
                <w:szCs w:val="18"/>
                <w:color w:val="auto"/>
                <w:w w:val="92"/>
              </w:rPr>
              <w:t>If this statement is being filed to report the fact that as of the date hereof the reporting persons have ceased to be the beneficial owner of more</w:t>
            </w:r>
          </w:p>
        </w:tc>
      </w:tr>
      <w:tr>
        <w:trPr>
          <w:trHeight w:val="249"/>
        </w:trPr>
        <w:tc>
          <w:tcPr>
            <w:tcW w:w="800" w:type="dxa"/>
            <w:vAlign w:val="bottom"/>
          </w:tcPr>
          <w:p>
            <w:pPr>
              <w:spacing w:after="0"/>
              <w:rPr>
                <w:sz w:val="21"/>
                <w:szCs w:val="21"/>
                <w:color w:val="auto"/>
              </w:rPr>
            </w:pPr>
          </w:p>
        </w:tc>
        <w:tc>
          <w:tcPr>
            <w:tcW w:w="1062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tc>
      </w:tr>
      <w:tr>
        <w:trPr>
          <w:trHeight w:val="230"/>
        </w:trPr>
        <w:tc>
          <w:tcPr>
            <w:tcW w:w="800" w:type="dxa"/>
            <w:vAlign w:val="bottom"/>
          </w:tcPr>
          <w:p>
            <w:pPr>
              <w:spacing w:after="0"/>
              <w:rPr>
                <w:sz w:val="20"/>
                <w:szCs w:val="20"/>
                <w:color w:val="auto"/>
              </w:rPr>
            </w:pPr>
          </w:p>
        </w:tc>
        <w:tc>
          <w:tcPr>
            <w:tcW w:w="10620" w:type="dxa"/>
            <w:vAlign w:val="bottom"/>
          </w:tcPr>
          <w:p>
            <w:pPr>
              <w:ind w:left="180"/>
              <w:spacing w:after="0"/>
              <w:rPr>
                <w:sz w:val="20"/>
                <w:szCs w:val="20"/>
                <w:color w:val="auto"/>
              </w:rPr>
            </w:pPr>
            <w:r>
              <w:rPr>
                <w:rFonts w:ascii="Arial" w:cs="Arial" w:eastAsia="Arial" w:hAnsi="Arial"/>
                <w:sz w:val="18"/>
                <w:szCs w:val="18"/>
                <w:color w:val="auto"/>
              </w:rPr>
              <w:t>Not applicable.</w:t>
            </w:r>
          </w:p>
        </w:tc>
      </w:tr>
      <w:tr>
        <w:trPr>
          <w:trHeight w:val="445"/>
        </w:trPr>
        <w:tc>
          <w:tcPr>
            <w:tcW w:w="800" w:type="dxa"/>
            <w:vAlign w:val="bottom"/>
          </w:tcPr>
          <w:p>
            <w:pPr>
              <w:spacing w:after="0"/>
              <w:rPr>
                <w:sz w:val="20"/>
                <w:szCs w:val="20"/>
                <w:color w:val="auto"/>
              </w:rPr>
            </w:pPr>
            <w:r>
              <w:rPr>
                <w:rFonts w:ascii="Arial" w:cs="Arial" w:eastAsia="Arial" w:hAnsi="Arial"/>
                <w:sz w:val="18"/>
                <w:szCs w:val="18"/>
                <w:color w:val="auto"/>
              </w:rPr>
              <w:t>Item 6.</w:t>
            </w:r>
          </w:p>
        </w:tc>
        <w:tc>
          <w:tcPr>
            <w:tcW w:w="10620" w:type="dxa"/>
            <w:vAlign w:val="bottom"/>
          </w:tcPr>
          <w:p>
            <w:pPr>
              <w:ind w:left="180"/>
              <w:spacing w:after="0"/>
              <w:rPr>
                <w:sz w:val="20"/>
                <w:szCs w:val="20"/>
                <w:color w:val="auto"/>
              </w:rPr>
            </w:pPr>
            <w:r>
              <w:rPr>
                <w:rFonts w:ascii="Arial" w:cs="Arial" w:eastAsia="Arial" w:hAnsi="Arial"/>
                <w:sz w:val="18"/>
                <w:szCs w:val="18"/>
                <w:color w:val="auto"/>
              </w:rPr>
              <w:t>Ownership of More than Five Percent on Behalf of Another Person.</w:t>
            </w:r>
          </w:p>
        </w:tc>
      </w:tr>
      <w:tr>
        <w:trPr>
          <w:trHeight w:val="230"/>
        </w:trPr>
        <w:tc>
          <w:tcPr>
            <w:tcW w:w="800" w:type="dxa"/>
            <w:vAlign w:val="bottom"/>
          </w:tcPr>
          <w:p>
            <w:pPr>
              <w:spacing w:after="0"/>
              <w:rPr>
                <w:sz w:val="20"/>
                <w:szCs w:val="20"/>
                <w:color w:val="auto"/>
              </w:rPr>
            </w:pPr>
          </w:p>
        </w:tc>
        <w:tc>
          <w:tcPr>
            <w:tcW w:w="10620" w:type="dxa"/>
            <w:vAlign w:val="bottom"/>
          </w:tcPr>
          <w:p>
            <w:pPr>
              <w:ind w:left="180"/>
              <w:spacing w:after="0"/>
              <w:rPr>
                <w:sz w:val="20"/>
                <w:szCs w:val="20"/>
                <w:color w:val="auto"/>
              </w:rPr>
            </w:pPr>
            <w:r>
              <w:rPr>
                <w:rFonts w:ascii="Arial" w:cs="Arial" w:eastAsia="Arial" w:hAnsi="Arial"/>
                <w:sz w:val="18"/>
                <w:szCs w:val="18"/>
                <w:color w:val="auto"/>
              </w:rPr>
              <w:t>Not applicable.</w:t>
            </w:r>
          </w:p>
        </w:tc>
      </w:tr>
      <w:tr>
        <w:trPr>
          <w:trHeight w:val="445"/>
        </w:trPr>
        <w:tc>
          <w:tcPr>
            <w:tcW w:w="800" w:type="dxa"/>
            <w:vAlign w:val="bottom"/>
          </w:tcPr>
          <w:p>
            <w:pPr>
              <w:spacing w:after="0"/>
              <w:rPr>
                <w:sz w:val="20"/>
                <w:szCs w:val="20"/>
                <w:color w:val="auto"/>
              </w:rPr>
            </w:pPr>
            <w:r>
              <w:rPr>
                <w:rFonts w:ascii="Arial" w:cs="Arial" w:eastAsia="Arial" w:hAnsi="Arial"/>
                <w:sz w:val="18"/>
                <w:szCs w:val="18"/>
                <w:color w:val="auto"/>
              </w:rPr>
              <w:t>Item 7.</w:t>
            </w:r>
          </w:p>
        </w:tc>
        <w:tc>
          <w:tcPr>
            <w:tcW w:w="10620" w:type="dxa"/>
            <w:vAlign w:val="bottom"/>
          </w:tcPr>
          <w:p>
            <w:pPr>
              <w:ind w:left="180"/>
              <w:spacing w:after="0"/>
              <w:rPr>
                <w:sz w:val="20"/>
                <w:szCs w:val="20"/>
                <w:color w:val="auto"/>
              </w:rPr>
            </w:pPr>
            <w:r>
              <w:rPr>
                <w:rFonts w:ascii="Arial" w:cs="Arial" w:eastAsia="Arial" w:hAnsi="Arial"/>
                <w:sz w:val="18"/>
                <w:szCs w:val="18"/>
                <w:color w:val="auto"/>
              </w:rPr>
              <w:t>Identification and Classification of the Subsidiary Which Acquired the Security Being Reported on By the Parent Holding Company</w:t>
            </w:r>
          </w:p>
        </w:tc>
      </w:tr>
      <w:tr>
        <w:trPr>
          <w:trHeight w:val="230"/>
        </w:trPr>
        <w:tc>
          <w:tcPr>
            <w:tcW w:w="800" w:type="dxa"/>
            <w:vAlign w:val="bottom"/>
          </w:tcPr>
          <w:p>
            <w:pPr>
              <w:spacing w:after="0"/>
              <w:rPr>
                <w:sz w:val="20"/>
                <w:szCs w:val="20"/>
                <w:color w:val="auto"/>
              </w:rPr>
            </w:pPr>
          </w:p>
        </w:tc>
        <w:tc>
          <w:tcPr>
            <w:tcW w:w="10620" w:type="dxa"/>
            <w:vAlign w:val="bottom"/>
          </w:tcPr>
          <w:p>
            <w:pPr>
              <w:ind w:left="180"/>
              <w:spacing w:after="0"/>
              <w:rPr>
                <w:sz w:val="20"/>
                <w:szCs w:val="20"/>
                <w:color w:val="auto"/>
              </w:rPr>
            </w:pPr>
            <w:r>
              <w:rPr>
                <w:rFonts w:ascii="Arial" w:cs="Arial" w:eastAsia="Arial" w:hAnsi="Arial"/>
                <w:sz w:val="18"/>
                <w:szCs w:val="18"/>
                <w:color w:val="auto"/>
              </w:rPr>
              <w:t>Not applicable.</w:t>
            </w:r>
          </w:p>
        </w:tc>
      </w:tr>
      <w:tr>
        <w:trPr>
          <w:trHeight w:val="445"/>
        </w:trPr>
        <w:tc>
          <w:tcPr>
            <w:tcW w:w="800" w:type="dxa"/>
            <w:vAlign w:val="bottom"/>
          </w:tcPr>
          <w:p>
            <w:pPr>
              <w:spacing w:after="0"/>
              <w:rPr>
                <w:sz w:val="20"/>
                <w:szCs w:val="20"/>
                <w:color w:val="auto"/>
              </w:rPr>
            </w:pPr>
            <w:r>
              <w:rPr>
                <w:rFonts w:ascii="Arial" w:cs="Arial" w:eastAsia="Arial" w:hAnsi="Arial"/>
                <w:sz w:val="18"/>
                <w:szCs w:val="18"/>
                <w:color w:val="auto"/>
              </w:rPr>
              <w:t>Item 8.</w:t>
            </w:r>
          </w:p>
        </w:tc>
        <w:tc>
          <w:tcPr>
            <w:tcW w:w="10620" w:type="dxa"/>
            <w:vAlign w:val="bottom"/>
          </w:tcPr>
          <w:p>
            <w:pPr>
              <w:ind w:left="180"/>
              <w:spacing w:after="0"/>
              <w:rPr>
                <w:sz w:val="20"/>
                <w:szCs w:val="20"/>
                <w:color w:val="auto"/>
              </w:rPr>
            </w:pPr>
            <w:r>
              <w:rPr>
                <w:rFonts w:ascii="Arial" w:cs="Arial" w:eastAsia="Arial" w:hAnsi="Arial"/>
                <w:sz w:val="18"/>
                <w:szCs w:val="18"/>
                <w:color w:val="auto"/>
              </w:rPr>
              <w:t>Identification and Classification of Members of the Group</w:t>
            </w:r>
          </w:p>
        </w:tc>
      </w:tr>
      <w:tr>
        <w:trPr>
          <w:trHeight w:val="230"/>
        </w:trPr>
        <w:tc>
          <w:tcPr>
            <w:tcW w:w="800" w:type="dxa"/>
            <w:vAlign w:val="bottom"/>
          </w:tcPr>
          <w:p>
            <w:pPr>
              <w:spacing w:after="0"/>
              <w:rPr>
                <w:sz w:val="20"/>
                <w:szCs w:val="20"/>
                <w:color w:val="auto"/>
              </w:rPr>
            </w:pPr>
          </w:p>
        </w:tc>
        <w:tc>
          <w:tcPr>
            <w:tcW w:w="10620" w:type="dxa"/>
            <w:vAlign w:val="bottom"/>
          </w:tcPr>
          <w:p>
            <w:pPr>
              <w:ind w:left="180"/>
              <w:spacing w:after="0"/>
              <w:rPr>
                <w:sz w:val="20"/>
                <w:szCs w:val="20"/>
                <w:color w:val="auto"/>
              </w:rPr>
            </w:pPr>
            <w:r>
              <w:rPr>
                <w:rFonts w:ascii="Arial" w:cs="Arial" w:eastAsia="Arial" w:hAnsi="Arial"/>
                <w:sz w:val="18"/>
                <w:szCs w:val="18"/>
                <w:color w:val="auto"/>
              </w:rPr>
              <w:t>Not applicable</w:t>
            </w:r>
          </w:p>
        </w:tc>
      </w:tr>
      <w:tr>
        <w:trPr>
          <w:trHeight w:val="445"/>
        </w:trPr>
        <w:tc>
          <w:tcPr>
            <w:tcW w:w="800" w:type="dxa"/>
            <w:vAlign w:val="bottom"/>
          </w:tcPr>
          <w:p>
            <w:pPr>
              <w:spacing w:after="0"/>
              <w:rPr>
                <w:sz w:val="20"/>
                <w:szCs w:val="20"/>
                <w:color w:val="auto"/>
              </w:rPr>
            </w:pPr>
            <w:r>
              <w:rPr>
                <w:rFonts w:ascii="Arial" w:cs="Arial" w:eastAsia="Arial" w:hAnsi="Arial"/>
                <w:sz w:val="18"/>
                <w:szCs w:val="18"/>
                <w:color w:val="auto"/>
              </w:rPr>
              <w:t>Item 9.</w:t>
            </w:r>
          </w:p>
        </w:tc>
        <w:tc>
          <w:tcPr>
            <w:tcW w:w="10620" w:type="dxa"/>
            <w:vAlign w:val="bottom"/>
          </w:tcPr>
          <w:p>
            <w:pPr>
              <w:ind w:left="180"/>
              <w:spacing w:after="0"/>
              <w:rPr>
                <w:sz w:val="20"/>
                <w:szCs w:val="20"/>
                <w:color w:val="auto"/>
              </w:rPr>
            </w:pPr>
            <w:r>
              <w:rPr>
                <w:rFonts w:ascii="Arial" w:cs="Arial" w:eastAsia="Arial" w:hAnsi="Arial"/>
                <w:sz w:val="18"/>
                <w:szCs w:val="18"/>
                <w:color w:val="auto"/>
              </w:rPr>
              <w:t>Notice of Dissolution of Group</w:t>
            </w:r>
          </w:p>
        </w:tc>
      </w:tr>
      <w:tr>
        <w:trPr>
          <w:trHeight w:val="230"/>
        </w:trPr>
        <w:tc>
          <w:tcPr>
            <w:tcW w:w="800" w:type="dxa"/>
            <w:vAlign w:val="bottom"/>
          </w:tcPr>
          <w:p>
            <w:pPr>
              <w:spacing w:after="0"/>
              <w:rPr>
                <w:sz w:val="20"/>
                <w:szCs w:val="20"/>
                <w:color w:val="auto"/>
              </w:rPr>
            </w:pPr>
          </w:p>
        </w:tc>
        <w:tc>
          <w:tcPr>
            <w:tcW w:w="10620" w:type="dxa"/>
            <w:vAlign w:val="bottom"/>
          </w:tcPr>
          <w:p>
            <w:pPr>
              <w:ind w:left="180"/>
              <w:spacing w:after="0"/>
              <w:rPr>
                <w:sz w:val="20"/>
                <w:szCs w:val="20"/>
                <w:color w:val="auto"/>
              </w:rPr>
            </w:pPr>
            <w:r>
              <w:rPr>
                <w:rFonts w:ascii="Arial" w:cs="Arial" w:eastAsia="Arial" w:hAnsi="Arial"/>
                <w:sz w:val="18"/>
                <w:szCs w:val="18"/>
                <w:color w:val="auto"/>
              </w:rPr>
              <w:t>Not applicable</w:t>
            </w:r>
          </w:p>
        </w:tc>
      </w:tr>
      <w:tr>
        <w:trPr>
          <w:trHeight w:val="445"/>
        </w:trPr>
        <w:tc>
          <w:tcPr>
            <w:tcW w:w="800" w:type="dxa"/>
            <w:vAlign w:val="bottom"/>
          </w:tcPr>
          <w:p>
            <w:pPr>
              <w:spacing w:after="0"/>
              <w:rPr>
                <w:sz w:val="20"/>
                <w:szCs w:val="20"/>
                <w:color w:val="auto"/>
              </w:rPr>
            </w:pPr>
            <w:r>
              <w:rPr>
                <w:rFonts w:ascii="Arial" w:cs="Arial" w:eastAsia="Arial" w:hAnsi="Arial"/>
                <w:sz w:val="18"/>
                <w:szCs w:val="18"/>
                <w:color w:val="auto"/>
              </w:rPr>
              <w:t>Item 10.</w:t>
            </w:r>
          </w:p>
        </w:tc>
        <w:tc>
          <w:tcPr>
            <w:tcW w:w="10620" w:type="dxa"/>
            <w:vAlign w:val="bottom"/>
          </w:tcPr>
          <w:p>
            <w:pPr>
              <w:ind w:left="180"/>
              <w:spacing w:after="0"/>
              <w:rPr>
                <w:sz w:val="20"/>
                <w:szCs w:val="20"/>
                <w:color w:val="auto"/>
              </w:rPr>
            </w:pPr>
            <w:r>
              <w:rPr>
                <w:rFonts w:ascii="Arial" w:cs="Arial" w:eastAsia="Arial" w:hAnsi="Arial"/>
                <w:sz w:val="18"/>
                <w:szCs w:val="18"/>
                <w:color w:val="auto"/>
              </w:rPr>
              <w:t>Certification</w:t>
            </w:r>
          </w:p>
        </w:tc>
      </w:tr>
      <w:tr>
        <w:trPr>
          <w:trHeight w:val="216"/>
        </w:trPr>
        <w:tc>
          <w:tcPr>
            <w:tcW w:w="800" w:type="dxa"/>
            <w:vAlign w:val="bottom"/>
          </w:tcPr>
          <w:p>
            <w:pPr>
              <w:spacing w:after="0"/>
              <w:rPr>
                <w:sz w:val="18"/>
                <w:szCs w:val="18"/>
                <w:color w:val="auto"/>
              </w:rPr>
            </w:pPr>
          </w:p>
        </w:tc>
        <w:tc>
          <w:tcPr>
            <w:tcW w:w="10620" w:type="dxa"/>
            <w:vAlign w:val="bottom"/>
          </w:tcPr>
          <w:p>
            <w:pPr>
              <w:ind w:left="180"/>
              <w:spacing w:after="0"/>
              <w:rPr>
                <w:sz w:val="20"/>
                <w:szCs w:val="20"/>
                <w:color w:val="auto"/>
              </w:rPr>
            </w:pPr>
            <w:r>
              <w:rPr>
                <w:rFonts w:ascii="Arial" w:cs="Arial" w:eastAsia="Arial" w:hAnsi="Arial"/>
                <w:sz w:val="18"/>
                <w:szCs w:val="18"/>
                <w:color w:val="auto"/>
                <w:w w:val="92"/>
              </w:rPr>
              <w:t>By signing below we certify that, to the best of our knowledge and belief, the securities referred to above were acquired in the ordinary course</w:t>
            </w:r>
          </w:p>
        </w:tc>
      </w:tr>
      <w:tr>
        <w:trPr>
          <w:trHeight w:val="216"/>
        </w:trPr>
        <w:tc>
          <w:tcPr>
            <w:tcW w:w="800" w:type="dxa"/>
            <w:vAlign w:val="bottom"/>
          </w:tcPr>
          <w:p>
            <w:pPr>
              <w:spacing w:after="0"/>
              <w:rPr>
                <w:sz w:val="18"/>
                <w:szCs w:val="18"/>
                <w:color w:val="auto"/>
              </w:rPr>
            </w:pPr>
          </w:p>
        </w:tc>
        <w:tc>
          <w:tcPr>
            <w:tcW w:w="10620" w:type="dxa"/>
            <w:vAlign w:val="bottom"/>
          </w:tcPr>
          <w:p>
            <w:pPr>
              <w:ind w:left="180"/>
              <w:spacing w:after="0"/>
              <w:rPr>
                <w:sz w:val="20"/>
                <w:szCs w:val="20"/>
                <w:color w:val="auto"/>
              </w:rPr>
            </w:pPr>
            <w:r>
              <w:rPr>
                <w:rFonts w:ascii="Arial" w:cs="Arial" w:eastAsia="Arial" w:hAnsi="Arial"/>
                <w:sz w:val="18"/>
                <w:szCs w:val="18"/>
                <w:color w:val="auto"/>
                <w:w w:val="94"/>
              </w:rPr>
              <w:t>of business and were not acquired for the purpose of and do not have the effect of changing or influencing the control of the issuer of such</w:t>
            </w:r>
          </w:p>
        </w:tc>
      </w:tr>
      <w:tr>
        <w:trPr>
          <w:trHeight w:val="230"/>
        </w:trPr>
        <w:tc>
          <w:tcPr>
            <w:tcW w:w="800" w:type="dxa"/>
            <w:vAlign w:val="bottom"/>
          </w:tcPr>
          <w:p>
            <w:pPr>
              <w:spacing w:after="0"/>
              <w:rPr>
                <w:sz w:val="20"/>
                <w:szCs w:val="20"/>
                <w:color w:val="auto"/>
              </w:rPr>
            </w:pPr>
          </w:p>
        </w:tc>
        <w:tc>
          <w:tcPr>
            <w:tcW w:w="10620" w:type="dxa"/>
            <w:vAlign w:val="bottom"/>
          </w:tcPr>
          <w:p>
            <w:pPr>
              <w:ind w:left="180"/>
              <w:spacing w:after="0"/>
              <w:rPr>
                <w:sz w:val="20"/>
                <w:szCs w:val="20"/>
                <w:color w:val="auto"/>
              </w:rPr>
            </w:pPr>
            <w:r>
              <w:rPr>
                <w:rFonts w:ascii="Arial" w:cs="Arial" w:eastAsia="Arial" w:hAnsi="Arial"/>
                <w:sz w:val="18"/>
                <w:szCs w:val="18"/>
                <w:color w:val="auto"/>
              </w:rPr>
              <w:t>securities and were not acquired in connection with or as a participant in any transaction having such purposes or effect.</w:t>
            </w:r>
          </w:p>
        </w:tc>
      </w:tr>
      <w:tr>
        <w:trPr>
          <w:trHeight w:val="555"/>
        </w:trPr>
        <w:tc>
          <w:tcPr>
            <w:tcW w:w="800" w:type="dxa"/>
            <w:vAlign w:val="bottom"/>
          </w:tcPr>
          <w:p>
            <w:pPr>
              <w:spacing w:after="0"/>
              <w:rPr>
                <w:sz w:val="24"/>
                <w:szCs w:val="24"/>
                <w:color w:val="auto"/>
              </w:rPr>
            </w:pPr>
          </w:p>
        </w:tc>
        <w:tc>
          <w:tcPr>
            <w:tcW w:w="10620" w:type="dxa"/>
            <w:vAlign w:val="bottom"/>
          </w:tcPr>
          <w:p>
            <w:pPr>
              <w:jc w:val="center"/>
              <w:ind w:right="691"/>
              <w:spacing w:after="0"/>
              <w:rPr>
                <w:sz w:val="20"/>
                <w:szCs w:val="20"/>
                <w:color w:val="auto"/>
              </w:rPr>
            </w:pPr>
            <w:r>
              <w:rPr>
                <w:rFonts w:ascii="Arial" w:cs="Arial" w:eastAsia="Arial" w:hAnsi="Arial"/>
                <w:sz w:val="14"/>
                <w:szCs w:val="14"/>
                <w:color w:val="auto"/>
                <w:w w:val="93"/>
              </w:rPr>
              <w:t>PAGE 4 OF 8</w:t>
            </w:r>
          </w:p>
        </w:tc>
      </w:tr>
      <w:tr>
        <w:trPr>
          <w:trHeight w:val="46"/>
        </w:trPr>
        <w:tc>
          <w:tcPr>
            <w:tcW w:w="800" w:type="dxa"/>
            <w:vAlign w:val="bottom"/>
            <w:tcBorders>
              <w:bottom w:val="single" w:sz="8" w:color="auto"/>
            </w:tcBorders>
          </w:tcPr>
          <w:p>
            <w:pPr>
              <w:spacing w:after="0"/>
              <w:rPr>
                <w:sz w:val="4"/>
                <w:szCs w:val="4"/>
                <w:color w:val="auto"/>
              </w:rPr>
            </w:pPr>
          </w:p>
        </w:tc>
        <w:tc>
          <w:tcPr>
            <w:tcW w:w="1062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5" w:right="239" w:bottom="1440" w:gutter="0" w:footer="0" w:header="0"/>
        </w:sectPr>
      </w:pPr>
    </w:p>
    <w:bookmarkStart w:id="4" w:name="page5"/>
    <w:bookmarkEnd w:id="4"/>
    <w:p>
      <w:pPr>
        <w:jc w:val="center"/>
        <w:ind w:right="-359"/>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Securities and Exchange Commission</w:t>
      </w:r>
    </w:p>
    <w:p>
      <w:pPr>
        <w:spacing w:after="0" w:line="23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Schedule 13G</w:t>
      </w:r>
    </w:p>
    <w:p>
      <w:pPr>
        <w:spacing w:after="0" w:line="25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Plains GP Holdings, L.P.(Issuer)</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t>
      </w:r>
    </w:p>
    <w:p>
      <w:pPr>
        <w:spacing w:after="0" w:line="23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jc w:val="center"/>
        <w:ind w:right="5980"/>
        <w:spacing w:after="0"/>
        <w:rPr>
          <w:sz w:val="20"/>
          <w:szCs w:val="20"/>
          <w:color w:val="auto"/>
        </w:rPr>
      </w:pPr>
      <w:r>
        <w:rPr>
          <w:rFonts w:ascii="Arial" w:cs="Arial" w:eastAsia="Arial" w:hAnsi="Arial"/>
          <w:sz w:val="18"/>
          <w:szCs w:val="18"/>
          <w:color w:val="auto"/>
        </w:rPr>
        <w:t>February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jc w:val="center"/>
        <w:ind w:right="598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center"/>
        <w:ind w:right="5340"/>
        <w:spacing w:after="0"/>
        <w:rPr>
          <w:sz w:val="20"/>
          <w:szCs w:val="20"/>
          <w:color w:val="auto"/>
        </w:rPr>
      </w:pPr>
      <w:r>
        <w:rPr>
          <w:rFonts w:ascii="Arial" w:cs="Arial" w:eastAsia="Arial" w:hAnsi="Arial"/>
          <w:sz w:val="18"/>
          <w:szCs w:val="18"/>
          <w:color w:val="auto"/>
        </w:rPr>
        <w:t>/S/ RICHARD A. KAYNE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5340"/>
        <w:spacing w:after="0"/>
        <w:rPr>
          <w:sz w:val="20"/>
          <w:szCs w:val="20"/>
          <w:color w:val="auto"/>
        </w:rPr>
      </w:pPr>
      <w:r>
        <w:rPr>
          <w:rFonts w:ascii="Arial" w:cs="Arial" w:eastAsia="Arial" w:hAnsi="Arial"/>
          <w:sz w:val="18"/>
          <w:szCs w:val="18"/>
          <w:color w:val="auto"/>
        </w:rPr>
        <w:t>Richard A. Kayne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KAYNE ANDERSON CAPITAL ADVISORS, L.P.</w:t>
      </w:r>
    </w:p>
    <w:p>
      <w:pPr>
        <w:spacing w:after="0" w:line="2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Kayne Anderson Investment Management, Inc.</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 DAVID J. SHLADOVSKY</w:t>
            </w:r>
          </w:p>
        </w:tc>
      </w:tr>
      <w:tr>
        <w:trPr>
          <w:trHeight w:val="230"/>
        </w:trPr>
        <w:tc>
          <w:tcPr>
            <w:tcW w:w="5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David J. Shladovsky, Secretary</w:t>
            </w:r>
          </w:p>
        </w:tc>
      </w:tr>
    </w:tbl>
    <w:p>
      <w:pPr>
        <w:spacing w:after="0" w:line="386"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auto"/>
        </w:rPr>
        <w:t>PAGE 5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25" w:right="5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u w:val="single" w:color="auto"/>
          <w:color w:val="auto"/>
        </w:rPr>
        <w:t>JOINT FILING AGREEMENT PURSUANT TO RULE 13d-1(f)(1)</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agreement is made pursuant to Rule 13d-1(f)(1) under the Securities Exchange Act of 1934 (the “Act”) by and between the parties listed below, each referred to herein as a “Joint Filer.” The Joint Filers agree that a statement of beneficial ownership as required by Section 13(d) of the Act and the Rules thereunder may be filed on each of their behalf on Schedule 13D or Schedule 13G, as appropriate, and that said joint filing may thereafter be amended by further joint filings. The Joint Filers state that they each satisfy the requirements for making a joint filing under Rule 13d-1.</w:t>
      </w:r>
    </w:p>
    <w:p>
      <w:pPr>
        <w:spacing w:after="0" w:line="198" w:lineRule="exact"/>
        <w:rPr>
          <w:sz w:val="20"/>
          <w:szCs w:val="20"/>
          <w:color w:val="auto"/>
        </w:rPr>
      </w:pPr>
    </w:p>
    <w:p>
      <w:pPr>
        <w:jc w:val="center"/>
        <w:ind w:right="6340"/>
        <w:spacing w:after="0"/>
        <w:rPr>
          <w:sz w:val="20"/>
          <w:szCs w:val="20"/>
          <w:color w:val="auto"/>
        </w:rPr>
      </w:pPr>
      <w:r>
        <w:rPr>
          <w:rFonts w:ascii="Arial" w:cs="Arial" w:eastAsia="Arial" w:hAnsi="Arial"/>
          <w:sz w:val="18"/>
          <w:szCs w:val="18"/>
          <w:color w:val="auto"/>
        </w:rPr>
        <w:t>February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634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RICHARD A. KAYNE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Richard A. Kayne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KAYNE ANDERSON CAPITAL ADVISORS, L.P.</w:t>
      </w:r>
    </w:p>
    <w:p>
      <w:pPr>
        <w:spacing w:after="0" w:line="2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Kayne Anderson Investment Management, Inc.</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/S/ DAVID J. SHLADOVSKY</w:t>
            </w:r>
          </w:p>
        </w:tc>
      </w:tr>
      <w:tr>
        <w:trPr>
          <w:trHeight w:val="230"/>
        </w:trPr>
        <w:tc>
          <w:tcPr>
            <w:tcW w:w="5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David J. Shladovsky, Secretary</w:t>
            </w:r>
          </w:p>
        </w:tc>
      </w:tr>
    </w:tbl>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234"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(cover page)</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Plains GP Holdings, L.P.(Issuer)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t>
      </w:r>
    </w:p>
    <w:p>
      <w:pPr>
        <w:spacing w:after="0" w:line="238" w:lineRule="exact"/>
        <w:rPr>
          <w:sz w:val="20"/>
          <w:szCs w:val="20"/>
          <w:color w:val="auto"/>
        </w:rPr>
      </w:pPr>
    </w:p>
    <w:p>
      <w:pPr>
        <w:ind w:left="660" w:hanging="647"/>
        <w:spacing w:after="0" w:line="342" w:lineRule="auto"/>
        <w:tabs>
          <w:tab w:leader="none" w:pos="640" w:val="left"/>
        </w:tabs>
        <w:rPr>
          <w:sz w:val="20"/>
          <w:szCs w:val="20"/>
          <w:color w:val="auto"/>
        </w:rPr>
      </w:pPr>
      <w:r>
        <w:rPr>
          <w:rFonts w:ascii="Arial" w:cs="Arial" w:eastAsia="Arial" w:hAnsi="Arial"/>
          <w:sz w:val="18"/>
          <w:szCs w:val="18"/>
          <w:color w:val="auto"/>
        </w:rPr>
        <w:t>Box 9.</w:t>
      </w:r>
      <w:r>
        <w:rPr>
          <w:sz w:val="20"/>
          <w:szCs w:val="20"/>
          <w:color w:val="auto"/>
        </w:rPr>
        <w:tab/>
      </w:r>
      <w:r>
        <w:rPr>
          <w:rFonts w:ascii="Arial" w:cs="Arial" w:eastAsia="Arial" w:hAnsi="Arial"/>
          <w:sz w:val="16"/>
          <w:szCs w:val="16"/>
          <w:color w:val="auto"/>
        </w:rPr>
        <w:t>The reported units are owned by investment accounts (investment limited partnerships, a registered investment company and institutional accounts) managed, with discretion to purchase or sell securities, by Kayne Anderson Capital Advisors, L.P., as a registered investment adviser.</w:t>
      </w:r>
    </w:p>
    <w:p>
      <w:pPr>
        <w:spacing w:after="0" w:line="151"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Kayne Anderson Capital Advisors, L.P. is the general partner (or general partner of the general partner) of the limited partnerships and investment adviser to the other accounts. Richard A. Kayne is the controlling shareholder of the corporate owner of Kayne Anderson Investment Management, Inc., the general partner of Kayne Anderson Capital Advisors, L.P. Mr. Kayne is also a limited partner of each of the limited partnerships and a shareholder of the registered investment company. Kayne Anderson Capital Advisors, L.P. disclaims beneficial ownership of the units reported, except those units attributable to it by virtue of its general partner interests in the limited partnerships. Mr. Kayne disclaims beneficial ownership of the units reported, except those units held by him or attributable to him by virtue of his limited partnership interests in the limited partnerships, his indirect interest in the interest of Kayne Anderson Capital Advisors, L.P. in the limited partnerships, and his ownership of common stock of the registered investment company.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UNDERTAKING</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agree jointly to file the attached Statement of Beneficial Ownership on Schedule 13G with the U.S. Securities Exchange Commission and Plains GP Holdings, L.P.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u w:val="single" w:color="auto"/>
          <w:color w:val="auto"/>
        </w:rPr>
        <w:t>February 1, 2016</w:t>
      </w:r>
    </w:p>
    <w:p>
      <w:pPr>
        <w:spacing w:after="0" w:line="252"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RICHARD A. KAYNE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Richard A. Kayne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KAYNE ANDERSON CAPITAL ADVISORS, L.P.</w:t>
      </w:r>
    </w:p>
    <w:p>
      <w:pPr>
        <w:spacing w:after="0" w:line="2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Kayne Anderson Investment Management, Inc.</w:t>
      </w:r>
    </w:p>
    <w:p>
      <w:pPr>
        <w:spacing w:after="0" w:line="225" w:lineRule="exact"/>
        <w:rPr>
          <w:sz w:val="20"/>
          <w:szCs w:val="20"/>
          <w:color w:val="auto"/>
        </w:rPr>
      </w:pPr>
    </w:p>
    <w:p>
      <w:pPr>
        <w:jc w:val="both"/>
        <w:ind w:left="580"/>
        <w:spacing w:after="0"/>
        <w:tabs>
          <w:tab w:leader="none" w:pos="1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J. SHLADOVSKY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289877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jc w:val="right"/>
        <w:ind w:right="8020"/>
        <w:spacing w:after="0"/>
        <w:rPr>
          <w:sz w:val="20"/>
          <w:szCs w:val="20"/>
          <w:color w:val="auto"/>
        </w:rPr>
      </w:pPr>
      <w:r>
        <w:rPr>
          <w:rFonts w:ascii="Arial" w:cs="Arial" w:eastAsia="Arial" w:hAnsi="Arial"/>
          <w:sz w:val="18"/>
          <w:szCs w:val="18"/>
          <w:color w:val="auto"/>
        </w:rPr>
        <w:t>David J. Shladovsky, Secretary</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8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45085</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bullet"/>
      <w:start w:val="1"/>
    </w:lvl>
  </w:abstractNum>
  <w:abstractNum w:abstractNumId="1">
    <w:nsid w:val="2AE8944A"/>
    <w:multiLevelType w:val="hybridMultilevel"/>
    <w:lvl w:ilvl="0">
      <w:lvlJc w:val="left"/>
      <w:lvlText w:val="2"/>
      <w:numFmt w:val="bullet"/>
      <w:start w:val="1"/>
    </w:lvl>
  </w:abstractNum>
  <w:abstractNum w:abstractNumId="2">
    <w:nsid w:val="625558EC"/>
    <w:multiLevelType w:val="hybridMultilevel"/>
    <w:lvl w:ilvl="0">
      <w:lvlJc w:val="left"/>
      <w:lvlText w:val="4"/>
      <w:numFmt w:val="bullet"/>
      <w:start w:val="1"/>
    </w:lvl>
  </w:abstractNum>
  <w:abstractNum w:abstractNumId="3">
    <w:nsid w:val="238E1F29"/>
    <w:multiLevelType w:val="hybridMultilevel"/>
    <w:lvl w:ilvl="0">
      <w:lvlJc w:val="left"/>
      <w:lvlText w:val="(%1)"/>
      <w:numFmt w:val="lowerLetter"/>
      <w:start w:val="5"/>
    </w:lvl>
  </w:abstractNum>
  <w:abstractNum w:abstractNumId="4">
    <w:nsid w:val="46E87CCD"/>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2019-12-17T06:43:48Z</dcterms:created>
  <dcterms:modified xsi:type="dcterms:W3CDTF">2019-12-17T06:43:48Z</dcterms:modified>
</cp:coreProperties>
</file>