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91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916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Chiang Willie CW</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0000FF"/>
              </w:rPr>
              <w:t>333 CLAY ST., STE. 1600</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14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34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920" w:type="dxa"/>
            <w:vAlign w:val="bottom"/>
            <w:gridSpan w:val="2"/>
          </w:tcPr>
          <w:p>
            <w:pPr>
              <w:spacing w:after="0" w:line="20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366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26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tcPr>
          <w:p>
            <w:pPr>
              <w:ind w:left="100"/>
              <w:spacing w:after="0" w:line="131" w:lineRule="exact"/>
              <w:rPr>
                <w:sz w:val="20"/>
                <w:szCs w:val="20"/>
                <w:color w:val="auto"/>
              </w:rPr>
            </w:pPr>
            <w:r>
              <w:rPr>
                <w:rFonts w:ascii="Arial" w:cs="Arial" w:eastAsia="Arial" w:hAnsi="Arial"/>
                <w:sz w:val="13"/>
                <w:szCs w:val="13"/>
                <w:color w:val="auto"/>
              </w:rPr>
              <w:t>Director</w:t>
            </w:r>
          </w:p>
        </w:tc>
        <w:tc>
          <w:tcPr>
            <w:tcW w:w="1500" w:type="dxa"/>
            <w:vAlign w:val="bottom"/>
          </w:tcPr>
          <w:p>
            <w:pPr>
              <w:ind w:left="340"/>
              <w:spacing w:after="0" w:line="13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EVP &amp; COO (U.S.)</w:t>
            </w:r>
          </w:p>
        </w:tc>
        <w:tc>
          <w:tcPr>
            <w:tcW w:w="0" w:type="dxa"/>
            <w:vAlign w:val="bottom"/>
          </w:tcPr>
          <w:p>
            <w:pPr>
              <w:spacing w:after="0"/>
              <w:rPr>
                <w:sz w:val="1"/>
                <w:szCs w:val="1"/>
                <w:color w:val="auto"/>
              </w:rPr>
            </w:pPr>
          </w:p>
        </w:tc>
      </w:tr>
      <w:tr>
        <w:trPr>
          <w:trHeight w:val="111"/>
        </w:trPr>
        <w:tc>
          <w:tcPr>
            <w:tcW w:w="3740" w:type="dxa"/>
            <w:vAlign w:val="bottom"/>
            <w:gridSpan w:val="2"/>
            <w:vMerge w:val="restart"/>
          </w:tcPr>
          <w:p>
            <w:pPr>
              <w:ind w:left="80"/>
              <w:spacing w:after="0"/>
              <w:rPr>
                <w:sz w:val="20"/>
                <w:szCs w:val="20"/>
                <w:color w:val="auto"/>
              </w:rPr>
            </w:pPr>
            <w:r>
              <w:rPr>
                <w:rFonts w:ascii="Arial" w:cs="Arial" w:eastAsia="Arial" w:hAnsi="Arial"/>
                <w:sz w:val="17"/>
                <w:szCs w:val="17"/>
                <w:color w:val="0000FF"/>
              </w:rPr>
              <w:t>08/24/2015</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7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3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4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8"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20" w:space="8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120,000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Under</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120" w:type="dxa"/>
            <w:vAlign w:val="bottom"/>
          </w:tcPr>
          <w:p>
            <w:pPr>
              <w:jc w:val="right"/>
              <w:ind w:right="199"/>
              <w:spacing w:after="0" w:line="141" w:lineRule="exact"/>
              <w:rPr>
                <w:sz w:val="20"/>
                <w:szCs w:val="20"/>
                <w:color w:val="auto"/>
              </w:rPr>
            </w:pPr>
            <w:r>
              <w:rPr>
                <w:rFonts w:ascii="Arial" w:cs="Arial" w:eastAsia="Arial" w:hAnsi="Arial"/>
                <w:sz w:val="13"/>
                <w:szCs w:val="13"/>
                <w:color w:val="0000FF"/>
              </w:rPr>
              <w:t>08/24/2015</w:t>
            </w:r>
          </w:p>
        </w:tc>
        <w:tc>
          <w:tcPr>
            <w:tcW w:w="1120" w:type="dxa"/>
            <w:vAlign w:val="bottom"/>
          </w:tcPr>
          <w:p>
            <w:pPr>
              <w:spacing w:after="0"/>
              <w:rPr>
                <w:sz w:val="12"/>
                <w:szCs w:val="12"/>
                <w:color w:val="auto"/>
              </w:rPr>
            </w:pPr>
          </w:p>
        </w:tc>
        <w:tc>
          <w:tcPr>
            <w:tcW w:w="82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41" w:lineRule="exact"/>
              <w:rPr>
                <w:sz w:val="20"/>
                <w:szCs w:val="20"/>
                <w:color w:val="auto"/>
              </w:rPr>
            </w:pPr>
            <w:r>
              <w:rPr>
                <w:rFonts w:ascii="Arial" w:cs="Arial" w:eastAsia="Arial" w:hAnsi="Arial"/>
                <w:sz w:val="13"/>
                <w:szCs w:val="13"/>
                <w:color w:val="0000FF"/>
              </w:rPr>
              <w:t>120,000</w:t>
            </w:r>
          </w:p>
        </w:tc>
        <w:tc>
          <w:tcPr>
            <w:tcW w:w="24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jc w:val="right"/>
              <w:ind w:right="242"/>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line="141" w:lineRule="exact"/>
              <w:rPr>
                <w:sz w:val="20"/>
                <w:szCs w:val="20"/>
                <w:color w:val="auto"/>
              </w:rPr>
            </w:pPr>
            <w:r>
              <w:rPr>
                <w:rFonts w:ascii="Arial" w:cs="Arial" w:eastAsia="Arial" w:hAnsi="Arial"/>
                <w:sz w:val="13"/>
                <w:szCs w:val="13"/>
                <w:color w:val="0000FF"/>
              </w:rPr>
              <w:t>120,000</w:t>
            </w:r>
          </w:p>
        </w:tc>
        <w:tc>
          <w:tcPr>
            <w:tcW w:w="7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LTIP</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180"/>
              <w:spacing w:after="0" w:line="133" w:lineRule="exact"/>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Plan</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associated distribution equivalent rights (payable in cash)).</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9" w:lineRule="exact"/>
        <w:rPr>
          <w:rFonts w:ascii="Arial" w:cs="Arial" w:eastAsia="Arial" w:hAnsi="Arial"/>
          <w:sz w:val="13"/>
          <w:szCs w:val="13"/>
          <w:color w:val="008000"/>
        </w:rPr>
      </w:pPr>
    </w:p>
    <w:p>
      <w:pPr>
        <w:jc w:val="both"/>
        <w:ind w:left="40" w:right="160" w:firstLine="6"/>
        <w:spacing w:after="0" w:line="242"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units will vest as follows: 40% will vest on the later of the August 2018 distribution date and the date PAA pays an annualized quarterly distribution of $2.90 per common unit; 30% will vest on the later of the August 2019 distribution date and the date PAA pays an annualized quarterly distribution of $3.10 per common unit; and 30% will vest on the later of the August 2020 distribution date and the date PAA pays an annualized quarterly distribution of $3.30 per common unit. The phantom units also vest upon termination of employment under certain circumstances. Any phantom units that have not vested as of the August 2021 distribution date will be forfeited.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Willie CW Chiang</w:t>
            </w:r>
          </w:p>
        </w:tc>
        <w:tc>
          <w:tcPr>
            <w:tcW w:w="8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08/24/2015</w:t>
            </w:r>
          </w:p>
        </w:tc>
      </w:tr>
      <w:tr>
        <w:trPr>
          <w:trHeight w:val="230"/>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2020-01-22T09:50:32Z</dcterms:created>
  <dcterms:modified xsi:type="dcterms:W3CDTF">2020-01-22T09:50:32Z</dcterms:modified>
</cp:coreProperties>
</file>