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color w:val="003366"/>
        </w:rPr>
        <w:t>TABLE OF CONTENTS</w:t>
      </w:r>
    </w:p>
    <w:p>
      <w:pPr>
        <w:spacing w:after="0" w:line="398"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As filed with the Securities and Exchange Commission on October 4, 2022</w:t>
      </w:r>
    </w:p>
    <w:p>
      <w:pPr>
        <w:jc w:val="right"/>
        <w:ind w:right="39"/>
        <w:spacing w:after="0"/>
        <w:rPr>
          <w:sz w:val="20"/>
          <w:szCs w:val="20"/>
          <w:color w:val="auto"/>
        </w:rPr>
      </w:pPr>
      <w:r>
        <w:rPr>
          <w:rFonts w:ascii="Arial" w:cs="Arial" w:eastAsia="Arial" w:hAnsi="Arial"/>
          <w:sz w:val="15"/>
          <w:szCs w:val="15"/>
          <w:b w:val="1"/>
          <w:bCs w:val="1"/>
          <w:color w:val="auto"/>
        </w:rPr>
        <w:t>Registration No. 333-          ​</w:t>
      </w:r>
    </w:p>
    <w:p>
      <w:pPr>
        <w:spacing w:after="0" w:line="42" w:lineRule="exact"/>
        <w:rPr>
          <w:sz w:val="24"/>
          <w:szCs w:val="24"/>
          <w:color w:val="auto"/>
        </w:rPr>
      </w:pPr>
    </w:p>
    <w:p>
      <w:pPr>
        <w:ind w:left="44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-1270</wp:posOffset>
            </wp:positionV>
            <wp:extent cx="5617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17845" cy="1587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36830</wp:posOffset>
            </wp:positionV>
            <wp:extent cx="5617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17845" cy="7620"/>
                    </a:xfrm>
                    <a:prstGeom prst="rect">
                      <a:avLst/>
                    </a:prstGeom>
                    <a:noFill/>
                  </pic:spPr>
                </pic:pic>
              </a:graphicData>
            </a:graphic>
          </wp:anchor>
        </w:drawing>
      </w:r>
    </w:p>
    <w:p>
      <w:pPr>
        <w:spacing w:after="0" w:line="94" w:lineRule="exact"/>
        <w:rPr>
          <w:sz w:val="24"/>
          <w:szCs w:val="24"/>
          <w:color w:val="auto"/>
        </w:rPr>
      </w:pPr>
    </w:p>
    <w:p>
      <w:pPr>
        <w:jc w:val="center"/>
        <w:ind w:right="-300"/>
        <w:spacing w:after="0"/>
        <w:rPr>
          <w:sz w:val="20"/>
          <w:szCs w:val="20"/>
          <w:color w:val="auto"/>
        </w:rPr>
      </w:pPr>
      <w:r>
        <w:rPr>
          <w:rFonts w:ascii="Arial" w:cs="Arial" w:eastAsia="Arial" w:hAnsi="Arial"/>
          <w:sz w:val="26"/>
          <w:szCs w:val="26"/>
          <w:b w:val="1"/>
          <w:bCs w:val="1"/>
          <w:color w:val="auto"/>
        </w:rPr>
        <w:t>UNITED STATES</w:t>
      </w:r>
    </w:p>
    <w:p>
      <w:pPr>
        <w:jc w:val="center"/>
        <w:ind w:right="-360"/>
        <w:spacing w:after="0" w:line="197" w:lineRule="auto"/>
        <w:rPr>
          <w:sz w:val="20"/>
          <w:szCs w:val="20"/>
          <w:color w:val="auto"/>
        </w:rPr>
      </w:pPr>
      <w:r>
        <w:rPr>
          <w:rFonts w:ascii="Arial" w:cs="Arial" w:eastAsia="Arial" w:hAnsi="Arial"/>
          <w:sz w:val="26"/>
          <w:szCs w:val="26"/>
          <w:b w:val="1"/>
          <w:bCs w:val="1"/>
          <w:color w:val="auto"/>
        </w:rPr>
        <w:t>SECURITIES AND EXCHANGE COMMISSION</w:t>
      </w:r>
    </w:p>
    <w:p>
      <w:pPr>
        <w:jc w:val="center"/>
        <w:ind w:right="-360"/>
        <w:spacing w:after="0"/>
        <w:rPr>
          <w:sz w:val="20"/>
          <w:szCs w:val="20"/>
          <w:color w:val="auto"/>
        </w:rPr>
      </w:pPr>
      <w:r>
        <w:rPr>
          <w:rFonts w:ascii="Arial" w:cs="Arial" w:eastAsia="Arial" w:hAnsi="Arial"/>
          <w:sz w:val="15"/>
          <w:szCs w:val="15"/>
          <w:b w:val="1"/>
          <w:bCs w:val="1"/>
          <w:color w:val="auto"/>
        </w:rPr>
        <w:t>Washington, D.C. 20549</w:t>
      </w:r>
    </w:p>
    <w:p>
      <w:pPr>
        <w:spacing w:after="0" w:line="7" w:lineRule="exact"/>
        <w:rPr>
          <w:sz w:val="24"/>
          <w:szCs w:val="24"/>
          <w:color w:val="auto"/>
        </w:rPr>
      </w:pPr>
    </w:p>
    <w:p>
      <w:pPr>
        <w:jc w:val="center"/>
        <w:ind w:right="-360"/>
        <w:spacing w:after="0"/>
        <w:rPr>
          <w:sz w:val="20"/>
          <w:szCs w:val="20"/>
          <w:color w:val="auto"/>
        </w:rPr>
      </w:pPr>
      <w:r>
        <w:rPr>
          <w:rFonts w:ascii="Arial" w:cs="Arial" w:eastAsia="Arial" w:hAnsi="Arial"/>
          <w:sz w:val="26"/>
          <w:szCs w:val="26"/>
          <w:b w:val="1"/>
          <w:bCs w:val="1"/>
          <w:color w:val="auto"/>
        </w:rPr>
        <w:t>FORM S-3</w:t>
      </w:r>
    </w:p>
    <w:p>
      <w:pPr>
        <w:spacing w:after="0" w:line="45"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REGISTRATION STATEMENT</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UNDER</w:t>
      </w:r>
    </w:p>
    <w:p>
      <w:pPr>
        <w:jc w:val="center"/>
        <w:ind w:right="-360"/>
        <w:spacing w:after="0"/>
        <w:rPr>
          <w:sz w:val="20"/>
          <w:szCs w:val="20"/>
          <w:color w:val="auto"/>
        </w:rPr>
      </w:pPr>
      <w:r>
        <w:rPr>
          <w:rFonts w:ascii="Arial" w:cs="Arial" w:eastAsia="Arial" w:hAnsi="Arial"/>
          <w:sz w:val="15"/>
          <w:szCs w:val="15"/>
          <w:b w:val="1"/>
          <w:bCs w:val="1"/>
          <w:color w:val="auto"/>
        </w:rPr>
        <w:t>THE SECURITIES ACT OF 1933</w:t>
      </w:r>
    </w:p>
    <w:p>
      <w:pPr>
        <w:spacing w:after="0" w:line="7" w:lineRule="exact"/>
        <w:rPr>
          <w:sz w:val="24"/>
          <w:szCs w:val="24"/>
          <w:color w:val="auto"/>
        </w:rPr>
      </w:pPr>
    </w:p>
    <w:p>
      <w:pPr>
        <w:jc w:val="center"/>
        <w:ind w:right="-360"/>
        <w:spacing w:after="0"/>
        <w:rPr>
          <w:sz w:val="20"/>
          <w:szCs w:val="20"/>
          <w:color w:val="auto"/>
        </w:rPr>
      </w:pPr>
      <w:r>
        <w:rPr>
          <w:rFonts w:ascii="Arial" w:cs="Arial" w:eastAsia="Arial" w:hAnsi="Arial"/>
          <w:sz w:val="26"/>
          <w:szCs w:val="26"/>
          <w:b w:val="1"/>
          <w:bCs w:val="1"/>
          <w:color w:val="auto"/>
        </w:rPr>
        <w:t>PLAINS GP HOLDINGS, L.P.</w:t>
      </w:r>
    </w:p>
    <w:p>
      <w:pPr>
        <w:spacing w:after="0" w:line="19" w:lineRule="exact"/>
        <w:rPr>
          <w:sz w:val="24"/>
          <w:szCs w:val="24"/>
          <w:color w:val="auto"/>
        </w:rPr>
      </w:pPr>
    </w:p>
    <w:p>
      <w:pPr>
        <w:ind w:left="3440"/>
        <w:spacing w:after="0"/>
        <w:rPr>
          <w:sz w:val="20"/>
          <w:szCs w:val="20"/>
          <w:color w:val="auto"/>
        </w:rPr>
      </w:pPr>
      <w:r>
        <w:rPr>
          <w:rFonts w:ascii="Arial" w:cs="Arial" w:eastAsia="Arial" w:hAnsi="Arial"/>
          <w:sz w:val="13"/>
          <w:szCs w:val="13"/>
          <w:color w:val="auto"/>
        </w:rPr>
        <w:t>(Exact name of registrant as specified in its charter)</w:t>
      </w:r>
    </w:p>
    <w:p>
      <w:pPr>
        <w:spacing w:after="0" w:line="61" w:lineRule="exact"/>
        <w:rPr>
          <w:sz w:val="24"/>
          <w:szCs w:val="24"/>
          <w:color w:val="auto"/>
        </w:rPr>
      </w:pPr>
    </w:p>
    <w:tbl>
      <w:tblPr>
        <w:tblLayout w:type="fixed"/>
        <w:tblInd w:w="440" w:type="dxa"/>
        <w:tblCellMar>
          <w:top w:w="0" w:type="dxa"/>
          <w:left w:w="0" w:type="dxa"/>
          <w:bottom w:w="0" w:type="dxa"/>
          <w:right w:w="0" w:type="dxa"/>
        </w:tblCellMar>
      </w:tblPr>
      <w:tr>
        <w:trPr>
          <w:trHeight w:val="196"/>
        </w:trPr>
        <w:tc>
          <w:tcPr>
            <w:tcW w:w="680" w:type="dxa"/>
            <w:vAlign w:val="bottom"/>
          </w:tcPr>
          <w:p>
            <w:pPr>
              <w:spacing w:after="0"/>
              <w:rPr>
                <w:sz w:val="20"/>
                <w:szCs w:val="20"/>
                <w:color w:val="auto"/>
              </w:rPr>
            </w:pPr>
            <w:r>
              <w:rPr>
                <w:rFonts w:ascii="Arial" w:cs="Arial" w:eastAsia="Arial" w:hAnsi="Arial"/>
                <w:sz w:val="13"/>
                <w:szCs w:val="13"/>
                <w:color w:val="auto"/>
              </w:rPr>
              <w:t>​</w:t>
            </w:r>
          </w:p>
        </w:tc>
        <w:tc>
          <w:tcPr>
            <w:tcW w:w="2620" w:type="dxa"/>
            <w:vAlign w:val="bottom"/>
          </w:tcPr>
          <w:p>
            <w:pPr>
              <w:ind w:left="1180"/>
              <w:spacing w:after="0"/>
              <w:rPr>
                <w:sz w:val="20"/>
                <w:szCs w:val="20"/>
                <w:color w:val="auto"/>
              </w:rPr>
            </w:pPr>
            <w:r>
              <w:rPr>
                <w:rFonts w:ascii="Arial" w:cs="Arial" w:eastAsia="Arial" w:hAnsi="Arial"/>
                <w:sz w:val="15"/>
                <w:szCs w:val="15"/>
                <w:b w:val="1"/>
                <w:bCs w:val="1"/>
                <w:color w:val="auto"/>
              </w:rPr>
              <w:t>Delaware</w:t>
            </w:r>
          </w:p>
        </w:tc>
        <w:tc>
          <w:tcPr>
            <w:tcW w:w="2400" w:type="dxa"/>
            <w:vAlign w:val="bottom"/>
          </w:tcPr>
          <w:p>
            <w:pPr>
              <w:jc w:val="center"/>
              <w:ind w:right="67"/>
              <w:spacing w:after="0"/>
              <w:rPr>
                <w:sz w:val="20"/>
                <w:szCs w:val="20"/>
                <w:color w:val="auto"/>
              </w:rPr>
            </w:pPr>
            <w:r>
              <w:rPr>
                <w:rFonts w:ascii="Arial" w:cs="Arial" w:eastAsia="Arial" w:hAnsi="Arial"/>
                <w:sz w:val="13"/>
                <w:szCs w:val="13"/>
                <w:color w:val="auto"/>
              </w:rPr>
              <w:t>​ ​</w:t>
            </w:r>
          </w:p>
        </w:tc>
        <w:tc>
          <w:tcPr>
            <w:tcW w:w="2300" w:type="dxa"/>
            <w:vAlign w:val="bottom"/>
          </w:tcPr>
          <w:p>
            <w:pPr>
              <w:jc w:val="right"/>
              <w:ind w:right="911"/>
              <w:spacing w:after="0"/>
              <w:rPr>
                <w:sz w:val="20"/>
                <w:szCs w:val="20"/>
                <w:color w:val="auto"/>
              </w:rPr>
            </w:pPr>
            <w:r>
              <w:rPr>
                <w:rFonts w:ascii="Arial" w:cs="Arial" w:eastAsia="Arial" w:hAnsi="Arial"/>
                <w:sz w:val="15"/>
                <w:szCs w:val="15"/>
                <w:b w:val="1"/>
                <w:bCs w:val="1"/>
                <w:color w:val="auto"/>
              </w:rPr>
              <w:t>90-1005472</w:t>
            </w:r>
          </w:p>
        </w:tc>
        <w:tc>
          <w:tcPr>
            <w:tcW w:w="860" w:type="dxa"/>
            <w:vAlign w:val="bottom"/>
          </w:tcPr>
          <w:p>
            <w:pPr>
              <w:ind w:left="840"/>
              <w:spacing w:after="0"/>
              <w:rPr>
                <w:sz w:val="20"/>
                <w:szCs w:val="20"/>
                <w:color w:val="auto"/>
              </w:rPr>
            </w:pPr>
            <w:r>
              <w:rPr>
                <w:rFonts w:ascii="Arial" w:cs="Arial" w:eastAsia="Arial" w:hAnsi="Arial"/>
                <w:sz w:val="1"/>
                <w:szCs w:val="1"/>
                <w:color w:val="auto"/>
                <w:w w:val="4294942296"/>
              </w:rPr>
              <w:t>​</w:t>
            </w:r>
          </w:p>
        </w:tc>
      </w:tr>
      <w:tr>
        <w:trPr>
          <w:trHeight w:val="152"/>
        </w:trPr>
        <w:tc>
          <w:tcPr>
            <w:tcW w:w="680" w:type="dxa"/>
            <w:vAlign w:val="bottom"/>
          </w:tcPr>
          <w:p>
            <w:pPr>
              <w:spacing w:after="0"/>
              <w:rPr>
                <w:sz w:val="13"/>
                <w:szCs w:val="13"/>
                <w:color w:val="auto"/>
              </w:rPr>
            </w:pPr>
          </w:p>
        </w:tc>
        <w:tc>
          <w:tcPr>
            <w:tcW w:w="2620" w:type="dxa"/>
            <w:vAlign w:val="bottom"/>
          </w:tcPr>
          <w:p>
            <w:pPr>
              <w:ind w:left="660"/>
              <w:spacing w:after="0"/>
              <w:rPr>
                <w:sz w:val="20"/>
                <w:szCs w:val="20"/>
                <w:color w:val="auto"/>
              </w:rPr>
            </w:pPr>
            <w:r>
              <w:rPr>
                <w:rFonts w:ascii="Arial" w:cs="Arial" w:eastAsia="Arial" w:hAnsi="Arial"/>
                <w:sz w:val="13"/>
                <w:szCs w:val="13"/>
                <w:color w:val="auto"/>
              </w:rPr>
              <w:t>(State or other jurisdiction of</w:t>
            </w:r>
          </w:p>
        </w:tc>
        <w:tc>
          <w:tcPr>
            <w:tcW w:w="2400" w:type="dxa"/>
            <w:vAlign w:val="bottom"/>
          </w:tcPr>
          <w:p>
            <w:pPr>
              <w:spacing w:after="0"/>
              <w:rPr>
                <w:sz w:val="13"/>
                <w:szCs w:val="13"/>
                <w:color w:val="auto"/>
              </w:rPr>
            </w:pPr>
          </w:p>
        </w:tc>
        <w:tc>
          <w:tcPr>
            <w:tcW w:w="2300" w:type="dxa"/>
            <w:vAlign w:val="bottom"/>
          </w:tcPr>
          <w:p>
            <w:pPr>
              <w:jc w:val="center"/>
              <w:ind w:right="331"/>
              <w:spacing w:after="0"/>
              <w:rPr>
                <w:sz w:val="20"/>
                <w:szCs w:val="20"/>
                <w:color w:val="auto"/>
              </w:rPr>
            </w:pPr>
            <w:r>
              <w:rPr>
                <w:rFonts w:ascii="Arial" w:cs="Arial" w:eastAsia="Arial" w:hAnsi="Arial"/>
                <w:sz w:val="13"/>
                <w:szCs w:val="13"/>
                <w:color w:val="auto"/>
                <w:w w:val="98"/>
              </w:rPr>
              <w:t>(I.R.S. Employer</w:t>
            </w:r>
          </w:p>
        </w:tc>
        <w:tc>
          <w:tcPr>
            <w:tcW w:w="860" w:type="dxa"/>
            <w:vAlign w:val="bottom"/>
          </w:tcPr>
          <w:p>
            <w:pPr>
              <w:spacing w:after="0"/>
              <w:rPr>
                <w:sz w:val="13"/>
                <w:szCs w:val="13"/>
                <w:color w:val="auto"/>
              </w:rPr>
            </w:pPr>
          </w:p>
        </w:tc>
      </w:tr>
      <w:tr>
        <w:trPr>
          <w:trHeight w:val="192"/>
        </w:trPr>
        <w:tc>
          <w:tcPr>
            <w:tcW w:w="680" w:type="dxa"/>
            <w:vAlign w:val="bottom"/>
          </w:tcPr>
          <w:p>
            <w:pPr>
              <w:spacing w:after="0"/>
              <w:rPr>
                <w:sz w:val="16"/>
                <w:szCs w:val="16"/>
                <w:color w:val="auto"/>
              </w:rPr>
            </w:pPr>
          </w:p>
        </w:tc>
        <w:tc>
          <w:tcPr>
            <w:tcW w:w="2620" w:type="dxa"/>
            <w:vAlign w:val="bottom"/>
          </w:tcPr>
          <w:p>
            <w:pPr>
              <w:ind w:left="640"/>
              <w:spacing w:after="0"/>
              <w:rPr>
                <w:sz w:val="20"/>
                <w:szCs w:val="20"/>
                <w:color w:val="auto"/>
              </w:rPr>
            </w:pPr>
            <w:r>
              <w:rPr>
                <w:rFonts w:ascii="Arial" w:cs="Arial" w:eastAsia="Arial" w:hAnsi="Arial"/>
                <w:sz w:val="13"/>
                <w:szCs w:val="13"/>
                <w:color w:val="auto"/>
              </w:rPr>
              <w:t>incorporation or organization)</w:t>
            </w:r>
            <w:r>
              <w:rPr>
                <w:rFonts w:ascii="Arial" w:cs="Arial" w:eastAsia="Arial" w:hAnsi="Arial"/>
                <w:sz w:val="15"/>
                <w:szCs w:val="15"/>
                <w:color w:val="auto"/>
              </w:rPr>
              <w:t>​</w:t>
            </w:r>
          </w:p>
        </w:tc>
        <w:tc>
          <w:tcPr>
            <w:tcW w:w="2400" w:type="dxa"/>
            <w:vAlign w:val="bottom"/>
          </w:tcPr>
          <w:p>
            <w:pPr>
              <w:spacing w:after="0"/>
              <w:rPr>
                <w:sz w:val="16"/>
                <w:szCs w:val="16"/>
                <w:color w:val="auto"/>
              </w:rPr>
            </w:pPr>
          </w:p>
        </w:tc>
        <w:tc>
          <w:tcPr>
            <w:tcW w:w="2300" w:type="dxa"/>
            <w:vAlign w:val="bottom"/>
          </w:tcPr>
          <w:p>
            <w:pPr>
              <w:jc w:val="center"/>
              <w:ind w:right="291"/>
              <w:spacing w:after="0"/>
              <w:rPr>
                <w:sz w:val="20"/>
                <w:szCs w:val="20"/>
                <w:color w:val="auto"/>
              </w:rPr>
            </w:pPr>
            <w:r>
              <w:rPr>
                <w:rFonts w:ascii="Arial" w:cs="Arial" w:eastAsia="Arial" w:hAnsi="Arial"/>
                <w:sz w:val="13"/>
                <w:szCs w:val="13"/>
                <w:color w:val="auto"/>
              </w:rPr>
              <w:t>Identification No.)</w:t>
            </w:r>
          </w:p>
        </w:tc>
        <w:tc>
          <w:tcPr>
            <w:tcW w:w="860" w:type="dxa"/>
            <w:vAlign w:val="bottom"/>
          </w:tcPr>
          <w:p>
            <w:pPr>
              <w:spacing w:after="0"/>
              <w:rPr>
                <w:sz w:val="16"/>
                <w:szCs w:val="16"/>
                <w:color w:val="auto"/>
              </w:rPr>
            </w:pPr>
          </w:p>
        </w:tc>
      </w:tr>
      <w:tr>
        <w:trPr>
          <w:trHeight w:val="295"/>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0" w:type="dxa"/>
            <w:vAlign w:val="bottom"/>
          </w:tcPr>
          <w:p>
            <w:pPr>
              <w:jc w:val="center"/>
              <w:ind w:right="107"/>
              <w:spacing w:after="0"/>
              <w:rPr>
                <w:sz w:val="20"/>
                <w:szCs w:val="20"/>
                <w:color w:val="auto"/>
              </w:rPr>
            </w:pPr>
            <w:r>
              <w:rPr>
                <w:rFonts w:ascii="Arial" w:cs="Arial" w:eastAsia="Arial" w:hAnsi="Arial"/>
                <w:sz w:val="15"/>
                <w:szCs w:val="15"/>
                <w:b w:val="1"/>
                <w:bCs w:val="1"/>
                <w:color w:val="auto"/>
                <w:w w:val="87"/>
              </w:rPr>
              <w:t>333 Clay Street, Suite 1600</w:t>
            </w: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0" w:type="dxa"/>
            <w:vAlign w:val="bottom"/>
          </w:tcPr>
          <w:p>
            <w:pPr>
              <w:jc w:val="center"/>
              <w:ind w:right="107"/>
              <w:spacing w:after="0"/>
              <w:rPr>
                <w:sz w:val="20"/>
                <w:szCs w:val="20"/>
                <w:color w:val="auto"/>
              </w:rPr>
            </w:pPr>
            <w:r>
              <w:rPr>
                <w:rFonts w:ascii="Arial" w:cs="Arial" w:eastAsia="Arial" w:hAnsi="Arial"/>
                <w:sz w:val="15"/>
                <w:szCs w:val="15"/>
                <w:b w:val="1"/>
                <w:bCs w:val="1"/>
                <w:color w:val="auto"/>
                <w:w w:val="85"/>
              </w:rPr>
              <w:t>Houston, Texas 77002</w:t>
            </w:r>
          </w:p>
        </w:tc>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8"/>
        </w:trPr>
        <w:tc>
          <w:tcPr>
            <w:tcW w:w="6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0" w:type="dxa"/>
            <w:vAlign w:val="bottom"/>
          </w:tcPr>
          <w:p>
            <w:pPr>
              <w:jc w:val="right"/>
              <w:ind w:right="747"/>
              <w:spacing w:after="0"/>
              <w:rPr>
                <w:sz w:val="20"/>
                <w:szCs w:val="20"/>
                <w:color w:val="auto"/>
              </w:rPr>
            </w:pPr>
            <w:r>
              <w:rPr>
                <w:rFonts w:ascii="Arial" w:cs="Arial" w:eastAsia="Arial" w:hAnsi="Arial"/>
                <w:sz w:val="15"/>
                <w:szCs w:val="15"/>
                <w:b w:val="1"/>
                <w:bCs w:val="1"/>
                <w:color w:val="auto"/>
              </w:rPr>
              <w:t>(713) 646-4100</w:t>
            </w: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jc w:val="center"/>
        <w:ind w:right="-40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r>
        <w:rPr>
          <w:rFonts w:ascii="Arial" w:cs="Arial" w:eastAsia="Arial" w:hAnsi="Arial"/>
          <w:sz w:val="15"/>
          <w:szCs w:val="15"/>
          <w:color w:val="auto"/>
        </w:rPr>
        <w:t>​</w:t>
      </w:r>
    </w:p>
    <w:p>
      <w:pPr>
        <w:spacing w:after="0" w:line="20"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Richard McGee</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Executive Vice President</w:t>
      </w:r>
    </w:p>
    <w:p>
      <w:pPr>
        <w:ind w:left="4020"/>
        <w:spacing w:after="0" w:line="221" w:lineRule="auto"/>
        <w:rPr>
          <w:sz w:val="20"/>
          <w:szCs w:val="20"/>
          <w:color w:val="auto"/>
        </w:rPr>
      </w:pPr>
      <w:r>
        <w:rPr>
          <w:rFonts w:ascii="Arial" w:cs="Arial" w:eastAsia="Arial" w:hAnsi="Arial"/>
          <w:sz w:val="15"/>
          <w:szCs w:val="15"/>
          <w:b w:val="1"/>
          <w:bCs w:val="1"/>
          <w:color w:val="auto"/>
        </w:rPr>
        <w:t>333 Clay Street, Suite 1600</w:t>
      </w:r>
    </w:p>
    <w:p>
      <w:pPr>
        <w:ind w:left="4180"/>
        <w:spacing w:after="0" w:line="222" w:lineRule="auto"/>
        <w:rPr>
          <w:sz w:val="20"/>
          <w:szCs w:val="20"/>
          <w:color w:val="auto"/>
        </w:rPr>
      </w:pPr>
      <w:r>
        <w:rPr>
          <w:rFonts w:ascii="Arial" w:cs="Arial" w:eastAsia="Arial" w:hAnsi="Arial"/>
          <w:sz w:val="15"/>
          <w:szCs w:val="15"/>
          <w:b w:val="1"/>
          <w:bCs w:val="1"/>
          <w:color w:val="auto"/>
        </w:rPr>
        <w:t>Houston, Texas 77002</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5"/>
          <w:szCs w:val="15"/>
          <w:b w:val="1"/>
          <w:bCs w:val="1"/>
          <w:color w:val="auto"/>
        </w:rPr>
        <w:t>(713) 646-4100</w:t>
      </w:r>
    </w:p>
    <w:p>
      <w:pPr>
        <w:spacing w:after="0" w:line="7" w:lineRule="exact"/>
        <w:rPr>
          <w:sz w:val="24"/>
          <w:szCs w:val="24"/>
          <w:color w:val="auto"/>
        </w:rPr>
      </w:pPr>
    </w:p>
    <w:p>
      <w:pPr>
        <w:jc w:val="center"/>
        <w:ind w:right="-40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57150</wp:posOffset>
            </wp:positionV>
            <wp:extent cx="11220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spacing w:after="0" w:line="152"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Copies to:</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5"/>
          <w:szCs w:val="15"/>
          <w:b w:val="1"/>
          <w:bCs w:val="1"/>
          <w:color w:val="auto"/>
        </w:rPr>
        <w:t>David P. Oelman</w:t>
      </w:r>
    </w:p>
    <w:p>
      <w:pPr>
        <w:ind w:left="4520"/>
        <w:spacing w:after="0" w:line="221" w:lineRule="auto"/>
        <w:rPr>
          <w:sz w:val="20"/>
          <w:szCs w:val="20"/>
          <w:color w:val="auto"/>
        </w:rPr>
      </w:pPr>
      <w:r>
        <w:rPr>
          <w:rFonts w:ascii="Arial" w:cs="Arial" w:eastAsia="Arial" w:hAnsi="Arial"/>
          <w:sz w:val="15"/>
          <w:szCs w:val="15"/>
          <w:b w:val="1"/>
          <w:bCs w:val="1"/>
          <w:color w:val="auto"/>
        </w:rPr>
        <w:t>Alan Beck</w:t>
      </w:r>
    </w:p>
    <w:p>
      <w:pPr>
        <w:jc w:val="center"/>
        <w:ind w:right="-320"/>
        <w:spacing w:after="0" w:line="222" w:lineRule="auto"/>
        <w:rPr>
          <w:sz w:val="20"/>
          <w:szCs w:val="20"/>
          <w:color w:val="auto"/>
        </w:rPr>
      </w:pPr>
      <w:r>
        <w:rPr>
          <w:rFonts w:ascii="Arial" w:cs="Arial" w:eastAsia="Arial" w:hAnsi="Arial"/>
          <w:sz w:val="15"/>
          <w:szCs w:val="15"/>
          <w:b w:val="1"/>
          <w:bCs w:val="1"/>
          <w:color w:val="auto"/>
        </w:rPr>
        <w:t>Vinson &amp; Elkins L.L.P.</w:t>
      </w:r>
    </w:p>
    <w:p>
      <w:pPr>
        <w:jc w:val="center"/>
        <w:ind w:right="-320"/>
        <w:spacing w:after="0"/>
        <w:rPr>
          <w:sz w:val="20"/>
          <w:szCs w:val="20"/>
          <w:color w:val="auto"/>
        </w:rPr>
      </w:pPr>
      <w:r>
        <w:rPr>
          <w:rFonts w:ascii="Arial" w:cs="Arial" w:eastAsia="Arial" w:hAnsi="Arial"/>
          <w:sz w:val="15"/>
          <w:szCs w:val="15"/>
          <w:b w:val="1"/>
          <w:bCs w:val="1"/>
          <w:color w:val="auto"/>
        </w:rPr>
        <w:t>845 Texas Avenue, Suite 4700</w:t>
      </w:r>
    </w:p>
    <w:p>
      <w:pPr>
        <w:ind w:left="4180"/>
        <w:spacing w:after="0" w:line="221" w:lineRule="auto"/>
        <w:rPr>
          <w:sz w:val="20"/>
          <w:szCs w:val="20"/>
          <w:color w:val="auto"/>
        </w:rPr>
      </w:pPr>
      <w:r>
        <w:rPr>
          <w:rFonts w:ascii="Arial" w:cs="Arial" w:eastAsia="Arial" w:hAnsi="Arial"/>
          <w:sz w:val="15"/>
          <w:szCs w:val="15"/>
          <w:b w:val="1"/>
          <w:bCs w:val="1"/>
          <w:color w:val="auto"/>
        </w:rPr>
        <w:t>Houston, Texas 77002</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5"/>
          <w:szCs w:val="15"/>
          <w:b w:val="1"/>
          <w:bCs w:val="1"/>
          <w:color w:val="auto"/>
        </w:rPr>
        <w:t>(713) 758-2222</w:t>
      </w:r>
    </w:p>
    <w:p>
      <w:pPr>
        <w:spacing w:after="0" w:line="20" w:lineRule="exact"/>
        <w:rPr>
          <w:sz w:val="24"/>
          <w:szCs w:val="24"/>
          <w:color w:val="auto"/>
        </w:rPr>
      </w:pPr>
    </w:p>
    <w:p>
      <w:pPr>
        <w:ind w:left="2760"/>
        <w:spacing w:after="0"/>
        <w:rPr>
          <w:sz w:val="20"/>
          <w:szCs w:val="20"/>
          <w:color w:val="auto"/>
        </w:rPr>
      </w:pPr>
      <w:r>
        <w:rPr>
          <w:rFonts w:ascii="Arial" w:cs="Arial" w:eastAsia="Arial" w:hAnsi="Arial"/>
          <w:sz w:val="15"/>
          <w:szCs w:val="15"/>
          <w:b w:val="1"/>
          <w:bCs w:val="1"/>
          <w:color w:val="auto"/>
        </w:rPr>
        <w:t>Approximate date of commencement of proposed sale to the public:</w:t>
      </w:r>
    </w:p>
    <w:p>
      <w:pPr>
        <w:spacing w:after="0" w:line="15" w:lineRule="exact"/>
        <w:rPr>
          <w:sz w:val="24"/>
          <w:szCs w:val="24"/>
          <w:color w:val="auto"/>
        </w:rPr>
      </w:pPr>
    </w:p>
    <w:p>
      <w:pPr>
        <w:ind w:left="2680"/>
        <w:spacing w:after="0"/>
        <w:rPr>
          <w:sz w:val="20"/>
          <w:szCs w:val="20"/>
          <w:color w:val="auto"/>
        </w:rPr>
      </w:pPr>
      <w:r>
        <w:rPr>
          <w:rFonts w:ascii="Arial" w:cs="Arial" w:eastAsia="Arial" w:hAnsi="Arial"/>
          <w:sz w:val="15"/>
          <w:szCs w:val="15"/>
          <w:b w:val="1"/>
          <w:bCs w:val="1"/>
          <w:color w:val="auto"/>
        </w:rPr>
        <w:t>From time to time after the effective date of this registration statement.</w:t>
      </w:r>
    </w:p>
    <w:p>
      <w:pPr>
        <w:spacing w:after="0" w:line="24" w:lineRule="exact"/>
        <w:rPr>
          <w:sz w:val="24"/>
          <w:szCs w:val="24"/>
          <w:color w:val="auto"/>
        </w:rPr>
      </w:pPr>
    </w:p>
    <w:p>
      <w:pPr>
        <w:ind w:left="440" w:right="499" w:firstLine="327"/>
        <w:spacing w:after="0" w:line="184"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2" w:lineRule="exact"/>
        <w:rPr>
          <w:sz w:val="24"/>
          <w:szCs w:val="24"/>
          <w:color w:val="auto"/>
        </w:rPr>
      </w:pPr>
    </w:p>
    <w:p>
      <w:pPr>
        <w:ind w:left="440" w:right="279" w:firstLine="327"/>
        <w:spacing w:after="0" w:line="177"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2" w:lineRule="exact"/>
        <w:rPr>
          <w:sz w:val="24"/>
          <w:szCs w:val="24"/>
          <w:color w:val="auto"/>
        </w:rPr>
      </w:pPr>
    </w:p>
    <w:p>
      <w:pPr>
        <w:ind w:left="440" w:right="119" w:firstLine="327"/>
        <w:spacing w:after="0" w:line="177"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 w:lineRule="exact"/>
        <w:rPr>
          <w:sz w:val="24"/>
          <w:szCs w:val="24"/>
          <w:color w:val="auto"/>
        </w:rPr>
      </w:pPr>
    </w:p>
    <w:p>
      <w:pPr>
        <w:ind w:left="440" w:right="299" w:firstLine="327"/>
        <w:spacing w:after="0" w:line="18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440" w:right="239" w:firstLine="327"/>
        <w:spacing w:after="0" w:line="184"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1" w:lineRule="exact"/>
        <w:rPr>
          <w:sz w:val="24"/>
          <w:szCs w:val="24"/>
          <w:color w:val="auto"/>
        </w:rPr>
      </w:pPr>
    </w:p>
    <w:p>
      <w:pPr>
        <w:ind w:left="440" w:right="519" w:firstLine="327"/>
        <w:spacing w:after="0" w:line="185"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ind w:left="7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w:t>
      </w:r>
    </w:p>
    <w:p>
      <w:pPr>
        <w:spacing w:after="0" w:line="10" w:lineRule="exact"/>
        <w:rPr>
          <w:sz w:val="24"/>
          <w:szCs w:val="24"/>
          <w:color w:val="auto"/>
        </w:rPr>
      </w:pPr>
    </w:p>
    <w:p>
      <w:pPr>
        <w:ind w:left="440" w:right="119"/>
        <w:spacing w:after="0" w:line="235" w:lineRule="auto"/>
        <w:rPr>
          <w:sz w:val="20"/>
          <w:szCs w:val="20"/>
          <w:color w:val="auto"/>
        </w:rPr>
      </w:pPr>
      <w:r>
        <w:rPr>
          <w:rFonts w:ascii="Arial" w:cs="Arial" w:eastAsia="Arial" w:hAnsi="Arial"/>
          <w:sz w:val="15"/>
          <w:szCs w:val="15"/>
          <w:color w:val="auto"/>
        </w:rPr>
        <w:t>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379"/>
          </w:cols>
          <w:pgMar w:left="1080" w:top="230" w:right="1440" w:bottom="1440" w:gutter="0" w:footer="0" w:header="0"/>
        </w:sectPr>
      </w:pPr>
    </w:p>
    <w:p>
      <w:pPr>
        <w:spacing w:after="0" w:line="12" w:lineRule="exact"/>
        <w:rPr>
          <w:sz w:val="24"/>
          <w:szCs w:val="24"/>
          <w:color w:val="auto"/>
        </w:rPr>
      </w:pPr>
    </w:p>
    <w:p>
      <w:pPr>
        <w:ind w:left="440"/>
        <w:spacing w:after="0" w:line="174" w:lineRule="exact"/>
        <w:tabs>
          <w:tab w:leader="none" w:pos="198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 ​</w:t>
      </w:r>
    </w:p>
    <w:p>
      <w:pPr>
        <w:ind w:left="440"/>
        <w:spacing w:after="0" w:line="262"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27"/>
          <w:szCs w:val="27"/>
          <w:color w:val="auto"/>
          <w:vertAlign w:val="superscript"/>
        </w:rPr>
        <w:t>​ ​</w:t>
      </w:r>
    </w:p>
    <w:p>
      <w:pPr>
        <w:ind w:left="440"/>
        <w:spacing w:after="0"/>
        <w:tabs>
          <w:tab w:leader="none" w:pos="21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w:t>
      </w:r>
    </w:p>
    <w:p>
      <w:pPr>
        <w:spacing w:after="0" w:line="20" w:lineRule="exact"/>
        <w:rPr>
          <w:sz w:val="24"/>
          <w:szCs w:val="24"/>
          <w:color w:val="auto"/>
        </w:rPr>
      </w:pPr>
      <w:r>
        <w:rPr>
          <w:sz w:val="24"/>
          <w:szCs w:val="24"/>
          <w:color w:val="auto"/>
        </w:rPr>
        <w:br w:type="column"/>
      </w:r>
    </w:p>
    <w:p>
      <w:pPr>
        <w:ind w:left="680"/>
        <w:spacing w:after="0" w:line="166" w:lineRule="exact"/>
        <w:tabs>
          <w:tab w:leader="none" w:pos="1860" w:val="left"/>
        </w:tabs>
        <w:rPr>
          <w:sz w:val="20"/>
          <w:szCs w:val="20"/>
          <w:color w:val="auto"/>
        </w:rPr>
      </w:pP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5"/>
          <w:szCs w:val="15"/>
          <w:color w:val="auto"/>
        </w:rPr>
        <w:t>☐</w:t>
      </w:r>
      <w:r>
        <w:rPr>
          <w:rFonts w:ascii="Arial" w:cs="Arial" w:eastAsia="Arial" w:hAnsi="Arial"/>
          <w:sz w:val="15"/>
          <w:szCs w:val="15"/>
          <w:color w:val="auto"/>
        </w:rPr>
        <w:t>​</w:t>
      </w:r>
    </w:p>
    <w:p>
      <w:pPr>
        <w:ind w:left="20"/>
        <w:spacing w:after="0" w:line="311" w:lineRule="exact"/>
        <w:tabs>
          <w:tab w:leader="none" w:pos="1860" w:val="left"/>
        </w:tabs>
        <w:rPr>
          <w:sz w:val="20"/>
          <w:szCs w:val="20"/>
          <w:color w:val="auto"/>
        </w:rPr>
      </w:pP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rFonts w:ascii="Arial" w:cs="Arial" w:eastAsia="Arial" w:hAnsi="Arial"/>
          <w:sz w:val="30"/>
          <w:szCs w:val="30"/>
          <w:color w:val="auto"/>
          <w:vertAlign w:val="superscript"/>
        </w:rPr>
        <w:t>​</w:t>
      </w:r>
    </w:p>
    <w:p>
      <w:pPr>
        <w:spacing w:after="0" w:line="261" w:lineRule="exact"/>
        <w:rPr>
          <w:sz w:val="20"/>
          <w:szCs w:val="20"/>
          <w:color w:val="auto"/>
        </w:rPr>
      </w:pPr>
      <w:r>
        <w:rPr>
          <w:rFonts w:ascii="Arial" w:cs="Arial" w:eastAsia="Arial" w:hAnsi="Arial"/>
          <w:sz w:val="14"/>
          <w:szCs w:val="14"/>
          <w:color w:val="auto"/>
        </w:rPr>
        <w:t>Emerging growth company    </w:t>
      </w:r>
      <w:r>
        <w:rPr>
          <w:rFonts w:ascii="MS PGothic" w:cs="MS PGothic" w:eastAsia="MS PGothic" w:hAnsi="MS PGothic"/>
          <w:sz w:val="14"/>
          <w:szCs w:val="14"/>
          <w:color w:val="auto"/>
        </w:rPr>
        <w:t>☐</w:t>
      </w:r>
      <w:r>
        <w:rPr>
          <w:rFonts w:ascii="Arial" w:cs="Arial" w:eastAsia="Arial" w:hAnsi="Arial"/>
          <w:sz w:val="27"/>
          <w:szCs w:val="27"/>
          <w:color w:val="auto"/>
          <w:vertAlign w:val="superscript"/>
        </w:rPr>
        <w:t>​</w:t>
      </w:r>
    </w:p>
    <w:p>
      <w:pPr>
        <w:spacing w:after="0" w:line="84" w:lineRule="exact"/>
        <w:rPr>
          <w:sz w:val="24"/>
          <w:szCs w:val="24"/>
          <w:color w:val="auto"/>
        </w:rPr>
      </w:pPr>
    </w:p>
    <w:p>
      <w:pPr>
        <w:sectPr>
          <w:pgSz w:w="11900" w:h="16838" w:orient="portrait"/>
          <w:cols w:equalWidth="0" w:num="2">
            <w:col w:w="6540" w:space="720"/>
            <w:col w:w="2119"/>
          </w:cols>
          <w:pgMar w:left="1080" w:top="230" w:right="1440" w:bottom="1440" w:gutter="0" w:footer="0" w:header="0"/>
          <w:type w:val="continuous"/>
        </w:sectPr>
      </w:pPr>
    </w:p>
    <w:p>
      <w:pPr>
        <w:ind w:left="440" w:right="419" w:firstLine="327"/>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ind w:left="440" w:right="99" w:firstLine="327"/>
        <w:spacing w:after="0" w:line="29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w:t>
      </w:r>
    </w:p>
    <w:p>
      <w:pPr>
        <w:spacing w:after="0" w:line="2" w:lineRule="exact"/>
        <w:rPr>
          <w:sz w:val="24"/>
          <w:szCs w:val="24"/>
          <w:color w:val="auto"/>
        </w:rPr>
      </w:pPr>
    </w:p>
    <w:p>
      <w:pPr>
        <w:ind w:left="440"/>
        <w:spacing w:after="0"/>
        <w:rPr>
          <w:sz w:val="20"/>
          <w:szCs w:val="20"/>
          <w:color w:val="auto"/>
        </w:rPr>
      </w:pPr>
      <w:r>
        <w:rPr>
          <w:rFonts w:ascii="Arial" w:cs="Arial" w:eastAsia="Arial" w:hAnsi="Arial"/>
          <w:sz w:val="15"/>
          <w:szCs w:val="15"/>
          <w:b w:val="1"/>
          <w:bCs w:val="1"/>
          <w:color w:val="auto"/>
        </w:rPr>
        <w:t>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46990</wp:posOffset>
            </wp:positionV>
            <wp:extent cx="5617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17845" cy="7620"/>
                    </a:xfrm>
                    <a:prstGeom prst="rect">
                      <a:avLst/>
                    </a:prstGeom>
                    <a:noFill/>
                  </pic:spPr>
                </pic:pic>
              </a:graphicData>
            </a:graphic>
          </wp:anchor>
        </w:drawing>
      </w:r>
    </w:p>
    <w:p>
      <w:pPr>
        <w:spacing w:after="0" w:line="59" w:lineRule="exact"/>
        <w:rPr>
          <w:sz w:val="24"/>
          <w:szCs w:val="24"/>
          <w:color w:val="auto"/>
        </w:rPr>
      </w:pPr>
    </w:p>
    <w:p>
      <w:pPr>
        <w:ind w:left="44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5715</wp:posOffset>
            </wp:positionV>
            <wp:extent cx="56178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17845" cy="158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234315</wp:posOffset>
            </wp:positionV>
            <wp:extent cx="620395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23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3366"/>
        </w:rPr>
        <w:t>TABLE OF CONTENTS</w:t>
      </w:r>
    </w:p>
    <w:p>
      <w:pPr>
        <w:sectPr>
          <w:pgSz w:w="11900" w:h="16838" w:orient="portrait"/>
          <w:cols w:equalWidth="0" w:num="1">
            <w:col w:w="9379"/>
          </w:cols>
          <w:pgMar w:left="1080" w:top="13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449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prospectus supplement and the accompanying prospectus are not offers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sale is not permitted.</w:t>
            </w:r>
          </w:p>
        </w:tc>
      </w:tr>
      <w:tr>
        <w:trPr>
          <w:trHeight w:val="183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be changed. This preliminary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jurisdiction where the offer or</w:t>
            </w:r>
          </w:p>
        </w:tc>
      </w:tr>
      <w:tr>
        <w:trPr>
          <w:trHeight w:val="1412"/>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not complete and may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these securities in any</w:t>
            </w:r>
          </w:p>
        </w:tc>
      </w:tr>
      <w:tr>
        <w:trPr>
          <w:trHeight w:val="164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prospectus supplement 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not soliciting offers to buy</w:t>
            </w:r>
          </w:p>
        </w:tc>
      </w:tr>
      <w:tr>
        <w:trPr>
          <w:trHeight w:val="762"/>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preliminary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and they are</w:t>
            </w:r>
          </w:p>
        </w:tc>
      </w:tr>
      <w:tr>
        <w:trPr>
          <w:trHeight w:val="140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The information in this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7"/>
              </w:rPr>
              <w:t>to sell these securities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FC0014"/>
        </w:rPr>
        <w:t>Subject to completion, dated October 4, 2022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283210</wp:posOffset>
            </wp:positionV>
            <wp:extent cx="3295650" cy="716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5650" cy="71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23"/>
          <w:szCs w:val="23"/>
          <w:b w:val="1"/>
          <w:bCs w:val="1"/>
          <w:color w:val="auto"/>
        </w:rPr>
        <w:t>1,066,579 Class A Shares</w:t>
      </w:r>
    </w:p>
    <w:p>
      <w:pPr>
        <w:spacing w:after="0" w:line="190" w:lineRule="exact"/>
        <w:rPr>
          <w:sz w:val="20"/>
          <w:szCs w:val="20"/>
          <w:color w:val="auto"/>
        </w:rPr>
      </w:pPr>
    </w:p>
    <w:p>
      <w:pPr>
        <w:jc w:val="center"/>
        <w:ind w:right="479"/>
        <w:spacing w:after="0"/>
        <w:rPr>
          <w:sz w:val="20"/>
          <w:szCs w:val="20"/>
          <w:color w:val="auto"/>
        </w:rPr>
      </w:pPr>
      <w:r>
        <w:rPr>
          <w:rFonts w:ascii="Arial" w:cs="Arial" w:eastAsia="Arial" w:hAnsi="Arial"/>
          <w:sz w:val="23"/>
          <w:szCs w:val="23"/>
          <w:b w:val="1"/>
          <w:bCs w:val="1"/>
          <w:color w:val="auto"/>
        </w:rPr>
        <w:t>Representing Limited Partner Interests</w:t>
      </w:r>
    </w:p>
    <w:p>
      <w:pPr>
        <w:spacing w:after="0" w:line="200" w:lineRule="exact"/>
        <w:rPr>
          <w:sz w:val="20"/>
          <w:szCs w:val="20"/>
          <w:color w:val="auto"/>
        </w:rPr>
      </w:pPr>
    </w:p>
    <w:p>
      <w:pPr>
        <w:spacing w:after="0" w:line="207" w:lineRule="exact"/>
        <w:rPr>
          <w:sz w:val="20"/>
          <w:szCs w:val="20"/>
          <w:color w:val="auto"/>
        </w:rPr>
      </w:pPr>
    </w:p>
    <w:p>
      <w:pPr>
        <w:ind w:right="499" w:firstLine="327"/>
        <w:spacing w:after="0" w:line="266" w:lineRule="auto"/>
        <w:rPr>
          <w:sz w:val="20"/>
          <w:szCs w:val="20"/>
          <w:color w:val="auto"/>
        </w:rPr>
      </w:pPr>
      <w:r>
        <w:rPr>
          <w:rFonts w:ascii="Arial" w:cs="Arial" w:eastAsia="Arial" w:hAnsi="Arial"/>
          <w:sz w:val="16"/>
          <w:szCs w:val="16"/>
          <w:color w:val="auto"/>
        </w:rPr>
        <w:t>This prospectus relates to up to 1,066,579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92" w:lineRule="exact"/>
        <w:rPr>
          <w:sz w:val="20"/>
          <w:szCs w:val="20"/>
          <w:color w:val="auto"/>
        </w:rPr>
      </w:pPr>
    </w:p>
    <w:p>
      <w:pPr>
        <w:ind w:right="539" w:firstLine="327"/>
        <w:spacing w:after="0" w:line="261" w:lineRule="auto"/>
        <w:rPr>
          <w:sz w:val="20"/>
          <w:szCs w:val="20"/>
          <w:color w:val="auto"/>
        </w:rPr>
      </w:pPr>
      <w:r>
        <w:rPr>
          <w:rFonts w:ascii="Arial" w:cs="Arial" w:eastAsia="Arial" w:hAnsi="Arial"/>
          <w:sz w:val="16"/>
          <w:szCs w:val="16"/>
          <w:color w:val="auto"/>
        </w:rPr>
        <w:t>The selling shareholders may offer and sell these Class A shares to or through one or more underwriters, dealers or agents, or directly to investors, on a continuous or delayed basis, in amounts, at prices and on terms to be determined by market conditions and other factors at the time of the offering. This prospectus describes only the general terms of these Class A shares and the general manner of the offering of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09" w:lineRule="exact"/>
        <w:rPr>
          <w:sz w:val="20"/>
          <w:szCs w:val="20"/>
          <w:color w:val="auto"/>
        </w:rPr>
      </w:pPr>
    </w:p>
    <w:p>
      <w:pPr>
        <w:ind w:right="779" w:firstLine="327"/>
        <w:spacing w:after="0" w:line="266" w:lineRule="auto"/>
        <w:rPr>
          <w:sz w:val="20"/>
          <w:szCs w:val="20"/>
          <w:color w:val="auto"/>
        </w:rPr>
      </w:pPr>
      <w:r>
        <w:rPr>
          <w:rFonts w:ascii="Arial" w:cs="Arial" w:eastAsia="Arial" w:hAnsi="Arial"/>
          <w:sz w:val="16"/>
          <w:szCs w:val="16"/>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05" w:lineRule="exact"/>
        <w:rPr>
          <w:sz w:val="20"/>
          <w:szCs w:val="20"/>
          <w:color w:val="auto"/>
        </w:rPr>
      </w:pPr>
    </w:p>
    <w:p>
      <w:pPr>
        <w:ind w:right="879" w:firstLine="327"/>
        <w:spacing w:after="0" w:line="287" w:lineRule="auto"/>
        <w:rPr>
          <w:sz w:val="20"/>
          <w:szCs w:val="20"/>
          <w:color w:val="auto"/>
        </w:rPr>
      </w:pPr>
      <w:r>
        <w:rPr>
          <w:rFonts w:ascii="Arial" w:cs="Arial" w:eastAsia="Arial" w:hAnsi="Arial"/>
          <w:sz w:val="16"/>
          <w:szCs w:val="16"/>
          <w:color w:val="auto"/>
        </w:rPr>
        <w:t>Our Class A shares are listed on the Nasdaq Global Select Market (“NASDAQ”) under the symbol “PAGP.”</w:t>
      </w:r>
    </w:p>
    <w:p>
      <w:pPr>
        <w:spacing w:after="0" w:line="71" w:lineRule="exact"/>
        <w:rPr>
          <w:sz w:val="20"/>
          <w:szCs w:val="20"/>
          <w:color w:val="auto"/>
        </w:rPr>
      </w:pPr>
    </w:p>
    <w:p>
      <w:pPr>
        <w:ind w:right="559" w:firstLine="327"/>
        <w:spacing w:after="0" w:line="268" w:lineRule="auto"/>
        <w:rPr>
          <w:sz w:val="20"/>
          <w:szCs w:val="20"/>
          <w:color w:val="auto"/>
        </w:rPr>
      </w:pPr>
      <w:r>
        <w:rPr>
          <w:rFonts w:ascii="Arial" w:cs="Arial" w:eastAsia="Arial" w:hAnsi="Arial"/>
          <w:sz w:val="16"/>
          <w:szCs w:val="16"/>
          <w:b w:val="1"/>
          <w:bCs w:val="1"/>
          <w:color w:val="auto"/>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r>
        <w:rPr>
          <w:rFonts w:ascii="Arial" w:cs="Arial" w:eastAsia="Arial" w:hAnsi="Arial"/>
          <w:sz w:val="16"/>
          <w:szCs w:val="16"/>
          <w:b w:val="1"/>
          <w:bCs w:val="1"/>
          <w:u w:val="single" w:color="auto"/>
          <w:color w:val="0000EE"/>
        </w:rPr>
        <w:t>2</w:t>
      </w:r>
      <w:r>
        <w:rPr>
          <w:rFonts w:ascii="Arial" w:cs="Arial" w:eastAsia="Arial" w:hAnsi="Arial"/>
          <w:sz w:val="16"/>
          <w:szCs w:val="16"/>
          <w:b w:val="1"/>
          <w:bCs w:val="1"/>
          <w:color w:val="auto"/>
        </w:rPr>
        <w:t xml:space="preserve"> of this prospectus before you make an investment in our Class A shares.</w:t>
      </w:r>
    </w:p>
    <w:p>
      <w:pPr>
        <w:spacing w:after="0" w:line="98" w:lineRule="exact"/>
        <w:rPr>
          <w:sz w:val="20"/>
          <w:szCs w:val="20"/>
          <w:color w:val="auto"/>
        </w:rPr>
      </w:pPr>
    </w:p>
    <w:p>
      <w:pPr>
        <w:jc w:val="both"/>
        <w:ind w:right="819" w:firstLine="327"/>
        <w:spacing w:after="0" w:line="274"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65405</wp:posOffset>
            </wp:positionV>
            <wp:extent cx="617855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8550" cy="41275"/>
                    </a:xfrm>
                    <a:prstGeom prst="rect">
                      <a:avLst/>
                    </a:prstGeom>
                    <a:noFill/>
                  </pic:spPr>
                </pic:pic>
              </a:graphicData>
            </a:graphic>
          </wp:anchor>
        </w:drawing>
      </w:r>
    </w:p>
    <w:p>
      <w:pPr>
        <w:sectPr>
          <w:pgSz w:w="11900" w:h="16838" w:orient="portrait"/>
          <w:cols w:equalWidth="0" w:num="2">
            <w:col w:w="1080" w:space="340"/>
            <w:col w:w="7959"/>
          </w:cols>
          <w:pgMar w:left="1080" w:top="131"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TABLE OF CONTENTS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11430</wp:posOffset>
            </wp:positionV>
            <wp:extent cx="4737100" cy="155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About This Prospectus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4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37100" cy="14795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Forward-Looking Statements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About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55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Risk Factors</w:t>
      </w:r>
    </w:p>
    <w:p>
      <w:pPr>
        <w:spacing w:after="0" w:line="6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Description of Our Shares</w:t>
      </w:r>
    </w:p>
    <w:p>
      <w:pPr>
        <w:spacing w:after="0" w:line="6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55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Investment in Plains GP Holdings, L.P. by Employee Benefit Plans</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5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Plan of Distribution</w:t>
      </w:r>
    </w:p>
    <w:p>
      <w:pPr>
        <w:spacing w:after="0" w:line="6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15875</wp:posOffset>
            </wp:positionV>
            <wp:extent cx="4737100" cy="155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147955</wp:posOffset>
            </wp:positionV>
            <wp:extent cx="10985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85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Page </w:t>
      </w:r>
      <w:r>
        <w:rPr>
          <w:rFonts w:ascii="Arial" w:cs="Arial" w:eastAsia="Arial" w:hAnsi="Arial"/>
          <w:sz w:val="26"/>
          <w:szCs w:val="26"/>
          <w:b w:val="1"/>
          <w:bCs w:val="1"/>
          <w:color w:val="auto"/>
          <w:vertAlign w:val="subscript"/>
        </w:rPr>
        <w: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ii</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iii</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iv</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EE"/>
        </w:rPr>
        <w:t>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11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13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15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17</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u w:val="single" w:color="auto"/>
          <w:color w:val="0000EE"/>
        </w:rPr>
        <w:t>17</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00" w:lineRule="exact"/>
        <w:rPr>
          <w:sz w:val="20"/>
          <w:szCs w:val="20"/>
          <w:color w:val="auto"/>
        </w:rPr>
      </w:pPr>
    </w:p>
    <w:p>
      <w:pPr>
        <w:sectPr>
          <w:pgSz w:w="11900" w:h="16838" w:orient="portrait"/>
          <w:cols w:equalWidth="0" w:num="2">
            <w:col w:w="7380" w:space="720"/>
            <w:col w:w="1279"/>
          </w:cols>
          <w:pgMar w:left="1080" w:top="131" w:right="1440" w:bottom="1440" w:gutter="0" w:footer="0" w:header="0"/>
        </w:sectPr>
      </w:pPr>
    </w:p>
    <w:p>
      <w:pPr>
        <w:spacing w:after="0" w:line="226" w:lineRule="exact"/>
        <w:rPr>
          <w:sz w:val="20"/>
          <w:szCs w:val="20"/>
          <w:color w:val="auto"/>
        </w:rPr>
      </w:pPr>
    </w:p>
    <w:p>
      <w:pPr>
        <w:ind w:left="1140" w:right="779" w:firstLine="327"/>
        <w:spacing w:after="0" w:line="282" w:lineRule="auto"/>
        <w:rPr>
          <w:sz w:val="20"/>
          <w:szCs w:val="20"/>
          <w:color w:val="auto"/>
        </w:rPr>
      </w:pPr>
      <w:r>
        <w:rPr>
          <w:rFonts w:ascii="Arial" w:cs="Arial" w:eastAsia="Arial" w:hAnsi="Arial"/>
          <w:sz w:val="15"/>
          <w:szCs w:val="15"/>
          <w:b w:val="1"/>
          <w:bCs w:val="1"/>
          <w:color w:val="auto"/>
        </w:rPr>
        <w:t>In making your investment decision, 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78" w:lineRule="exact"/>
        <w:rPr>
          <w:sz w:val="20"/>
          <w:szCs w:val="20"/>
          <w:color w:val="auto"/>
        </w:rPr>
      </w:pPr>
    </w:p>
    <w:p>
      <w:pPr>
        <w:ind w:left="1140" w:right="819" w:firstLine="327"/>
        <w:spacing w:after="0" w:line="280" w:lineRule="auto"/>
        <w:rPr>
          <w:sz w:val="20"/>
          <w:szCs w:val="20"/>
          <w:color w:val="auto"/>
        </w:rPr>
      </w:pPr>
      <w:r>
        <w:rPr>
          <w:rFonts w:ascii="Arial" w:cs="Arial" w:eastAsia="Arial" w:hAnsi="Arial"/>
          <w:sz w:val="15"/>
          <w:szCs w:val="15"/>
          <w:b w:val="1"/>
          <w:bCs w:val="1"/>
          <w:color w:val="auto"/>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ABOUT THIS PROSPECTUS</w:t>
      </w:r>
    </w:p>
    <w:p>
      <w:pPr>
        <w:spacing w:after="0" w:line="151" w:lineRule="exact"/>
        <w:rPr>
          <w:sz w:val="20"/>
          <w:szCs w:val="20"/>
          <w:color w:val="auto"/>
        </w:rPr>
      </w:pPr>
    </w:p>
    <w:p>
      <w:pPr>
        <w:ind w:left="1140" w:right="819" w:firstLine="327"/>
        <w:spacing w:after="0" w:line="259"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offer and sell up to 1,066,579 of our Class A shares in one or more offerings. This prospectus generally describes Plains GP Holdings, L.P. and the Class A shares. We may file one or more prospectus supplements that may describe the specific manner in which the selling shareholders will offer the Class A shares registered hereby.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WHERE YOU CAN FIND MORE INFORMATION</w:t>
      </w:r>
    </w:p>
    <w:p>
      <w:pPr>
        <w:spacing w:after="0" w:line="151" w:lineRule="exact"/>
        <w:rPr>
          <w:sz w:val="20"/>
          <w:szCs w:val="20"/>
          <w:color w:val="auto"/>
        </w:rPr>
      </w:pPr>
    </w:p>
    <w:p>
      <w:pPr>
        <w:ind w:left="1140" w:right="799" w:firstLine="327"/>
        <w:spacing w:after="0" w:line="259"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15" w:lineRule="exact"/>
        <w:rPr>
          <w:sz w:val="20"/>
          <w:szCs w:val="20"/>
          <w:color w:val="auto"/>
        </w:rPr>
      </w:pPr>
    </w:p>
    <w:p>
      <w:pPr>
        <w:ind w:left="1140" w:right="859" w:firstLine="327"/>
        <w:spacing w:after="0" w:line="261" w:lineRule="auto"/>
        <w:rPr>
          <w:sz w:val="20"/>
          <w:szCs w:val="20"/>
          <w:color w:val="auto"/>
        </w:rPr>
      </w:pPr>
      <w:r>
        <w:rPr>
          <w:rFonts w:ascii="Arial" w:cs="Arial" w:eastAsia="Arial" w:hAnsi="Arial"/>
          <w:sz w:val="16"/>
          <w:szCs w:val="16"/>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the registration statement and this prospectus are completed:</w:t>
      </w:r>
    </w:p>
    <w:p>
      <w:pPr>
        <w:spacing w:after="0" w:line="72" w:lineRule="exact"/>
        <w:rPr>
          <w:sz w:val="20"/>
          <w:szCs w:val="20"/>
          <w:color w:val="auto"/>
        </w:rPr>
      </w:pPr>
    </w:p>
    <w:p>
      <w:pPr>
        <w:ind w:left="1620" w:hanging="159"/>
        <w:spacing w:after="0"/>
        <w:tabs>
          <w:tab w:leader="none" w:pos="1620" w:val="left"/>
        </w:tabs>
        <w:numPr>
          <w:ilvl w:val="0"/>
          <w:numId w:val="1"/>
        </w:numPr>
        <w:rPr>
          <w:rFonts w:ascii="Arial" w:cs="Arial" w:eastAsia="Arial" w:hAnsi="Arial"/>
          <w:sz w:val="16"/>
          <w:szCs w:val="16"/>
          <w:u w:val="single" w:color="auto"/>
          <w:color w:val="0000EE"/>
        </w:rPr>
      </w:pPr>
      <w:hyperlink r:id="rId26">
        <w:r>
          <w:rPr>
            <w:rFonts w:ascii="Arial" w:cs="Arial" w:eastAsia="Arial" w:hAnsi="Arial"/>
            <w:sz w:val="16"/>
            <w:szCs w:val="16"/>
            <w:u w:val="single" w:color="auto"/>
            <w:color w:val="0000EE"/>
          </w:rPr>
          <w:t>our Annual Report on Form 10-K for the year ended December 31, 2021;</w:t>
        </w:r>
      </w:hyperlink>
    </w:p>
    <w:p>
      <w:pPr>
        <w:spacing w:after="0" w:line="110" w:lineRule="exact"/>
        <w:rPr>
          <w:rFonts w:ascii="Arial" w:cs="Arial" w:eastAsia="Arial" w:hAnsi="Arial"/>
          <w:sz w:val="16"/>
          <w:szCs w:val="16"/>
          <w:u w:val="single" w:color="auto"/>
          <w:color w:val="0000EE"/>
        </w:rPr>
      </w:pPr>
    </w:p>
    <w:p>
      <w:pPr>
        <w:ind w:left="1620" w:hanging="159"/>
        <w:spacing w:after="0"/>
        <w:tabs>
          <w:tab w:leader="none" w:pos="1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periods ended </w:t>
      </w:r>
      <w:hyperlink r:id="rId27">
        <w:r>
          <w:rPr>
            <w:rFonts w:ascii="Arial" w:cs="Arial" w:eastAsia="Arial" w:hAnsi="Arial"/>
            <w:sz w:val="16"/>
            <w:szCs w:val="16"/>
            <w:u w:val="single" w:color="auto"/>
            <w:color w:val="0000EE"/>
          </w:rPr>
          <w:t>March 31,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8">
        <w:r>
          <w:rPr>
            <w:rFonts w:ascii="Arial" w:cs="Arial" w:eastAsia="Arial" w:hAnsi="Arial"/>
            <w:sz w:val="16"/>
            <w:szCs w:val="16"/>
            <w:u w:val="single" w:color="auto"/>
            <w:color w:val="0000EE"/>
          </w:rPr>
          <w:t>June 30, 2022;</w:t>
        </w:r>
      </w:hyperlink>
    </w:p>
    <w:p>
      <w:pPr>
        <w:spacing w:after="0" w:line="110" w:lineRule="exact"/>
        <w:rPr>
          <w:rFonts w:ascii="Arial" w:cs="Arial" w:eastAsia="Arial" w:hAnsi="Arial"/>
          <w:sz w:val="16"/>
          <w:szCs w:val="16"/>
          <w:color w:val="auto"/>
        </w:rPr>
      </w:pPr>
    </w:p>
    <w:p>
      <w:pPr>
        <w:ind w:left="1620" w:right="1219" w:hanging="159"/>
        <w:spacing w:after="0" w:line="287" w:lineRule="auto"/>
        <w:tabs>
          <w:tab w:leader="none" w:pos="1620" w:val="left"/>
        </w:tabs>
        <w:numPr>
          <w:ilvl w:val="0"/>
          <w:numId w:val="1"/>
        </w:numPr>
        <w:rPr>
          <w:rFonts w:ascii="Arial" w:cs="Arial" w:eastAsia="Arial" w:hAnsi="Arial"/>
          <w:sz w:val="16"/>
          <w:szCs w:val="16"/>
          <w:u w:val="single" w:color="auto"/>
          <w:color w:val="0000EE"/>
        </w:rPr>
      </w:pPr>
      <w:r>
        <w:rPr>
          <w:rFonts w:ascii="Arial" w:cs="Arial" w:eastAsia="Arial" w:hAnsi="Arial"/>
          <w:sz w:val="16"/>
          <w:szCs w:val="16"/>
          <w:color w:val="auto"/>
        </w:rPr>
        <w:t xml:space="preserve">our Current Reports on Form 8-K filed on </w:t>
      </w:r>
      <w:hyperlink r:id="rId29">
        <w:r>
          <w:rPr>
            <w:rFonts w:ascii="Arial" w:cs="Arial" w:eastAsia="Arial" w:hAnsi="Arial"/>
            <w:sz w:val="16"/>
            <w:szCs w:val="16"/>
            <w:u w:val="single" w:color="auto"/>
            <w:color w:val="0000EE"/>
          </w:rPr>
          <w:t xml:space="preserve">February 28, 2022, </w:t>
        </w:r>
      </w:hyperlink>
      <w:hyperlink r:id="rId30">
        <w:r>
          <w:rPr>
            <w:rFonts w:ascii="Arial" w:cs="Arial" w:eastAsia="Arial" w:hAnsi="Arial"/>
            <w:sz w:val="16"/>
            <w:szCs w:val="16"/>
            <w:u w:val="single" w:color="auto"/>
            <w:color w:val="auto"/>
          </w:rPr>
          <w:t xml:space="preserve">May </w:t>
        </w:r>
        <w:r>
          <w:rPr>
            <w:rFonts w:ascii="Arial" w:cs="Arial" w:eastAsia="Arial" w:hAnsi="Arial"/>
            <w:sz w:val="16"/>
            <w:szCs w:val="16"/>
            <w:u w:val="single" w:color="auto"/>
            <w:color w:val="0000EE"/>
          </w:rPr>
          <w:t xml:space="preserve">27, 2022, </w:t>
        </w:r>
      </w:hyperlink>
      <w:hyperlink r:id="rId31">
        <w:r>
          <w:rPr>
            <w:rFonts w:ascii="Arial" w:cs="Arial" w:eastAsia="Arial" w:hAnsi="Arial"/>
            <w:sz w:val="16"/>
            <w:szCs w:val="16"/>
            <w:u w:val="single" w:color="auto"/>
            <w:color w:val="auto"/>
          </w:rPr>
          <w:t xml:space="preserve">July </w:t>
        </w:r>
        <w:r>
          <w:rPr>
            <w:rFonts w:ascii="Arial" w:cs="Arial" w:eastAsia="Arial" w:hAnsi="Arial"/>
            <w:sz w:val="16"/>
            <w:szCs w:val="16"/>
            <w:u w:val="single" w:color="auto"/>
            <w:color w:val="0000EE"/>
          </w:rPr>
          <w:t>28, 2022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32">
        <w:r>
          <w:rPr>
            <w:rFonts w:ascii="Arial" w:cs="Arial" w:eastAsia="Arial" w:hAnsi="Arial"/>
            <w:sz w:val="16"/>
            <w:szCs w:val="16"/>
            <w:u w:val="single" w:color="auto"/>
            <w:color w:val="0000EE"/>
          </w:rPr>
          <w:t>August 25, 2022;</w:t>
        </w:r>
      </w:hyperlink>
    </w:p>
    <w:p>
      <w:pPr>
        <w:spacing w:after="0" w:line="50" w:lineRule="exact"/>
        <w:rPr>
          <w:rFonts w:ascii="Arial" w:cs="Arial" w:eastAsia="Arial" w:hAnsi="Arial"/>
          <w:sz w:val="16"/>
          <w:szCs w:val="16"/>
          <w:u w:val="single" w:color="auto"/>
          <w:color w:val="0000EE"/>
        </w:rPr>
      </w:pPr>
    </w:p>
    <w:p>
      <w:pPr>
        <w:ind w:left="1620" w:right="819" w:hanging="159"/>
        <w:spacing w:after="0" w:line="271" w:lineRule="auto"/>
        <w:tabs>
          <w:tab w:leader="none" w:pos="1620" w:val="left"/>
        </w:tabs>
        <w:numPr>
          <w:ilvl w:val="0"/>
          <w:numId w:val="1"/>
        </w:numPr>
        <w:rPr>
          <w:rFonts w:ascii="Arial" w:cs="Arial" w:eastAsia="Arial" w:hAnsi="Arial"/>
          <w:sz w:val="16"/>
          <w:szCs w:val="16"/>
          <w:color w:val="0000EE"/>
        </w:rPr>
      </w:pPr>
      <w:hyperlink r:id="rId26">
        <w:r>
          <w:rPr>
            <w:rFonts w:ascii="Arial" w:cs="Arial" w:eastAsia="Arial" w:hAnsi="Arial"/>
            <w:sz w:val="16"/>
            <w:szCs w:val="16"/>
            <w:color w:val="auto"/>
          </w:rPr>
          <w:t xml:space="preserve">information specifically incorporated by reference into our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EE"/>
          </w:rPr>
          <w:t>ended December 31, 2021</w:t>
        </w:r>
        <w:r>
          <w:rPr>
            <w:rFonts w:ascii="Arial" w:cs="Arial" w:eastAsia="Arial" w:hAnsi="Arial"/>
            <w:sz w:val="16"/>
            <w:szCs w:val="16"/>
            <w:color w:val="0000EE"/>
          </w:rPr>
          <w:t xml:space="preserve"> </w:t>
        </w:r>
        <w:r>
          <w:rPr>
            <w:rFonts w:ascii="Arial" w:cs="Arial" w:eastAsia="Arial" w:hAnsi="Arial"/>
            <w:sz w:val="16"/>
            <w:szCs w:val="16"/>
            <w:color w:val="000000"/>
          </w:rPr>
          <w:t>from our</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proxy statement, on Schedule 14A, filed with the SEC on</w:t>
        </w:r>
      </w:hyperlink>
      <w:r>
        <w:rPr>
          <w:rFonts w:ascii="Arial" w:cs="Arial" w:eastAsia="Arial" w:hAnsi="Arial"/>
          <w:sz w:val="16"/>
          <w:szCs w:val="16"/>
          <w:color w:val="0000EE"/>
        </w:rPr>
        <w:t xml:space="preserve"> </w:t>
      </w:r>
      <w:hyperlink r:id="rId33">
        <w:r>
          <w:rPr>
            <w:rFonts w:ascii="Arial" w:cs="Arial" w:eastAsia="Arial" w:hAnsi="Arial"/>
            <w:sz w:val="16"/>
            <w:szCs w:val="16"/>
            <w:u w:val="single" w:color="auto"/>
            <w:color w:val="0000EE"/>
          </w:rPr>
          <w:t>April 14, 2022;</w:t>
        </w:r>
        <w:r>
          <w:rPr>
            <w:rFonts w:ascii="Arial" w:cs="Arial" w:eastAsia="Arial" w:hAnsi="Arial"/>
            <w:sz w:val="16"/>
            <w:szCs w:val="16"/>
            <w:color w:val="0000EE"/>
          </w:rPr>
          <w:t xml:space="preserve"> </w:t>
        </w:r>
        <w:r>
          <w:rPr>
            <w:rFonts w:ascii="Arial" w:cs="Arial" w:eastAsia="Arial" w:hAnsi="Arial"/>
            <w:sz w:val="16"/>
            <w:szCs w:val="16"/>
            <w:color w:val="000000"/>
          </w:rPr>
          <w:t>and</w:t>
        </w:r>
      </w:hyperlink>
    </w:p>
    <w:p>
      <w:pPr>
        <w:spacing w:after="0" w:line="63" w:lineRule="exact"/>
        <w:rPr>
          <w:rFonts w:ascii="Arial" w:cs="Arial" w:eastAsia="Arial" w:hAnsi="Arial"/>
          <w:sz w:val="16"/>
          <w:szCs w:val="16"/>
          <w:color w:val="0000EE"/>
        </w:rPr>
      </w:pPr>
    </w:p>
    <w:p>
      <w:pPr>
        <w:jc w:val="both"/>
        <w:ind w:left="1620" w:right="959" w:hanging="159"/>
        <w:spacing w:after="0" w:line="271" w:lineRule="auto"/>
        <w:tabs>
          <w:tab w:leader="none" w:pos="1620" w:val="left"/>
        </w:tabs>
        <w:numPr>
          <w:ilvl w:val="0"/>
          <w:numId w:val="1"/>
        </w:numPr>
        <w:rPr>
          <w:rFonts w:ascii="Arial" w:cs="Arial" w:eastAsia="Arial" w:hAnsi="Arial"/>
          <w:sz w:val="16"/>
          <w:szCs w:val="16"/>
          <w:color w:val="0000EE"/>
        </w:rPr>
      </w:pPr>
      <w:hyperlink r:id="rId34">
        <w:r>
          <w:rPr>
            <w:rFonts w:ascii="Arial" w:cs="Arial" w:eastAsia="Arial" w:hAnsi="Arial"/>
            <w:sz w:val="16"/>
            <w:szCs w:val="16"/>
            <w:color w:val="auto"/>
          </w:rPr>
          <w:t xml:space="preserve">the description of our Class A shares contained in our Registration Statement on </w:t>
        </w:r>
        <w:r>
          <w:rPr>
            <w:rFonts w:ascii="Arial" w:cs="Arial" w:eastAsia="Arial" w:hAnsi="Arial"/>
            <w:sz w:val="16"/>
            <w:szCs w:val="16"/>
            <w:u w:val="single" w:color="auto"/>
            <w:color w:val="0000EE"/>
          </w:rPr>
          <w:t>Form 8-A/A, filed</w:t>
        </w:r>
      </w:hyperlink>
      <w:r>
        <w:rPr>
          <w:rFonts w:ascii="Arial" w:cs="Arial" w:eastAsia="Arial" w:hAnsi="Arial"/>
          <w:sz w:val="16"/>
          <w:szCs w:val="16"/>
          <w:color w:val="auto"/>
        </w:rPr>
        <w:t xml:space="preserve"> </w:t>
      </w:r>
      <w:hyperlink r:id="rId34">
        <w:r>
          <w:rPr>
            <w:rFonts w:ascii="Arial" w:cs="Arial" w:eastAsia="Arial" w:hAnsi="Arial"/>
            <w:sz w:val="16"/>
            <w:szCs w:val="16"/>
            <w:u w:val="single" w:color="auto"/>
            <w:color w:val="0000EE"/>
          </w:rPr>
          <w:t xml:space="preserve">on November 16, 2016, </w:t>
        </w:r>
      </w:hyperlink>
      <w:hyperlink r:id="rId35">
        <w:r>
          <w:rPr>
            <w:rFonts w:ascii="Arial" w:cs="Arial" w:eastAsia="Arial" w:hAnsi="Arial"/>
            <w:sz w:val="16"/>
            <w:szCs w:val="16"/>
            <w:u w:val="single" w:color="auto"/>
            <w:color w:val="0000EE"/>
          </w:rPr>
          <w:t>Form 8-A, filed on December 11, 2020</w:t>
        </w:r>
      </w:hyperlink>
      <w:hyperlink r:id="rId34">
        <w:r>
          <w:rPr>
            <w:rFonts w:ascii="Arial" w:cs="Arial" w:eastAsia="Arial" w:hAnsi="Arial"/>
            <w:sz w:val="16"/>
            <w:szCs w:val="16"/>
            <w:color w:val="000000"/>
          </w:rPr>
          <w:t>, and any subsequent amendment or</w:t>
        </w:r>
      </w:hyperlink>
      <w:r>
        <w:rPr>
          <w:rFonts w:ascii="Arial" w:cs="Arial" w:eastAsia="Arial" w:hAnsi="Arial"/>
          <w:sz w:val="16"/>
          <w:szCs w:val="16"/>
          <w:color w:val="0000EE"/>
        </w:rPr>
        <w:t xml:space="preserve"> </w:t>
      </w:r>
      <w:r>
        <w:rPr>
          <w:rFonts w:ascii="Arial" w:cs="Arial" w:eastAsia="Arial" w:hAnsi="Arial"/>
          <w:sz w:val="16"/>
          <w:szCs w:val="16"/>
          <w:color w:val="000000"/>
        </w:rPr>
        <w:t>report filed for the purpose of updating such description.</w:t>
      </w:r>
    </w:p>
    <w:p>
      <w:pPr>
        <w:spacing w:after="0" w:line="88" w:lineRule="exact"/>
        <w:rPr>
          <w:rFonts w:ascii="Arial" w:cs="Arial" w:eastAsia="Arial" w:hAnsi="Arial"/>
          <w:sz w:val="16"/>
          <w:szCs w:val="16"/>
          <w:color w:val="0000EE"/>
        </w:rPr>
      </w:pPr>
    </w:p>
    <w:p>
      <w:pPr>
        <w:ind w:left="1140" w:right="799" w:firstLine="327"/>
        <w:spacing w:after="0" w:line="271" w:lineRule="auto"/>
        <w:rPr>
          <w:sz w:val="20"/>
          <w:szCs w:val="20"/>
          <w:color w:val="auto"/>
        </w:rPr>
      </w:pPr>
      <w:r>
        <w:rPr>
          <w:rFonts w:ascii="Arial" w:cs="Arial" w:eastAsia="Arial" w:hAnsi="Arial"/>
          <w:sz w:val="16"/>
          <w:szCs w:val="16"/>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01" w:lineRule="exact"/>
        <w:rPr>
          <w:rFonts w:ascii="Arial" w:cs="Arial" w:eastAsia="Arial" w:hAnsi="Arial"/>
          <w:sz w:val="16"/>
          <w:szCs w:val="16"/>
          <w:color w:val="0000EE"/>
        </w:rPr>
      </w:pPr>
    </w:p>
    <w:p>
      <w:pPr>
        <w:ind w:left="4000"/>
        <w:spacing w:after="0"/>
        <w:rPr>
          <w:sz w:val="20"/>
          <w:szCs w:val="20"/>
          <w:color w:val="auto"/>
        </w:rPr>
      </w:pPr>
      <w:r>
        <w:rPr>
          <w:rFonts w:ascii="Arial" w:cs="Arial" w:eastAsia="Arial" w:hAnsi="Arial"/>
          <w:sz w:val="16"/>
          <w:szCs w:val="16"/>
          <w:color w:val="auto"/>
        </w:rPr>
        <w:t>Plains GP Holdings, L.P.</w:t>
      </w:r>
    </w:p>
    <w:p>
      <w:pPr>
        <w:spacing w:after="0" w:line="24" w:lineRule="exact"/>
        <w:rPr>
          <w:rFonts w:ascii="Arial" w:cs="Arial" w:eastAsia="Arial" w:hAnsi="Arial"/>
          <w:sz w:val="16"/>
          <w:szCs w:val="16"/>
          <w:color w:val="0000EE"/>
        </w:rPr>
      </w:pPr>
    </w:p>
    <w:p>
      <w:pPr>
        <w:ind w:left="4220"/>
        <w:spacing w:after="0"/>
        <w:rPr>
          <w:sz w:val="20"/>
          <w:szCs w:val="20"/>
          <w:color w:val="auto"/>
        </w:rPr>
      </w:pPr>
      <w:r>
        <w:rPr>
          <w:rFonts w:ascii="Arial" w:cs="Arial" w:eastAsia="Arial" w:hAnsi="Arial"/>
          <w:sz w:val="16"/>
          <w:szCs w:val="16"/>
          <w:color w:val="auto"/>
        </w:rPr>
        <w:t>Investor Relations</w:t>
      </w:r>
    </w:p>
    <w:p>
      <w:pPr>
        <w:spacing w:after="0" w:line="12" w:lineRule="exact"/>
        <w:rPr>
          <w:rFonts w:ascii="Arial" w:cs="Arial" w:eastAsia="Arial" w:hAnsi="Arial"/>
          <w:sz w:val="16"/>
          <w:szCs w:val="16"/>
          <w:color w:val="0000EE"/>
        </w:rPr>
      </w:pPr>
    </w:p>
    <w:p>
      <w:pPr>
        <w:ind w:left="3900"/>
        <w:spacing w:after="0"/>
        <w:rPr>
          <w:sz w:val="20"/>
          <w:szCs w:val="20"/>
          <w:color w:val="auto"/>
        </w:rPr>
      </w:pPr>
      <w:r>
        <w:rPr>
          <w:rFonts w:ascii="Arial" w:cs="Arial" w:eastAsia="Arial" w:hAnsi="Arial"/>
          <w:sz w:val="16"/>
          <w:szCs w:val="16"/>
          <w:color w:val="auto"/>
        </w:rPr>
        <w:t>333 Clay Street, Suite 1600</w:t>
      </w:r>
    </w:p>
    <w:p>
      <w:pPr>
        <w:spacing w:after="0" w:line="12" w:lineRule="exact"/>
        <w:rPr>
          <w:rFonts w:ascii="Arial" w:cs="Arial" w:eastAsia="Arial" w:hAnsi="Arial"/>
          <w:sz w:val="16"/>
          <w:szCs w:val="16"/>
          <w:color w:val="0000EE"/>
        </w:rPr>
      </w:pPr>
    </w:p>
    <w:p>
      <w:pPr>
        <w:ind w:left="4080"/>
        <w:spacing w:after="0"/>
        <w:rPr>
          <w:sz w:val="20"/>
          <w:szCs w:val="20"/>
          <w:color w:val="auto"/>
        </w:rPr>
      </w:pPr>
      <w:r>
        <w:rPr>
          <w:rFonts w:ascii="Arial" w:cs="Arial" w:eastAsia="Arial" w:hAnsi="Arial"/>
          <w:sz w:val="16"/>
          <w:szCs w:val="16"/>
          <w:color w:val="auto"/>
        </w:rPr>
        <w:t>Houston, Texas 77002</w:t>
      </w:r>
    </w:p>
    <w:p>
      <w:pPr>
        <w:spacing w:after="0" w:line="12" w:lineRule="exact"/>
        <w:rPr>
          <w:rFonts w:ascii="Arial" w:cs="Arial" w:eastAsia="Arial" w:hAnsi="Arial"/>
          <w:sz w:val="16"/>
          <w:szCs w:val="16"/>
          <w:color w:val="0000EE"/>
        </w:rPr>
      </w:pPr>
    </w:p>
    <w:p>
      <w:pPr>
        <w:ind w:left="4340"/>
        <w:spacing w:after="0"/>
        <w:rPr>
          <w:sz w:val="20"/>
          <w:szCs w:val="20"/>
          <w:color w:val="auto"/>
        </w:rPr>
      </w:pPr>
      <w:r>
        <w:rPr>
          <w:rFonts w:ascii="Arial" w:cs="Arial" w:eastAsia="Arial" w:hAnsi="Arial"/>
          <w:sz w:val="16"/>
          <w:szCs w:val="16"/>
          <w:color w:val="auto"/>
        </w:rPr>
        <w:t>(713) 646-4100</w:t>
      </w:r>
    </w:p>
    <w:p>
      <w:pPr>
        <w:spacing w:after="0" w:line="136" w:lineRule="exact"/>
        <w:rPr>
          <w:rFonts w:ascii="Arial" w:cs="Arial" w:eastAsia="Arial" w:hAnsi="Arial"/>
          <w:sz w:val="16"/>
          <w:szCs w:val="16"/>
          <w:color w:val="0000EE"/>
        </w:rPr>
      </w:pPr>
    </w:p>
    <w:p>
      <w:pPr>
        <w:ind w:left="1140" w:right="899" w:firstLine="327"/>
        <w:spacing w:after="0" w:line="261" w:lineRule="auto"/>
        <w:rPr>
          <w:sz w:val="20"/>
          <w:szCs w:val="20"/>
          <w:color w:val="auto"/>
        </w:rPr>
      </w:pPr>
      <w:r>
        <w:rPr>
          <w:rFonts w:ascii="Arial" w:cs="Arial" w:eastAsia="Arial" w:hAnsi="Arial"/>
          <w:sz w:val="16"/>
          <w:szCs w:val="16"/>
          <w:color w:val="auto"/>
        </w:rPr>
        <w:t xml:space="preserve">We file periodic reports,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Our SEC filings are also available free of charge on our website at </w:t>
      </w:r>
      <w:r>
        <w:rPr>
          <w:rFonts w:ascii="Arial" w:cs="Arial" w:eastAsia="Arial" w:hAnsi="Arial"/>
          <w:sz w:val="16"/>
          <w:szCs w:val="16"/>
          <w:i w:val="1"/>
          <w:iCs w:val="1"/>
          <w:color w:val="auto"/>
        </w:rPr>
        <w:t>www.plains.com</w:t>
      </w:r>
      <w:r>
        <w:rPr>
          <w:rFonts w:ascii="Arial" w:cs="Arial" w:eastAsia="Arial" w:hAnsi="Arial"/>
          <w:sz w:val="16"/>
          <w:szCs w:val="16"/>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327" w:lineRule="exact"/>
        <w:rPr>
          <w:rFonts w:ascii="Arial" w:cs="Arial" w:eastAsia="Arial" w:hAnsi="Arial"/>
          <w:sz w:val="16"/>
          <w:szCs w:val="16"/>
          <w:color w:val="0000EE"/>
        </w:rPr>
      </w:pPr>
    </w:p>
    <w:p>
      <w:pPr>
        <w:jc w:val="center"/>
        <w:ind w:right="-300"/>
        <w:spacing w:after="0"/>
        <w:rPr>
          <w:sz w:val="20"/>
          <w:szCs w:val="20"/>
          <w:color w:val="auto"/>
        </w:rPr>
      </w:pPr>
      <w:r>
        <w:rPr>
          <w:rFonts w:ascii="Arial" w:cs="Arial" w:eastAsia="Arial" w:hAnsi="Arial"/>
          <w:sz w:val="16"/>
          <w:szCs w:val="16"/>
          <w:color w:val="auto"/>
        </w:rPr>
        <w:t>iii</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FORWARD-LOOKING STATEMENTS</w:t>
      </w:r>
    </w:p>
    <w:p>
      <w:pPr>
        <w:spacing w:after="0" w:line="151" w:lineRule="exact"/>
        <w:rPr>
          <w:sz w:val="20"/>
          <w:szCs w:val="20"/>
          <w:color w:val="auto"/>
        </w:rPr>
      </w:pPr>
    </w:p>
    <w:p>
      <w:pPr>
        <w:ind w:left="1140" w:right="839" w:firstLine="327"/>
        <w:spacing w:after="0" w:line="268" w:lineRule="auto"/>
        <w:rPr>
          <w:sz w:val="20"/>
          <w:szCs w:val="20"/>
          <w:color w:val="auto"/>
        </w:rPr>
      </w:pPr>
      <w:r>
        <w:rPr>
          <w:rFonts w:ascii="Arial" w:cs="Arial" w:eastAsia="Arial" w:hAnsi="Arial"/>
          <w:sz w:val="15"/>
          <w:szCs w:val="15"/>
          <w:color w:val="auto"/>
        </w:rPr>
        <w:t>All statements included or incorporated by reference into this prospectus or any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 -looking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58" w:lineRule="exact"/>
        <w:rPr>
          <w:sz w:val="20"/>
          <w:szCs w:val="20"/>
          <w:color w:val="auto"/>
        </w:rPr>
      </w:pPr>
    </w:p>
    <w:p>
      <w:pPr>
        <w:ind w:left="1620" w:hanging="159"/>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pay distributions to our Class A shareholders;</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expected receipt of, and amounts of, distributions from Plains AAP, L.P. (“AAP”);</w:t>
      </w:r>
    </w:p>
    <w:p>
      <w:pPr>
        <w:spacing w:after="0" w:line="110" w:lineRule="exact"/>
        <w:rPr>
          <w:rFonts w:ascii="Arial" w:cs="Arial" w:eastAsia="Arial" w:hAnsi="Arial"/>
          <w:sz w:val="16"/>
          <w:szCs w:val="16"/>
          <w:color w:val="auto"/>
        </w:rPr>
      </w:pPr>
    </w:p>
    <w:p>
      <w:pPr>
        <w:ind w:left="1620" w:right="899" w:hanging="159"/>
        <w:spacing w:after="0" w:line="262"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8" w:lineRule="exact"/>
        <w:rPr>
          <w:rFonts w:ascii="Arial" w:cs="Arial" w:eastAsia="Arial" w:hAnsi="Arial"/>
          <w:sz w:val="16"/>
          <w:szCs w:val="16"/>
          <w:color w:val="auto"/>
        </w:rPr>
      </w:pPr>
    </w:p>
    <w:p>
      <w:pPr>
        <w:ind w:left="1620" w:right="979" w:hanging="159"/>
        <w:spacing w:after="0" w:line="279"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0" w:lineRule="exact"/>
        <w:rPr>
          <w:rFonts w:ascii="Arial" w:cs="Arial" w:eastAsia="Arial" w:hAnsi="Arial"/>
          <w:sz w:val="15"/>
          <w:szCs w:val="15"/>
          <w:color w:val="auto"/>
        </w:rPr>
      </w:pPr>
    </w:p>
    <w:p>
      <w:pPr>
        <w:ind w:left="1620" w:right="1239" w:hanging="159"/>
        <w:spacing w:after="0" w:line="271"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3" w:lineRule="exact"/>
        <w:rPr>
          <w:rFonts w:ascii="Arial" w:cs="Arial" w:eastAsia="Arial" w:hAnsi="Arial"/>
          <w:sz w:val="16"/>
          <w:szCs w:val="16"/>
          <w:color w:val="auto"/>
        </w:rPr>
      </w:pPr>
    </w:p>
    <w:p>
      <w:pPr>
        <w:ind w:left="1620" w:right="1019" w:hanging="159"/>
        <w:spacing w:after="0" w:line="287"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unanticipated changes in crude oil and NGL market structure, grade differentials and volatility (or lack thereof);</w:t>
      </w:r>
    </w:p>
    <w:p>
      <w:pPr>
        <w:spacing w:after="0" w:line="50" w:lineRule="exact"/>
        <w:rPr>
          <w:rFonts w:ascii="Arial" w:cs="Arial" w:eastAsia="Arial" w:hAnsi="Arial"/>
          <w:sz w:val="16"/>
          <w:szCs w:val="16"/>
          <w:color w:val="auto"/>
        </w:rPr>
      </w:pPr>
    </w:p>
    <w:p>
      <w:pPr>
        <w:ind w:left="1620" w:right="879" w:hanging="159"/>
        <w:spacing w:after="0" w:line="266"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Arial" w:cs="Arial" w:eastAsia="Arial" w:hAnsi="Arial"/>
          <w:sz w:val="16"/>
          <w:szCs w:val="16"/>
          <w:color w:val="auto"/>
        </w:rPr>
      </w:pPr>
    </w:p>
    <w:p>
      <w:pPr>
        <w:ind w:left="1620" w:right="1059" w:hanging="159"/>
        <w:spacing w:after="0" w:line="271"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3" w:lineRule="exact"/>
        <w:rPr>
          <w:rFonts w:ascii="Arial" w:cs="Arial" w:eastAsia="Arial" w:hAnsi="Arial"/>
          <w:sz w:val="16"/>
          <w:szCs w:val="16"/>
          <w:color w:val="auto"/>
        </w:rPr>
      </w:pPr>
    </w:p>
    <w:p>
      <w:pPr>
        <w:ind w:left="1620" w:right="819" w:hanging="159"/>
        <w:spacing w:after="0" w:line="287"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environmental liabilities, litigation or other events that are not covered by an indemnity, insurance or existing reserves;</w:t>
      </w:r>
    </w:p>
    <w:p>
      <w:pPr>
        <w:spacing w:after="0" w:line="50" w:lineRule="exact"/>
        <w:rPr>
          <w:rFonts w:ascii="Arial" w:cs="Arial" w:eastAsia="Arial" w:hAnsi="Arial"/>
          <w:sz w:val="16"/>
          <w:szCs w:val="16"/>
          <w:color w:val="auto"/>
        </w:rPr>
      </w:pPr>
    </w:p>
    <w:p>
      <w:pPr>
        <w:ind w:left="1620" w:right="879" w:hanging="159"/>
        <w:spacing w:after="0" w:line="271"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3" w:lineRule="exact"/>
        <w:rPr>
          <w:rFonts w:ascii="Arial" w:cs="Arial" w:eastAsia="Arial" w:hAnsi="Arial"/>
          <w:sz w:val="16"/>
          <w:szCs w:val="16"/>
          <w:color w:val="auto"/>
        </w:rPr>
      </w:pPr>
    </w:p>
    <w:p>
      <w:pPr>
        <w:ind w:left="1620" w:right="1339" w:hanging="159"/>
        <w:spacing w:after="0" w:line="287"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50" w:lineRule="exact"/>
        <w:rPr>
          <w:rFonts w:ascii="Arial" w:cs="Arial" w:eastAsia="Arial" w:hAnsi="Arial"/>
          <w:sz w:val="16"/>
          <w:szCs w:val="16"/>
          <w:color w:val="auto"/>
        </w:rPr>
      </w:pPr>
    </w:p>
    <w:p>
      <w:pPr>
        <w:jc w:val="both"/>
        <w:ind w:left="1620" w:right="1179" w:hanging="159"/>
        <w:spacing w:after="0" w:line="322"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current and future laws, rulings, governmental regulations, executive orders, trade policies, accounting standards and statements, and related interpretations, including legislation,</w:t>
      </w:r>
    </w:p>
    <w:p>
      <w:pPr>
        <w:spacing w:after="0" w:line="29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620" w:right="819"/>
        <w:spacing w:after="0" w:line="271" w:lineRule="auto"/>
        <w:rPr>
          <w:sz w:val="20"/>
          <w:szCs w:val="20"/>
          <w:color w:val="auto"/>
        </w:rPr>
      </w:pPr>
      <w:r>
        <w:rPr>
          <w:rFonts w:ascii="Arial" w:cs="Arial" w:eastAsia="Arial" w:hAnsi="Arial"/>
          <w:sz w:val="16"/>
          <w:szCs w:val="16"/>
          <w:color w:val="auto"/>
        </w:rPr>
        <w:t>executive orders or regulatory initiatives that prohibit, restrict or regulate hydraulic fracturing or that prohibit the development of oil and gas resources and the related infrastructure on lands dedicated to or served by our pipelines;</w:t>
      </w:r>
    </w:p>
    <w:p>
      <w:pPr>
        <w:spacing w:after="0" w:line="76" w:lineRule="exact"/>
        <w:rPr>
          <w:sz w:val="20"/>
          <w:szCs w:val="20"/>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key personnel and inability to attract and retain new talent;</w:t>
      </w:r>
    </w:p>
    <w:p>
      <w:pPr>
        <w:spacing w:after="0" w:line="110" w:lineRule="exact"/>
        <w:rPr>
          <w:rFonts w:ascii="Arial" w:cs="Arial" w:eastAsia="Arial" w:hAnsi="Arial"/>
          <w:sz w:val="16"/>
          <w:szCs w:val="16"/>
          <w:color w:val="auto"/>
        </w:rPr>
      </w:pPr>
    </w:p>
    <w:p>
      <w:pPr>
        <w:ind w:left="1620" w:right="99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to futures markets for crude oil, NGL and other petroleum products, which may impair our ability to execute our commercial or hedging strategies;</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effectiveness of our risk management activities;</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shortages or cost increases of supplies, materials or labor;</w:t>
      </w:r>
    </w:p>
    <w:p>
      <w:pPr>
        <w:spacing w:after="0" w:line="110" w:lineRule="exact"/>
        <w:rPr>
          <w:rFonts w:ascii="Arial" w:cs="Arial" w:eastAsia="Arial" w:hAnsi="Arial"/>
          <w:sz w:val="16"/>
          <w:szCs w:val="16"/>
          <w:color w:val="auto"/>
        </w:rPr>
      </w:pPr>
    </w:p>
    <w:p>
      <w:pPr>
        <w:ind w:left="1620" w:right="79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maintenance of Plains All American Pipeline, L.P.’s (“PAA”) credit rating and ability to receive open credit from our suppliers and trade counterparties;</w:t>
      </w:r>
    </w:p>
    <w:p>
      <w:pPr>
        <w:spacing w:after="0" w:line="50" w:lineRule="exact"/>
        <w:rPr>
          <w:rFonts w:ascii="Arial" w:cs="Arial" w:eastAsia="Arial" w:hAnsi="Arial"/>
          <w:sz w:val="16"/>
          <w:szCs w:val="16"/>
          <w:color w:val="auto"/>
        </w:rPr>
      </w:pPr>
    </w:p>
    <w:p>
      <w:pPr>
        <w:ind w:left="1620" w:right="1139" w:hanging="159"/>
        <w:spacing w:after="0" w:line="297"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9" w:lineRule="exact"/>
        <w:rPr>
          <w:rFonts w:ascii="Arial" w:cs="Arial" w:eastAsia="Arial" w:hAnsi="Arial"/>
          <w:sz w:val="15"/>
          <w:szCs w:val="15"/>
          <w:color w:val="auto"/>
        </w:rPr>
      </w:pPr>
    </w:p>
    <w:p>
      <w:pPr>
        <w:ind w:left="1620" w:right="779" w:hanging="159"/>
        <w:spacing w:after="0" w:line="271"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3" w:lineRule="exact"/>
        <w:rPr>
          <w:rFonts w:ascii="Arial" w:cs="Arial" w:eastAsia="Arial" w:hAnsi="Arial"/>
          <w:sz w:val="16"/>
          <w:szCs w:val="16"/>
          <w:color w:val="auto"/>
        </w:rPr>
      </w:pPr>
    </w:p>
    <w:p>
      <w:pPr>
        <w:ind w:left="1620" w:right="95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and our ability to consummate, divestitures, joint ventures, acquisitions or other strategic opportunities;</w:t>
      </w:r>
    </w:p>
    <w:p>
      <w:pPr>
        <w:spacing w:after="0" w:line="50" w:lineRule="exact"/>
        <w:rPr>
          <w:rFonts w:ascii="Arial" w:cs="Arial" w:eastAsia="Arial" w:hAnsi="Arial"/>
          <w:sz w:val="16"/>
          <w:szCs w:val="16"/>
          <w:color w:val="auto"/>
        </w:rPr>
      </w:pPr>
    </w:p>
    <w:p>
      <w:pPr>
        <w:ind w:left="1620" w:right="919" w:hanging="159"/>
        <w:spacing w:after="0" w:line="262"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0" w:lineRule="exact"/>
        <w:rPr>
          <w:rFonts w:ascii="Arial" w:cs="Arial" w:eastAsia="Arial" w:hAnsi="Arial"/>
          <w:sz w:val="16"/>
          <w:szCs w:val="16"/>
          <w:color w:val="auto"/>
        </w:rPr>
      </w:pPr>
    </w:p>
    <w:p>
      <w:pPr>
        <w:ind w:left="1620" w:right="979" w:hanging="159"/>
        <w:spacing w:after="0" w:line="266"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Arial" w:cs="Arial" w:eastAsia="Arial" w:hAnsi="Arial"/>
          <w:sz w:val="16"/>
          <w:szCs w:val="16"/>
          <w:color w:val="auto"/>
        </w:rPr>
      </w:pPr>
    </w:p>
    <w:p>
      <w:pPr>
        <w:ind w:left="1620" w:right="91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incurrence of costs and expenses related to unexpected or unplanned capital expenditures, third-party claims or other factors;</w:t>
      </w:r>
    </w:p>
    <w:p>
      <w:pPr>
        <w:spacing w:after="0" w:line="50" w:lineRule="exact"/>
        <w:rPr>
          <w:rFonts w:ascii="Arial" w:cs="Arial" w:eastAsia="Arial" w:hAnsi="Arial"/>
          <w:sz w:val="16"/>
          <w:szCs w:val="16"/>
          <w:color w:val="auto"/>
        </w:rPr>
      </w:pPr>
    </w:p>
    <w:p>
      <w:pPr>
        <w:ind w:left="1620" w:right="99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implement or capitalize, or delays in implementing or capitalizing, on investment capital projects, whether due to permitting delays, permitting withdrawals or other factors;</w:t>
      </w:r>
    </w:p>
    <w:p>
      <w:pPr>
        <w:spacing w:after="0" w:line="50" w:lineRule="exact"/>
        <w:rPr>
          <w:rFonts w:ascii="Arial" w:cs="Arial" w:eastAsia="Arial" w:hAnsi="Arial"/>
          <w:sz w:val="16"/>
          <w:szCs w:val="16"/>
          <w:color w:val="auto"/>
        </w:rPr>
      </w:pPr>
    </w:p>
    <w:p>
      <w:pPr>
        <w:ind w:left="1620" w:right="111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amplification of other risks caused by volatile financial markets, capital constraints, liquidity concerns and inflation;</w:t>
      </w:r>
    </w:p>
    <w:p>
      <w:pPr>
        <w:spacing w:after="0" w:line="50" w:lineRule="exact"/>
        <w:rPr>
          <w:rFonts w:ascii="Arial" w:cs="Arial" w:eastAsia="Arial" w:hAnsi="Arial"/>
          <w:sz w:val="16"/>
          <w:szCs w:val="16"/>
          <w:color w:val="auto"/>
        </w:rPr>
      </w:pPr>
    </w:p>
    <w:p>
      <w:pPr>
        <w:ind w:left="1620" w:right="109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use or availability of third-party assets upon which our operations depend and over which we have little or no control;</w:t>
      </w:r>
    </w:p>
    <w:p>
      <w:pPr>
        <w:spacing w:after="0" w:line="63"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currency exchange rate of the Canadian dollar to the United States dollar;</w:t>
      </w:r>
    </w:p>
    <w:p>
      <w:pPr>
        <w:spacing w:after="0" w:line="110" w:lineRule="exact"/>
        <w:rPr>
          <w:rFonts w:ascii="Arial" w:cs="Arial" w:eastAsia="Arial" w:hAnsi="Arial"/>
          <w:sz w:val="16"/>
          <w:szCs w:val="16"/>
          <w:color w:val="auto"/>
        </w:rPr>
      </w:pPr>
    </w:p>
    <w:p>
      <w:pPr>
        <w:jc w:val="both"/>
        <w:ind w:left="1620" w:right="979" w:hanging="159"/>
        <w:spacing w:after="0" w:line="271"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recognize current revenue attributable to deficiency payments received from customers who fail to ship or move more than minimum contracted volumes until the related credits expire or are used;</w:t>
      </w:r>
    </w:p>
    <w:p>
      <w:pPr>
        <w:spacing w:after="0" w:line="63"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under-utilization of our assets and facilities;</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costs, or lack of availability, of insurance;</w:t>
      </w:r>
    </w:p>
    <w:p>
      <w:pPr>
        <w:spacing w:after="0" w:line="110" w:lineRule="exact"/>
        <w:rPr>
          <w:rFonts w:ascii="Arial" w:cs="Arial" w:eastAsia="Arial" w:hAnsi="Arial"/>
          <w:sz w:val="16"/>
          <w:szCs w:val="16"/>
          <w:color w:val="auto"/>
        </w:rPr>
      </w:pPr>
    </w:p>
    <w:p>
      <w:pPr>
        <w:ind w:left="1620" w:right="919" w:hanging="159"/>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and</w:t>
      </w: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620" w:right="919" w:hanging="159"/>
        <w:spacing w:after="0" w:line="322"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factors and uncertainties inherent in the transportation, storage, terminalling and marketing of crude oil, as well as in the processing, transportation, fractionation, storage and marketing of NGL.</w:t>
      </w:r>
    </w:p>
    <w:p>
      <w:pPr>
        <w:spacing w:after="0" w:line="65" w:lineRule="exact"/>
        <w:rPr>
          <w:sz w:val="20"/>
          <w:szCs w:val="20"/>
          <w:color w:val="auto"/>
        </w:rPr>
      </w:pPr>
    </w:p>
    <w:p>
      <w:pPr>
        <w:ind w:left="1140" w:right="859" w:firstLine="327"/>
        <w:spacing w:after="0" w:line="261"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herein or incorporated by reference, as well as factors that are unknown or unpredictable, could also have a material adverse effect on future results. Please read “Risk Factors” </w:t>
      </w:r>
      <w:hyperlink r:id="rId26">
        <w:r>
          <w:rPr>
            <w:rFonts w:ascii="Arial" w:cs="Arial" w:eastAsia="Arial" w:hAnsi="Arial"/>
            <w:sz w:val="16"/>
            <w:szCs w:val="16"/>
            <w:color w:val="auto"/>
          </w:rPr>
          <w:t xml:space="preserve">beginning on page 2 of this prospectus and in Item 1A. “Risk Factors” in our </w:t>
        </w:r>
        <w:r>
          <w:rPr>
            <w:rFonts w:ascii="Arial" w:cs="Arial" w:eastAsia="Arial" w:hAnsi="Arial"/>
            <w:sz w:val="16"/>
            <w:szCs w:val="16"/>
            <w:u w:val="single" w:color="auto"/>
            <w:color w:val="0000EE"/>
          </w:rPr>
          <w:t>Annual Report on Form 10-K</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for the year ended December 31, 2021 (File No. 001-36132)</w:t>
        </w:r>
        <w:r>
          <w:rPr>
            <w:rFonts w:ascii="Arial" w:cs="Arial" w:eastAsia="Arial" w:hAnsi="Arial"/>
            <w:sz w:val="16"/>
            <w:szCs w:val="16"/>
            <w:color w:val="0000EE"/>
          </w:rPr>
          <w:t xml:space="preserve"> </w:t>
        </w:r>
        <w:r>
          <w:rPr>
            <w:rFonts w:ascii="Arial" w:cs="Arial" w:eastAsia="Arial" w:hAnsi="Arial"/>
            <w:sz w:val="16"/>
            <w:szCs w:val="16"/>
            <w:color w:val="000000"/>
          </w:rPr>
          <w:t>and in any subsequent Quarterly Report on</w:t>
        </w:r>
      </w:hyperlink>
      <w:r>
        <w:rPr>
          <w:rFonts w:ascii="Arial" w:cs="Arial" w:eastAsia="Arial" w:hAnsi="Arial"/>
          <w:sz w:val="16"/>
          <w:szCs w:val="16"/>
          <w:color w:val="0000EE"/>
        </w:rPr>
        <w:t xml:space="preserve"> </w:t>
      </w:r>
      <w:r>
        <w:rPr>
          <w:rFonts w:ascii="Arial" w:cs="Arial" w:eastAsia="Arial" w:hAnsi="Arial"/>
          <w:sz w:val="16"/>
          <w:szCs w:val="16"/>
          <w:color w:val="000000"/>
        </w:rPr>
        <w:t>Form 10-Q,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ABOUT PLAINS GP HOLDINGS, L.P.</w:t>
      </w: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Overview</w:t>
      </w:r>
    </w:p>
    <w:p>
      <w:pPr>
        <w:spacing w:after="0" w:line="151" w:lineRule="exact"/>
        <w:rPr>
          <w:sz w:val="20"/>
          <w:szCs w:val="20"/>
          <w:color w:val="auto"/>
        </w:rPr>
      </w:pPr>
    </w:p>
    <w:p>
      <w:pPr>
        <w:ind w:left="1140" w:right="899" w:firstLine="327"/>
        <w:spacing w:after="0" w:line="279" w:lineRule="auto"/>
        <w:rPr>
          <w:sz w:val="20"/>
          <w:szCs w:val="20"/>
          <w:color w:val="auto"/>
        </w:rPr>
      </w:pPr>
      <w:r>
        <w:rPr>
          <w:rFonts w:ascii="Arial" w:cs="Arial" w:eastAsia="Arial" w:hAnsi="Arial"/>
          <w:sz w:val="16"/>
          <w:szCs w:val="16"/>
          <w:color w:val="auto"/>
        </w:rPr>
        <w:t>We are a Delaware limited partnership formed in 2013 that has elected to be taxed as a corporation for U.S. federal income tax purposes. We do not directly own any operating assets; as of June 30, 2022, our principal sources of cash flow are derived from an indirect investment in PAA.</w:t>
      </w:r>
    </w:p>
    <w:p>
      <w:pPr>
        <w:spacing w:after="0" w:line="107" w:lineRule="exact"/>
        <w:rPr>
          <w:sz w:val="20"/>
          <w:szCs w:val="20"/>
          <w:color w:val="auto"/>
        </w:rPr>
      </w:pPr>
    </w:p>
    <w:p>
      <w:pPr>
        <w:ind w:left="1140" w:right="819" w:firstLine="327"/>
        <w:spacing w:after="0" w:line="266" w:lineRule="auto"/>
        <w:rPr>
          <w:sz w:val="20"/>
          <w:szCs w:val="20"/>
          <w:color w:val="auto"/>
        </w:rPr>
      </w:pPr>
      <w:r>
        <w:rPr>
          <w:rFonts w:ascii="Arial" w:cs="Arial" w:eastAsia="Arial" w:hAnsi="Arial"/>
          <w:sz w:val="16"/>
          <w:szCs w:val="16"/>
          <w:color w:val="auto"/>
        </w:rPr>
        <w:t>As of September 30, 2022, we owned (i) a 100% managing member interest in Plains All American GP LLC (“GP LLC”), an entity that has also elected to be taxed as a corporation for U.S. federal income tax purposes, and (ii) an approximate 81% limited partner interest in AAP through our direct ownership of approximately 193.3 Class A units of AAP (“AAP Class A units”) and indirect ownership of approximately 1.0 million AAP Class A units through GP LLC, which also holds the non-economic general partner interest in AAP. As of September 30, 2022, AAP directly owned a limited partner interest in PAA through its ownership of approximately 241.5 million PAA common units (approximately 31% of PAA’s total outstanding common units and Series A preferred units combined). AAP is the sole member of PAA</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GP LLC (“PAA GP”), which holds the non-economic general partner interest in PAA.</w:t>
      </w:r>
    </w:p>
    <w:p>
      <w:pPr>
        <w:spacing w:after="0" w:line="147" w:lineRule="exact"/>
        <w:rPr>
          <w:sz w:val="20"/>
          <w:szCs w:val="20"/>
          <w:color w:val="auto"/>
        </w:rPr>
      </w:pPr>
    </w:p>
    <w:p>
      <w:pPr>
        <w:ind w:left="1140" w:right="799" w:firstLine="327"/>
        <w:spacing w:after="0" w:line="271"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w:t>
      </w:r>
    </w:p>
    <w:p>
      <w:pPr>
        <w:spacing w:after="0" w:line="104" w:lineRule="exact"/>
        <w:rPr>
          <w:sz w:val="20"/>
          <w:szCs w:val="20"/>
          <w:color w:val="auto"/>
        </w:rPr>
      </w:pPr>
    </w:p>
    <w:p>
      <w:pPr>
        <w:ind w:left="1140" w:right="799" w:firstLine="327"/>
        <w:spacing w:after="0" w:line="275"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97" w:lineRule="exact"/>
        <w:rPr>
          <w:sz w:val="20"/>
          <w:szCs w:val="20"/>
          <w:color w:val="auto"/>
        </w:rPr>
      </w:pPr>
    </w:p>
    <w:p>
      <w:pPr>
        <w:ind w:left="1140" w:right="799" w:firstLine="327"/>
        <w:spacing w:after="0" w:line="293" w:lineRule="auto"/>
        <w:rPr>
          <w:sz w:val="20"/>
          <w:szCs w:val="20"/>
          <w:color w:val="auto"/>
        </w:rPr>
      </w:pPr>
      <w:r>
        <w:rPr>
          <w:rFonts w:ascii="Arial" w:cs="Arial" w:eastAsia="Arial" w:hAnsi="Arial"/>
          <w:sz w:val="15"/>
          <w:szCs w:val="15"/>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Principal Executive Offices and Internet Address</w:t>
      </w:r>
    </w:p>
    <w:p>
      <w:pPr>
        <w:spacing w:after="0" w:line="151" w:lineRule="exact"/>
        <w:rPr>
          <w:sz w:val="20"/>
          <w:szCs w:val="20"/>
          <w:color w:val="auto"/>
        </w:rPr>
      </w:pPr>
    </w:p>
    <w:p>
      <w:pPr>
        <w:ind w:left="1140" w:right="819" w:firstLine="327"/>
        <w:spacing w:after="0" w:line="261"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Additional Information</w:t>
      </w:r>
    </w:p>
    <w:p>
      <w:pPr>
        <w:spacing w:after="0" w:line="139" w:lineRule="exact"/>
        <w:rPr>
          <w:sz w:val="20"/>
          <w:szCs w:val="20"/>
          <w:color w:val="auto"/>
        </w:rPr>
      </w:pPr>
    </w:p>
    <w:p>
      <w:pPr>
        <w:ind w:left="1140" w:right="819" w:firstLine="327"/>
        <w:spacing w:after="0" w:line="266" w:lineRule="auto"/>
        <w:rPr>
          <w:rFonts w:ascii="Arial" w:cs="Arial" w:eastAsia="Arial" w:hAnsi="Arial"/>
          <w:sz w:val="16"/>
          <w:szCs w:val="16"/>
          <w:color w:val="0000EE"/>
        </w:rPr>
      </w:pPr>
      <w:r>
        <w:rPr>
          <w:rFonts w:ascii="Arial" w:cs="Arial" w:eastAsia="Arial" w:hAnsi="Arial"/>
          <w:sz w:val="16"/>
          <w:szCs w:val="16"/>
          <w:color w:val="auto"/>
        </w:rPr>
        <w:t xml:space="preserve">For additional information about us please refer to the documents set forth under “Where You Can Find </w:t>
      </w:r>
      <w:hyperlink r:id="rId26">
        <w:r>
          <w:rPr>
            <w:rFonts w:ascii="Arial" w:cs="Arial" w:eastAsia="Arial" w:hAnsi="Arial"/>
            <w:sz w:val="16"/>
            <w:szCs w:val="16"/>
            <w:color w:val="auto"/>
          </w:rPr>
          <w:t xml:space="preserve">More Information” in this prospectus, including our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December 31, 2021</w:t>
        </w:r>
        <w:r>
          <w:rPr>
            <w:rFonts w:ascii="Arial" w:cs="Arial" w:eastAsia="Arial" w:hAnsi="Arial"/>
            <w:sz w:val="16"/>
            <w:szCs w:val="16"/>
            <w:color w:val="0000EE"/>
          </w:rPr>
          <w:t xml:space="preserve"> </w:t>
        </w:r>
        <w:r>
          <w:rPr>
            <w:rFonts w:ascii="Arial" w:cs="Arial" w:eastAsia="Arial" w:hAnsi="Arial"/>
            <w:sz w:val="16"/>
            <w:szCs w:val="16"/>
            <w:color w:val="000000"/>
          </w:rPr>
          <w:t>and any subsequent Quarterly Report on Form 10-Q, which are incorporated by</w:t>
        </w:r>
      </w:hyperlink>
      <w:r>
        <w:rPr>
          <w:rFonts w:ascii="Arial" w:cs="Arial" w:eastAsia="Arial" w:hAnsi="Arial"/>
          <w:sz w:val="16"/>
          <w:szCs w:val="16"/>
          <w:color w:val="0000EE"/>
        </w:rPr>
        <w:t xml:space="preserve"> </w:t>
      </w:r>
      <w:r>
        <w:rPr>
          <w:rFonts w:ascii="Arial" w:cs="Arial" w:eastAsia="Arial" w:hAnsi="Arial"/>
          <w:sz w:val="16"/>
          <w:szCs w:val="16"/>
          <w:color w:val="000000"/>
        </w:rPr>
        <w:t>reference herein.</w:t>
      </w:r>
    </w:p>
    <w:p>
      <w:pPr>
        <w:spacing w:after="0" w:line="33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RISK FACTORS</w:t>
      </w:r>
    </w:p>
    <w:p>
      <w:pPr>
        <w:spacing w:after="0" w:line="151" w:lineRule="exact"/>
        <w:rPr>
          <w:sz w:val="20"/>
          <w:szCs w:val="20"/>
          <w:color w:val="auto"/>
        </w:rPr>
      </w:pPr>
    </w:p>
    <w:p>
      <w:pPr>
        <w:ind w:left="1140" w:right="899" w:firstLine="327"/>
        <w:spacing w:after="0" w:line="259" w:lineRule="auto"/>
        <w:rPr>
          <w:rFonts w:ascii="Arial" w:cs="Arial" w:eastAsia="Arial" w:hAnsi="Arial"/>
          <w:sz w:val="16"/>
          <w:szCs w:val="16"/>
          <w:color w:val="0000EE"/>
        </w:rPr>
      </w:pPr>
      <w:r>
        <w:rPr>
          <w:rFonts w:ascii="Arial" w:cs="Arial" w:eastAsia="Arial" w:hAnsi="Arial"/>
          <w:sz w:val="16"/>
          <w:szCs w:val="16"/>
          <w:color w:val="auto"/>
        </w:rPr>
        <w:t xml:space="preserve">An investment in our Class A shares involves a high degree of risk. Before you invest in our Class A </w:t>
      </w:r>
      <w:hyperlink r:id="rId26">
        <w:r>
          <w:rPr>
            <w:rFonts w:ascii="Arial" w:cs="Arial" w:eastAsia="Arial" w:hAnsi="Arial"/>
            <w:sz w:val="16"/>
            <w:szCs w:val="16"/>
            <w:color w:val="auto"/>
          </w:rPr>
          <w:t xml:space="preserve">shares, you should carefully consider the risk factors included in Item 1A. “Risk Factors” in our </w:t>
        </w:r>
        <w:r>
          <w:rPr>
            <w:rFonts w:ascii="Arial" w:cs="Arial" w:eastAsia="Arial" w:hAnsi="Arial"/>
            <w:sz w:val="16"/>
            <w:szCs w:val="16"/>
            <w:u w:val="single" w:color="auto"/>
            <w:color w:val="0000EE"/>
          </w:rPr>
          <w:t>Annual</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Report on Form 10-K for the year ended December 31, 2021 (File No. 001-36132)</w:t>
        </w:r>
        <w:r>
          <w:rPr>
            <w:rFonts w:ascii="Arial" w:cs="Arial" w:eastAsia="Arial" w:hAnsi="Arial"/>
            <w:sz w:val="16"/>
            <w:szCs w:val="16"/>
            <w:color w:val="0000EE"/>
          </w:rPr>
          <w:t xml:space="preserve"> </w:t>
        </w:r>
        <w:r>
          <w:rPr>
            <w:rFonts w:ascii="Arial" w:cs="Arial" w:eastAsia="Arial" w:hAnsi="Arial"/>
            <w:sz w:val="16"/>
            <w:szCs w:val="16"/>
            <w:color w:val="000000"/>
          </w:rPr>
          <w:t>and in any subsequent</w:t>
        </w:r>
      </w:hyperlink>
      <w:r>
        <w:rPr>
          <w:rFonts w:ascii="Arial" w:cs="Arial" w:eastAsia="Arial" w:hAnsi="Arial"/>
          <w:sz w:val="16"/>
          <w:szCs w:val="16"/>
          <w:color w:val="0000EE"/>
        </w:rPr>
        <w:t xml:space="preserve"> </w:t>
      </w:r>
      <w:r>
        <w:rPr>
          <w:rFonts w:ascii="Arial" w:cs="Arial" w:eastAsia="Arial" w:hAnsi="Arial"/>
          <w:sz w:val="16"/>
          <w:szCs w:val="16"/>
          <w:color w:val="000000"/>
        </w:rPr>
        <w:t>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of these risks were to occur, our business, financial condition or results of operations could be materially adversely affected. In such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USE OF PROCEEDS</w:t>
      </w:r>
    </w:p>
    <w:p>
      <w:pPr>
        <w:spacing w:after="0" w:line="151" w:lineRule="exact"/>
        <w:rPr>
          <w:sz w:val="20"/>
          <w:szCs w:val="20"/>
          <w:color w:val="auto"/>
        </w:rPr>
      </w:pPr>
    </w:p>
    <w:p>
      <w:pPr>
        <w:ind w:left="1140" w:right="979" w:firstLine="327"/>
        <w:spacing w:after="0" w:line="271"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PAA to pay certain expenses, other than underwriting discounts and commissions, associated with the sale of Class A shares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DESCRIPTION OF OUR SHARES</w:t>
      </w:r>
    </w:p>
    <w:p>
      <w:pPr>
        <w:spacing w:after="0" w:line="151" w:lineRule="exact"/>
        <w:rPr>
          <w:sz w:val="20"/>
          <w:szCs w:val="20"/>
          <w:color w:val="auto"/>
        </w:rPr>
      </w:pPr>
    </w:p>
    <w:p>
      <w:pPr>
        <w:ind w:left="1460"/>
        <w:spacing w:after="0"/>
        <w:rPr>
          <w:rFonts w:ascii="Arial" w:cs="Arial" w:eastAsia="Arial" w:hAnsi="Arial"/>
          <w:sz w:val="15"/>
          <w:szCs w:val="15"/>
          <w:color w:val="auto"/>
        </w:rPr>
      </w:pPr>
      <w:r>
        <w:rPr>
          <w:rFonts w:ascii="Arial" w:cs="Arial" w:eastAsia="Arial" w:hAnsi="Arial"/>
          <w:sz w:val="15"/>
          <w:szCs w:val="15"/>
          <w:color w:val="auto"/>
        </w:rPr>
        <w:t xml:space="preserve">Please see </w:t>
      </w:r>
      <w:hyperlink r:id="rId43">
        <w:r>
          <w:rPr>
            <w:rFonts w:ascii="Arial" w:cs="Arial" w:eastAsia="Arial" w:hAnsi="Arial"/>
            <w:sz w:val="15"/>
            <w:szCs w:val="15"/>
            <w:u w:val="single" w:color="auto"/>
            <w:color w:val="0000EE"/>
          </w:rPr>
          <w:t>Exhibit 4.17</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annual report on Form 10-K for the year ended December 31, 2021 and</w:t>
      </w:r>
    </w:p>
    <w:p>
      <w:pPr>
        <w:spacing w:after="0" w:line="35" w:lineRule="exact"/>
        <w:rPr>
          <w:sz w:val="20"/>
          <w:szCs w:val="20"/>
          <w:color w:val="auto"/>
        </w:rPr>
      </w:pPr>
    </w:p>
    <w:p>
      <w:pPr>
        <w:ind w:left="1140"/>
        <w:spacing w:after="0"/>
        <w:rPr>
          <w:rFonts w:ascii="Arial" w:cs="Arial" w:eastAsia="Arial" w:hAnsi="Arial"/>
          <w:sz w:val="16"/>
          <w:szCs w:val="16"/>
          <w:color w:val="auto"/>
        </w:rPr>
      </w:pPr>
      <w:hyperlink r:id="rId35">
        <w:r>
          <w:rPr>
            <w:rFonts w:ascii="Arial" w:cs="Arial" w:eastAsia="Arial" w:hAnsi="Arial"/>
            <w:sz w:val="16"/>
            <w:szCs w:val="16"/>
            <w:color w:val="auto"/>
          </w:rPr>
          <w:t xml:space="preserve">our Registration Statement on </w:t>
        </w:r>
        <w:r>
          <w:rPr>
            <w:rFonts w:ascii="Arial" w:cs="Arial" w:eastAsia="Arial" w:hAnsi="Arial"/>
            <w:sz w:val="16"/>
            <w:szCs w:val="16"/>
            <w:u w:val="single" w:color="auto"/>
            <w:color w:val="0000EE"/>
          </w:rPr>
          <w:t>Form 8-A/A filed on November 16, 2016</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Form 8-A filed on</w:t>
        </w:r>
      </w:hyperlink>
    </w:p>
    <w:p>
      <w:pPr>
        <w:spacing w:after="0" w:line="12" w:lineRule="exact"/>
        <w:rPr>
          <w:sz w:val="20"/>
          <w:szCs w:val="20"/>
          <w:color w:val="auto"/>
        </w:rPr>
      </w:pPr>
    </w:p>
    <w:p>
      <w:pPr>
        <w:ind w:left="1140"/>
        <w:spacing w:after="0"/>
        <w:rPr>
          <w:rFonts w:ascii="Arial" w:cs="Arial" w:eastAsia="Arial" w:hAnsi="Arial"/>
          <w:sz w:val="16"/>
          <w:szCs w:val="16"/>
          <w:color w:val="0000EE"/>
        </w:rPr>
      </w:pPr>
      <w:hyperlink r:id="rId35">
        <w:r>
          <w:rPr>
            <w:rFonts w:ascii="Arial" w:cs="Arial" w:eastAsia="Arial" w:hAnsi="Arial"/>
            <w:sz w:val="16"/>
            <w:szCs w:val="16"/>
            <w:u w:val="single" w:color="auto"/>
            <w:color w:val="0000EE"/>
          </w:rPr>
          <w:t>December 11, 2020</w:t>
        </w:r>
        <w:r>
          <w:rPr>
            <w:rFonts w:ascii="Arial" w:cs="Arial" w:eastAsia="Arial" w:hAnsi="Arial"/>
            <w:sz w:val="16"/>
            <w:szCs w:val="16"/>
            <w:color w:val="0000EE"/>
          </w:rPr>
          <w:t xml:space="preserve"> </w:t>
        </w:r>
        <w:r>
          <w:rPr>
            <w:rFonts w:ascii="Arial" w:cs="Arial" w:eastAsia="Arial" w:hAnsi="Arial"/>
            <w:sz w:val="16"/>
            <w:szCs w:val="16"/>
            <w:color w:val="000000"/>
          </w:rPr>
          <w:t xml:space="preserve">(together with any amendments thereto and the other documents incorporated </w:t>
        </w:r>
      </w:hyperlink>
      <w:r>
        <w:rPr>
          <w:rFonts w:ascii="Arial" w:cs="Arial" w:eastAsia="Arial" w:hAnsi="Arial"/>
          <w:sz w:val="16"/>
          <w:szCs w:val="16"/>
          <w:color w:val="0000EE"/>
        </w:rPr>
        <w:t>by</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reference therein), which are incorporated by reference herein, for a description of our shares, our cash</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distribution policy and the Second Amended and Restated Agreement of Limited Partnership of Plains</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GP Holdings, L.P., dated as of November 15, 2016, as it may be amended or restated from time to time (our</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MATERIAL U.S. FEDERAL INCOME TAX CONSEQUENCES</w:t>
      </w:r>
    </w:p>
    <w:p>
      <w:pPr>
        <w:spacing w:after="0" w:line="151" w:lineRule="exact"/>
        <w:rPr>
          <w:sz w:val="20"/>
          <w:szCs w:val="20"/>
          <w:color w:val="auto"/>
        </w:rPr>
      </w:pPr>
    </w:p>
    <w:p>
      <w:pPr>
        <w:ind w:left="1140" w:right="859" w:firstLine="327"/>
        <w:spacing w:after="0" w:line="248" w:lineRule="auto"/>
        <w:rPr>
          <w:sz w:val="20"/>
          <w:szCs w:val="20"/>
          <w:color w:val="auto"/>
        </w:rPr>
      </w:pPr>
      <w:r>
        <w:rPr>
          <w:rFonts w:ascii="Arial" w:cs="Arial" w:eastAsia="Arial" w:hAnsi="Arial"/>
          <w:sz w:val="16"/>
          <w:szCs w:val="16"/>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11" w:lineRule="exact"/>
        <w:rPr>
          <w:sz w:val="20"/>
          <w:szCs w:val="20"/>
          <w:color w:val="auto"/>
        </w:rPr>
      </w:pPr>
    </w:p>
    <w:p>
      <w:pPr>
        <w:ind w:left="1140" w:right="799" w:firstLine="327"/>
        <w:spacing w:after="0" w:line="252"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68" w:lineRule="exact"/>
        <w:rPr>
          <w:sz w:val="20"/>
          <w:szCs w:val="20"/>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banks, insurance companies or other financial institutions;</w:t>
      </w:r>
    </w:p>
    <w:p>
      <w:pPr>
        <w:spacing w:after="0" w:line="98"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tax-exempt or governmental organizations;</w:t>
      </w:r>
    </w:p>
    <w:p>
      <w:pPr>
        <w:spacing w:after="0" w:line="110" w:lineRule="exact"/>
        <w:rPr>
          <w:rFonts w:ascii="Arial" w:cs="Arial" w:eastAsia="Arial" w:hAnsi="Arial"/>
          <w:sz w:val="16"/>
          <w:szCs w:val="16"/>
          <w:color w:val="auto"/>
        </w:rPr>
      </w:pPr>
    </w:p>
    <w:p>
      <w:pPr>
        <w:ind w:left="1620" w:right="1019" w:hanging="159"/>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dealers in securities or foreign currencies;</w:t>
      </w:r>
    </w:p>
    <w:p>
      <w:pPr>
        <w:spacing w:after="0" w:line="98" w:lineRule="exact"/>
        <w:rPr>
          <w:rFonts w:ascii="Arial" w:cs="Arial" w:eastAsia="Arial" w:hAnsi="Arial"/>
          <w:sz w:val="16"/>
          <w:szCs w:val="16"/>
          <w:color w:val="auto"/>
        </w:rPr>
      </w:pPr>
    </w:p>
    <w:p>
      <w:pPr>
        <w:ind w:left="1620" w:right="1019" w:hanging="159"/>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traders in securities that use the mark-to-market method of accounting for U.S. federal income tax purposes;</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persons whose functional currency is not the U.S. dollar;</w:t>
      </w:r>
    </w:p>
    <w:p>
      <w:pPr>
        <w:spacing w:after="0" w:line="110" w:lineRule="exact"/>
        <w:rPr>
          <w:rFonts w:ascii="Arial" w:cs="Arial" w:eastAsia="Arial" w:hAnsi="Arial"/>
          <w:sz w:val="16"/>
          <w:szCs w:val="16"/>
          <w:color w:val="auto"/>
        </w:rPr>
      </w:pPr>
    </w:p>
    <w:p>
      <w:pPr>
        <w:ind w:left="1620" w:right="1119" w:hanging="159"/>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6"/>
          <w:szCs w:val="16"/>
          <w:color w:val="auto"/>
        </w:rPr>
      </w:pPr>
    </w:p>
    <w:p>
      <w:pPr>
        <w:ind w:left="1620" w:right="1379" w:hanging="159"/>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partnerships or other pass-through entities for U.S. federal income tax purposes or holders of interests therein;</w:t>
      </w:r>
    </w:p>
    <w:p>
      <w:pPr>
        <w:spacing w:after="0" w:line="38"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persons deemed to sell our Class A shares under the constructive sale provisions of the Code;</w:t>
      </w:r>
    </w:p>
    <w:p>
      <w:pPr>
        <w:spacing w:after="0" w:line="110" w:lineRule="exact"/>
        <w:rPr>
          <w:rFonts w:ascii="Arial" w:cs="Arial" w:eastAsia="Arial" w:hAnsi="Arial"/>
          <w:sz w:val="16"/>
          <w:szCs w:val="16"/>
          <w:color w:val="auto"/>
        </w:rPr>
      </w:pPr>
    </w:p>
    <w:p>
      <w:pPr>
        <w:ind w:left="1620" w:right="799" w:hanging="159"/>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persons that acquired our Class A shares through the exercise of employee stock options or otherwise as compensation or through a tax-qualified retirement plan;</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 and</w:t>
      </w:r>
    </w:p>
    <w:p>
      <w:pPr>
        <w:spacing w:after="0" w:line="98" w:lineRule="exact"/>
        <w:rPr>
          <w:rFonts w:ascii="Arial" w:cs="Arial" w:eastAsia="Arial" w:hAnsi="Arial"/>
          <w:sz w:val="16"/>
          <w:szCs w:val="16"/>
          <w:color w:val="auto"/>
        </w:rPr>
      </w:pPr>
    </w:p>
    <w:p>
      <w:pPr>
        <w:ind w:left="1620" w:right="959" w:hanging="159"/>
        <w:spacing w:after="0" w:line="322"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that hold our Class A shares as part of a straddle, appreciated financial position, synthetic security, hedge, conversion transaction or other integrated investment or risk reduction transaction.</w:t>
      </w:r>
    </w:p>
    <w:p>
      <w:pPr>
        <w:spacing w:after="0" w:line="65" w:lineRule="exact"/>
        <w:rPr>
          <w:sz w:val="20"/>
          <w:szCs w:val="20"/>
          <w:color w:val="auto"/>
        </w:rPr>
      </w:pPr>
    </w:p>
    <w:p>
      <w:pPr>
        <w:ind w:left="1140" w:right="839" w:firstLine="327"/>
        <w:spacing w:after="0" w:line="250"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02" w:lineRule="exact"/>
        <w:rPr>
          <w:sz w:val="20"/>
          <w:szCs w:val="20"/>
          <w:color w:val="auto"/>
        </w:rPr>
      </w:pPr>
    </w:p>
    <w:p>
      <w:pPr>
        <w:ind w:left="1140" w:right="779" w:firstLine="327"/>
        <w:spacing w:after="0" w:line="257"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(INCLUDING ANY POTENTIAL FUTURE CHANGES THERETO) TO YOUR PARTICULAR SITUATION, AS WELL AS ANY TAX CONSEQUENCES OF THE PURCHASE, OWNERSHIP AND DISPOSITION OF OUR CLASS A</w:t>
      </w:r>
    </w:p>
    <w:p>
      <w:pPr>
        <w:spacing w:after="0" w:line="32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236855</wp:posOffset>
            </wp:positionV>
            <wp:extent cx="62039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right="1039"/>
        <w:spacing w:after="0" w:line="266" w:lineRule="auto"/>
        <w:rPr>
          <w:sz w:val="20"/>
          <w:szCs w:val="20"/>
          <w:color w:val="auto"/>
        </w:rPr>
      </w:pPr>
      <w:r>
        <w:rPr>
          <w:rFonts w:ascii="Arial" w:cs="Arial" w:eastAsia="Arial" w:hAnsi="Arial"/>
          <w:sz w:val="16"/>
          <w:szCs w:val="16"/>
          <w:b w:val="1"/>
          <w:bCs w:val="1"/>
          <w:color w:val="auto"/>
        </w:rPr>
        <w:t>SHARES ARISING UNDER ANY OTHER TAX LAWS, INCLUDING THE U.S. FEDERAL ESTATE OR GIFT TAX LAWS OR UNDER THE LAWS OF ANY STATE, LOCAL, NON-U.S. OR OTHER TAXING JURISDICTION OR UNDER ANY APPLICABLE INCOME TAX TREATY.</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Corporate Status</w:t>
      </w:r>
    </w:p>
    <w:p>
      <w:pPr>
        <w:spacing w:after="0" w:line="151" w:lineRule="exact"/>
        <w:rPr>
          <w:sz w:val="20"/>
          <w:szCs w:val="20"/>
          <w:color w:val="auto"/>
        </w:rPr>
      </w:pPr>
    </w:p>
    <w:p>
      <w:pPr>
        <w:ind w:left="1140" w:right="819" w:firstLine="327"/>
        <w:spacing w:after="0" w:line="272" w:lineRule="auto"/>
        <w:rPr>
          <w:sz w:val="20"/>
          <w:szCs w:val="20"/>
          <w:color w:val="auto"/>
        </w:rPr>
      </w:pPr>
      <w:r>
        <w:rPr>
          <w:rFonts w:ascii="Arial" w:cs="Arial" w:eastAsia="Arial" w:hAnsi="Arial"/>
          <w:sz w:val="15"/>
          <w:szCs w:val="15"/>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Consequences to U.S. Holders</w:t>
      </w:r>
    </w:p>
    <w:p>
      <w:pPr>
        <w:spacing w:after="0" w:line="139" w:lineRule="exact"/>
        <w:rPr>
          <w:sz w:val="20"/>
          <w:szCs w:val="20"/>
          <w:color w:val="auto"/>
        </w:rPr>
      </w:pPr>
    </w:p>
    <w:p>
      <w:pPr>
        <w:ind w:left="1140" w:right="879" w:firstLine="327"/>
        <w:spacing w:after="0" w:line="263" w:lineRule="auto"/>
        <w:rPr>
          <w:sz w:val="20"/>
          <w:szCs w:val="20"/>
          <w:color w:val="auto"/>
        </w:rPr>
      </w:pPr>
      <w:r>
        <w:rPr>
          <w:rFonts w:ascii="Arial" w:cs="Arial" w:eastAsia="Arial" w:hAnsi="Arial"/>
          <w:sz w:val="16"/>
          <w:szCs w:val="16"/>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58" w:lineRule="exact"/>
        <w:rPr>
          <w:sz w:val="20"/>
          <w:szCs w:val="20"/>
          <w:color w:val="auto"/>
        </w:rPr>
      </w:pPr>
    </w:p>
    <w:p>
      <w:pPr>
        <w:ind w:left="1620" w:hanging="159"/>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98" w:lineRule="exact"/>
        <w:rPr>
          <w:rFonts w:ascii="Arial" w:cs="Arial" w:eastAsia="Arial" w:hAnsi="Arial"/>
          <w:sz w:val="16"/>
          <w:szCs w:val="16"/>
          <w:color w:val="auto"/>
        </w:rPr>
      </w:pPr>
    </w:p>
    <w:p>
      <w:pPr>
        <w:jc w:val="both"/>
        <w:ind w:left="1620" w:right="919" w:hanging="159"/>
        <w:spacing w:after="0" w:line="322"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corporation (or other entity treated as a corporation for U.S. federal income tax purposes) created or organized in or under the laws of the United States, any state thereof or the District of Columbia;</w:t>
      </w:r>
    </w:p>
    <w:p>
      <w:pPr>
        <w:spacing w:after="0" w:line="27" w:lineRule="exact"/>
        <w:rPr>
          <w:rFonts w:ascii="Arial" w:cs="Arial" w:eastAsia="Arial" w:hAnsi="Arial"/>
          <w:sz w:val="15"/>
          <w:szCs w:val="15"/>
          <w:color w:val="auto"/>
        </w:rPr>
      </w:pPr>
    </w:p>
    <w:p>
      <w:pPr>
        <w:ind w:left="1620" w:hanging="159"/>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10" w:lineRule="exact"/>
        <w:rPr>
          <w:rFonts w:ascii="Arial" w:cs="Arial" w:eastAsia="Arial" w:hAnsi="Arial"/>
          <w:sz w:val="16"/>
          <w:szCs w:val="16"/>
          <w:color w:val="auto"/>
        </w:rPr>
      </w:pPr>
    </w:p>
    <w:p>
      <w:pPr>
        <w:ind w:left="1620" w:right="839" w:hanging="159"/>
        <w:spacing w:after="0" w:line="266"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Distributions</w:t>
      </w:r>
    </w:p>
    <w:p>
      <w:pPr>
        <w:spacing w:after="0" w:line="139" w:lineRule="exact"/>
        <w:rPr>
          <w:sz w:val="20"/>
          <w:szCs w:val="20"/>
          <w:color w:val="auto"/>
        </w:rPr>
      </w:pPr>
    </w:p>
    <w:p>
      <w:pPr>
        <w:ind w:left="1140" w:right="839" w:firstLine="327"/>
        <w:spacing w:after="0" w:line="248"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11" w:lineRule="exact"/>
        <w:rPr>
          <w:sz w:val="20"/>
          <w:szCs w:val="20"/>
          <w:color w:val="auto"/>
        </w:rPr>
      </w:pPr>
    </w:p>
    <w:p>
      <w:pPr>
        <w:ind w:left="1140" w:right="799" w:firstLine="327"/>
        <w:spacing w:after="0" w:line="248"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11" w:lineRule="exact"/>
        <w:rPr>
          <w:sz w:val="20"/>
          <w:szCs w:val="20"/>
          <w:color w:val="auto"/>
        </w:rPr>
      </w:pPr>
    </w:p>
    <w:p>
      <w:pPr>
        <w:ind w:left="1140" w:right="999" w:firstLine="327"/>
        <w:spacing w:after="0" w:line="305" w:lineRule="auto"/>
        <w:rPr>
          <w:sz w:val="20"/>
          <w:szCs w:val="20"/>
          <w:color w:val="auto"/>
        </w:rPr>
      </w:pPr>
      <w:r>
        <w:rPr>
          <w:rFonts w:ascii="Arial" w:cs="Arial" w:eastAsia="Arial" w:hAnsi="Arial"/>
          <w:sz w:val="15"/>
          <w:szCs w:val="15"/>
          <w:color w:val="auto"/>
        </w:rPr>
        <w:t>As a result of the basis adjustments described above, we may not have sufficient earnings and profits for distributions on our Class A shares to qualify as dividends for U.S. federal income tax purposes. If a</w:t>
      </w:r>
    </w:p>
    <w:p>
      <w:pPr>
        <w:spacing w:after="0" w:line="29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799"/>
        <w:spacing w:after="0" w:line="255" w:lineRule="auto"/>
        <w:rPr>
          <w:sz w:val="20"/>
          <w:szCs w:val="20"/>
          <w:color w:val="auto"/>
        </w:rPr>
      </w:pPr>
      <w:r>
        <w:rPr>
          <w:rFonts w:ascii="Arial" w:cs="Arial" w:eastAsia="Arial" w:hAnsi="Arial"/>
          <w:sz w:val="16"/>
          <w:szCs w:val="16"/>
          <w:color w:val="auto"/>
        </w:rPr>
        <w:t>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02" w:lineRule="exact"/>
        <w:rPr>
          <w:sz w:val="20"/>
          <w:szCs w:val="20"/>
          <w:color w:val="auto"/>
        </w:rPr>
      </w:pPr>
    </w:p>
    <w:p>
      <w:pPr>
        <w:ind w:left="1140" w:right="839" w:firstLine="327"/>
        <w:spacing w:after="0" w:line="255" w:lineRule="auto"/>
        <w:rPr>
          <w:sz w:val="20"/>
          <w:szCs w:val="20"/>
          <w:color w:val="auto"/>
        </w:rPr>
      </w:pPr>
      <w:r>
        <w:rPr>
          <w:rFonts w:ascii="Arial" w:cs="Arial" w:eastAsia="Arial" w:hAnsi="Arial"/>
          <w:sz w:val="16"/>
          <w:szCs w:val="16"/>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Gain on Disposition of Class A Shares</w:t>
      </w:r>
    </w:p>
    <w:p>
      <w:pPr>
        <w:spacing w:after="0" w:line="151" w:lineRule="exact"/>
        <w:rPr>
          <w:sz w:val="20"/>
          <w:szCs w:val="20"/>
          <w:color w:val="auto"/>
        </w:rPr>
      </w:pPr>
    </w:p>
    <w:p>
      <w:pPr>
        <w:ind w:left="1140" w:right="879" w:firstLine="327"/>
        <w:spacing w:after="0" w:line="266" w:lineRule="auto"/>
        <w:rPr>
          <w:sz w:val="20"/>
          <w:szCs w:val="20"/>
          <w:color w:val="auto"/>
        </w:rPr>
      </w:pPr>
      <w:r>
        <w:rPr>
          <w:rFonts w:ascii="Arial" w:cs="Arial" w:eastAsia="Arial" w:hAnsi="Arial"/>
          <w:sz w:val="15"/>
          <w:szCs w:val="15"/>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139" w:lineRule="exact"/>
        <w:rPr>
          <w:sz w:val="20"/>
          <w:szCs w:val="20"/>
          <w:color w:val="auto"/>
        </w:rPr>
      </w:pPr>
    </w:p>
    <w:p>
      <w:pPr>
        <w:ind w:left="1140" w:right="959" w:firstLine="327"/>
        <w:spacing w:after="0" w:line="269" w:lineRule="auto"/>
        <w:rPr>
          <w:sz w:val="20"/>
          <w:szCs w:val="20"/>
          <w:color w:val="auto"/>
        </w:rPr>
      </w:pPr>
      <w:r>
        <w:rPr>
          <w:rFonts w:ascii="Arial" w:cs="Arial" w:eastAsia="Arial" w:hAnsi="Arial"/>
          <w:sz w:val="15"/>
          <w:szCs w:val="15"/>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95" w:lineRule="exact"/>
        <w:rPr>
          <w:sz w:val="20"/>
          <w:szCs w:val="20"/>
          <w:color w:val="auto"/>
        </w:rPr>
      </w:pPr>
    </w:p>
    <w:p>
      <w:pPr>
        <w:ind w:left="1140" w:right="799" w:firstLine="327"/>
        <w:spacing w:after="0" w:line="25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Consequences to Non-U.S. Holders</w:t>
      </w:r>
    </w:p>
    <w:p>
      <w:pPr>
        <w:spacing w:after="0" w:line="151" w:lineRule="exact"/>
        <w:rPr>
          <w:sz w:val="20"/>
          <w:szCs w:val="20"/>
          <w:color w:val="auto"/>
        </w:rPr>
      </w:pPr>
    </w:p>
    <w:p>
      <w:pPr>
        <w:ind w:left="1140" w:right="999" w:firstLine="327"/>
        <w:spacing w:after="0" w:line="255" w:lineRule="auto"/>
        <w:rPr>
          <w:sz w:val="20"/>
          <w:szCs w:val="20"/>
          <w:color w:val="auto"/>
        </w:rPr>
      </w:pPr>
      <w:r>
        <w:rPr>
          <w:rFonts w:ascii="Arial" w:cs="Arial" w:eastAsia="Arial" w:hAnsi="Arial"/>
          <w:sz w:val="16"/>
          <w:szCs w:val="16"/>
          <w:color w:val="auto"/>
        </w:rPr>
        <w:t>The discussion in this section is addressed to holders of our Class A shares who are non-U.S. holders for U.S. federal income tax purposes. For purposes of this discussion, a “non -U.S. holder” is a beneficial owner of our Class A shares that is an individual, corporation, estate or trust that is not a U.S. holder as defined above.</w:t>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Distributions</w:t>
      </w:r>
    </w:p>
    <w:p>
      <w:pPr>
        <w:spacing w:after="0" w:line="151" w:lineRule="exact"/>
        <w:rPr>
          <w:sz w:val="20"/>
          <w:szCs w:val="20"/>
          <w:color w:val="auto"/>
        </w:rPr>
      </w:pPr>
    </w:p>
    <w:p>
      <w:pPr>
        <w:ind w:left="1140" w:right="819" w:firstLine="327"/>
        <w:spacing w:after="0" w:line="26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w:t>
      </w:r>
    </w:p>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799"/>
        <w:spacing w:after="0" w:line="266" w:lineRule="auto"/>
        <w:rPr>
          <w:sz w:val="20"/>
          <w:szCs w:val="20"/>
          <w:color w:val="auto"/>
        </w:rPr>
      </w:pPr>
      <w:r>
        <w:rPr>
          <w:rFonts w:ascii="Arial" w:cs="Arial" w:eastAsia="Arial" w:hAnsi="Arial"/>
          <w:sz w:val="15"/>
          <w:szCs w:val="15"/>
          <w:color w:val="auto"/>
        </w:rPr>
        <w:t>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 -U.S.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99" w:lineRule="exact"/>
        <w:rPr>
          <w:sz w:val="20"/>
          <w:szCs w:val="20"/>
          <w:color w:val="auto"/>
        </w:rPr>
      </w:pPr>
    </w:p>
    <w:p>
      <w:pPr>
        <w:ind w:left="1140" w:right="1219" w:firstLine="327"/>
        <w:spacing w:after="0" w:line="263"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95" w:lineRule="exact"/>
        <w:rPr>
          <w:sz w:val="20"/>
          <w:szCs w:val="20"/>
          <w:color w:val="auto"/>
        </w:rPr>
      </w:pPr>
    </w:p>
    <w:p>
      <w:pPr>
        <w:ind w:left="1140" w:right="799" w:firstLine="327"/>
        <w:spacing w:after="0" w:line="247" w:lineRule="auto"/>
        <w:rPr>
          <w:sz w:val="20"/>
          <w:szCs w:val="20"/>
          <w:color w:val="auto"/>
        </w:rPr>
      </w:pPr>
      <w:r>
        <w:rPr>
          <w:rFonts w:ascii="Arial" w:cs="Arial" w:eastAsia="Arial" w:hAnsi="Arial"/>
          <w:sz w:val="16"/>
          <w:szCs w:val="16"/>
          <w:color w:val="auto"/>
        </w:rPr>
        <w:t>Distributions treated as dividends that are paid to a non- 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Gain on Disposition of Class A Shares</w:t>
      </w:r>
    </w:p>
    <w:p>
      <w:pPr>
        <w:spacing w:after="0" w:line="151" w:lineRule="exact"/>
        <w:rPr>
          <w:sz w:val="20"/>
          <w:szCs w:val="20"/>
          <w:color w:val="auto"/>
        </w:rPr>
      </w:pPr>
    </w:p>
    <w:p>
      <w:pPr>
        <w:jc w:val="both"/>
        <w:ind w:left="1140" w:right="799" w:firstLine="327"/>
        <w:spacing w:after="0" w:line="255" w:lineRule="auto"/>
        <w:rPr>
          <w:sz w:val="20"/>
          <w:szCs w:val="20"/>
          <w:color w:val="auto"/>
        </w:rPr>
      </w:pPr>
      <w:r>
        <w:rPr>
          <w:rFonts w:ascii="Arial" w:cs="Arial" w:eastAsia="Arial" w:hAnsi="Arial"/>
          <w:sz w:val="16"/>
          <w:szCs w:val="16"/>
          <w:color w:val="auto"/>
        </w:rPr>
        <w:t>Subject to the discussion below under “— Backup Withholding and Information Reporting,” a non- U.S. holder generally will not be subject to U.S. federal income or withholding tax on any gain realized upon the sale or other disposition of our Class A shares unless:</w:t>
      </w:r>
    </w:p>
    <w:p>
      <w:pPr>
        <w:spacing w:after="0" w:line="64" w:lineRule="exact"/>
        <w:rPr>
          <w:sz w:val="20"/>
          <w:szCs w:val="20"/>
          <w:color w:val="auto"/>
        </w:rPr>
      </w:pPr>
    </w:p>
    <w:p>
      <w:pPr>
        <w:ind w:left="1620" w:right="1039" w:hanging="159"/>
        <w:spacing w:after="0" w:line="271"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51" w:lineRule="exact"/>
        <w:rPr>
          <w:rFonts w:ascii="Arial" w:cs="Arial" w:eastAsia="Arial" w:hAnsi="Arial"/>
          <w:sz w:val="16"/>
          <w:szCs w:val="16"/>
          <w:color w:val="auto"/>
        </w:rPr>
      </w:pPr>
    </w:p>
    <w:p>
      <w:pPr>
        <w:ind w:left="1620" w:right="1079" w:hanging="159"/>
        <w:spacing w:after="0" w:line="271"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51" w:lineRule="exact"/>
        <w:rPr>
          <w:rFonts w:ascii="Arial" w:cs="Arial" w:eastAsia="Arial" w:hAnsi="Arial"/>
          <w:sz w:val="16"/>
          <w:szCs w:val="16"/>
          <w:color w:val="auto"/>
        </w:rPr>
      </w:pPr>
    </w:p>
    <w:p>
      <w:pPr>
        <w:ind w:left="1620" w:right="1179" w:hanging="159"/>
        <w:spacing w:after="0" w:line="297"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84" w:lineRule="exact"/>
        <w:rPr>
          <w:sz w:val="20"/>
          <w:szCs w:val="20"/>
          <w:color w:val="auto"/>
        </w:rPr>
      </w:pPr>
    </w:p>
    <w:p>
      <w:pPr>
        <w:ind w:left="1140" w:right="859" w:firstLine="327"/>
        <w:spacing w:after="0" w:line="255" w:lineRule="auto"/>
        <w:rPr>
          <w:sz w:val="20"/>
          <w:szCs w:val="20"/>
          <w:color w:val="auto"/>
        </w:rPr>
      </w:pPr>
      <w:r>
        <w:rPr>
          <w:rFonts w:ascii="Arial" w:cs="Arial" w:eastAsia="Arial" w:hAnsi="Arial"/>
          <w:sz w:val="16"/>
          <w:szCs w:val="16"/>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02" w:lineRule="exact"/>
        <w:rPr>
          <w:sz w:val="20"/>
          <w:szCs w:val="20"/>
          <w:color w:val="auto"/>
        </w:rPr>
      </w:pPr>
    </w:p>
    <w:p>
      <w:pPr>
        <w:ind w:left="1140" w:right="859" w:firstLine="327"/>
        <w:spacing w:after="0" w:line="249" w:lineRule="auto"/>
        <w:rPr>
          <w:sz w:val="20"/>
          <w:szCs w:val="20"/>
          <w:color w:val="auto"/>
        </w:rPr>
      </w:pPr>
      <w:r>
        <w:rPr>
          <w:rFonts w:ascii="Arial" w:cs="Arial" w:eastAsia="Arial" w:hAnsi="Arial"/>
          <w:sz w:val="16"/>
          <w:szCs w:val="16"/>
          <w:color w:val="auto"/>
        </w:rPr>
        <w:t>A non -U.S.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33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919" w:firstLine="327"/>
        <w:spacing w:after="0" w:line="268" w:lineRule="auto"/>
        <w:rPr>
          <w:sz w:val="20"/>
          <w:szCs w:val="20"/>
          <w:color w:val="auto"/>
        </w:rPr>
      </w:pPr>
      <w:r>
        <w:rPr>
          <w:rFonts w:ascii="Arial" w:cs="Arial" w:eastAsia="Arial" w:hAnsi="Arial"/>
          <w:sz w:val="15"/>
          <w:szCs w:val="15"/>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w:t>
      </w:r>
    </w:p>
    <w:p>
      <w:pPr>
        <w:spacing w:after="0" w:line="2" w:lineRule="exact"/>
        <w:rPr>
          <w:sz w:val="20"/>
          <w:szCs w:val="20"/>
          <w:color w:val="auto"/>
        </w:rPr>
      </w:pPr>
    </w:p>
    <w:p>
      <w:pPr>
        <w:ind w:left="1140" w:right="819"/>
        <w:spacing w:after="0" w:line="265" w:lineRule="auto"/>
        <w:rPr>
          <w:sz w:val="20"/>
          <w:szCs w:val="20"/>
          <w:color w:val="auto"/>
        </w:rPr>
      </w:pPr>
      <w:r>
        <w:rPr>
          <w:rFonts w:ascii="Arial" w:cs="Arial" w:eastAsia="Arial" w:hAnsi="Arial"/>
          <w:sz w:val="15"/>
          <w:szCs w:val="15"/>
          <w:color w:val="auto"/>
        </w:rPr>
        <w:t>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 -U.S.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96" w:lineRule="exact"/>
        <w:rPr>
          <w:sz w:val="20"/>
          <w:szCs w:val="20"/>
          <w:color w:val="auto"/>
        </w:rPr>
      </w:pPr>
    </w:p>
    <w:p>
      <w:pPr>
        <w:ind w:left="1140" w:right="799" w:firstLine="327"/>
        <w:spacing w:after="0" w:line="255" w:lineRule="auto"/>
        <w:rPr>
          <w:sz w:val="20"/>
          <w:szCs w:val="20"/>
          <w:color w:val="auto"/>
        </w:rPr>
      </w:pPr>
      <w:r>
        <w:rPr>
          <w:rFonts w:ascii="Arial" w:cs="Arial" w:eastAsia="Arial" w:hAnsi="Arial"/>
          <w:sz w:val="16"/>
          <w:szCs w:val="16"/>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139" w:lineRule="exact"/>
        <w:rPr>
          <w:sz w:val="20"/>
          <w:szCs w:val="20"/>
          <w:color w:val="auto"/>
        </w:rPr>
      </w:pPr>
    </w:p>
    <w:p>
      <w:pPr>
        <w:ind w:left="1140" w:right="799" w:firstLine="327"/>
        <w:spacing w:after="0" w:line="252" w:lineRule="auto"/>
        <w:rPr>
          <w:sz w:val="20"/>
          <w:szCs w:val="20"/>
          <w:color w:val="auto"/>
        </w:rPr>
      </w:pPr>
      <w:r>
        <w:rPr>
          <w:rFonts w:ascii="Arial" w:cs="Arial" w:eastAsia="Arial" w:hAnsi="Arial"/>
          <w:sz w:val="16"/>
          <w:szCs w:val="16"/>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05" w:lineRule="exact"/>
        <w:rPr>
          <w:sz w:val="20"/>
          <w:szCs w:val="20"/>
          <w:color w:val="auto"/>
        </w:rPr>
      </w:pPr>
    </w:p>
    <w:p>
      <w:pPr>
        <w:ind w:left="1140" w:right="839" w:firstLine="327"/>
        <w:spacing w:after="0" w:line="266" w:lineRule="auto"/>
        <w:rPr>
          <w:sz w:val="20"/>
          <w:szCs w:val="20"/>
          <w:color w:val="auto"/>
        </w:rPr>
      </w:pPr>
      <w:r>
        <w:rPr>
          <w:rFonts w:ascii="Arial" w:cs="Arial" w:eastAsia="Arial" w:hAnsi="Arial"/>
          <w:sz w:val="15"/>
          <w:szCs w:val="15"/>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93" w:lineRule="exact"/>
        <w:rPr>
          <w:sz w:val="20"/>
          <w:szCs w:val="20"/>
          <w:color w:val="auto"/>
        </w:rPr>
      </w:pPr>
    </w:p>
    <w:p>
      <w:pPr>
        <w:ind w:left="1140" w:right="799" w:firstLine="327"/>
        <w:spacing w:after="0" w:line="255" w:lineRule="auto"/>
        <w:rPr>
          <w:sz w:val="20"/>
          <w:szCs w:val="20"/>
          <w:color w:val="auto"/>
        </w:rPr>
      </w:pPr>
      <w:r>
        <w:rPr>
          <w:rFonts w:ascii="Arial" w:cs="Arial" w:eastAsia="Arial" w:hAnsi="Arial"/>
          <w:sz w:val="16"/>
          <w:szCs w:val="16"/>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Additional Withholding Requirements under FATCA</w:t>
      </w:r>
    </w:p>
    <w:p>
      <w:pPr>
        <w:spacing w:after="0" w:line="151" w:lineRule="exact"/>
        <w:rPr>
          <w:sz w:val="20"/>
          <w:szCs w:val="20"/>
          <w:color w:val="auto"/>
        </w:rPr>
      </w:pPr>
    </w:p>
    <w:p>
      <w:pPr>
        <w:ind w:left="1140" w:right="779" w:firstLine="327"/>
        <w:spacing w:after="0" w:line="265" w:lineRule="auto"/>
        <w:rPr>
          <w:sz w:val="20"/>
          <w:szCs w:val="20"/>
          <w:color w:val="auto"/>
        </w:rPr>
      </w:pPr>
      <w:r>
        <w:rPr>
          <w:rFonts w:ascii="Arial" w:cs="Arial" w:eastAsia="Arial" w:hAnsi="Arial"/>
          <w:sz w:val="15"/>
          <w:szCs w:val="15"/>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w:t>
      </w:r>
    </w:p>
    <w:p>
      <w:pPr>
        <w:spacing w:after="0" w:line="1" w:lineRule="exact"/>
        <w:rPr>
          <w:sz w:val="20"/>
          <w:szCs w:val="20"/>
          <w:color w:val="auto"/>
        </w:rPr>
      </w:pPr>
    </w:p>
    <w:p>
      <w:pPr>
        <w:ind w:left="1140" w:right="1019"/>
        <w:spacing w:after="0" w:line="247" w:lineRule="auto"/>
        <w:rPr>
          <w:sz w:val="20"/>
          <w:szCs w:val="20"/>
          <w:color w:val="auto"/>
        </w:rPr>
      </w:pPr>
      <w:r>
        <w:rPr>
          <w:rFonts w:ascii="Arial" w:cs="Arial" w:eastAsia="Arial" w:hAnsi="Arial"/>
          <w:sz w:val="16"/>
          <w:szCs w:val="16"/>
          <w:color w:val="auto"/>
        </w:rPr>
        <w:t>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w:t>
      </w:r>
    </w:p>
    <w:p>
      <w:pPr>
        <w:spacing w:after="0" w:line="1" w:lineRule="exact"/>
        <w:rPr>
          <w:sz w:val="20"/>
          <w:szCs w:val="20"/>
          <w:color w:val="auto"/>
        </w:rPr>
      </w:pPr>
    </w:p>
    <w:p>
      <w:pPr>
        <w:ind w:left="1140" w:right="839"/>
        <w:spacing w:after="0" w:line="250" w:lineRule="auto"/>
        <w:rPr>
          <w:sz w:val="20"/>
          <w:szCs w:val="20"/>
          <w:color w:val="auto"/>
        </w:rPr>
      </w:pPr>
      <w:r>
        <w:rPr>
          <w:rFonts w:ascii="Arial" w:cs="Arial" w:eastAsia="Arial" w:hAnsi="Arial"/>
          <w:sz w:val="16"/>
          <w:szCs w:val="16"/>
          <w:color w:val="auto"/>
        </w:rPr>
        <w:t>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w:t>
      </w:r>
    </w:p>
    <w:p>
      <w:pPr>
        <w:spacing w:after="0" w:line="32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1039"/>
        <w:spacing w:after="0" w:line="281" w:lineRule="auto"/>
        <w:rPr>
          <w:sz w:val="20"/>
          <w:szCs w:val="20"/>
          <w:color w:val="auto"/>
        </w:rPr>
      </w:pPr>
      <w:r>
        <w:rPr>
          <w:rFonts w:ascii="Arial" w:cs="Arial" w:eastAsia="Arial" w:hAnsi="Arial"/>
          <w:sz w:val="15"/>
          <w:szCs w:val="15"/>
          <w:color w:val="auto"/>
        </w:rPr>
        <w:t>Code) or provides the applicable withholding agent with a certification identifying the direct and indirect substantial United States owners of the entity (in either case, generally on an IRS Form W-8BEN-E), or</w:t>
      </w:r>
    </w:p>
    <w:p>
      <w:pPr>
        <w:ind w:left="1140" w:right="839" w:hanging="6"/>
        <w:spacing w:after="0" w:line="276" w:lineRule="auto"/>
        <w:tabs>
          <w:tab w:leader="none" w:pos="1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99" w:lineRule="exact"/>
        <w:rPr>
          <w:sz w:val="20"/>
          <w:szCs w:val="20"/>
          <w:color w:val="auto"/>
        </w:rPr>
      </w:pPr>
    </w:p>
    <w:p>
      <w:pPr>
        <w:ind w:left="1140" w:right="959" w:firstLine="327"/>
        <w:spacing w:after="0" w:line="263" w:lineRule="auto"/>
        <w:rPr>
          <w:sz w:val="20"/>
          <w:szCs w:val="20"/>
          <w:color w:val="auto"/>
        </w:rPr>
      </w:pPr>
      <w:r>
        <w:rPr>
          <w:rFonts w:ascii="Arial" w:cs="Arial" w:eastAsia="Arial" w:hAnsi="Arial"/>
          <w:sz w:val="16"/>
          <w:szCs w:val="16"/>
          <w:b w:val="1"/>
          <w:bCs w:val="1"/>
          <w:color w:val="auto"/>
        </w:rPr>
        <w:t>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INVESTMENT IN PLAINS GP HOLDINGS, L.P. BY EMPLOYEE BENEFIT PLANS</w:t>
      </w:r>
    </w:p>
    <w:p>
      <w:pPr>
        <w:spacing w:after="0" w:line="151" w:lineRule="exact"/>
        <w:rPr>
          <w:sz w:val="20"/>
          <w:szCs w:val="20"/>
          <w:color w:val="auto"/>
        </w:rPr>
      </w:pPr>
    </w:p>
    <w:p>
      <w:pPr>
        <w:ind w:left="1140" w:right="799" w:firstLine="327"/>
        <w:spacing w:after="0" w:line="249"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10" w:lineRule="exact"/>
        <w:rPr>
          <w:sz w:val="20"/>
          <w:szCs w:val="20"/>
          <w:color w:val="auto"/>
        </w:rPr>
      </w:pPr>
    </w:p>
    <w:p>
      <w:pPr>
        <w:ind w:left="1140" w:right="819" w:firstLine="327"/>
        <w:spacing w:after="0" w:line="269" w:lineRule="auto"/>
        <w:rPr>
          <w:sz w:val="20"/>
          <w:szCs w:val="20"/>
          <w:color w:val="auto"/>
        </w:rPr>
      </w:pPr>
      <w:r>
        <w:rPr>
          <w:rFonts w:ascii="Arial" w:cs="Arial" w:eastAsia="Arial" w:hAnsi="Arial"/>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92" w:lineRule="exact"/>
        <w:rPr>
          <w:sz w:val="20"/>
          <w:szCs w:val="20"/>
          <w:color w:val="auto"/>
        </w:rPr>
      </w:pPr>
    </w:p>
    <w:p>
      <w:pPr>
        <w:ind w:left="1140" w:right="879" w:firstLine="327"/>
        <w:spacing w:after="0" w:line="255" w:lineRule="auto"/>
        <w:rPr>
          <w:sz w:val="20"/>
          <w:szCs w:val="20"/>
          <w:color w:val="auto"/>
        </w:rPr>
      </w:pPr>
      <w:r>
        <w:rPr>
          <w:rFonts w:ascii="Arial" w:cs="Arial" w:eastAsia="Arial" w:hAnsi="Arial"/>
          <w:sz w:val="16"/>
          <w:szCs w:val="16"/>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Among other things, consideration should be given to:</w:t>
      </w:r>
    </w:p>
    <w:p>
      <w:pPr>
        <w:spacing w:after="0" w:line="110" w:lineRule="exact"/>
        <w:rPr>
          <w:sz w:val="20"/>
          <w:szCs w:val="20"/>
          <w:color w:val="auto"/>
        </w:rPr>
      </w:pPr>
    </w:p>
    <w:p>
      <w:pPr>
        <w:ind w:left="1620" w:right="919" w:hanging="159"/>
        <w:spacing w:after="0" w:line="28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investment is prudent under Section 404(a)(1)(B) of ERISA and any applicable Similar Laws;</w:t>
      </w:r>
    </w:p>
    <w:p>
      <w:pPr>
        <w:spacing w:after="0" w:line="50" w:lineRule="exact"/>
        <w:rPr>
          <w:rFonts w:ascii="Arial" w:cs="Arial" w:eastAsia="Arial" w:hAnsi="Arial"/>
          <w:sz w:val="16"/>
          <w:szCs w:val="16"/>
          <w:color w:val="auto"/>
        </w:rPr>
      </w:pPr>
    </w:p>
    <w:p>
      <w:pPr>
        <w:ind w:left="1620" w:right="1579" w:hanging="159"/>
        <w:spacing w:after="0" w:line="28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in making the investment, the plan will satisfy the diversification requirements of Section 404(a)(1)(C) of ERISA and applicable Similar Laws;</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the investment is permitted under the terms of the applicable documents governing the plan;</w:t>
      </w:r>
    </w:p>
    <w:p>
      <w:pPr>
        <w:spacing w:after="0" w:line="109" w:lineRule="exact"/>
        <w:rPr>
          <w:rFonts w:ascii="Arial" w:cs="Arial" w:eastAsia="Arial" w:hAnsi="Arial"/>
          <w:sz w:val="15"/>
          <w:szCs w:val="15"/>
          <w:color w:val="auto"/>
        </w:rPr>
      </w:pPr>
    </w:p>
    <w:p>
      <w:pPr>
        <w:ind w:left="1620" w:right="1039" w:hanging="159"/>
        <w:spacing w:after="0" w:line="28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investment will result in recognition of unrelated business taxable income by the plan and, if so, the potential after-tax investment return;</w:t>
      </w:r>
    </w:p>
    <w:p>
      <w:pPr>
        <w:spacing w:after="0" w:line="50" w:lineRule="exact"/>
        <w:rPr>
          <w:rFonts w:ascii="Arial" w:cs="Arial" w:eastAsia="Arial" w:hAnsi="Arial"/>
          <w:sz w:val="16"/>
          <w:szCs w:val="16"/>
          <w:color w:val="auto"/>
        </w:rPr>
      </w:pPr>
    </w:p>
    <w:p>
      <w:pPr>
        <w:ind w:left="1620" w:right="899" w:hanging="159"/>
        <w:spacing w:after="0" w:line="28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acquisition or holding of Class A shares will constitute a “prohibited transaction” under Section 406 of ERISA or Section 4975 of the Code; and</w:t>
      </w:r>
    </w:p>
    <w:p>
      <w:pPr>
        <w:spacing w:after="0" w:line="50" w:lineRule="exact"/>
        <w:rPr>
          <w:rFonts w:ascii="Arial" w:cs="Arial" w:eastAsia="Arial" w:hAnsi="Arial"/>
          <w:sz w:val="16"/>
          <w:szCs w:val="16"/>
          <w:color w:val="auto"/>
        </w:rPr>
      </w:pPr>
    </w:p>
    <w:p>
      <w:pPr>
        <w:ind w:left="1620" w:right="1199" w:hanging="159"/>
        <w:spacing w:after="0" w:line="287"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88" w:lineRule="exact"/>
        <w:rPr>
          <w:sz w:val="20"/>
          <w:szCs w:val="20"/>
          <w:color w:val="auto"/>
        </w:rPr>
      </w:pPr>
    </w:p>
    <w:p>
      <w:pPr>
        <w:ind w:left="1140" w:right="839" w:firstLine="327"/>
        <w:spacing w:after="0" w:line="265" w:lineRule="auto"/>
        <w:rPr>
          <w:sz w:val="20"/>
          <w:szCs w:val="20"/>
          <w:color w:val="auto"/>
        </w:rPr>
      </w:pPr>
      <w:r>
        <w:rPr>
          <w:rFonts w:ascii="Arial" w:cs="Arial" w:eastAsia="Arial" w:hAnsi="Arial"/>
          <w:sz w:val="15"/>
          <w:szCs w:val="15"/>
          <w:color w:val="auto"/>
        </w:rPr>
        <w:t>Section 406 of ERISA and Section 4975 of the Code prohibit ERISA Plans from engaging in specified transactions involving “plan assets” with persons or entities who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shares of common stock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94" w:lineRule="exact"/>
        <w:rPr>
          <w:sz w:val="20"/>
          <w:szCs w:val="20"/>
          <w:color w:val="auto"/>
        </w:rPr>
      </w:pPr>
    </w:p>
    <w:p>
      <w:pPr>
        <w:ind w:left="1140" w:right="979" w:firstLine="327"/>
        <w:spacing w:after="0" w:line="305"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w:t>
      </w:r>
    </w:p>
    <w:p>
      <w:pPr>
        <w:spacing w:after="0" w:line="29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1059"/>
        <w:spacing w:after="0" w:line="266" w:lineRule="auto"/>
        <w:rPr>
          <w:sz w:val="20"/>
          <w:szCs w:val="20"/>
          <w:color w:val="auto"/>
        </w:rPr>
      </w:pPr>
      <w:r>
        <w:rPr>
          <w:rFonts w:ascii="Arial" w:cs="Arial" w:eastAsia="Arial" w:hAnsi="Arial"/>
          <w:sz w:val="16"/>
          <w:szCs w:val="16"/>
          <w:color w:val="auto"/>
        </w:rPr>
        <w:t>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05" w:lineRule="exact"/>
        <w:rPr>
          <w:sz w:val="20"/>
          <w:szCs w:val="20"/>
          <w:color w:val="auto"/>
        </w:rPr>
      </w:pPr>
    </w:p>
    <w:p>
      <w:pPr>
        <w:ind w:left="1140" w:right="839" w:firstLine="327"/>
        <w:spacing w:after="0" w:line="266" w:lineRule="auto"/>
        <w:rPr>
          <w:sz w:val="20"/>
          <w:szCs w:val="20"/>
          <w:color w:val="auto"/>
        </w:rPr>
      </w:pPr>
      <w:r>
        <w:rPr>
          <w:rFonts w:ascii="Arial" w:cs="Arial" w:eastAsia="Arial" w:hAnsi="Arial"/>
          <w:sz w:val="16"/>
          <w:szCs w:val="16"/>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68" w:lineRule="exact"/>
        <w:rPr>
          <w:sz w:val="20"/>
          <w:szCs w:val="20"/>
          <w:color w:val="auto"/>
        </w:rPr>
      </w:pPr>
    </w:p>
    <w:p>
      <w:pPr>
        <w:ind w:left="1620" w:right="819" w:hanging="159"/>
        <w:spacing w:after="0" w:line="263"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are either registered under certain provisions of the federal securities laws or sold to the ERISA Plan as part of a public offering under certain conditions;</w:t>
      </w:r>
    </w:p>
    <w:p>
      <w:pPr>
        <w:spacing w:after="0" w:line="71" w:lineRule="exact"/>
        <w:rPr>
          <w:rFonts w:ascii="Arial" w:cs="Arial" w:eastAsia="Arial" w:hAnsi="Arial"/>
          <w:sz w:val="16"/>
          <w:szCs w:val="16"/>
          <w:color w:val="auto"/>
        </w:rPr>
      </w:pPr>
    </w:p>
    <w:p>
      <w:pPr>
        <w:ind w:left="1620" w:right="1039" w:hanging="159"/>
        <w:spacing w:after="0" w:line="27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63" w:lineRule="exact"/>
        <w:rPr>
          <w:rFonts w:ascii="Arial" w:cs="Arial" w:eastAsia="Arial" w:hAnsi="Arial"/>
          <w:sz w:val="16"/>
          <w:szCs w:val="16"/>
          <w:color w:val="auto"/>
        </w:rPr>
      </w:pPr>
    </w:p>
    <w:p>
      <w:pPr>
        <w:ind w:left="1620" w:right="959" w:hanging="159"/>
        <w:spacing w:after="0" w:line="278"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w:t>
      </w:r>
    </w:p>
    <w:p>
      <w:pPr>
        <w:ind w:left="1620" w:right="959"/>
        <w:spacing w:after="0" w:line="264" w:lineRule="auto"/>
        <w:rPr>
          <w:rFonts w:ascii="Arial" w:cs="Arial" w:eastAsia="Arial" w:hAnsi="Arial"/>
          <w:sz w:val="15"/>
          <w:szCs w:val="15"/>
          <w:color w:val="auto"/>
        </w:rPr>
      </w:pPr>
      <w:r>
        <w:rPr>
          <w:rFonts w:ascii="Arial" w:cs="Arial" w:eastAsia="Arial" w:hAnsi="Arial"/>
          <w:sz w:val="16"/>
          <w:szCs w:val="16"/>
          <w:color w:val="auto"/>
        </w:rPr>
        <w:t>(1)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05" w:lineRule="exact"/>
        <w:rPr>
          <w:sz w:val="20"/>
          <w:szCs w:val="20"/>
          <w:color w:val="auto"/>
        </w:rPr>
      </w:pPr>
    </w:p>
    <w:p>
      <w:pPr>
        <w:ind w:left="1140" w:right="839" w:firstLine="327"/>
        <w:spacing w:after="0" w:line="261" w:lineRule="auto"/>
        <w:rPr>
          <w:sz w:val="20"/>
          <w:szCs w:val="20"/>
          <w:color w:val="auto"/>
        </w:rPr>
      </w:pPr>
      <w:r>
        <w:rPr>
          <w:rFonts w:ascii="Arial" w:cs="Arial" w:eastAsia="Arial" w:hAnsi="Arial"/>
          <w:sz w:val="16"/>
          <w:szCs w:val="16"/>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96" w:lineRule="exact"/>
        <w:rPr>
          <w:sz w:val="20"/>
          <w:szCs w:val="20"/>
          <w:color w:val="auto"/>
        </w:rPr>
      </w:pPr>
    </w:p>
    <w:p>
      <w:pPr>
        <w:ind w:left="1140" w:right="879" w:firstLine="327"/>
        <w:spacing w:after="0" w:line="262"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SELLING SHAREHOLDERS</w:t>
      </w:r>
    </w:p>
    <w:p>
      <w:pPr>
        <w:spacing w:after="0" w:line="151" w:lineRule="exact"/>
        <w:rPr>
          <w:sz w:val="20"/>
          <w:szCs w:val="20"/>
          <w:color w:val="auto"/>
        </w:rPr>
      </w:pPr>
    </w:p>
    <w:p>
      <w:pPr>
        <w:ind w:left="1140" w:right="859" w:firstLine="327"/>
        <w:spacing w:after="0" w:line="247"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1,066,579 Class A shares by the selling shareholders. These Class A shares have been or may be issued to the selling shareholders for an equivalent number of Class B shares and AAP Class A units upon the exercise by the selling shareholders of their right to exchange all or a portion of their AAP Class A units into Class A shares at an exchange ratio of one Class A share for each AAP Class A unit exchanged (the “Exchange Right”). Such Class B shares and AAP Class A units were acquired by the selling shareholders upon the conversion by the selling shareholders of Class B units of AAP (the “AAP Management Units”), which AAP Management Units were granted to the selling shareholders by AAP at various times between February 2011 and July 2015.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Registration Rights Agreement dated October 21, 2013 between us and the Holders defined therein.</w:t>
      </w:r>
    </w:p>
    <w:p>
      <w:pPr>
        <w:spacing w:after="0" w:line="110" w:lineRule="exact"/>
        <w:rPr>
          <w:sz w:val="20"/>
          <w:szCs w:val="20"/>
          <w:color w:val="auto"/>
        </w:rPr>
      </w:pPr>
    </w:p>
    <w:p>
      <w:pPr>
        <w:ind w:left="1140" w:right="979" w:firstLine="327"/>
        <w:spacing w:after="0" w:line="272" w:lineRule="auto"/>
        <w:rPr>
          <w:sz w:val="20"/>
          <w:szCs w:val="20"/>
          <w:color w:val="auto"/>
        </w:rPr>
      </w:pPr>
      <w:r>
        <w:rPr>
          <w:rFonts w:ascii="Arial" w:cs="Arial" w:eastAsia="Arial" w:hAnsi="Arial"/>
          <w:sz w:val="15"/>
          <w:szCs w:val="15"/>
          <w:color w:val="auto"/>
        </w:rPr>
        <w:t>No offer or sale of the Class A shares covered herein may occur unless the registration statement that includes this prospectus has been declared effective by the SEC and remains effective at the time such selling shareholder offers or sells such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that is incorporated by reference into this prospectus.</w:t>
      </w:r>
    </w:p>
    <w:p>
      <w:pPr>
        <w:spacing w:after="0" w:line="91" w:lineRule="exact"/>
        <w:rPr>
          <w:sz w:val="20"/>
          <w:szCs w:val="20"/>
          <w:color w:val="auto"/>
        </w:rPr>
      </w:pPr>
    </w:p>
    <w:p>
      <w:pPr>
        <w:ind w:left="1140" w:right="839" w:firstLine="327"/>
        <w:spacing w:after="0" w:line="246" w:lineRule="auto"/>
        <w:rPr>
          <w:sz w:val="20"/>
          <w:szCs w:val="20"/>
          <w:color w:val="auto"/>
        </w:rPr>
      </w:pPr>
      <w:r>
        <w:rPr>
          <w:rFonts w:ascii="Arial" w:cs="Arial" w:eastAsia="Arial" w:hAnsi="Arial"/>
          <w:sz w:val="16"/>
          <w:szCs w:val="16"/>
          <w:color w:val="auto"/>
        </w:rPr>
        <w:t>The following table sets forth information relating to the selling shareholders as of September 30, 2022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 Further, the selling shareholders, subject to certain limitations, may elect to have AAP redeem their AAP Class A units in exchange for common units in PAA generally on a one-for-one basis rather than exercising the Exchange Right.</w:t>
      </w:r>
    </w:p>
    <w:p>
      <w:pPr>
        <w:spacing w:after="0" w:line="116" w:lineRule="exact"/>
        <w:rPr>
          <w:sz w:val="20"/>
          <w:szCs w:val="20"/>
          <w:color w:val="auto"/>
        </w:rPr>
      </w:pPr>
    </w:p>
    <w:p>
      <w:pPr>
        <w:ind w:left="1140" w:right="879" w:firstLine="327"/>
        <w:spacing w:after="0" w:line="263" w:lineRule="auto"/>
        <w:rPr>
          <w:sz w:val="20"/>
          <w:szCs w:val="20"/>
          <w:color w:val="auto"/>
        </w:rPr>
      </w:pPr>
      <w:r>
        <w:rPr>
          <w:rFonts w:ascii="Arial" w:cs="Arial" w:eastAsia="Arial" w:hAnsi="Arial"/>
          <w:sz w:val="16"/>
          <w:szCs w:val="16"/>
          <w:color w:val="auto"/>
        </w:rPr>
        <w:t>As of September 30, 2022, there were 194,286,066 Class A shares and 46,834,030 Class B shares issued and outstanding. The beneficial ownership information presented below assumes that all outstanding Class B Shares (and related AAP Class A units) have been exchanged for Class A shares.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3"/>
              </w:rPr>
              <w:t>Percentage of</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3"/>
              </w:rPr>
              <w:t>Percentage of</w:t>
            </w:r>
          </w:p>
        </w:tc>
        <w:tc>
          <w:tcPr>
            <w:tcW w:w="20" w:type="dxa"/>
            <w:vAlign w:val="bottom"/>
          </w:tcPr>
          <w:p>
            <w:pPr>
              <w:spacing w:after="0"/>
              <w:rPr>
                <w:sz w:val="12"/>
                <w:szCs w:val="12"/>
                <w:color w:val="auto"/>
              </w:rPr>
            </w:pPr>
          </w:p>
        </w:tc>
      </w:tr>
      <w:tr>
        <w:trPr>
          <w:trHeight w:val="147"/>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84"/>
              </w:rPr>
              <w:t>Class A Shares</w:t>
            </w:r>
          </w:p>
        </w:tc>
        <w:tc>
          <w:tcPr>
            <w:tcW w:w="2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2"/>
              </w:rPr>
              <w:t>Class A Shares</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3"/>
              </w:rPr>
              <w:t>Class A</w:t>
            </w: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4"/>
              </w:rPr>
              <w:t>Class A Shares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2"/>
              </w:rPr>
              <w:t>Class A Shares</w:t>
            </w:r>
          </w:p>
        </w:tc>
        <w:tc>
          <w:tcPr>
            <w:tcW w:w="20" w:type="dxa"/>
            <w:vAlign w:val="bottom"/>
          </w:tcPr>
          <w:p>
            <w:pPr>
              <w:spacing w:after="0"/>
              <w:rPr>
                <w:sz w:val="12"/>
                <w:szCs w:val="12"/>
                <w:color w:val="auto"/>
              </w:rPr>
            </w:pPr>
          </w:p>
        </w:tc>
      </w:tr>
      <w:tr>
        <w:trPr>
          <w:trHeight w:val="147"/>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85"/>
              </w:rPr>
              <w:t>Beneficially</w:t>
            </w:r>
          </w:p>
        </w:tc>
        <w:tc>
          <w:tcPr>
            <w:tcW w:w="11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7"/>
              </w:rPr>
              <w:t>Beneficially Owned</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2"/>
              </w:rPr>
              <w:t>Shares</w:t>
            </w: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Beneficially</w:t>
            </w:r>
          </w:p>
        </w:tc>
        <w:tc>
          <w:tcPr>
            <w:tcW w:w="18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5"/>
              </w:rPr>
              <w:t>to be Beneficially</w:t>
            </w:r>
          </w:p>
        </w:tc>
        <w:tc>
          <w:tcPr>
            <w:tcW w:w="20" w:type="dxa"/>
            <w:vAlign w:val="bottom"/>
          </w:tcPr>
          <w:p>
            <w:pPr>
              <w:spacing w:after="0"/>
              <w:rPr>
                <w:sz w:val="12"/>
                <w:szCs w:val="12"/>
                <w:color w:val="auto"/>
              </w:rPr>
            </w:pPr>
          </w:p>
        </w:tc>
      </w:tr>
      <w:tr>
        <w:trPr>
          <w:trHeight w:val="147"/>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0"/>
              </w:rPr>
              <w:t>Owned Prior</w:t>
            </w:r>
          </w:p>
        </w:tc>
        <w:tc>
          <w:tcPr>
            <w:tcW w:w="2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Prior to</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6"/>
              </w:rPr>
              <w:t>Offered</w:t>
            </w: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Owned After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Owned After</w:t>
            </w:r>
          </w:p>
        </w:tc>
        <w:tc>
          <w:tcPr>
            <w:tcW w:w="20" w:type="dxa"/>
            <w:vAlign w:val="bottom"/>
          </w:tcPr>
          <w:p>
            <w:pPr>
              <w:spacing w:after="0"/>
              <w:rPr>
                <w:sz w:val="12"/>
                <w:szCs w:val="12"/>
                <w:color w:val="auto"/>
              </w:rPr>
            </w:pPr>
          </w:p>
        </w:tc>
      </w:tr>
      <w:tr>
        <w:trPr>
          <w:trHeight w:val="192"/>
        </w:trPr>
        <w:tc>
          <w:tcPr>
            <w:tcW w:w="2200" w:type="dxa"/>
            <w:vAlign w:val="bottom"/>
          </w:tcPr>
          <w:p>
            <w:pPr>
              <w:spacing w:after="0"/>
              <w:rPr>
                <w:sz w:val="20"/>
                <w:szCs w:val="20"/>
                <w:color w:val="auto"/>
              </w:rPr>
            </w:pPr>
            <w:r>
              <w:rPr>
                <w:rFonts w:ascii="Arial" w:cs="Arial" w:eastAsia="Arial" w:hAnsi="Arial"/>
                <w:sz w:val="13"/>
                <w:szCs w:val="13"/>
                <w:b w:val="1"/>
                <w:bCs w:val="1"/>
                <w:color w:val="auto"/>
              </w:rPr>
              <w:t>Selling Shareholders</w:t>
            </w:r>
          </w:p>
        </w:tc>
        <w:tc>
          <w:tcPr>
            <w:tcW w:w="1160" w:type="dxa"/>
            <w:vAlign w:val="bottom"/>
            <w:gridSpan w:val="3"/>
          </w:tcPr>
          <w:p>
            <w:pPr>
              <w:ind w:left="40"/>
              <w:spacing w:after="0" w:line="192"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 the Offering </w:t>
            </w:r>
            <w:r>
              <w:rPr>
                <w:rFonts w:ascii="Arial" w:cs="Arial" w:eastAsia="Arial" w:hAnsi="Arial"/>
                <w:sz w:val="22"/>
                <w:szCs w:val="22"/>
                <w:b w:val="1"/>
                <w:bCs w:val="1"/>
                <w:color w:val="auto"/>
                <w:vertAlign w:val="subscript"/>
              </w:rPr>
              <w:t>​ ​</w:t>
            </w:r>
          </w:p>
        </w:tc>
        <w:tc>
          <w:tcPr>
            <w:tcW w:w="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the Offering</w:t>
            </w:r>
          </w:p>
        </w:tc>
        <w:tc>
          <w:tcPr>
            <w:tcW w:w="900" w:type="dxa"/>
            <w:vAlign w:val="bottom"/>
            <w:gridSpan w:val="3"/>
          </w:tcPr>
          <w:p>
            <w:pPr>
              <w:ind w:left="40"/>
              <w:spacing w:after="0" w:line="192"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Hereby  </w:t>
            </w:r>
            <w:r>
              <w:rPr>
                <w:rFonts w:ascii="Arial" w:cs="Arial" w:eastAsia="Arial" w:hAnsi="Arial"/>
                <w:sz w:val="22"/>
                <w:szCs w:val="22"/>
                <w:b w:val="1"/>
                <w:bCs w:val="1"/>
                <w:color w:val="auto"/>
                <w:vertAlign w:val="subscript"/>
              </w:rPr>
              <w:t>​ ​</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-6985</wp:posOffset>
            </wp:positionV>
            <wp:extent cx="4737100" cy="155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737100" cy="1555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Executive Officers</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Richard McGee</w:t>
      </w:r>
      <w:r>
        <w:rPr>
          <w:rFonts w:ascii="Arial" w:cs="Arial" w:eastAsia="Arial" w:hAnsi="Arial"/>
          <w:sz w:val="21"/>
          <w:szCs w:val="21"/>
          <w:color w:val="auto"/>
          <w:vertAlign w:val="superscript"/>
        </w:rPr>
        <w:t>(1)</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Chris Herbold</w:t>
      </w:r>
      <w:r>
        <w:rPr>
          <w:rFonts w:ascii="Arial" w:cs="Arial" w:eastAsia="Arial" w:hAnsi="Arial"/>
          <w:sz w:val="21"/>
          <w:szCs w:val="21"/>
          <w:color w:val="auto"/>
          <w:vertAlign w:val="superscript"/>
        </w:rPr>
        <w:t>(2)</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Other Current and Former</w:t>
      </w:r>
    </w:p>
    <w:p>
      <w:pPr>
        <w:spacing w:after="0" w:line="10" w:lineRule="exact"/>
        <w:rPr>
          <w:sz w:val="20"/>
          <w:szCs w:val="20"/>
          <w:color w:val="auto"/>
        </w:rPr>
      </w:pPr>
    </w:p>
    <w:p>
      <w:pPr>
        <w:ind w:left="1300"/>
        <w:spacing w:after="0" w:line="329" w:lineRule="auto"/>
        <w:rPr>
          <w:sz w:val="20"/>
          <w:szCs w:val="20"/>
          <w:color w:val="auto"/>
        </w:rPr>
      </w:pPr>
      <w:r>
        <w:rPr>
          <w:rFonts w:ascii="Arial" w:cs="Arial" w:eastAsia="Arial" w:hAnsi="Arial"/>
          <w:sz w:val="14"/>
          <w:szCs w:val="14"/>
          <w:b w:val="1"/>
          <w:bCs w:val="1"/>
          <w:color w:val="auto"/>
        </w:rPr>
        <w:t>Officers, Employees and their Associates as a Group</w:t>
      </w:r>
      <w:r>
        <w:rPr>
          <w:rFonts w:ascii="Arial" w:cs="Arial" w:eastAsia="Arial" w:hAnsi="Arial"/>
          <w:sz w:val="18"/>
          <w:szCs w:val="18"/>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85725</wp:posOffset>
            </wp:positionV>
            <wp:extent cx="11220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spacing w:after="0" w:line="237" w:lineRule="exact"/>
        <w:rPr>
          <w:sz w:val="20"/>
          <w:szCs w:val="20"/>
          <w:color w:val="auto"/>
        </w:rPr>
      </w:pPr>
    </w:p>
    <w:p>
      <w:pPr>
        <w:ind w:left="1460" w:hanging="326"/>
        <w:spacing w:after="0"/>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0" w:type="dxa"/>
            <w:vAlign w:val="bottom"/>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78"/>
              <w:spacing w:after="0"/>
              <w:rPr>
                <w:sz w:val="20"/>
                <w:szCs w:val="20"/>
                <w:color w:val="auto"/>
              </w:rPr>
            </w:pPr>
            <w:r>
              <w:rPr>
                <w:rFonts w:ascii="Arial" w:cs="Arial" w:eastAsia="Arial" w:hAnsi="Arial"/>
                <w:sz w:val="16"/>
                <w:szCs w:val="16"/>
                <w:b w:val="1"/>
                <w:bCs w:val="1"/>
                <w:color w:val="auto"/>
              </w:rPr>
              <w:t>​ ​​ ​</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 ​</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540" w:type="dxa"/>
            <w:vAlign w:val="bottom"/>
          </w:tcPr>
          <w:p>
            <w:pPr>
              <w:jc w:val="right"/>
              <w:ind w:right="38"/>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620" w:type="dxa"/>
            <w:vAlign w:val="bottom"/>
          </w:tcPr>
          <w:p>
            <w:pPr>
              <w:jc w:val="right"/>
              <w:ind w:right="138"/>
              <w:spacing w:after="0"/>
              <w:rPr>
                <w:sz w:val="20"/>
                <w:szCs w:val="20"/>
                <w:color w:val="auto"/>
              </w:rPr>
            </w:pPr>
            <w:r>
              <w:rPr>
                <w:rFonts w:ascii="Arial" w:cs="Arial" w:eastAsia="Arial" w:hAnsi="Arial"/>
                <w:sz w:val="16"/>
                <w:szCs w:val="16"/>
                <w:b w:val="1"/>
                <w:bCs w:val="1"/>
                <w:color w:val="auto"/>
              </w:rPr>
              <w:t>​  ​​ ​</w:t>
            </w:r>
          </w:p>
        </w:tc>
        <w:tc>
          <w:tcPr>
            <w:tcW w:w="54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240" w:type="dxa"/>
            <w:vAlign w:val="bottom"/>
          </w:tcPr>
          <w:p>
            <w:pPr>
              <w:ind w:left="200"/>
              <w:spacing w:after="0"/>
              <w:rPr>
                <w:sz w:val="20"/>
                <w:szCs w:val="20"/>
                <w:color w:val="auto"/>
              </w:rPr>
            </w:pPr>
            <w:r>
              <w:rPr>
                <w:rFonts w:ascii="Arial" w:cs="Arial" w:eastAsia="Arial" w:hAnsi="Arial"/>
                <w:sz w:val="16"/>
                <w:szCs w:val="16"/>
                <w:b w:val="1"/>
                <w:bCs w:val="1"/>
                <w:color w:val="auto"/>
              </w:rPr>
              <w:t>​</w:t>
            </w:r>
          </w:p>
        </w:tc>
      </w:tr>
      <w:tr>
        <w:trPr>
          <w:trHeight w:val="258"/>
        </w:trPr>
        <w:tc>
          <w:tcPr>
            <w:tcW w:w="200" w:type="dxa"/>
            <w:vAlign w:val="bottom"/>
          </w:tcPr>
          <w:p>
            <w:pPr>
              <w:spacing w:after="0"/>
              <w:rPr>
                <w:sz w:val="20"/>
                <w:szCs w:val="20"/>
                <w:color w:val="auto"/>
              </w:rPr>
            </w:pPr>
            <w:r>
              <w:rPr>
                <w:rFonts w:ascii="Arial" w:cs="Arial" w:eastAsia="Arial" w:hAnsi="Arial"/>
                <w:sz w:val="16"/>
                <w:szCs w:val="16"/>
                <w:color w:val="auto"/>
              </w:rPr>
              <w:t>​ ​</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429,346</w:t>
            </w:r>
          </w:p>
        </w:tc>
        <w:tc>
          <w:tcPr>
            <w:tcW w:w="580" w:type="dxa"/>
            <w:vAlign w:val="bottom"/>
          </w:tcPr>
          <w:p>
            <w:pPr>
              <w:jc w:val="right"/>
              <w:ind w:right="178"/>
              <w:spacing w:after="0"/>
              <w:rPr>
                <w:sz w:val="20"/>
                <w:szCs w:val="20"/>
                <w:color w:val="auto"/>
              </w:rPr>
            </w:pPr>
            <w:r>
              <w:rPr>
                <w:rFonts w:ascii="Arial" w:cs="Arial" w:eastAsia="Arial" w:hAnsi="Arial"/>
                <w:sz w:val="16"/>
                <w:szCs w:val="16"/>
                <w:color w:val="auto"/>
              </w:rPr>
              <w:t>​​ ​</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240" w:type="dxa"/>
            <w:vAlign w:val="bottom"/>
            <w:gridSpan w:val="2"/>
          </w:tcPr>
          <w:p>
            <w:pPr>
              <w:jc w:val="right"/>
              <w:ind w:right="38"/>
              <w:spacing w:after="0"/>
              <w:rPr>
                <w:sz w:val="20"/>
                <w:szCs w:val="20"/>
                <w:color w:val="auto"/>
              </w:rPr>
            </w:pPr>
            <w:r>
              <w:rPr>
                <w:rFonts w:ascii="Arial" w:cs="Arial" w:eastAsia="Arial" w:hAnsi="Arial"/>
                <w:sz w:val="16"/>
                <w:szCs w:val="16"/>
                <w:color w:val="auto"/>
              </w:rPr>
              <w:t>​​ ​​414,607​​ ​</w:t>
            </w:r>
          </w:p>
        </w:tc>
        <w:tc>
          <w:tcPr>
            <w:tcW w:w="640" w:type="dxa"/>
            <w:vAlign w:val="bottom"/>
            <w:gridSpan w:val="2"/>
          </w:tcPr>
          <w:p>
            <w:pPr>
              <w:ind w:left="100"/>
              <w:spacing w:after="0"/>
              <w:rPr>
                <w:sz w:val="20"/>
                <w:szCs w:val="20"/>
                <w:color w:val="auto"/>
              </w:rPr>
            </w:pPr>
            <w:r>
              <w:rPr>
                <w:rFonts w:ascii="Arial" w:cs="Arial" w:eastAsia="Arial" w:hAnsi="Arial"/>
                <w:sz w:val="16"/>
                <w:szCs w:val="16"/>
                <w:color w:val="auto"/>
                <w:w w:val="97"/>
              </w:rPr>
              <w:t>​ 14,739</w:t>
            </w:r>
          </w:p>
        </w:tc>
        <w:tc>
          <w:tcPr>
            <w:tcW w:w="620" w:type="dxa"/>
            <w:vAlign w:val="bottom"/>
          </w:tcPr>
          <w:p>
            <w:pPr>
              <w:jc w:val="right"/>
              <w:ind w:right="138"/>
              <w:spacing w:after="0"/>
              <w:rPr>
                <w:sz w:val="20"/>
                <w:szCs w:val="20"/>
                <w:color w:val="auto"/>
              </w:rPr>
            </w:pPr>
            <w:r>
              <w:rPr>
                <w:rFonts w:ascii="Arial" w:cs="Arial" w:eastAsia="Arial" w:hAnsi="Arial"/>
                <w:sz w:val="16"/>
                <w:szCs w:val="16"/>
                <w:color w:val="auto"/>
              </w:rPr>
              <w:t>​​ ​</w:t>
            </w:r>
          </w:p>
        </w:tc>
        <w:tc>
          <w:tcPr>
            <w:tcW w:w="540" w:type="dxa"/>
            <w:vAlign w:val="bottom"/>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240" w:type="dxa"/>
            <w:vAlign w:val="bottom"/>
          </w:tcPr>
          <w:p>
            <w:pPr>
              <w:ind w:left="200"/>
              <w:spacing w:after="0"/>
              <w:rPr>
                <w:sz w:val="20"/>
                <w:szCs w:val="20"/>
                <w:color w:val="auto"/>
              </w:rPr>
            </w:pPr>
            <w:r>
              <w:rPr>
                <w:rFonts w:ascii="Arial" w:cs="Arial" w:eastAsia="Arial" w:hAnsi="Arial"/>
                <w:sz w:val="16"/>
                <w:szCs w:val="16"/>
                <w:b w:val="1"/>
                <w:bCs w:val="1"/>
                <w:color w:val="auto"/>
              </w:rPr>
              <w:t>​</w:t>
            </w:r>
          </w:p>
        </w:tc>
      </w:tr>
      <w:tr>
        <w:trPr>
          <w:trHeight w:val="258"/>
        </w:trPr>
        <w:tc>
          <w:tcPr>
            <w:tcW w:w="200" w:type="dxa"/>
            <w:vAlign w:val="bottom"/>
          </w:tcPr>
          <w:p>
            <w:pPr>
              <w:spacing w:after="0"/>
              <w:rPr>
                <w:sz w:val="20"/>
                <w:szCs w:val="20"/>
                <w:color w:val="auto"/>
              </w:rPr>
            </w:pPr>
            <w:r>
              <w:rPr>
                <w:rFonts w:ascii="Arial" w:cs="Arial" w:eastAsia="Arial" w:hAnsi="Arial"/>
                <w:sz w:val="16"/>
                <w:szCs w:val="16"/>
                <w:color w:val="auto"/>
              </w:rPr>
              <w:t>​ ​</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146,404</w:t>
            </w:r>
          </w:p>
        </w:tc>
        <w:tc>
          <w:tcPr>
            <w:tcW w:w="580" w:type="dxa"/>
            <w:vAlign w:val="bottom"/>
          </w:tcPr>
          <w:p>
            <w:pPr>
              <w:jc w:val="right"/>
              <w:ind w:right="178"/>
              <w:spacing w:after="0"/>
              <w:rPr>
                <w:sz w:val="20"/>
                <w:szCs w:val="20"/>
                <w:color w:val="auto"/>
              </w:rPr>
            </w:pPr>
            <w:r>
              <w:rPr>
                <w:rFonts w:ascii="Arial" w:cs="Arial" w:eastAsia="Arial" w:hAnsi="Arial"/>
                <w:sz w:val="16"/>
                <w:szCs w:val="16"/>
                <w:color w:val="auto"/>
              </w:rPr>
              <w:t>​​ ​</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240" w:type="dxa"/>
            <w:vAlign w:val="bottom"/>
            <w:gridSpan w:val="2"/>
          </w:tcPr>
          <w:p>
            <w:pPr>
              <w:jc w:val="right"/>
              <w:ind w:right="38"/>
              <w:spacing w:after="0"/>
              <w:rPr>
                <w:sz w:val="20"/>
                <w:szCs w:val="20"/>
                <w:color w:val="auto"/>
              </w:rPr>
            </w:pPr>
            <w:r>
              <w:rPr>
                <w:rFonts w:ascii="Arial" w:cs="Arial" w:eastAsia="Arial" w:hAnsi="Arial"/>
                <w:sz w:val="16"/>
                <w:szCs w:val="16"/>
                <w:color w:val="auto"/>
              </w:rPr>
              <w:t>​​ ​​138,204​​ ​</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8,200</w:t>
            </w:r>
          </w:p>
        </w:tc>
        <w:tc>
          <w:tcPr>
            <w:tcW w:w="620" w:type="dxa"/>
            <w:vAlign w:val="bottom"/>
          </w:tcPr>
          <w:p>
            <w:pPr>
              <w:jc w:val="right"/>
              <w:ind w:right="138"/>
              <w:spacing w:after="0"/>
              <w:rPr>
                <w:sz w:val="20"/>
                <w:szCs w:val="20"/>
                <w:color w:val="auto"/>
              </w:rPr>
            </w:pPr>
            <w:r>
              <w:rPr>
                <w:rFonts w:ascii="Arial" w:cs="Arial" w:eastAsia="Arial" w:hAnsi="Arial"/>
                <w:sz w:val="16"/>
                <w:szCs w:val="16"/>
                <w:color w:val="auto"/>
              </w:rPr>
              <w:t>​​ ​</w:t>
            </w:r>
          </w:p>
        </w:tc>
        <w:tc>
          <w:tcPr>
            <w:tcW w:w="540" w:type="dxa"/>
            <w:vAlign w:val="bottom"/>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240" w:type="dxa"/>
            <w:vAlign w:val="bottom"/>
          </w:tcPr>
          <w:p>
            <w:pPr>
              <w:ind w:left="200"/>
              <w:spacing w:after="0"/>
              <w:rPr>
                <w:sz w:val="20"/>
                <w:szCs w:val="20"/>
                <w:color w:val="auto"/>
              </w:rPr>
            </w:pPr>
            <w:r>
              <w:rPr>
                <w:rFonts w:ascii="Arial" w:cs="Arial" w:eastAsia="Arial" w:hAnsi="Arial"/>
                <w:sz w:val="16"/>
                <w:szCs w:val="16"/>
                <w:b w:val="1"/>
                <w:bCs w:val="1"/>
                <w:color w:val="auto"/>
              </w:rPr>
              <w:t>​</w:t>
            </w:r>
          </w:p>
        </w:tc>
      </w:tr>
      <w:tr>
        <w:trPr>
          <w:trHeight w:val="626"/>
        </w:trPr>
        <w:tc>
          <w:tcPr>
            <w:tcW w:w="200" w:type="dxa"/>
            <w:vAlign w:val="bottom"/>
          </w:tcPr>
          <w:p>
            <w:pPr>
              <w:spacing w:after="0"/>
              <w:rPr>
                <w:sz w:val="20"/>
                <w:szCs w:val="20"/>
                <w:color w:val="auto"/>
              </w:rPr>
            </w:pPr>
            <w:r>
              <w:rPr>
                <w:rFonts w:ascii="Arial" w:cs="Arial" w:eastAsia="Arial" w:hAnsi="Arial"/>
                <w:sz w:val="16"/>
                <w:szCs w:val="16"/>
                <w:color w:val="auto"/>
              </w:rPr>
              <w:t>​ ​</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707,241</w:t>
            </w:r>
          </w:p>
        </w:tc>
        <w:tc>
          <w:tcPr>
            <w:tcW w:w="580" w:type="dxa"/>
            <w:vAlign w:val="bottom"/>
          </w:tcPr>
          <w:p>
            <w:pPr>
              <w:jc w:val="right"/>
              <w:ind w:right="178"/>
              <w:spacing w:after="0"/>
              <w:rPr>
                <w:sz w:val="20"/>
                <w:szCs w:val="20"/>
                <w:color w:val="auto"/>
              </w:rPr>
            </w:pPr>
            <w:r>
              <w:rPr>
                <w:rFonts w:ascii="Arial" w:cs="Arial" w:eastAsia="Arial" w:hAnsi="Arial"/>
                <w:sz w:val="16"/>
                <w:szCs w:val="16"/>
                <w:color w:val="auto"/>
              </w:rPr>
              <w:t>​​ ​</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240" w:type="dxa"/>
            <w:vAlign w:val="bottom"/>
            <w:gridSpan w:val="2"/>
          </w:tcPr>
          <w:p>
            <w:pPr>
              <w:jc w:val="right"/>
              <w:ind w:right="38"/>
              <w:spacing w:after="0"/>
              <w:rPr>
                <w:sz w:val="20"/>
                <w:szCs w:val="20"/>
                <w:color w:val="auto"/>
              </w:rPr>
            </w:pPr>
            <w:r>
              <w:rPr>
                <w:rFonts w:ascii="Arial" w:cs="Arial" w:eastAsia="Arial" w:hAnsi="Arial"/>
                <w:sz w:val="16"/>
                <w:szCs w:val="16"/>
                <w:color w:val="auto"/>
              </w:rPr>
              <w:t>​​ ​​513,768​​ ​</w:t>
            </w:r>
          </w:p>
        </w:tc>
        <w:tc>
          <w:tcPr>
            <w:tcW w:w="640" w:type="dxa"/>
            <w:vAlign w:val="bottom"/>
            <w:gridSpan w:val="2"/>
          </w:tcPr>
          <w:p>
            <w:pPr>
              <w:ind w:left="100"/>
              <w:spacing w:after="0"/>
              <w:rPr>
                <w:sz w:val="20"/>
                <w:szCs w:val="20"/>
                <w:color w:val="auto"/>
              </w:rPr>
            </w:pPr>
            <w:r>
              <w:rPr>
                <w:rFonts w:ascii="Arial" w:cs="Arial" w:eastAsia="Arial" w:hAnsi="Arial"/>
                <w:sz w:val="16"/>
                <w:szCs w:val="16"/>
                <w:color w:val="auto"/>
                <w:w w:val="89"/>
              </w:rPr>
              <w:t>​193,473</w:t>
            </w:r>
          </w:p>
        </w:tc>
        <w:tc>
          <w:tcPr>
            <w:tcW w:w="620" w:type="dxa"/>
            <w:vAlign w:val="bottom"/>
          </w:tcPr>
          <w:p>
            <w:pPr>
              <w:jc w:val="right"/>
              <w:ind w:right="138"/>
              <w:spacing w:after="0"/>
              <w:rPr>
                <w:sz w:val="20"/>
                <w:szCs w:val="20"/>
                <w:color w:val="auto"/>
              </w:rPr>
            </w:pPr>
            <w:r>
              <w:rPr>
                <w:rFonts w:ascii="Arial" w:cs="Arial" w:eastAsia="Arial" w:hAnsi="Arial"/>
                <w:sz w:val="16"/>
                <w:szCs w:val="16"/>
                <w:color w:val="auto"/>
              </w:rPr>
              <w:t>​​ ​</w:t>
            </w:r>
          </w:p>
        </w:tc>
        <w:tc>
          <w:tcPr>
            <w:tcW w:w="540" w:type="dxa"/>
            <w:vAlign w:val="bottom"/>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240" w:type="dxa"/>
            <w:vAlign w:val="bottom"/>
          </w:tcPr>
          <w:p>
            <w:pPr>
              <w:ind w:left="20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-575310</wp:posOffset>
            </wp:positionV>
            <wp:extent cx="4737100" cy="163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73710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236855</wp:posOffset>
            </wp:positionV>
            <wp:extent cx="620395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2">
            <w:col w:w="3280" w:space="100"/>
            <w:col w:w="5999"/>
          </w:cols>
          <w:pgMar w:left="10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0" w:right="1079" w:hanging="326"/>
        <w:spacing w:after="0" w:line="287"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selling shareholder is the Executive Vice President, General Counsel and Secretary of GP LLC and PAGP GP.</w:t>
      </w:r>
    </w:p>
    <w:p>
      <w:pPr>
        <w:spacing w:after="0" w:line="26" w:lineRule="exact"/>
        <w:rPr>
          <w:rFonts w:ascii="Arial" w:cs="Arial" w:eastAsia="Arial" w:hAnsi="Arial"/>
          <w:sz w:val="16"/>
          <w:szCs w:val="16"/>
          <w:color w:val="auto"/>
        </w:rPr>
      </w:pPr>
    </w:p>
    <w:p>
      <w:pPr>
        <w:ind w:left="1460" w:right="799" w:hanging="326"/>
        <w:spacing w:after="0" w:line="287"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selling shareholder is the Senior Vice President, Finance and Chief Accounting Officer of GP LLC and PAGP GP.</w:t>
      </w:r>
    </w:p>
    <w:p>
      <w:pPr>
        <w:spacing w:after="0" w:line="13" w:lineRule="exact"/>
        <w:rPr>
          <w:rFonts w:ascii="Arial" w:cs="Arial" w:eastAsia="Arial" w:hAnsi="Arial"/>
          <w:sz w:val="16"/>
          <w:szCs w:val="16"/>
          <w:color w:val="auto"/>
        </w:rPr>
      </w:pPr>
    </w:p>
    <w:p>
      <w:pPr>
        <w:ind w:left="1460" w:right="799" w:hanging="326"/>
        <w:spacing w:after="0" w:line="271"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current and former officers, employees and their associates as a group includes 10 individuals not otherwise listed above that collectively own approximately 0.30% of the Class A shares. All of the selling shareholders in this group are current or former officers or employees of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PLAN OF DISTRIBUTION</w:t>
      </w:r>
    </w:p>
    <w:p>
      <w:pPr>
        <w:spacing w:after="0" w:line="151" w:lineRule="exact"/>
        <w:rPr>
          <w:sz w:val="20"/>
          <w:szCs w:val="20"/>
          <w:color w:val="auto"/>
        </w:rPr>
      </w:pPr>
    </w:p>
    <w:p>
      <w:pPr>
        <w:jc w:val="both"/>
        <w:ind w:left="1140" w:right="919" w:firstLine="327"/>
        <w:spacing w:after="0" w:line="266" w:lineRule="auto"/>
        <w:rPr>
          <w:sz w:val="20"/>
          <w:szCs w:val="20"/>
          <w:color w:val="auto"/>
        </w:rPr>
      </w:pPr>
      <w:r>
        <w:rPr>
          <w:rFonts w:ascii="Arial" w:cs="Arial" w:eastAsia="Arial" w:hAnsi="Arial"/>
          <w:sz w:val="16"/>
          <w:szCs w:val="16"/>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05" w:lineRule="exact"/>
        <w:rPr>
          <w:sz w:val="20"/>
          <w:szCs w:val="20"/>
          <w:color w:val="auto"/>
        </w:rPr>
      </w:pPr>
    </w:p>
    <w:p>
      <w:pPr>
        <w:ind w:left="1140" w:right="879" w:firstLine="327"/>
        <w:spacing w:after="0" w:line="271" w:lineRule="auto"/>
        <w:rPr>
          <w:sz w:val="20"/>
          <w:szCs w:val="20"/>
          <w:color w:val="auto"/>
        </w:rPr>
      </w:pPr>
      <w:r>
        <w:rPr>
          <w:rFonts w:ascii="Arial" w:cs="Arial" w:eastAsia="Arial" w:hAnsi="Arial"/>
          <w:sz w:val="16"/>
          <w:szCs w:val="16"/>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64" w:lineRule="exact"/>
        <w:rPr>
          <w:sz w:val="20"/>
          <w:szCs w:val="20"/>
          <w:color w:val="auto"/>
        </w:rPr>
      </w:pPr>
    </w:p>
    <w:p>
      <w:pPr>
        <w:ind w:left="1620" w:hanging="159"/>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through one or more underwriters for public offering and sale;</w:t>
      </w:r>
    </w:p>
    <w:p>
      <w:pPr>
        <w:spacing w:after="0" w:line="110" w:lineRule="exact"/>
        <w:rPr>
          <w:rFonts w:ascii="Arial" w:cs="Arial" w:eastAsia="Arial" w:hAnsi="Arial"/>
          <w:sz w:val="16"/>
          <w:szCs w:val="16"/>
          <w:color w:val="auto"/>
        </w:rPr>
      </w:pPr>
    </w:p>
    <w:p>
      <w:pPr>
        <w:ind w:left="1620" w:right="1399" w:hanging="159"/>
        <w:spacing w:after="0" w:line="287"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through one or more broker-dealers who may act as agent or may purchase Class A shares as principal and thereafter resell the Class A shares from time to time;</w:t>
      </w:r>
    </w:p>
    <w:p>
      <w:pPr>
        <w:spacing w:after="0" w:line="50" w:lineRule="exact"/>
        <w:rPr>
          <w:rFonts w:ascii="Arial" w:cs="Arial" w:eastAsia="Arial" w:hAnsi="Arial"/>
          <w:sz w:val="16"/>
          <w:szCs w:val="16"/>
          <w:color w:val="auto"/>
        </w:rPr>
      </w:pPr>
    </w:p>
    <w:p>
      <w:pPr>
        <w:ind w:left="1620" w:right="1359" w:hanging="159"/>
        <w:spacing w:after="0" w:line="287"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or through one or more transactions (which may involve crosses and block transactions) or distributions;</w:t>
      </w:r>
    </w:p>
    <w:p>
      <w:pPr>
        <w:spacing w:after="0" w:line="50" w:lineRule="exact"/>
        <w:rPr>
          <w:rFonts w:ascii="Arial" w:cs="Arial" w:eastAsia="Arial" w:hAnsi="Arial"/>
          <w:sz w:val="16"/>
          <w:szCs w:val="16"/>
          <w:color w:val="auto"/>
        </w:rPr>
      </w:pPr>
    </w:p>
    <w:p>
      <w:pPr>
        <w:ind w:left="1620" w:hanging="159"/>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NASDAQ;</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over-the-counter market;</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private transactions; or</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investors directly.</w:t>
      </w:r>
    </w:p>
    <w:p>
      <w:pPr>
        <w:spacing w:after="0" w:line="147" w:lineRule="exact"/>
        <w:rPr>
          <w:sz w:val="20"/>
          <w:szCs w:val="20"/>
          <w:color w:val="auto"/>
        </w:rPr>
      </w:pPr>
    </w:p>
    <w:p>
      <w:pPr>
        <w:ind w:left="1140" w:right="799" w:firstLine="327"/>
        <w:spacing w:after="0" w:line="271" w:lineRule="auto"/>
        <w:rPr>
          <w:sz w:val="20"/>
          <w:szCs w:val="20"/>
          <w:color w:val="auto"/>
        </w:rPr>
      </w:pPr>
      <w:r>
        <w:rPr>
          <w:rFonts w:ascii="Arial" w:cs="Arial" w:eastAsia="Arial" w:hAnsi="Arial"/>
          <w:sz w:val="16"/>
          <w:szCs w:val="16"/>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64" w:lineRule="exact"/>
        <w:rPr>
          <w:sz w:val="20"/>
          <w:szCs w:val="20"/>
          <w:color w:val="auto"/>
        </w:rPr>
      </w:pPr>
    </w:p>
    <w:p>
      <w:pPr>
        <w:ind w:left="1620" w:hanging="159"/>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market prices prevailing at the time of any sale under this registration statement;</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prices related to the then-current market prices;</w:t>
      </w:r>
    </w:p>
    <w:p>
      <w:pPr>
        <w:spacing w:after="0" w:line="122" w:lineRule="exact"/>
        <w:rPr>
          <w:rFonts w:ascii="Arial" w:cs="Arial" w:eastAsia="Arial" w:hAnsi="Arial"/>
          <w:sz w:val="16"/>
          <w:szCs w:val="16"/>
          <w:color w:val="auto"/>
        </w:rPr>
      </w:pPr>
    </w:p>
    <w:p>
      <w:pPr>
        <w:ind w:left="1620" w:hanging="159"/>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fixed price; or</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negotiated prices.</w:t>
      </w:r>
    </w:p>
    <w:p>
      <w:pPr>
        <w:spacing w:after="0" w:line="135" w:lineRule="exact"/>
        <w:rPr>
          <w:sz w:val="20"/>
          <w:szCs w:val="20"/>
          <w:color w:val="auto"/>
        </w:rPr>
      </w:pPr>
    </w:p>
    <w:p>
      <w:pPr>
        <w:ind w:left="1140" w:right="799" w:firstLine="327"/>
        <w:spacing w:after="0" w:line="263"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08" w:lineRule="exact"/>
        <w:rPr>
          <w:sz w:val="20"/>
          <w:szCs w:val="20"/>
          <w:color w:val="auto"/>
        </w:rPr>
      </w:pPr>
    </w:p>
    <w:p>
      <w:pPr>
        <w:ind w:left="1140" w:right="999" w:firstLine="327"/>
        <w:spacing w:after="0" w:line="287" w:lineRule="auto"/>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88" w:lineRule="exact"/>
        <w:rPr>
          <w:sz w:val="20"/>
          <w:szCs w:val="20"/>
          <w:color w:val="auto"/>
        </w:rPr>
      </w:pPr>
    </w:p>
    <w:p>
      <w:pPr>
        <w:ind w:left="1140" w:right="839" w:firstLine="327"/>
        <w:spacing w:after="0" w:line="259" w:lineRule="auto"/>
        <w:rPr>
          <w:sz w:val="20"/>
          <w:szCs w:val="20"/>
          <w:color w:val="auto"/>
        </w:rPr>
      </w:pPr>
      <w:r>
        <w:rPr>
          <w:rFonts w:ascii="Arial" w:cs="Arial" w:eastAsia="Arial" w:hAnsi="Arial"/>
          <w:sz w:val="16"/>
          <w:szCs w:val="16"/>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NASDAQ may be engaged to act as the agent of the selling shareholders in the sale of Class A shares.</w:t>
      </w:r>
    </w:p>
    <w:p>
      <w:pPr>
        <w:spacing w:after="0" w:line="100" w:lineRule="exact"/>
        <w:rPr>
          <w:sz w:val="20"/>
          <w:szCs w:val="20"/>
          <w:color w:val="auto"/>
        </w:rPr>
      </w:pPr>
    </w:p>
    <w:p>
      <w:pPr>
        <w:ind w:left="1140" w:right="959" w:firstLine="327"/>
        <w:spacing w:after="0" w:line="262"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w:t>
      </w:r>
    </w:p>
    <w:p>
      <w:pPr>
        <w:spacing w:after="0" w:line="34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right="959"/>
        <w:spacing w:after="0" w:line="322" w:lineRule="auto"/>
        <w:rPr>
          <w:sz w:val="20"/>
          <w:szCs w:val="20"/>
          <w:color w:val="auto"/>
        </w:rPr>
      </w:pPr>
      <w:r>
        <w:rPr>
          <w:rFonts w:ascii="Arial" w:cs="Arial" w:eastAsia="Arial" w:hAnsi="Arial"/>
          <w:sz w:val="15"/>
          <w:szCs w:val="15"/>
          <w:color w:val="auto"/>
        </w:rPr>
        <w:t>connection with the offering of these Class A shares, and any discounts, concessions or commissions allowed by underwriters to participating dealers, will be set forth in the applicable prospectus supplement.</w:t>
      </w:r>
    </w:p>
    <w:p>
      <w:pPr>
        <w:spacing w:after="0" w:line="65" w:lineRule="exact"/>
        <w:rPr>
          <w:sz w:val="20"/>
          <w:szCs w:val="20"/>
          <w:color w:val="auto"/>
        </w:rPr>
      </w:pPr>
    </w:p>
    <w:p>
      <w:pPr>
        <w:ind w:left="1140" w:right="859" w:firstLine="327"/>
        <w:spacing w:after="0" w:line="262" w:lineRule="auto"/>
        <w:rPr>
          <w:sz w:val="20"/>
          <w:szCs w:val="20"/>
          <w:color w:val="auto"/>
        </w:rPr>
      </w:pPr>
      <w:r>
        <w:rPr>
          <w:rFonts w:ascii="Arial" w:cs="Arial" w:eastAsia="Arial" w:hAnsi="Arial"/>
          <w:sz w:val="16"/>
          <w:szCs w:val="16"/>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08" w:lineRule="exact"/>
        <w:rPr>
          <w:sz w:val="20"/>
          <w:szCs w:val="20"/>
          <w:color w:val="auto"/>
        </w:rPr>
      </w:pPr>
    </w:p>
    <w:p>
      <w:pPr>
        <w:ind w:left="1140" w:right="839" w:firstLine="327"/>
        <w:spacing w:after="0" w:line="266" w:lineRule="auto"/>
        <w:rPr>
          <w:sz w:val="20"/>
          <w:szCs w:val="20"/>
          <w:color w:val="auto"/>
        </w:rPr>
      </w:pPr>
      <w:r>
        <w:rPr>
          <w:rFonts w:ascii="Arial" w:cs="Arial" w:eastAsia="Arial" w:hAnsi="Arial"/>
          <w:sz w:val="16"/>
          <w:szCs w:val="16"/>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92" w:lineRule="exact"/>
        <w:rPr>
          <w:sz w:val="20"/>
          <w:szCs w:val="20"/>
          <w:color w:val="auto"/>
        </w:rPr>
      </w:pPr>
    </w:p>
    <w:p>
      <w:pPr>
        <w:ind w:left="1140" w:right="979" w:firstLine="327"/>
        <w:spacing w:after="0" w:line="262"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08" w:lineRule="exact"/>
        <w:rPr>
          <w:sz w:val="20"/>
          <w:szCs w:val="20"/>
          <w:color w:val="auto"/>
        </w:rPr>
      </w:pPr>
    </w:p>
    <w:p>
      <w:pPr>
        <w:ind w:left="1140" w:right="959" w:firstLine="327"/>
        <w:spacing w:after="0" w:line="271" w:lineRule="auto"/>
        <w:rPr>
          <w:sz w:val="20"/>
          <w:szCs w:val="20"/>
          <w:color w:val="auto"/>
        </w:rPr>
      </w:pPr>
      <w:r>
        <w:rPr>
          <w:rFonts w:ascii="Arial" w:cs="Arial" w:eastAsia="Arial" w:hAnsi="Arial"/>
          <w:sz w:val="16"/>
          <w:szCs w:val="16"/>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01" w:lineRule="exact"/>
        <w:rPr>
          <w:sz w:val="20"/>
          <w:szCs w:val="20"/>
          <w:color w:val="auto"/>
        </w:rPr>
      </w:pPr>
    </w:p>
    <w:p>
      <w:pPr>
        <w:ind w:left="1140" w:right="859" w:firstLine="327"/>
        <w:spacing w:after="0" w:line="271" w:lineRule="auto"/>
        <w:rPr>
          <w:sz w:val="20"/>
          <w:szCs w:val="20"/>
          <w:color w:val="auto"/>
        </w:rPr>
      </w:pPr>
      <w:r>
        <w:rPr>
          <w:rFonts w:ascii="Arial" w:cs="Arial" w:eastAsia="Arial" w:hAnsi="Arial"/>
          <w:sz w:val="16"/>
          <w:szCs w:val="16"/>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88" w:lineRule="exact"/>
        <w:rPr>
          <w:sz w:val="20"/>
          <w:szCs w:val="20"/>
          <w:color w:val="auto"/>
        </w:rPr>
      </w:pPr>
    </w:p>
    <w:p>
      <w:pPr>
        <w:ind w:left="1140" w:right="799" w:firstLine="327"/>
        <w:spacing w:after="0" w:line="25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16" w:lineRule="exact"/>
        <w:rPr>
          <w:sz w:val="20"/>
          <w:szCs w:val="20"/>
          <w:color w:val="auto"/>
        </w:rPr>
      </w:pPr>
    </w:p>
    <w:p>
      <w:pPr>
        <w:jc w:val="both"/>
        <w:ind w:left="1140" w:right="859" w:firstLine="327"/>
        <w:spacing w:after="0" w:line="271"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LEGAL MATTERS</w:t>
      </w:r>
    </w:p>
    <w:p>
      <w:pPr>
        <w:spacing w:after="0" w:line="151" w:lineRule="exact"/>
        <w:rPr>
          <w:sz w:val="20"/>
          <w:szCs w:val="20"/>
          <w:color w:val="auto"/>
        </w:rPr>
      </w:pPr>
    </w:p>
    <w:p>
      <w:pPr>
        <w:ind w:left="1140" w:right="1039" w:firstLine="327"/>
        <w:spacing w:after="0" w:line="262" w:lineRule="auto"/>
        <w:rPr>
          <w:sz w:val="20"/>
          <w:szCs w:val="20"/>
          <w:color w:val="auto"/>
        </w:rPr>
      </w:pPr>
      <w:r>
        <w:rPr>
          <w:rFonts w:ascii="Arial" w:cs="Arial" w:eastAsia="Arial" w:hAnsi="Arial"/>
          <w:sz w:val="16"/>
          <w:szCs w:val="16"/>
          <w:color w:val="auto"/>
        </w:rPr>
        <w:t>The validity of the Class A shares will be passed upon for us by Vinson &amp; Elkins L.L.P., Houston, Texas. Vinson &amp; Elkins L.L.P. will also render an opinion on certain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16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EXPERTS</w:t>
      </w:r>
    </w:p>
    <w:p>
      <w:pPr>
        <w:spacing w:after="0" w:line="151" w:lineRule="exact"/>
        <w:rPr>
          <w:sz w:val="20"/>
          <w:szCs w:val="20"/>
          <w:color w:val="auto"/>
        </w:rPr>
      </w:pPr>
    </w:p>
    <w:p>
      <w:pPr>
        <w:ind w:left="1140" w:right="999" w:firstLine="327"/>
        <w:spacing w:after="0" w:line="262"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Report on Internal Control over Financial </w:t>
      </w:r>
      <w:hyperlink r:id="rId26">
        <w:r>
          <w:rPr>
            <w:rFonts w:ascii="Arial" w:cs="Arial" w:eastAsia="Arial" w:hAnsi="Arial"/>
            <w:sz w:val="16"/>
            <w:szCs w:val="16"/>
            <w:color w:val="auto"/>
          </w:rPr>
          <w:t xml:space="preserve">Reporting) incorporated in this Prospectus by reference to the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ended December 31, 2021</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w:t>
        </w:r>
      </w:hyperlink>
      <w:r>
        <w:rPr>
          <w:rFonts w:ascii="Arial" w:cs="Arial" w:eastAsia="Arial" w:hAnsi="Arial"/>
          <w:sz w:val="16"/>
          <w:szCs w:val="16"/>
          <w:color w:val="0000EE"/>
        </w:rPr>
        <w:t xml:space="preserve"> </w:t>
      </w:r>
      <w:r>
        <w:rPr>
          <w:rFonts w:ascii="Arial" w:cs="Arial" w:eastAsia="Arial" w:hAnsi="Arial"/>
          <w:sz w:val="16"/>
          <w:szCs w:val="16"/>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II</w:t>
      </w:r>
    </w:p>
    <w:p>
      <w:pPr>
        <w:spacing w:after="0" w:line="2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14. Other Expenses of Issuance and Distribution.</w:t>
      </w:r>
    </w:p>
    <w:p>
      <w:pPr>
        <w:spacing w:after="0" w:line="151" w:lineRule="exact"/>
        <w:rPr>
          <w:sz w:val="20"/>
          <w:szCs w:val="20"/>
          <w:color w:val="auto"/>
        </w:rPr>
      </w:pPr>
    </w:p>
    <w:p>
      <w:pPr>
        <w:jc w:val="both"/>
        <w:ind w:left="1140" w:right="899" w:firstLine="327"/>
        <w:spacing w:after="0" w:line="278" w:lineRule="auto"/>
        <w:rPr>
          <w:sz w:val="20"/>
          <w:szCs w:val="20"/>
          <w:color w:val="auto"/>
        </w:rPr>
      </w:pPr>
      <w:r>
        <w:rPr>
          <w:rFonts w:ascii="Arial" w:cs="Arial" w:eastAsia="Arial" w:hAnsi="Arial"/>
          <w:sz w:val="15"/>
          <w:szCs w:val="15"/>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PAA to pay all expenses (other than underwriting discounts and commissions) incurred by the selling shareholders.</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​​$ 1,250</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60" w:type="dxa"/>
            <w:vAlign w:val="bottom"/>
            <w:gridSpan w:val="2"/>
            <w:vMerge w:val="restart"/>
          </w:tcPr>
          <w:p>
            <w:pPr>
              <w:ind w:left="60"/>
              <w:spacing w:after="0"/>
              <w:rPr>
                <w:sz w:val="20"/>
                <w:szCs w:val="20"/>
                <w:color w:val="auto"/>
              </w:rPr>
            </w:pPr>
            <w:r>
              <w:rPr>
                <w:rFonts w:ascii="Arial" w:cs="Arial" w:eastAsia="Arial" w:hAnsi="Arial"/>
                <w:sz w:val="16"/>
                <w:szCs w:val="16"/>
                <w:color w:val="auto"/>
              </w:rPr>
              <w:t>​ ​​</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​50,000</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6060" w:type="dxa"/>
            <w:vAlign w:val="bottom"/>
          </w:tcPr>
          <w:p>
            <w:pPr>
              <w:spacing w:after="0" w:line="49" w:lineRule="exact"/>
              <w:rPr>
                <w:sz w:val="20"/>
                <w:szCs w:val="20"/>
                <w:color w:val="auto"/>
              </w:rPr>
            </w:pPr>
            <w:r>
              <w:rPr>
                <w:rFonts w:ascii="Arial" w:cs="Arial" w:eastAsia="Arial" w:hAnsi="Arial"/>
                <w:sz w:val="5"/>
                <w:szCs w:val="5"/>
                <w:color w:val="auto"/>
              </w:rPr>
              <w:t>​</w:t>
            </w:r>
          </w:p>
        </w:tc>
        <w:tc>
          <w:tcPr>
            <w:tcW w:w="2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​25,000</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606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260" w:type="dxa"/>
            <w:vAlign w:val="bottom"/>
            <w:gridSpan w:val="2"/>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Arial" w:cs="Arial" w:eastAsia="Arial" w:hAnsi="Arial"/>
                <w:sz w:val="16"/>
                <w:szCs w:val="16"/>
                <w:color w:val="auto"/>
              </w:rPr>
              <w:t>Printing expenses</w:t>
            </w:r>
          </w:p>
        </w:tc>
        <w:tc>
          <w:tcPr>
            <w:tcW w:w="260" w:type="dxa"/>
            <w:vAlign w:val="bottom"/>
            <w:gridSpan w:val="2"/>
            <w:vMerge w:val="restart"/>
          </w:tcPr>
          <w:p>
            <w:pPr>
              <w:ind w:left="60"/>
              <w:spacing w:after="0"/>
              <w:rPr>
                <w:sz w:val="20"/>
                <w:szCs w:val="20"/>
                <w:color w:val="auto"/>
              </w:rPr>
            </w:pPr>
            <w:r>
              <w:rPr>
                <w:rFonts w:ascii="Arial" w:cs="Arial" w:eastAsia="Arial" w:hAnsi="Arial"/>
                <w:sz w:val="16"/>
                <w:szCs w:val="16"/>
                <w:color w:val="auto"/>
              </w:rPr>
              <w:t>​ ​​</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​10,000</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6060" w:type="dxa"/>
            <w:vAlign w:val="bottom"/>
          </w:tcPr>
          <w:p>
            <w:pPr>
              <w:spacing w:after="0" w:line="49" w:lineRule="exact"/>
              <w:rPr>
                <w:sz w:val="20"/>
                <w:szCs w:val="20"/>
                <w:color w:val="auto"/>
              </w:rPr>
            </w:pPr>
            <w:r>
              <w:rPr>
                <w:rFonts w:ascii="Arial" w:cs="Arial" w:eastAsia="Arial" w:hAnsi="Arial"/>
                <w:sz w:val="5"/>
                <w:szCs w:val="5"/>
                <w:color w:val="auto"/>
              </w:rPr>
              <w:t>​</w:t>
            </w:r>
          </w:p>
        </w:tc>
        <w:tc>
          <w:tcPr>
            <w:tcW w:w="2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3,750</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6060" w:type="dxa"/>
            <w:vAlign w:val="bottom"/>
            <w:shd w:val="clear" w:color="auto" w:fill="CCEEFF"/>
          </w:tcPr>
          <w:p>
            <w:pPr>
              <w:spacing w:after="0" w:line="62" w:lineRule="exact"/>
              <w:rPr>
                <w:sz w:val="20"/>
                <w:szCs w:val="20"/>
                <w:color w:val="auto"/>
              </w:rPr>
            </w:pPr>
            <w:r>
              <w:rPr>
                <w:rFonts w:ascii="Arial" w:cs="Arial" w:eastAsia="Arial" w:hAnsi="Arial"/>
                <w:sz w:val="7"/>
                <w:szCs w:val="7"/>
                <w:color w:val="auto"/>
              </w:rPr>
              <w:t>​</w:t>
            </w:r>
          </w:p>
        </w:tc>
        <w:tc>
          <w:tcPr>
            <w:tcW w:w="260" w:type="dxa"/>
            <w:vAlign w:val="bottom"/>
            <w:gridSpan w:val="2"/>
            <w:vMerge w:val="continue"/>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tcPr>
          <w:p>
            <w:pPr>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Total</w:t>
            </w:r>
          </w:p>
        </w:tc>
        <w:tc>
          <w:tcPr>
            <w:tcW w:w="780" w:type="dxa"/>
            <w:vAlign w:val="bottom"/>
            <w:gridSpan w:val="4"/>
          </w:tcPr>
          <w:p>
            <w:pPr>
              <w:jc w:val="right"/>
              <w:spacing w:after="0"/>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$90,000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15. Indemnification of Directors and Officers.</w:t>
      </w:r>
    </w:p>
    <w:p>
      <w:pPr>
        <w:spacing w:after="0" w:line="151" w:lineRule="exact"/>
        <w:rPr>
          <w:sz w:val="20"/>
          <w:szCs w:val="20"/>
          <w:color w:val="auto"/>
        </w:rPr>
      </w:pPr>
    </w:p>
    <w:p>
      <w:pPr>
        <w:ind w:left="1140" w:right="859" w:firstLine="327"/>
        <w:spacing w:after="0" w:line="251"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69" w:lineRule="exact"/>
        <w:rPr>
          <w:sz w:val="20"/>
          <w:szCs w:val="20"/>
          <w:color w:val="auto"/>
        </w:rPr>
      </w:pPr>
    </w:p>
    <w:p>
      <w:pPr>
        <w:ind w:left="1620" w:hanging="159"/>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its general partner;</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departing general partner;</w:t>
      </w:r>
    </w:p>
    <w:p>
      <w:pPr>
        <w:spacing w:after="0" w:line="98" w:lineRule="exact"/>
        <w:rPr>
          <w:rFonts w:ascii="Arial" w:cs="Arial" w:eastAsia="Arial" w:hAnsi="Arial"/>
          <w:sz w:val="16"/>
          <w:szCs w:val="16"/>
          <w:color w:val="auto"/>
        </w:rPr>
      </w:pPr>
    </w:p>
    <w:p>
      <w:pPr>
        <w:ind w:left="1620" w:hanging="159"/>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Legacy Owners;</w:t>
      </w:r>
    </w:p>
    <w:p>
      <w:pPr>
        <w:spacing w:after="0" w:line="110" w:lineRule="exact"/>
        <w:rPr>
          <w:rFonts w:ascii="Arial" w:cs="Arial" w:eastAsia="Arial" w:hAnsi="Arial"/>
          <w:sz w:val="16"/>
          <w:szCs w:val="16"/>
          <w:color w:val="auto"/>
        </w:rPr>
      </w:pPr>
    </w:p>
    <w:p>
      <w:pPr>
        <w:ind w:left="1620" w:hanging="159"/>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Qualifying Interest Holders (as defined in the partnership agreement);</w:t>
      </w:r>
    </w:p>
    <w:p>
      <w:pPr>
        <w:spacing w:after="0" w:line="110" w:lineRule="exact"/>
        <w:rPr>
          <w:rFonts w:ascii="Arial" w:cs="Arial" w:eastAsia="Arial" w:hAnsi="Arial"/>
          <w:sz w:val="16"/>
          <w:szCs w:val="16"/>
          <w:color w:val="auto"/>
        </w:rPr>
      </w:pPr>
    </w:p>
    <w:p>
      <w:pPr>
        <w:ind w:left="1620" w:right="839" w:hanging="159"/>
        <w:spacing w:after="0" w:line="287"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50" w:lineRule="exact"/>
        <w:rPr>
          <w:rFonts w:ascii="Arial" w:cs="Arial" w:eastAsia="Arial" w:hAnsi="Arial"/>
          <w:sz w:val="16"/>
          <w:szCs w:val="16"/>
          <w:color w:val="auto"/>
        </w:rPr>
      </w:pPr>
    </w:p>
    <w:p>
      <w:pPr>
        <w:ind w:left="1620" w:right="919" w:hanging="159"/>
        <w:spacing w:after="0" w:line="271"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63" w:lineRule="exact"/>
        <w:rPr>
          <w:rFonts w:ascii="Arial" w:cs="Arial" w:eastAsia="Arial" w:hAnsi="Arial"/>
          <w:sz w:val="16"/>
          <w:szCs w:val="16"/>
          <w:color w:val="auto"/>
        </w:rPr>
      </w:pPr>
    </w:p>
    <w:p>
      <w:pPr>
        <w:ind w:left="1620" w:right="859" w:hanging="159"/>
        <w:spacing w:after="0" w:line="266"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55" w:lineRule="exact"/>
        <w:rPr>
          <w:rFonts w:ascii="Arial" w:cs="Arial" w:eastAsia="Arial" w:hAnsi="Arial"/>
          <w:sz w:val="16"/>
          <w:szCs w:val="16"/>
          <w:color w:val="auto"/>
        </w:rPr>
      </w:pPr>
    </w:p>
    <w:p>
      <w:pPr>
        <w:ind w:left="1620" w:hanging="159"/>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person designated by its general partner</w:t>
      </w:r>
    </w:p>
    <w:p>
      <w:pPr>
        <w:spacing w:after="0" w:line="147" w:lineRule="exact"/>
        <w:rPr>
          <w:sz w:val="20"/>
          <w:szCs w:val="20"/>
          <w:color w:val="auto"/>
        </w:rPr>
      </w:pPr>
    </w:p>
    <w:p>
      <w:pPr>
        <w:ind w:left="1140" w:right="1079"/>
        <w:spacing w:after="0" w:line="268" w:lineRule="auto"/>
        <w:rPr>
          <w:sz w:val="20"/>
          <w:szCs w:val="20"/>
          <w:color w:val="auto"/>
        </w:rPr>
      </w:pPr>
      <w:r>
        <w:rPr>
          <w:rFonts w:ascii="Arial" w:cs="Arial" w:eastAsia="Arial" w:hAnsi="Arial"/>
          <w:sz w:val="15"/>
          <w:szCs w:val="15"/>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95" w:lineRule="exact"/>
        <w:rPr>
          <w:sz w:val="20"/>
          <w:szCs w:val="20"/>
          <w:color w:val="auto"/>
        </w:rPr>
      </w:pPr>
    </w:p>
    <w:p>
      <w:pPr>
        <w:ind w:left="1140" w:right="799" w:firstLine="327"/>
        <w:spacing w:after="0" w:line="28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31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620" w:type="dxa"/>
            <w:vAlign w:val="bottom"/>
          </w:tcPr>
          <w:p>
            <w:pPr>
              <w:spacing w:after="0"/>
              <w:rPr>
                <w:sz w:val="20"/>
                <w:szCs w:val="20"/>
                <w:color w:val="auto"/>
              </w:rPr>
            </w:pPr>
            <w:r>
              <w:rPr>
                <w:rFonts w:ascii="Arial" w:cs="Arial" w:eastAsia="Arial" w:hAnsi="Arial"/>
                <w:sz w:val="16"/>
                <w:szCs w:val="16"/>
                <w:b w:val="1"/>
                <w:bCs w:val="1"/>
                <w:color w:val="auto"/>
              </w:rPr>
              <w:t>Item 16.</w:t>
            </w:r>
          </w:p>
        </w:tc>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Exhibits.</w:t>
            </w:r>
          </w:p>
        </w:tc>
        <w:tc>
          <w:tcPr>
            <w:tcW w:w="3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00"/>
        </w:trPr>
        <w:tc>
          <w:tcPr>
            <w:tcW w:w="620" w:type="dxa"/>
            <w:vAlign w:val="bottom"/>
          </w:tcPr>
          <w:p>
            <w:pPr>
              <w:ind w:left="40"/>
              <w:spacing w:after="0"/>
              <w:rPr>
                <w:sz w:val="20"/>
                <w:szCs w:val="20"/>
                <w:color w:val="auto"/>
              </w:rPr>
            </w:pPr>
            <w:r>
              <w:rPr>
                <w:rFonts w:ascii="Arial" w:cs="Arial" w:eastAsia="Arial" w:hAnsi="Arial"/>
                <w:sz w:val="13"/>
                <w:szCs w:val="13"/>
                <w:b w:val="1"/>
                <w:bCs w:val="1"/>
                <w:color w:val="auto"/>
              </w:rPr>
              <w:t>Exhibit</w:t>
            </w:r>
          </w:p>
        </w:tc>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2"/>
        </w:trPr>
        <w:tc>
          <w:tcPr>
            <w:tcW w:w="620" w:type="dxa"/>
            <w:vAlign w:val="bottom"/>
          </w:tcPr>
          <w:p>
            <w:pPr>
              <w:spacing w:after="0" w:line="192"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Number </w:t>
            </w:r>
            <w:r>
              <w:rPr>
                <w:rFonts w:ascii="Arial" w:cs="Arial" w:eastAsia="Arial" w:hAnsi="Arial"/>
                <w:sz w:val="22"/>
                <w:szCs w:val="22"/>
                <w:b w:val="1"/>
                <w:bCs w:val="1"/>
                <w:color w:val="auto"/>
                <w:vertAlign w:val="subscript"/>
              </w:rPr>
              <w:t>​</w:t>
            </w:r>
          </w:p>
        </w:tc>
        <w:tc>
          <w:tcPr>
            <w:tcW w:w="1980" w:type="dxa"/>
            <w:vAlign w:val="bottom"/>
          </w:tcPr>
          <w:p>
            <w:pPr>
              <w:ind w:left="40"/>
              <w:spacing w:after="0"/>
              <w:rPr>
                <w:sz w:val="20"/>
                <w:szCs w:val="20"/>
                <w:color w:val="auto"/>
              </w:rPr>
            </w:pPr>
            <w:r>
              <w:rPr>
                <w:rFonts w:ascii="Arial" w:cs="Arial" w:eastAsia="Arial" w:hAnsi="Arial"/>
                <w:sz w:val="13"/>
                <w:szCs w:val="13"/>
                <w:b w:val="1"/>
                <w:bCs w:val="1"/>
                <w:color w:val="auto"/>
              </w:rPr>
              <w:t>​​   ​ ​</w:t>
            </w:r>
          </w:p>
        </w:tc>
        <w:tc>
          <w:tcPr>
            <w:tcW w:w="3420" w:type="dxa"/>
            <w:vAlign w:val="bottom"/>
          </w:tcPr>
          <w:p>
            <w:pPr>
              <w:ind w:left="1360"/>
              <w:spacing w:after="0"/>
              <w:rPr>
                <w:sz w:val="20"/>
                <w:szCs w:val="20"/>
                <w:color w:val="auto"/>
              </w:rPr>
            </w:pPr>
            <w:r>
              <w:rPr>
                <w:rFonts w:ascii="Arial" w:cs="Arial" w:eastAsia="Arial" w:hAnsi="Arial"/>
                <w:sz w:val="13"/>
                <w:szCs w:val="13"/>
                <w:b w:val="1"/>
                <w:bCs w:val="1"/>
                <w:color w:val="auto"/>
              </w:rPr>
              <w:t>Description</w:t>
            </w:r>
          </w:p>
        </w:tc>
        <w:tc>
          <w:tcPr>
            <w:tcW w:w="1460" w:type="dxa"/>
            <w:vAlign w:val="bottom"/>
          </w:tcPr>
          <w:p>
            <w:pPr>
              <w:ind w:left="1440"/>
              <w:spacing w:after="0"/>
              <w:rPr>
                <w:sz w:val="20"/>
                <w:szCs w:val="20"/>
                <w:color w:val="auto"/>
              </w:rPr>
            </w:pPr>
            <w:r>
              <w:rPr>
                <w:rFonts w:ascii="Arial" w:cs="Arial" w:eastAsia="Arial" w:hAnsi="Arial"/>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0</wp:posOffset>
            </wp:positionV>
            <wp:extent cx="40513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051300" cy="7620"/>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tbl>
      <w:tblPr>
        <w:tblLayout w:type="fixed"/>
        <w:tblInd w:w="1140" w:type="dxa"/>
        <w:tblCellMar>
          <w:top w:w="0" w:type="dxa"/>
          <w:left w:w="0" w:type="dxa"/>
          <w:bottom w:w="0" w:type="dxa"/>
          <w:right w:w="0" w:type="dxa"/>
        </w:tblCellMar>
      </w:tblP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1.1**</w:t>
            </w:r>
          </w:p>
        </w:tc>
        <w:tc>
          <w:tcPr>
            <w:tcW w:w="380" w:type="dxa"/>
            <w:vAlign w:val="bottom"/>
            <w:gridSpan w:val="2"/>
          </w:tcPr>
          <w:p>
            <w:pPr>
              <w:jc w:val="right"/>
              <w:spacing w:after="0" w:line="20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 ​</w:t>
            </w:r>
          </w:p>
        </w:tc>
        <w:tc>
          <w:tcPr>
            <w:tcW w:w="6200" w:type="dxa"/>
            <w:vAlign w:val="bottom"/>
            <w:gridSpan w:val="10"/>
          </w:tcPr>
          <w:p>
            <w:pPr>
              <w:spacing w:after="0"/>
              <w:rPr>
                <w:sz w:val="20"/>
                <w:szCs w:val="20"/>
                <w:color w:val="auto"/>
              </w:rPr>
            </w:pPr>
            <w:r>
              <w:rPr>
                <w:rFonts w:ascii="Arial" w:cs="Arial" w:eastAsia="Arial" w:hAnsi="Arial"/>
                <w:sz w:val="16"/>
                <w:szCs w:val="16"/>
                <w:color w:val="auto"/>
              </w:rPr>
              <w:t>Form of Underwriting Agreement.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20"/>
                <w:szCs w:val="20"/>
                <w:color w:val="auto"/>
              </w:rPr>
            </w:pPr>
            <w:r>
              <w:rPr>
                <w:rFonts w:ascii="Arial" w:cs="Arial" w:eastAsia="Arial" w:hAnsi="Arial"/>
                <w:sz w:val="16"/>
                <w:szCs w:val="16"/>
                <w:color w:val="auto"/>
              </w:rPr>
              <w:t>​ 4.1</w:t>
            </w:r>
          </w:p>
        </w:tc>
        <w:tc>
          <w:tcPr>
            <w:tcW w:w="6780" w:type="dxa"/>
            <w:vAlign w:val="bottom"/>
            <w:gridSpan w:val="13"/>
          </w:tcPr>
          <w:p>
            <w:pPr>
              <w:spacing w:after="0"/>
              <w:rPr>
                <w:rFonts w:ascii="Arial" w:cs="Arial" w:eastAsia="Arial" w:hAnsi="Arial"/>
                <w:sz w:val="16"/>
                <w:szCs w:val="16"/>
                <w:color w:val="auto"/>
              </w:rPr>
            </w:pPr>
            <w:r>
              <w:rPr>
                <w:rFonts w:ascii="Arial" w:cs="Arial" w:eastAsia="Arial" w:hAnsi="Arial"/>
                <w:sz w:val="16"/>
                <w:szCs w:val="16"/>
                <w:color w:val="auto"/>
              </w:rPr>
              <w:t xml:space="preserve">​ ​ —​ ​ </w:t>
            </w:r>
            <w:hyperlink r:id="rId63">
              <w:r>
                <w:rPr>
                  <w:rFonts w:ascii="Arial" w:cs="Arial" w:eastAsia="Arial" w:hAnsi="Arial"/>
                  <w:sz w:val="16"/>
                  <w:szCs w:val="16"/>
                  <w:color w:val="0000EE"/>
                </w:rPr>
                <w:t>Shareholder and Registration Rights Agreement dated October 21, 2013 by and among</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0" w:type="dxa"/>
            <w:vAlign w:val="bottom"/>
            <w:tcBorders>
              <w:bottom w:val="single" w:sz="8" w:color="0000EE"/>
            </w:tcBorders>
            <w:gridSpan w:val="10"/>
          </w:tcPr>
          <w:p>
            <w:pPr>
              <w:spacing w:after="0" w:line="177" w:lineRule="exact"/>
              <w:rPr>
                <w:rFonts w:ascii="Arial" w:cs="Arial" w:eastAsia="Arial" w:hAnsi="Arial"/>
                <w:sz w:val="16"/>
                <w:szCs w:val="16"/>
                <w:color w:val="0000EE"/>
                <w:w w:val="96"/>
              </w:rPr>
            </w:pPr>
            <w:hyperlink r:id="rId63">
              <w:r>
                <w:rPr>
                  <w:rFonts w:ascii="Arial" w:cs="Arial" w:eastAsia="Arial" w:hAnsi="Arial"/>
                  <w:sz w:val="16"/>
                  <w:szCs w:val="16"/>
                  <w:color w:val="0000EE"/>
                  <w:w w:val="96"/>
                </w:rPr>
                <w:t>Plains GP Holdings, L.P. and the other parties signatory thereto (incorporated by reference</w:t>
              </w:r>
            </w:hyperlink>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Borders>
              <w:bottom w:val="single" w:sz="8" w:color="0000EE"/>
            </w:tcBorders>
            <w:gridSpan w:val="7"/>
          </w:tcPr>
          <w:p>
            <w:pPr>
              <w:spacing w:after="0" w:line="177" w:lineRule="exact"/>
              <w:rPr>
                <w:rFonts w:ascii="Arial" w:cs="Arial" w:eastAsia="Arial" w:hAnsi="Arial"/>
                <w:sz w:val="16"/>
                <w:szCs w:val="16"/>
                <w:color w:val="0000EE"/>
                <w:w w:val="98"/>
              </w:rPr>
            </w:pPr>
            <w:hyperlink r:id="rId63">
              <w:r>
                <w:rPr>
                  <w:rFonts w:ascii="Arial" w:cs="Arial" w:eastAsia="Arial" w:hAnsi="Arial"/>
                  <w:sz w:val="16"/>
                  <w:szCs w:val="16"/>
                  <w:color w:val="0000EE"/>
                  <w:w w:val="98"/>
                </w:rPr>
                <w:t>to Exhibit 4.1 to our Current Report on Form 8-K filed October 25, 2013).</w:t>
              </w:r>
            </w:hyperlink>
          </w:p>
        </w:tc>
        <w:tc>
          <w:tcPr>
            <w:tcW w:w="1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line="225"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5.1*</w:t>
            </w:r>
          </w:p>
        </w:tc>
        <w:tc>
          <w:tcPr>
            <w:tcW w:w="6780" w:type="dxa"/>
            <w:vAlign w:val="bottom"/>
            <w:gridSpan w:val="13"/>
          </w:tcPr>
          <w:p>
            <w:pPr>
              <w:spacing w:after="0" w:line="225"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w:t>
            </w:r>
            <w:r>
              <w:rPr>
                <w:rFonts w:ascii="Arial" w:cs="Arial" w:eastAsia="Arial" w:hAnsi="Arial"/>
                <w:sz w:val="26"/>
                <w:szCs w:val="26"/>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0000EE"/>
              </w:rPr>
              <w:t>Opinion of Vinson &amp; Elkins L.L.P. as to the legality of the securities being registered.</w:t>
            </w:r>
          </w:p>
        </w:tc>
        <w:tc>
          <w:tcPr>
            <w:tcW w:w="0" w:type="dxa"/>
            <w:vAlign w:val="bottom"/>
          </w:tcPr>
          <w:p>
            <w:pPr>
              <w:spacing w:after="0"/>
              <w:rPr>
                <w:sz w:val="1"/>
                <w:szCs w:val="1"/>
                <w:color w:val="auto"/>
              </w:rPr>
            </w:pPr>
          </w:p>
        </w:tc>
      </w:tr>
      <w:tr>
        <w:trPr>
          <w:trHeight w:val="213"/>
        </w:trPr>
        <w:tc>
          <w:tcPr>
            <w:tcW w:w="500" w:type="dxa"/>
            <w:vAlign w:val="bottom"/>
          </w:tcPr>
          <w:p>
            <w:pPr>
              <w:spacing w:after="0" w:line="213"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 xml:space="preserve"> 8.1*</w:t>
            </w:r>
          </w:p>
        </w:tc>
        <w:tc>
          <w:tcPr>
            <w:tcW w:w="580" w:type="dxa"/>
            <w:vAlign w:val="bottom"/>
            <w:gridSpan w:val="3"/>
          </w:tcPr>
          <w:p>
            <w:pPr>
              <w:jc w:val="right"/>
              <w:spacing w:after="0" w:line="21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4"/>
                <w:szCs w:val="24"/>
                <w:color w:val="auto"/>
                <w:vertAlign w:val="subscript"/>
              </w:rPr>
              <w:t>—</w:t>
            </w:r>
            <w:r>
              <w:rPr>
                <w:rFonts w:ascii="Arial" w:cs="Arial" w:eastAsia="Arial" w:hAnsi="Arial"/>
                <w:sz w:val="14"/>
                <w:szCs w:val="14"/>
                <w:color w:val="auto"/>
              </w:rPr>
              <w:t>​ ​</w:t>
            </w:r>
          </w:p>
        </w:tc>
        <w:tc>
          <w:tcPr>
            <w:tcW w:w="39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9"/>
              </w:rPr>
              <w:t>Opinion of Vinson &amp; Elkins L.L.P. relating to tax matters.</w:t>
            </w:r>
          </w:p>
        </w:tc>
        <w:tc>
          <w:tcPr>
            <w:tcW w:w="1960" w:type="dxa"/>
            <w:vAlign w:val="bottom"/>
            <w:tcBorders>
              <w:top w:val="single" w:sz="8" w:color="0000EE"/>
            </w:tcBorders>
            <w:gridSpan w:val="6"/>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line="152"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52" w:lineRule="exact"/>
              <w:rPr>
                <w:sz w:val="20"/>
                <w:szCs w:val="20"/>
                <w:color w:val="auto"/>
              </w:rPr>
            </w:pPr>
            <w:r>
              <w:rPr>
                <w:rFonts w:ascii="Arial" w:cs="Arial" w:eastAsia="Arial" w:hAnsi="Arial"/>
                <w:sz w:val="16"/>
                <w:szCs w:val="16"/>
                <w:color w:val="auto"/>
              </w:rPr>
              <w:t>​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jc w:val="right"/>
              <w:spacing w:after="0" w:line="152" w:lineRule="exact"/>
              <w:rPr>
                <w:sz w:val="20"/>
                <w:szCs w:val="20"/>
                <w:color w:val="auto"/>
              </w:rPr>
            </w:pPr>
            <w:r>
              <w:rPr>
                <w:rFonts w:ascii="Arial" w:cs="Arial" w:eastAsia="Arial" w:hAnsi="Arial"/>
                <w:sz w:val="16"/>
                <w:szCs w:val="16"/>
                <w:color w:val="auto"/>
              </w:rPr>
              <w:t>​ ​</w:t>
            </w:r>
          </w:p>
        </w:tc>
        <w:tc>
          <w:tcPr>
            <w:tcW w:w="2860" w:type="dxa"/>
            <w:vAlign w:val="bottom"/>
            <w:gridSpan w:val="2"/>
            <w:vMerge w:val="restart"/>
          </w:tcPr>
          <w:p>
            <w:pPr>
              <w:spacing w:after="0"/>
              <w:rPr>
                <w:sz w:val="20"/>
                <w:szCs w:val="20"/>
                <w:color w:val="auto"/>
              </w:rPr>
            </w:pPr>
            <w:r>
              <w:rPr>
                <w:rFonts w:ascii="Arial" w:cs="Arial" w:eastAsia="Arial" w:hAnsi="Arial"/>
                <w:sz w:val="16"/>
                <w:szCs w:val="16"/>
                <w:color w:val="0000EE"/>
                <w:w w:val="95"/>
              </w:rPr>
              <w:t>Consent of PricewaterhouseCoopers LLP.</w:t>
            </w:r>
          </w:p>
        </w:tc>
        <w:tc>
          <w:tcPr>
            <w:tcW w:w="334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line="62" w:lineRule="exact"/>
              <w:rPr>
                <w:sz w:val="20"/>
                <w:szCs w:val="20"/>
                <w:color w:val="auto"/>
              </w:rPr>
            </w:pPr>
            <w:r>
              <w:rPr>
                <w:rFonts w:ascii="Arial" w:cs="Arial" w:eastAsia="Arial" w:hAnsi="Arial"/>
                <w:sz w:val="7"/>
                <w:szCs w:val="7"/>
                <w:color w:val="auto"/>
              </w:rPr>
              <w:t>23.1*</w:t>
            </w: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60" w:type="dxa"/>
            <w:vAlign w:val="bottom"/>
            <w:tcBorders>
              <w:bottom w:val="single" w:sz="8" w:color="0000EE"/>
            </w:tcBorders>
            <w:gridSpan w:val="2"/>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line="152"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52" w:lineRule="exact"/>
              <w:rPr>
                <w:sz w:val="20"/>
                <w:szCs w:val="20"/>
                <w:color w:val="auto"/>
              </w:rPr>
            </w:pPr>
            <w:r>
              <w:rPr>
                <w:rFonts w:ascii="Arial" w:cs="Arial" w:eastAsia="Arial" w:hAnsi="Arial"/>
                <w:sz w:val="16"/>
                <w:szCs w:val="16"/>
                <w:color w:val="auto"/>
              </w:rPr>
              <w:t>​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jc w:val="right"/>
              <w:spacing w:after="0" w:line="152" w:lineRule="exact"/>
              <w:rPr>
                <w:sz w:val="20"/>
                <w:szCs w:val="20"/>
                <w:color w:val="auto"/>
              </w:rPr>
            </w:pPr>
            <w:r>
              <w:rPr>
                <w:rFonts w:ascii="Arial" w:cs="Arial" w:eastAsia="Arial" w:hAnsi="Arial"/>
                <w:sz w:val="16"/>
                <w:szCs w:val="16"/>
                <w:color w:val="auto"/>
              </w:rPr>
              <w:t>​ ​</w:t>
            </w:r>
          </w:p>
        </w:tc>
        <w:tc>
          <w:tcPr>
            <w:tcW w:w="6200" w:type="dxa"/>
            <w:vAlign w:val="bottom"/>
            <w:gridSpan w:val="10"/>
            <w:vMerge w:val="restart"/>
          </w:tcPr>
          <w:p>
            <w:pPr>
              <w:spacing w:after="0"/>
              <w:rPr>
                <w:sz w:val="20"/>
                <w:szCs w:val="20"/>
                <w:color w:val="auto"/>
              </w:rPr>
            </w:pPr>
            <w:r>
              <w:rPr>
                <w:rFonts w:ascii="Arial" w:cs="Arial" w:eastAsia="Arial" w:hAnsi="Arial"/>
                <w:sz w:val="16"/>
                <w:szCs w:val="16"/>
                <w:color w:val="auto"/>
              </w:rPr>
              <w:t xml:space="preserve">Consent of Vinson &amp; Elkins L.L.P. (contained in Exhibits </w:t>
            </w:r>
            <w:r>
              <w:rPr>
                <w:rFonts w:ascii="Arial" w:cs="Arial" w:eastAsia="Arial" w:hAnsi="Arial"/>
                <w:sz w:val="16"/>
                <w:szCs w:val="16"/>
                <w:color w:val="0000EE"/>
              </w:rPr>
              <w:t>5.1</w:t>
            </w:r>
            <w:r>
              <w:rPr>
                <w:rFonts w:ascii="Arial" w:cs="Arial" w:eastAsia="Arial" w:hAnsi="Arial"/>
                <w:sz w:val="16"/>
                <w:szCs w:val="16"/>
                <w:color w:val="auto"/>
              </w:rPr>
              <w:t xml:space="preserve"> and </w:t>
            </w:r>
            <w:r>
              <w:rPr>
                <w:rFonts w:ascii="Arial" w:cs="Arial" w:eastAsia="Arial" w:hAnsi="Arial"/>
                <w:sz w:val="16"/>
                <w:szCs w:val="16"/>
                <w:color w:val="0000EE"/>
              </w:rPr>
              <w:t>8.1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500" w:type="dxa"/>
            <w:vAlign w:val="bottom"/>
          </w:tcPr>
          <w:p>
            <w:pPr>
              <w:spacing w:after="0" w:line="62" w:lineRule="exact"/>
              <w:rPr>
                <w:sz w:val="20"/>
                <w:szCs w:val="20"/>
                <w:color w:val="auto"/>
              </w:rPr>
            </w:pPr>
            <w:r>
              <w:rPr>
                <w:rFonts w:ascii="Arial" w:cs="Arial" w:eastAsia="Arial" w:hAnsi="Arial"/>
                <w:sz w:val="7"/>
                <w:szCs w:val="7"/>
                <w:color w:val="auto"/>
              </w:rPr>
              <w:t>23.2*</w:t>
            </w: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72" w:lineRule="exact"/>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line="172" w:lineRule="exact"/>
              <w:rPr>
                <w:sz w:val="20"/>
                <w:szCs w:val="20"/>
                <w:color w:val="auto"/>
              </w:rPr>
            </w:pPr>
            <w:r>
              <w:rPr>
                <w:rFonts w:ascii="Arial" w:cs="Arial" w:eastAsia="Arial" w:hAnsi="Arial"/>
                <w:sz w:val="16"/>
                <w:szCs w:val="16"/>
                <w:color w:val="auto"/>
              </w:rPr>
              <w:t>​ ​</w:t>
            </w:r>
          </w:p>
        </w:tc>
        <w:tc>
          <w:tcPr>
            <w:tcW w:w="200" w:type="dxa"/>
            <w:vAlign w:val="bottom"/>
          </w:tcPr>
          <w:p>
            <w:pPr>
              <w:spacing w:after="0" w:line="20" w:lineRule="exact"/>
              <w:rPr>
                <w:sz w:val="1"/>
                <w:szCs w:val="1"/>
                <w:color w:val="auto"/>
              </w:rPr>
            </w:pPr>
          </w:p>
        </w:tc>
        <w:tc>
          <w:tcPr>
            <w:tcW w:w="200" w:type="dxa"/>
            <w:vAlign w:val="bottom"/>
            <w:vMerge w:val="restart"/>
          </w:tcPr>
          <w:p>
            <w:pPr>
              <w:jc w:val="right"/>
              <w:spacing w:after="0" w:line="172" w:lineRule="exact"/>
              <w:rPr>
                <w:sz w:val="20"/>
                <w:szCs w:val="20"/>
                <w:color w:val="auto"/>
              </w:rPr>
            </w:pPr>
            <w:r>
              <w:rPr>
                <w:rFonts w:ascii="Arial" w:cs="Arial" w:eastAsia="Arial" w:hAnsi="Arial"/>
                <w:sz w:val="16"/>
                <w:szCs w:val="16"/>
                <w:color w:val="auto"/>
              </w:rPr>
              <w:t>​ ​</w:t>
            </w: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vMerge w:val="continue"/>
          </w:tcPr>
          <w:p>
            <w:pPr>
              <w:spacing w:after="0"/>
              <w:rPr>
                <w:sz w:val="13"/>
                <w:szCs w:val="13"/>
                <w:color w:val="auto"/>
              </w:rPr>
            </w:pPr>
          </w:p>
        </w:tc>
        <w:tc>
          <w:tcPr>
            <w:tcW w:w="6200" w:type="dxa"/>
            <w:vAlign w:val="bottom"/>
            <w:gridSpan w:val="10"/>
            <w:vMerge w:val="restart"/>
          </w:tcPr>
          <w:p>
            <w:pPr>
              <w:spacing w:after="0"/>
              <w:rPr>
                <w:sz w:val="20"/>
                <w:szCs w:val="20"/>
                <w:color w:val="auto"/>
              </w:rPr>
            </w:pPr>
            <w:r>
              <w:rPr>
                <w:rFonts w:ascii="Arial" w:cs="Arial" w:eastAsia="Arial" w:hAnsi="Arial"/>
                <w:sz w:val="16"/>
                <w:szCs w:val="16"/>
                <w:color w:val="0000EE"/>
              </w:rPr>
              <w:t>Power of Attorney (included on signature pages of this registration statement).</w:t>
            </w:r>
          </w:p>
        </w:tc>
        <w:tc>
          <w:tcPr>
            <w:tcW w:w="0" w:type="dxa"/>
            <w:vAlign w:val="bottom"/>
          </w:tcPr>
          <w:p>
            <w:pPr>
              <w:spacing w:after="0"/>
              <w:rPr>
                <w:sz w:val="1"/>
                <w:szCs w:val="1"/>
                <w:color w:val="auto"/>
              </w:rPr>
            </w:pPr>
          </w:p>
        </w:tc>
      </w:tr>
      <w:tr>
        <w:trPr>
          <w:trHeight w:val="61"/>
        </w:trPr>
        <w:tc>
          <w:tcPr>
            <w:tcW w:w="500" w:type="dxa"/>
            <w:vAlign w:val="bottom"/>
          </w:tcPr>
          <w:p>
            <w:pPr>
              <w:spacing w:after="0" w:line="62" w:lineRule="exact"/>
              <w:rPr>
                <w:sz w:val="20"/>
                <w:szCs w:val="20"/>
                <w:color w:val="auto"/>
              </w:rPr>
            </w:pPr>
            <w:r>
              <w:rPr>
                <w:rFonts w:ascii="Arial" w:cs="Arial" w:eastAsia="Arial" w:hAnsi="Arial"/>
                <w:sz w:val="7"/>
                <w:szCs w:val="7"/>
                <w:color w:val="auto"/>
              </w:rPr>
              <w:t>24.1*</w:t>
            </w: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line="152"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52" w:lineRule="exact"/>
              <w:rPr>
                <w:sz w:val="20"/>
                <w:szCs w:val="20"/>
                <w:color w:val="auto"/>
              </w:rPr>
            </w:pPr>
            <w:r>
              <w:rPr>
                <w:rFonts w:ascii="Arial" w:cs="Arial" w:eastAsia="Arial" w:hAnsi="Arial"/>
                <w:sz w:val="16"/>
                <w:szCs w:val="16"/>
                <w:color w:val="auto"/>
              </w:rPr>
              <w:t>​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jc w:val="right"/>
              <w:spacing w:after="0" w:line="152" w:lineRule="exact"/>
              <w:rPr>
                <w:sz w:val="20"/>
                <w:szCs w:val="20"/>
                <w:color w:val="auto"/>
              </w:rPr>
            </w:pPr>
            <w:r>
              <w:rPr>
                <w:rFonts w:ascii="Arial" w:cs="Arial" w:eastAsia="Arial" w:hAnsi="Arial"/>
                <w:sz w:val="16"/>
                <w:szCs w:val="16"/>
                <w:color w:val="auto"/>
              </w:rPr>
              <w:t>​ ​</w:t>
            </w:r>
          </w:p>
        </w:tc>
        <w:tc>
          <w:tcPr>
            <w:tcW w:w="1160" w:type="dxa"/>
            <w:vAlign w:val="bottom"/>
            <w:tcBorders>
              <w:top w:val="single" w:sz="8" w:color="0000EE"/>
            </w:tcBorders>
            <w:vMerge w:val="restart"/>
          </w:tcPr>
          <w:p>
            <w:pPr>
              <w:spacing w:after="0"/>
              <w:rPr>
                <w:sz w:val="20"/>
                <w:szCs w:val="20"/>
                <w:color w:val="auto"/>
              </w:rPr>
            </w:pPr>
            <w:r>
              <w:rPr>
                <w:rFonts w:ascii="Arial" w:cs="Arial" w:eastAsia="Arial" w:hAnsi="Arial"/>
                <w:sz w:val="16"/>
                <w:szCs w:val="16"/>
                <w:color w:val="0000EE"/>
                <w:w w:val="95"/>
              </w:rPr>
              <w:t>Filing Fee Table.</w:t>
            </w:r>
          </w:p>
        </w:tc>
        <w:tc>
          <w:tcPr>
            <w:tcW w:w="4220" w:type="dxa"/>
            <w:vAlign w:val="bottom"/>
            <w:tcBorders>
              <w:top w:val="single" w:sz="8" w:color="0000EE"/>
            </w:tcBorders>
            <w:gridSpan w:val="7"/>
            <w:vMerge w:val="restart"/>
          </w:tcPr>
          <w:p>
            <w:pPr>
              <w:spacing w:after="0"/>
              <w:rPr>
                <w:sz w:val="13"/>
                <w:szCs w:val="13"/>
                <w:color w:val="auto"/>
              </w:rPr>
            </w:pPr>
          </w:p>
        </w:tc>
        <w:tc>
          <w:tcPr>
            <w:tcW w:w="8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line="62" w:lineRule="exact"/>
              <w:rPr>
                <w:sz w:val="20"/>
                <w:szCs w:val="20"/>
                <w:color w:val="auto"/>
              </w:rPr>
            </w:pPr>
            <w:r>
              <w:rPr>
                <w:rFonts w:ascii="Arial" w:cs="Arial" w:eastAsia="Arial" w:hAnsi="Arial"/>
                <w:sz w:val="7"/>
                <w:szCs w:val="7"/>
                <w:color w:val="auto"/>
              </w:rPr>
              <w:t>107*</w:t>
            </w: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220" w:type="dxa"/>
            <w:vAlign w:val="bottom"/>
            <w:gridSpan w:val="7"/>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147955</wp:posOffset>
            </wp:positionV>
            <wp:extent cx="112204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spacing w:after="0" w:line="348" w:lineRule="exact"/>
        <w:rPr>
          <w:sz w:val="20"/>
          <w:szCs w:val="20"/>
          <w:color w:val="auto"/>
        </w:rPr>
      </w:pPr>
    </w:p>
    <w:p>
      <w:pPr>
        <w:ind w:left="1460" w:hanging="326"/>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74" w:lineRule="exact"/>
        <w:rPr>
          <w:sz w:val="20"/>
          <w:szCs w:val="20"/>
          <w:color w:val="auto"/>
        </w:rPr>
      </w:pPr>
    </w:p>
    <w:p>
      <w:pPr>
        <w:ind w:left="1460" w:right="20" w:hanging="326"/>
        <w:spacing w:after="0" w:line="287"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be filed as an exhibit to a report pursuant to Section 13(a) or 15(d) of the Securities Exchange Act of 1934 or in a post-effective amendment to this registration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59" w:lineRule="exact"/>
        <w:rPr>
          <w:sz w:val="20"/>
          <w:szCs w:val="20"/>
          <w:color w:val="auto"/>
        </w:rPr>
      </w:pPr>
    </w:p>
    <w:p>
      <w:pPr>
        <w:sectPr>
          <w:pgSz w:w="11900" w:h="16838" w:orient="portrait"/>
          <w:cols w:equalWidth="0" w:num="2">
            <w:col w:w="8420" w:space="180"/>
            <w:col w:w="779"/>
          </w:cols>
          <w:pgMar w:left="1080" w:top="131" w:right="1440" w:bottom="1440" w:gutter="0" w:footer="0" w:header="0"/>
          <w:type w:val="continuous"/>
        </w:sectPr>
      </w:pPr>
    </w:p>
    <w:p>
      <w:pPr>
        <w:ind w:left="1140"/>
        <w:spacing w:after="0"/>
        <w:rPr>
          <w:sz w:val="20"/>
          <w:szCs w:val="20"/>
          <w:color w:val="auto"/>
        </w:rPr>
      </w:pPr>
      <w:r>
        <w:rPr>
          <w:rFonts w:ascii="Arial" w:cs="Arial" w:eastAsia="Arial" w:hAnsi="Arial"/>
          <w:sz w:val="16"/>
          <w:szCs w:val="16"/>
          <w:b w:val="1"/>
          <w:bCs w:val="1"/>
          <w:color w:val="auto"/>
        </w:rPr>
        <w:t>Item 17. Undertakings.</w:t>
      </w:r>
    </w:p>
    <w:p>
      <w:pPr>
        <w:spacing w:after="0" w:line="151" w:lineRule="exact"/>
        <w:rPr>
          <w:sz w:val="20"/>
          <w:szCs w:val="20"/>
          <w:color w:val="auto"/>
        </w:rPr>
      </w:pPr>
    </w:p>
    <w:p>
      <w:pPr>
        <w:ind w:left="1800" w:hanging="339"/>
        <w:spacing w:after="0"/>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135" w:lineRule="exact"/>
        <w:rPr>
          <w:rFonts w:ascii="Arial" w:cs="Arial" w:eastAsia="Arial" w:hAnsi="Arial"/>
          <w:sz w:val="16"/>
          <w:szCs w:val="16"/>
          <w:color w:val="auto"/>
        </w:rPr>
      </w:pPr>
    </w:p>
    <w:p>
      <w:pPr>
        <w:ind w:left="1460" w:right="799" w:firstLine="328"/>
        <w:spacing w:after="0" w:line="287" w:lineRule="auto"/>
        <w:tabs>
          <w:tab w:leader="none" w:pos="2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87" w:lineRule="exact"/>
        <w:rPr>
          <w:rFonts w:ascii="Arial" w:cs="Arial" w:eastAsia="Arial" w:hAnsi="Arial"/>
          <w:sz w:val="16"/>
          <w:szCs w:val="16"/>
          <w:color w:val="auto"/>
        </w:rPr>
      </w:pPr>
    </w:p>
    <w:p>
      <w:pPr>
        <w:ind w:left="2400" w:hanging="284"/>
        <w:spacing w:after="0"/>
        <w:tabs>
          <w:tab w:leader="none" w:pos="2400"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147" w:lineRule="exact"/>
        <w:rPr>
          <w:rFonts w:ascii="Arial" w:cs="Arial" w:eastAsia="Arial" w:hAnsi="Arial"/>
          <w:sz w:val="16"/>
          <w:szCs w:val="16"/>
          <w:color w:val="auto"/>
        </w:rPr>
      </w:pPr>
    </w:p>
    <w:p>
      <w:pPr>
        <w:ind w:left="1780" w:right="799" w:firstLine="335"/>
        <w:spacing w:after="0" w:line="259" w:lineRule="auto"/>
        <w:tabs>
          <w:tab w:leader="none" w:pos="2449"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00" w:lineRule="exact"/>
        <w:rPr>
          <w:rFonts w:ascii="Arial" w:cs="Arial" w:eastAsia="Arial" w:hAnsi="Arial"/>
          <w:sz w:val="16"/>
          <w:szCs w:val="16"/>
          <w:color w:val="auto"/>
        </w:rPr>
      </w:pPr>
    </w:p>
    <w:p>
      <w:pPr>
        <w:ind w:left="1780" w:right="819" w:firstLine="335"/>
        <w:spacing w:after="0" w:line="271" w:lineRule="auto"/>
        <w:tabs>
          <w:tab w:leader="none" w:pos="2498"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this registration statement or any material change to the information in this registration statement;</w:t>
      </w:r>
    </w:p>
    <w:p>
      <w:pPr>
        <w:spacing w:after="0" w:line="101" w:lineRule="exact"/>
        <w:rPr>
          <w:sz w:val="20"/>
          <w:szCs w:val="20"/>
          <w:color w:val="auto"/>
        </w:rPr>
      </w:pPr>
    </w:p>
    <w:p>
      <w:pPr>
        <w:ind w:left="1460" w:right="819"/>
        <w:spacing w:after="0" w:line="263"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above do not apply if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08" w:lineRule="exact"/>
        <w:rPr>
          <w:sz w:val="20"/>
          <w:szCs w:val="20"/>
          <w:color w:val="auto"/>
        </w:rPr>
      </w:pPr>
    </w:p>
    <w:p>
      <w:pPr>
        <w:ind w:left="1460" w:right="859" w:firstLine="328"/>
        <w:spacing w:after="0" w:line="266" w:lineRule="auto"/>
        <w:tabs>
          <w:tab w:leader="none" w:pos="2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92" w:lineRule="exact"/>
        <w:rPr>
          <w:rFonts w:ascii="Arial" w:cs="Arial" w:eastAsia="Arial" w:hAnsi="Arial"/>
          <w:sz w:val="16"/>
          <w:szCs w:val="16"/>
          <w:color w:val="auto"/>
        </w:rPr>
      </w:pPr>
    </w:p>
    <w:p>
      <w:pPr>
        <w:ind w:left="1460" w:right="1099" w:firstLine="328"/>
        <w:spacing w:after="0" w:line="287" w:lineRule="auto"/>
        <w:tabs>
          <w:tab w:leader="none" w:pos="21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120" w:hanging="332"/>
        <w:spacing w:after="0"/>
        <w:tabs>
          <w:tab w:leader="none" w:pos="2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147" w:lineRule="exact"/>
        <w:rPr>
          <w:rFonts w:ascii="Arial" w:cs="Arial" w:eastAsia="Arial" w:hAnsi="Arial"/>
          <w:sz w:val="16"/>
          <w:szCs w:val="16"/>
          <w:color w:val="auto"/>
        </w:rPr>
      </w:pPr>
    </w:p>
    <w:p>
      <w:pPr>
        <w:ind w:left="1780" w:right="919" w:firstLine="335"/>
        <w:spacing w:after="0" w:line="263" w:lineRule="auto"/>
        <w:tabs>
          <w:tab w:leader="none" w:pos="2404" w:val="left"/>
        </w:tabs>
        <w:numPr>
          <w:ilvl w:val="2"/>
          <w:numId w:val="20"/>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Arial" w:cs="Arial" w:eastAsia="Arial" w:hAnsi="Arial"/>
          <w:sz w:val="16"/>
          <w:szCs w:val="16"/>
          <w:color w:val="auto"/>
        </w:rPr>
      </w:pPr>
    </w:p>
    <w:p>
      <w:pPr>
        <w:ind w:left="1780" w:right="799" w:firstLine="335"/>
        <w:spacing w:after="0" w:line="265" w:lineRule="auto"/>
        <w:tabs>
          <w:tab w:leader="none" w:pos="2452" w:val="left"/>
        </w:tabs>
        <w:numPr>
          <w:ilvl w:val="2"/>
          <w:numId w:val="20"/>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3" w:lineRule="exact"/>
        <w:rPr>
          <w:rFonts w:ascii="Arial" w:cs="Arial" w:eastAsia="Arial" w:hAnsi="Arial"/>
          <w:sz w:val="15"/>
          <w:szCs w:val="15"/>
          <w:color w:val="auto"/>
        </w:rPr>
      </w:pPr>
    </w:p>
    <w:p>
      <w:pPr>
        <w:ind w:left="1460" w:right="879" w:firstLine="328"/>
        <w:spacing w:after="0" w:line="247" w:lineRule="auto"/>
        <w:tabs>
          <w:tab w:leader="none" w:pos="21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6"/>
          <w:szCs w:val="16"/>
          <w:color w:val="auto"/>
        </w:rPr>
      </w:pPr>
    </w:p>
    <w:p>
      <w:pPr>
        <w:ind w:left="1780" w:right="1079" w:firstLine="335"/>
        <w:spacing w:after="0" w:line="287" w:lineRule="auto"/>
        <w:tabs>
          <w:tab w:leader="none" w:pos="2395"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6"/>
          <w:szCs w:val="16"/>
          <w:color w:val="auto"/>
        </w:rPr>
      </w:pPr>
    </w:p>
    <w:p>
      <w:pPr>
        <w:ind w:left="1780" w:right="1239" w:firstLine="335"/>
        <w:spacing w:after="0" w:line="271" w:lineRule="auto"/>
        <w:tabs>
          <w:tab w:leader="none" w:pos="2443"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87" w:lineRule="exact"/>
        <w:rPr>
          <w:rFonts w:ascii="Arial" w:cs="Arial" w:eastAsia="Arial" w:hAnsi="Arial"/>
          <w:sz w:val="16"/>
          <w:szCs w:val="16"/>
          <w:color w:val="auto"/>
        </w:rPr>
      </w:pPr>
    </w:p>
    <w:p>
      <w:pPr>
        <w:ind w:left="1780" w:right="919" w:firstLine="335"/>
        <w:spacing w:after="0" w:line="263" w:lineRule="auto"/>
        <w:tabs>
          <w:tab w:leader="none" w:pos="2498"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Arial" w:cs="Arial" w:eastAsia="Arial" w:hAnsi="Arial"/>
          <w:sz w:val="16"/>
          <w:szCs w:val="16"/>
          <w:color w:val="auto"/>
        </w:rPr>
      </w:pPr>
    </w:p>
    <w:p>
      <w:pPr>
        <w:ind w:left="1780" w:right="1279" w:firstLine="335"/>
        <w:spacing w:after="0" w:line="271" w:lineRule="auto"/>
        <w:tabs>
          <w:tab w:leader="none" w:pos="248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87" w:lineRule="exact"/>
        <w:rPr>
          <w:rFonts w:ascii="Arial" w:cs="Arial" w:eastAsia="Arial" w:hAnsi="Arial"/>
          <w:sz w:val="16"/>
          <w:szCs w:val="16"/>
          <w:color w:val="auto"/>
        </w:rPr>
      </w:pPr>
    </w:p>
    <w:p>
      <w:pPr>
        <w:ind w:left="1140" w:right="819" w:firstLine="321"/>
        <w:spacing w:after="0" w:line="252" w:lineRule="auto"/>
        <w:tabs>
          <w:tab w:leader="none" w:pos="17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04" w:lineRule="exact"/>
        <w:rPr>
          <w:rFonts w:ascii="Arial" w:cs="Arial" w:eastAsia="Arial" w:hAnsi="Arial"/>
          <w:sz w:val="16"/>
          <w:szCs w:val="16"/>
          <w:color w:val="auto"/>
        </w:rPr>
      </w:pPr>
    </w:p>
    <w:p>
      <w:pPr>
        <w:ind w:left="1140" w:right="799" w:firstLine="321"/>
        <w:spacing w:after="0" w:line="247" w:lineRule="auto"/>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w:t>
      </w:r>
    </w:p>
    <w:p>
      <w:pPr>
        <w:spacing w:after="0" w:line="34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140" w:right="879"/>
        <w:spacing w:after="0" w:line="271" w:lineRule="auto"/>
        <w:rPr>
          <w:sz w:val="20"/>
          <w:szCs w:val="20"/>
          <w:color w:val="auto"/>
        </w:rPr>
      </w:pPr>
      <w:r>
        <w:rPr>
          <w:rFonts w:ascii="Arial" w:cs="Arial" w:eastAsia="Arial" w:hAnsi="Arial"/>
          <w:sz w:val="16"/>
          <w:szCs w:val="16"/>
          <w:color w:val="auto"/>
        </w:rPr>
        <w:t>controlling precedent, submit to a court of appropriate jurisdiction the question whether indemnification by it is against public policy as expressed in the Securities Act and will be governed by the final adjudication of the issue.</w:t>
      </w:r>
    </w:p>
    <w:p>
      <w:pPr>
        <w:spacing w:after="0" w:line="101" w:lineRule="exact"/>
        <w:rPr>
          <w:sz w:val="20"/>
          <w:szCs w:val="20"/>
          <w:color w:val="auto"/>
        </w:rPr>
      </w:pPr>
    </w:p>
    <w:p>
      <w:pPr>
        <w:ind w:left="1140" w:right="879" w:firstLine="321"/>
        <w:spacing w:after="0" w:line="287" w:lineRule="auto"/>
        <w:tabs>
          <w:tab w:leader="none" w:pos="17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w:t>
      </w:r>
    </w:p>
    <w:p>
      <w:pPr>
        <w:spacing w:after="0" w:line="87" w:lineRule="exact"/>
        <w:rPr>
          <w:rFonts w:ascii="Arial" w:cs="Arial" w:eastAsia="Arial" w:hAnsi="Arial"/>
          <w:sz w:val="16"/>
          <w:szCs w:val="16"/>
          <w:color w:val="auto"/>
        </w:rPr>
      </w:pPr>
    </w:p>
    <w:p>
      <w:pPr>
        <w:ind w:left="1460" w:right="899" w:firstLine="328"/>
        <w:spacing w:after="0" w:line="266" w:lineRule="auto"/>
        <w:tabs>
          <w:tab w:leader="none" w:pos="211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92" w:lineRule="exact"/>
        <w:rPr>
          <w:rFonts w:ascii="Arial" w:cs="Arial" w:eastAsia="Arial" w:hAnsi="Arial"/>
          <w:sz w:val="16"/>
          <w:szCs w:val="16"/>
          <w:color w:val="auto"/>
        </w:rPr>
      </w:pPr>
    </w:p>
    <w:p>
      <w:pPr>
        <w:ind w:left="1460" w:right="939" w:firstLine="328"/>
        <w:spacing w:after="0" w:line="271" w:lineRule="auto"/>
        <w:tabs>
          <w:tab w:leader="none" w:pos="2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ind w:left="1140" w:right="859" w:firstLine="327"/>
        <w:spacing w:after="0" w:line="277"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October 3, 2022.</w:t>
      </w:r>
    </w:p>
    <w:p>
      <w:pPr>
        <w:spacing w:after="0" w:line="165"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PLAINS GP HOLDINGS, L.P.</w:t>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By: PAA GP HOLDINGS LLC, its general partner</w:t>
      </w:r>
    </w:p>
    <w:p>
      <w:pPr>
        <w:spacing w:after="0" w:line="2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By: /s/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54610</wp:posOffset>
            </wp:positionV>
            <wp:extent cx="22440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2244090" cy="7620"/>
                    </a:xfrm>
                    <a:prstGeom prst="rect">
                      <a:avLst/>
                    </a:prstGeom>
                    <a:noFill/>
                  </pic:spPr>
                </pic:pic>
              </a:graphicData>
            </a:graphic>
          </wp:anchor>
        </w:drawing>
      </w:r>
    </w:p>
    <w:p>
      <w:pPr>
        <w:spacing w:after="0" w:line="10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Willie Chiang</w:t>
      </w:r>
    </w:p>
    <w:p>
      <w:pPr>
        <w:spacing w:after="0" w:line="2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Chairman of the Board and Chief</w:t>
      </w:r>
    </w:p>
    <w:p>
      <w:pPr>
        <w:spacing w:after="0" w:line="2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Executive Officer</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POWER OF ATTORNEY</w:t>
      </w:r>
    </w:p>
    <w:p>
      <w:pPr>
        <w:spacing w:after="0" w:line="151" w:lineRule="exact"/>
        <w:rPr>
          <w:sz w:val="20"/>
          <w:szCs w:val="20"/>
          <w:color w:val="auto"/>
        </w:rPr>
      </w:pPr>
    </w:p>
    <w:p>
      <w:pPr>
        <w:ind w:left="1140" w:right="799" w:firstLine="327"/>
        <w:spacing w:after="0" w:line="288" w:lineRule="auto"/>
        <w:rPr>
          <w:sz w:val="20"/>
          <w:szCs w:val="20"/>
          <w:color w:val="auto"/>
        </w:rPr>
      </w:pPr>
      <w:r>
        <w:rPr>
          <w:rFonts w:ascii="Arial" w:cs="Arial" w:eastAsia="Arial" w:hAnsi="Arial"/>
          <w:sz w:val="15"/>
          <w:szCs w:val="15"/>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04" w:lineRule="exact"/>
        <w:rPr>
          <w:sz w:val="20"/>
          <w:szCs w:val="20"/>
          <w:color w:val="auto"/>
        </w:rPr>
      </w:pPr>
    </w:p>
    <w:p>
      <w:pPr>
        <w:ind w:left="1140" w:right="819" w:firstLine="327"/>
        <w:spacing w:after="0" w:line="287"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below by the following persons in the capacities and on the dates indicated below.</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PAA GP HOLDINGS LLC, for itself and as the general partner of PLAINS GP HOLDINGS, L.P.</w:t>
      </w:r>
    </w:p>
    <w:p>
      <w:pPr>
        <w:jc w:val="both"/>
        <w:ind w:left="1140"/>
        <w:spacing w:after="0"/>
        <w:tabs>
          <w:tab w:leader="none" w:pos="2180" w:val="left"/>
          <w:tab w:leader="none" w:pos="3560" w:val="left"/>
          <w:tab w:leader="none" w:pos="5380" w:val="left"/>
          <w:tab w:leader="none" w:pos="7380" w:val="left"/>
          <w:tab w:leader="none" w:pos="7880" w:val="left"/>
          <w:tab w:leader="none" w:pos="8560" w:val="left"/>
        </w:tabs>
        <w:rPr>
          <w:sz w:val="20"/>
          <w:szCs w:val="20"/>
          <w:color w:val="auto"/>
        </w:rPr>
      </w:pPr>
      <w:r>
        <w:rPr>
          <w:rFonts w:ascii="Arial" w:cs="Arial" w:eastAsia="Arial" w:hAnsi="Arial"/>
          <w:sz w:val="22"/>
          <w:szCs w:val="22"/>
          <w:b w:val="1"/>
          <w:bCs w:val="1"/>
          <w:color w:val="auto"/>
          <w:vertAlign w:val="subscript"/>
        </w:rPr>
        <w:t>​</w:t>
      </w:r>
      <w:r>
        <w:rPr>
          <w:sz w:val="20"/>
          <w:szCs w:val="20"/>
          <w:color w:val="auto"/>
        </w:rPr>
        <w:tab/>
      </w:r>
      <w:r>
        <w:rPr>
          <w:rFonts w:ascii="Arial" w:cs="Arial" w:eastAsia="Arial" w:hAnsi="Arial"/>
          <w:sz w:val="12"/>
          <w:szCs w:val="12"/>
          <w:b w:val="1"/>
          <w:bCs w:val="1"/>
          <w:color w:val="auto"/>
        </w:rPr>
        <w:t>Name</w:t>
      </w:r>
      <w:r>
        <w:rPr>
          <w:sz w:val="20"/>
          <w:szCs w:val="20"/>
          <w:color w:val="auto"/>
        </w:rPr>
        <w:tab/>
      </w:r>
      <w:r>
        <w:rPr>
          <w:rFonts w:ascii="Arial" w:cs="Arial" w:eastAsia="Arial" w:hAnsi="Arial"/>
          <w:sz w:val="26"/>
          <w:szCs w:val="26"/>
          <w:b w:val="1"/>
          <w:bCs w:val="1"/>
          <w:color w:val="auto"/>
          <w:vertAlign w:val="subscript"/>
        </w:rPr>
        <w:t>​​</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26"/>
          <w:szCs w:val="26"/>
          <w:b w:val="1"/>
          <w:bCs w:val="1"/>
          <w:color w:val="auto"/>
          <w:vertAlign w:val="subscript"/>
        </w:rPr>
        <w:t>​​</w:t>
      </w:r>
      <w:r>
        <w:rPr>
          <w:sz w:val="20"/>
          <w:szCs w:val="20"/>
          <w:color w:val="auto"/>
        </w:rPr>
        <w:tab/>
      </w:r>
      <w:r>
        <w:rPr>
          <w:rFonts w:ascii="Arial" w:cs="Arial" w:eastAsia="Arial" w:hAnsi="Arial"/>
          <w:sz w:val="13"/>
          <w:szCs w:val="13"/>
          <w:b w:val="1"/>
          <w:bCs w:val="1"/>
          <w:color w:val="auto"/>
        </w:rPr>
        <w:t>Date</w:t>
      </w:r>
      <w:r>
        <w:rPr>
          <w:sz w:val="20"/>
          <w:szCs w:val="20"/>
          <w:color w:val="auto"/>
        </w:rPr>
        <w:tab/>
      </w:r>
      <w:r>
        <w:rPr>
          <w:rFonts w:ascii="Arial" w:cs="Arial" w:eastAsia="Arial" w:hAnsi="Arial"/>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20955</wp:posOffset>
            </wp:positionV>
            <wp:extent cx="4729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472948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2280" w:type="dxa"/>
            <w:vAlign w:val="bottom"/>
          </w:tcPr>
          <w:p>
            <w:pPr>
              <w:jc w:val="center"/>
              <w:ind w:right="58"/>
              <w:spacing w:after="0"/>
              <w:rPr>
                <w:sz w:val="20"/>
                <w:szCs w:val="20"/>
                <w:color w:val="auto"/>
              </w:rPr>
            </w:pPr>
            <w:r>
              <w:rPr>
                <w:rFonts w:ascii="Arial" w:cs="Arial" w:eastAsia="Arial" w:hAnsi="Arial"/>
                <w:sz w:val="16"/>
                <w:szCs w:val="16"/>
                <w:color w:val="auto"/>
              </w:rPr>
              <w:t>/s/ WILLIE CHIANG</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80" w:type="dxa"/>
            <w:vAlign w:val="bottom"/>
            <w:vMerge w:val="restart"/>
          </w:tcPr>
          <w:p>
            <w:pPr>
              <w:jc w:val="center"/>
              <w:spacing w:after="0"/>
              <w:rPr>
                <w:sz w:val="20"/>
                <w:szCs w:val="20"/>
                <w:color w:val="auto"/>
              </w:rPr>
            </w:pPr>
            <w:r>
              <w:rPr>
                <w:rFonts w:ascii="Arial" w:cs="Arial" w:eastAsia="Arial" w:hAnsi="Arial"/>
                <w:sz w:val="16"/>
                <w:szCs w:val="16"/>
                <w:color w:val="auto"/>
                <w:w w:val="98"/>
              </w:rPr>
              <w:t>Chairman of the Board and Chief Executive Officer</w:t>
            </w:r>
          </w:p>
        </w:tc>
        <w:tc>
          <w:tcPr>
            <w:tcW w:w="1220" w:type="dxa"/>
            <w:vAlign w:val="bottom"/>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220" w:type="dxa"/>
            <w:vAlign w:val="bottom"/>
            <w:vMerge w:val="restart"/>
          </w:tcPr>
          <w:p>
            <w:pPr>
              <w:ind w:left="120"/>
              <w:spacing w:after="0"/>
              <w:rPr>
                <w:sz w:val="20"/>
                <w:szCs w:val="20"/>
                <w:color w:val="auto"/>
              </w:rPr>
            </w:pPr>
            <w:r>
              <w:rPr>
                <w:rFonts w:ascii="Arial" w:cs="Arial" w:eastAsia="Arial" w:hAnsi="Arial"/>
                <w:sz w:val="16"/>
                <w:szCs w:val="16"/>
                <w:color w:val="auto"/>
                <w:w w:val="94"/>
              </w:rPr>
              <w:t>October 3, 2022</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vMerge w:val="restart"/>
          </w:tcPr>
          <w:p>
            <w:pPr>
              <w:jc w:val="center"/>
              <w:ind w:right="58"/>
              <w:spacing w:after="0"/>
              <w:rPr>
                <w:sz w:val="20"/>
                <w:szCs w:val="20"/>
                <w:color w:val="auto"/>
              </w:rPr>
            </w:pPr>
            <w:r>
              <w:rPr>
                <w:rFonts w:ascii="Arial" w:cs="Arial" w:eastAsia="Arial" w:hAnsi="Arial"/>
                <w:sz w:val="16"/>
                <w:szCs w:val="16"/>
                <w:color w:val="auto"/>
              </w:rPr>
              <w:t>Willie Chiang</w:t>
            </w:r>
          </w:p>
        </w:tc>
        <w:tc>
          <w:tcPr>
            <w:tcW w:w="120" w:type="dxa"/>
            <w:vAlign w:val="bottom"/>
          </w:tcPr>
          <w:p>
            <w:pPr>
              <w:spacing w:after="0"/>
              <w:rPr>
                <w:sz w:val="9"/>
                <w:szCs w:val="9"/>
                <w:color w:val="auto"/>
              </w:rPr>
            </w:pPr>
          </w:p>
        </w:tc>
        <w:tc>
          <w:tcPr>
            <w:tcW w:w="3680" w:type="dxa"/>
            <w:vAlign w:val="bottom"/>
            <w:vMerge w:val="restart"/>
          </w:tcPr>
          <w:p>
            <w:pPr>
              <w:jc w:val="center"/>
              <w:spacing w:after="0"/>
              <w:rPr>
                <w:sz w:val="20"/>
                <w:szCs w:val="20"/>
                <w:color w:val="auto"/>
              </w:rPr>
            </w:pPr>
            <w:r>
              <w:rPr>
                <w:rFonts w:ascii="Arial" w:cs="Arial" w:eastAsia="Arial" w:hAnsi="Arial"/>
                <w:sz w:val="16"/>
                <w:szCs w:val="16"/>
                <w:color w:val="auto"/>
              </w:rPr>
              <w:t>(Principal Executive Officer)</w:t>
            </w: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280" w:type="dxa"/>
            <w:vAlign w:val="bottom"/>
          </w:tcPr>
          <w:p>
            <w:pPr>
              <w:jc w:val="center"/>
              <w:ind w:right="58"/>
              <w:spacing w:after="0"/>
              <w:rPr>
                <w:sz w:val="20"/>
                <w:szCs w:val="20"/>
                <w:color w:val="auto"/>
              </w:rPr>
            </w:pPr>
            <w:r>
              <w:rPr>
                <w:rFonts w:ascii="Arial" w:cs="Arial" w:eastAsia="Arial" w:hAnsi="Arial"/>
                <w:sz w:val="16"/>
                <w:szCs w:val="16"/>
                <w:color w:val="auto"/>
                <w:w w:val="99"/>
              </w:rPr>
              <w:t>/s/ HARRY N. PEFANIS</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 and President</w:t>
            </w: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color w:val="auto"/>
              </w:rPr>
              <w:t>​​October 3, 2022​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ind w:right="58"/>
              <w:spacing w:after="0"/>
              <w:rPr>
                <w:sz w:val="20"/>
                <w:szCs w:val="20"/>
                <w:color w:val="auto"/>
              </w:rPr>
            </w:pPr>
            <w:r>
              <w:rPr>
                <w:rFonts w:ascii="Arial" w:cs="Arial" w:eastAsia="Arial" w:hAnsi="Arial"/>
                <w:sz w:val="16"/>
                <w:szCs w:val="16"/>
                <w:color w:val="auto"/>
                <w:w w:val="97"/>
              </w:rPr>
              <w:t>Harry N. Pefanis</w:t>
            </w: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rPr>
              <w:t>/s/ AL SWANSON</w:t>
            </w:r>
          </w:p>
        </w:tc>
        <w:tc>
          <w:tcPr>
            <w:tcW w:w="3800" w:type="dxa"/>
            <w:vAlign w:val="bottom"/>
            <w:gridSpan w:val="2"/>
          </w:tcPr>
          <w:p>
            <w:pPr>
              <w:ind w:left="2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Executive Vice President and Chief Financial Officer</w:t>
            </w:r>
          </w:p>
        </w:tc>
        <w:tc>
          <w:tcPr>
            <w:tcW w:w="1260" w:type="dxa"/>
            <w:vAlign w:val="bottom"/>
            <w:gridSpan w:val="2"/>
          </w:tcPr>
          <w:p>
            <w:pPr>
              <w:ind w:left="40"/>
              <w:spacing w:after="0"/>
              <w:rPr>
                <w:sz w:val="20"/>
                <w:szCs w:val="20"/>
                <w:color w:val="auto"/>
              </w:rPr>
            </w:pPr>
            <w:r>
              <w:rPr>
                <w:rFonts w:ascii="Arial" w:cs="Arial" w:eastAsia="Arial" w:hAnsi="Arial"/>
                <w:sz w:val="16"/>
                <w:szCs w:val="16"/>
                <w:color w:val="auto"/>
              </w:rPr>
              <w:t>​​October 3, 2022​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vMerge w:val="restart"/>
          </w:tcPr>
          <w:p>
            <w:pPr>
              <w:jc w:val="center"/>
              <w:ind w:right="58"/>
              <w:spacing w:after="0"/>
              <w:rPr>
                <w:sz w:val="20"/>
                <w:szCs w:val="20"/>
                <w:color w:val="auto"/>
              </w:rPr>
            </w:pPr>
            <w:r>
              <w:rPr>
                <w:rFonts w:ascii="Arial" w:cs="Arial" w:eastAsia="Arial" w:hAnsi="Arial"/>
                <w:sz w:val="16"/>
                <w:szCs w:val="16"/>
                <w:color w:val="auto"/>
                <w:w w:val="97"/>
              </w:rPr>
              <w:t>Al Swanson</w:t>
            </w:r>
          </w:p>
        </w:tc>
        <w:tc>
          <w:tcPr>
            <w:tcW w:w="120" w:type="dxa"/>
            <w:vAlign w:val="bottom"/>
          </w:tcPr>
          <w:p>
            <w:pPr>
              <w:spacing w:after="0"/>
              <w:rPr>
                <w:sz w:val="14"/>
                <w:szCs w:val="14"/>
                <w:color w:val="auto"/>
              </w:rPr>
            </w:pPr>
          </w:p>
        </w:tc>
        <w:tc>
          <w:tcPr>
            <w:tcW w:w="3680" w:type="dxa"/>
            <w:vAlign w:val="bottom"/>
          </w:tcPr>
          <w:p>
            <w:pPr>
              <w:jc w:val="center"/>
              <w:spacing w:after="0" w:line="164" w:lineRule="exact"/>
              <w:rPr>
                <w:sz w:val="20"/>
                <w:szCs w:val="20"/>
                <w:color w:val="auto"/>
              </w:rPr>
            </w:pPr>
            <w:r>
              <w:rPr>
                <w:rFonts w:ascii="Arial" w:cs="Arial" w:eastAsia="Arial" w:hAnsi="Arial"/>
                <w:sz w:val="16"/>
                <w:szCs w:val="16"/>
                <w:color w:val="auto"/>
              </w:rPr>
              <w:t>(Principal Financial Officer)</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ind w:right="58"/>
              <w:spacing w:after="0"/>
              <w:rPr>
                <w:sz w:val="20"/>
                <w:szCs w:val="20"/>
                <w:color w:val="auto"/>
              </w:rPr>
            </w:pPr>
            <w:r>
              <w:rPr>
                <w:rFonts w:ascii="Arial" w:cs="Arial" w:eastAsia="Arial" w:hAnsi="Arial"/>
                <w:sz w:val="16"/>
                <w:szCs w:val="16"/>
                <w:color w:val="auto"/>
              </w:rPr>
              <w:t>/s/ CHRIS HERBOLD</w:t>
            </w:r>
          </w:p>
        </w:tc>
        <w:tc>
          <w:tcPr>
            <w:tcW w:w="1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w w:val="97"/>
              </w:rPr>
              <w:t>Senior Vice President, Finance and Chief Accounting</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280" w:type="dxa"/>
            <w:vAlign w:val="bottom"/>
            <w:vMerge w:val="restart"/>
          </w:tcPr>
          <w:p>
            <w:pPr>
              <w:jc w:val="center"/>
              <w:ind w:right="58"/>
              <w:spacing w:after="0"/>
              <w:rPr>
                <w:sz w:val="20"/>
                <w:szCs w:val="20"/>
                <w:color w:val="auto"/>
              </w:rPr>
            </w:pPr>
            <w:r>
              <w:rPr>
                <w:rFonts w:ascii="Arial" w:cs="Arial" w:eastAsia="Arial" w:hAnsi="Arial"/>
                <w:sz w:val="16"/>
                <w:szCs w:val="16"/>
                <w:color w:val="auto"/>
              </w:rPr>
              <w:t>Chris Herbold</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80" w:type="dxa"/>
            <w:vAlign w:val="bottom"/>
          </w:tcPr>
          <w:p>
            <w:pPr>
              <w:jc w:val="center"/>
              <w:spacing w:after="0"/>
              <w:rPr>
                <w:sz w:val="20"/>
                <w:szCs w:val="20"/>
                <w:color w:val="auto"/>
              </w:rPr>
            </w:pPr>
            <w:r>
              <w:rPr>
                <w:rFonts w:ascii="Arial" w:cs="Arial" w:eastAsia="Arial" w:hAnsi="Arial"/>
                <w:sz w:val="16"/>
                <w:szCs w:val="16"/>
                <w:color w:val="auto"/>
              </w:rPr>
              <w:t>Officer</w:t>
            </w:r>
          </w:p>
        </w:tc>
        <w:tc>
          <w:tcPr>
            <w:tcW w:w="1260" w:type="dxa"/>
            <w:vAlign w:val="bottom"/>
            <w:gridSpan w:val="2"/>
          </w:tcPr>
          <w:p>
            <w:pPr>
              <w:ind w:left="40"/>
              <w:spacing w:after="0"/>
              <w:rPr>
                <w:sz w:val="20"/>
                <w:szCs w:val="20"/>
                <w:color w:val="auto"/>
              </w:rPr>
            </w:pPr>
            <w:r>
              <w:rPr>
                <w:rFonts w:ascii="Arial" w:cs="Arial" w:eastAsia="Arial" w:hAnsi="Arial"/>
                <w:sz w:val="16"/>
                <w:szCs w:val="16"/>
                <w:color w:val="auto"/>
              </w:rPr>
              <w:t>​​October 3, 2022​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vMerge w:val="restart"/>
          </w:tcPr>
          <w:p>
            <w:pPr>
              <w:jc w:val="center"/>
              <w:spacing w:after="0"/>
              <w:rPr>
                <w:sz w:val="20"/>
                <w:szCs w:val="20"/>
                <w:color w:val="auto"/>
              </w:rPr>
            </w:pPr>
            <w:r>
              <w:rPr>
                <w:rFonts w:ascii="Arial" w:cs="Arial" w:eastAsia="Arial" w:hAnsi="Arial"/>
                <w:sz w:val="16"/>
                <w:szCs w:val="16"/>
                <w:color w:val="auto"/>
              </w:rPr>
              <w:t>(Principal Accounting Officer)</w:t>
            </w: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5"/>
        </w:trPr>
        <w:tc>
          <w:tcPr>
            <w:tcW w:w="1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2280" w:type="dxa"/>
            <w:vAlign w:val="bottom"/>
          </w:tcPr>
          <w:p>
            <w:pPr>
              <w:jc w:val="center"/>
              <w:ind w:right="78"/>
              <w:spacing w:after="0"/>
              <w:rPr>
                <w:sz w:val="20"/>
                <w:szCs w:val="20"/>
                <w:color w:val="auto"/>
              </w:rPr>
            </w:pPr>
            <w:r>
              <w:rPr>
                <w:rFonts w:ascii="Arial" w:cs="Arial" w:eastAsia="Arial" w:hAnsi="Arial"/>
                <w:sz w:val="16"/>
                <w:szCs w:val="16"/>
                <w:color w:val="auto"/>
              </w:rPr>
              <w:t>/s/ GREG L. ARMSTRONG</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80" w:type="dxa"/>
            <w:vAlign w:val="bottom"/>
            <w:vMerge w:val="restart"/>
          </w:tcPr>
          <w:p>
            <w:pPr>
              <w:jc w:val="center"/>
              <w:spacing w:after="0"/>
              <w:rPr>
                <w:sz w:val="20"/>
                <w:szCs w:val="20"/>
                <w:color w:val="auto"/>
              </w:rPr>
            </w:pPr>
            <w:r>
              <w:rPr>
                <w:rFonts w:ascii="Arial" w:cs="Arial" w:eastAsia="Arial" w:hAnsi="Arial"/>
                <w:sz w:val="16"/>
                <w:szCs w:val="16"/>
                <w:color w:val="auto"/>
              </w:rPr>
              <w:t>Director</w:t>
            </w: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color w:val="auto"/>
              </w:rPr>
              <w:t>​​October 3, 2022​</w:t>
            </w:r>
          </w:p>
        </w:tc>
        <w:tc>
          <w:tcPr>
            <w:tcW w:w="0" w:type="dxa"/>
            <w:vAlign w:val="bottom"/>
          </w:tcPr>
          <w:p>
            <w:pPr>
              <w:spacing w:after="0"/>
              <w:rPr>
                <w:sz w:val="1"/>
                <w:szCs w:val="1"/>
                <w:color w:val="auto"/>
              </w:rPr>
            </w:pPr>
          </w:p>
        </w:tc>
      </w:tr>
      <w:tr>
        <w:trPr>
          <w:trHeight w:val="50"/>
        </w:trPr>
        <w:tc>
          <w:tcPr>
            <w:tcW w:w="140" w:type="dxa"/>
            <w:vAlign w:val="bottom"/>
            <w:tcBorders>
              <w:bottom w:val="single" w:sz="8" w:color="auto"/>
            </w:tcBorders>
            <w:gridSpan w:val="2"/>
            <w:vMerge w:val="continue"/>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-575945</wp:posOffset>
            </wp:positionV>
            <wp:extent cx="15347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6"/>
          <w:szCs w:val="16"/>
          <w:color w:val="auto"/>
        </w:rPr>
        <w:t>Greg L. Armstrong</w:t>
      </w:r>
    </w:p>
    <w:p>
      <w:pPr>
        <w:spacing w:after="0" w:line="36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620395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1">
            <w:col w:w="9379"/>
          </w:cols>
          <w:pgMar w:left="1080" w:top="131"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53" w:lineRule="exact"/>
        <w:rPr>
          <w:sz w:val="20"/>
          <w:szCs w:val="20"/>
          <w:color w:val="auto"/>
        </w:rPr>
      </w:pPr>
    </w:p>
    <w:p>
      <w:pPr>
        <w:ind w:left="1140"/>
        <w:spacing w:after="0"/>
        <w:tabs>
          <w:tab w:leader="none" w:pos="2180" w:val="left"/>
          <w:tab w:leader="none" w:pos="3560" w:val="left"/>
        </w:tabs>
        <w:rPr>
          <w:sz w:val="20"/>
          <w:szCs w:val="20"/>
          <w:color w:val="auto"/>
        </w:rPr>
      </w:pPr>
      <w:r>
        <w:rPr>
          <w:rFonts w:ascii="Arial" w:cs="Arial" w:eastAsia="Arial" w:hAnsi="Arial"/>
          <w:sz w:val="26"/>
          <w:szCs w:val="26"/>
          <w:b w:val="1"/>
          <w:bCs w:val="1"/>
          <w:color w:val="auto"/>
          <w:vertAlign w:val="subscript"/>
        </w:rPr>
        <w:t>​</w:t>
      </w:r>
      <w:r>
        <w:rPr>
          <w:sz w:val="20"/>
          <w:szCs w:val="20"/>
          <w:color w:val="auto"/>
        </w:rPr>
        <w:tab/>
      </w:r>
      <w:r>
        <w:rPr>
          <w:rFonts w:ascii="Arial" w:cs="Arial" w:eastAsia="Arial" w:hAnsi="Arial"/>
          <w:sz w:val="13"/>
          <w:szCs w:val="13"/>
          <w:b w:val="1"/>
          <w:bCs w:val="1"/>
          <w:color w:val="auto"/>
        </w:rPr>
        <w:t>Name</w:t>
      </w:r>
      <w:r>
        <w:rPr>
          <w:sz w:val="20"/>
          <w:szCs w:val="20"/>
          <w:color w:val="auto"/>
        </w:rPr>
        <w:tab/>
      </w:r>
      <w:r>
        <w:rPr>
          <w:rFonts w:ascii="Arial" w:cs="Arial" w:eastAsia="Arial" w:hAnsi="Arial"/>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27305</wp:posOffset>
            </wp:positionV>
            <wp:extent cx="154241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2240" w:type="dxa"/>
            <w:vAlign w:val="bottom"/>
          </w:tcPr>
          <w:p>
            <w:pPr>
              <w:jc w:val="center"/>
              <w:ind w:right="102"/>
              <w:spacing w:after="0"/>
              <w:rPr>
                <w:sz w:val="20"/>
                <w:szCs w:val="20"/>
                <w:color w:val="auto"/>
              </w:rPr>
            </w:pPr>
            <w:r>
              <w:rPr>
                <w:rFonts w:ascii="Arial" w:cs="Arial" w:eastAsia="Arial" w:hAnsi="Arial"/>
                <w:sz w:val="16"/>
                <w:szCs w:val="16"/>
                <w:color w:val="auto"/>
              </w:rPr>
              <w:t>/s/ VICTOR BURK</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jc w:val="center"/>
              <w:ind w:right="102"/>
              <w:spacing w:after="0"/>
              <w:rPr>
                <w:sz w:val="20"/>
                <w:szCs w:val="20"/>
                <w:color w:val="auto"/>
              </w:rPr>
            </w:pPr>
            <w:r>
              <w:rPr>
                <w:rFonts w:ascii="Arial" w:cs="Arial" w:eastAsia="Arial" w:hAnsi="Arial"/>
                <w:sz w:val="16"/>
                <w:szCs w:val="16"/>
                <w:color w:val="auto"/>
              </w:rPr>
              <w:t>Victor Burk</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240" w:type="dxa"/>
            <w:vAlign w:val="bottom"/>
          </w:tcPr>
          <w:p>
            <w:pPr>
              <w:jc w:val="center"/>
              <w:ind w:right="162"/>
              <w:spacing w:after="0"/>
              <w:rPr>
                <w:sz w:val="20"/>
                <w:szCs w:val="20"/>
                <w:color w:val="auto"/>
              </w:rPr>
            </w:pPr>
            <w:r>
              <w:rPr>
                <w:rFonts w:ascii="Arial" w:cs="Arial" w:eastAsia="Arial" w:hAnsi="Arial"/>
                <w:sz w:val="10"/>
                <w:szCs w:val="10"/>
                <w:color w:val="auto"/>
                <w:w w:val="71"/>
              </w:rPr>
              <w:t> </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240" w:type="dxa"/>
            <w:vAlign w:val="bottom"/>
            <w:vMerge w:val="restart"/>
          </w:tcPr>
          <w:p>
            <w:pPr>
              <w:jc w:val="center"/>
              <w:ind w:right="102"/>
              <w:spacing w:after="0"/>
              <w:rPr>
                <w:sz w:val="20"/>
                <w:szCs w:val="20"/>
                <w:color w:val="auto"/>
              </w:rPr>
            </w:pPr>
            <w:r>
              <w:rPr>
                <w:rFonts w:ascii="Arial" w:cs="Arial" w:eastAsia="Arial" w:hAnsi="Arial"/>
                <w:sz w:val="16"/>
                <w:szCs w:val="16"/>
                <w:color w:val="auto"/>
                <w:w w:val="97"/>
              </w:rPr>
              <w:t>Ellen R. DeSanctis</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240" w:type="dxa"/>
            <w:vAlign w:val="bottom"/>
          </w:tcPr>
          <w:p>
            <w:pPr>
              <w:jc w:val="center"/>
              <w:ind w:right="122"/>
              <w:spacing w:after="0"/>
              <w:rPr>
                <w:sz w:val="20"/>
                <w:szCs w:val="20"/>
                <w:color w:val="auto"/>
              </w:rPr>
            </w:pPr>
            <w:r>
              <w:rPr>
                <w:rFonts w:ascii="Arial" w:cs="Arial" w:eastAsia="Arial" w:hAnsi="Arial"/>
                <w:sz w:val="16"/>
                <w:szCs w:val="16"/>
                <w:color w:val="auto"/>
              </w:rPr>
              <w:t>/s/ KEVIN MCCARTHY</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jc w:val="center"/>
              <w:ind w:right="102"/>
              <w:spacing w:after="0"/>
              <w:rPr>
                <w:sz w:val="20"/>
                <w:szCs w:val="20"/>
                <w:color w:val="auto"/>
              </w:rPr>
            </w:pPr>
            <w:r>
              <w:rPr>
                <w:rFonts w:ascii="Arial" w:cs="Arial" w:eastAsia="Arial" w:hAnsi="Arial"/>
                <w:sz w:val="16"/>
                <w:szCs w:val="16"/>
                <w:color w:val="auto"/>
              </w:rPr>
              <w:t>Kevin McCarthy</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240" w:type="dxa"/>
            <w:vAlign w:val="bottom"/>
          </w:tcPr>
          <w:p>
            <w:pPr>
              <w:jc w:val="center"/>
              <w:ind w:right="102"/>
              <w:spacing w:after="0"/>
              <w:rPr>
                <w:sz w:val="20"/>
                <w:szCs w:val="20"/>
                <w:color w:val="auto"/>
              </w:rPr>
            </w:pPr>
            <w:r>
              <w:rPr>
                <w:rFonts w:ascii="Arial" w:cs="Arial" w:eastAsia="Arial" w:hAnsi="Arial"/>
                <w:sz w:val="16"/>
                <w:szCs w:val="16"/>
                <w:color w:val="auto"/>
                <w:w w:val="97"/>
              </w:rPr>
              <w:t>/s/ GARY R. PETERSEN</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jc w:val="center"/>
              <w:ind w:right="122"/>
              <w:spacing w:after="0"/>
              <w:rPr>
                <w:sz w:val="20"/>
                <w:szCs w:val="20"/>
                <w:color w:val="auto"/>
              </w:rPr>
            </w:pPr>
            <w:r>
              <w:rPr>
                <w:rFonts w:ascii="Arial" w:cs="Arial" w:eastAsia="Arial" w:hAnsi="Arial"/>
                <w:sz w:val="16"/>
                <w:szCs w:val="16"/>
                <w:color w:val="auto"/>
                <w:w w:val="93"/>
              </w:rPr>
              <w:t>Gary R. Petersen</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-1136015</wp:posOffset>
            </wp:positionV>
            <wp:extent cx="15347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106" w:lineRule="exact"/>
        <w:rPr>
          <w:sz w:val="20"/>
          <w:szCs w:val="20"/>
          <w:color w:val="auto"/>
        </w:rPr>
      </w:pPr>
    </w:p>
    <w:p>
      <w:pPr>
        <w:ind w:left="1640" w:right="320" w:hanging="506"/>
        <w:spacing w:after="0" w:line="301" w:lineRule="auto"/>
        <w:tabs>
          <w:tab w:leader="none" w:pos="1263" w:val="left"/>
        </w:tabs>
        <w:numPr>
          <w:ilvl w:val="0"/>
          <w:numId w:val="23"/>
        </w:numPr>
        <w:rPr>
          <w:rFonts w:ascii="Arial" w:cs="Arial" w:eastAsia="Arial" w:hAnsi="Arial"/>
          <w:sz w:val="33"/>
          <w:szCs w:val="33"/>
          <w:color w:val="auto"/>
          <w:vertAlign w:val="subscript"/>
        </w:rPr>
      </w:pPr>
      <w:r>
        <w:rPr>
          <w:rFonts w:ascii="Arial" w:cs="Arial" w:eastAsia="Arial" w:hAnsi="Arial"/>
          <w:sz w:val="16"/>
          <w:szCs w:val="16"/>
          <w:color w:val="auto"/>
        </w:rPr>
        <w:t xml:space="preserve">/s/ ALEXANDRA D. PRUNER </w:t>
      </w:r>
      <w:r>
        <w:rPr>
          <w:rFonts w:ascii="Arial" w:cs="Arial" w:eastAsia="Arial" w:hAnsi="Arial"/>
          <w:sz w:val="32"/>
          <w:szCs w:val="32"/>
          <w:color w:val="auto"/>
          <w:vertAlign w:val="subscript"/>
        </w:rPr>
        <w:t>​​</w:t>
      </w:r>
      <w:r>
        <w:rPr>
          <w:rFonts w:ascii="Arial" w:cs="Arial" w:eastAsia="Arial" w:hAnsi="Arial"/>
          <w:sz w:val="16"/>
          <w:szCs w:val="16"/>
          <w:color w:val="auto"/>
        </w:rPr>
        <w:t xml:space="preserve">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-215900</wp:posOffset>
            </wp:positionV>
            <wp:extent cx="15347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300" w:type="dxa"/>
            <w:vAlign w:val="bottom"/>
          </w:tcPr>
          <w:p>
            <w:pPr>
              <w:jc w:val="center"/>
              <w:ind w:right="38"/>
              <w:spacing w:after="0"/>
              <w:rPr>
                <w:sz w:val="20"/>
                <w:szCs w:val="20"/>
                <w:color w:val="auto"/>
              </w:rPr>
            </w:pPr>
            <w:r>
              <w:rPr>
                <w:rFonts w:ascii="Arial" w:cs="Arial" w:eastAsia="Arial" w:hAnsi="Arial"/>
                <w:sz w:val="16"/>
                <w:szCs w:val="16"/>
                <w:color w:val="auto"/>
              </w:rPr>
              <w:t>/s/ JOHN T. RAYMOND</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jc w:val="center"/>
              <w:ind w:right="58"/>
              <w:spacing w:after="0"/>
              <w:rPr>
                <w:sz w:val="20"/>
                <w:szCs w:val="20"/>
                <w:color w:val="auto"/>
              </w:rPr>
            </w:pPr>
            <w:r>
              <w:rPr>
                <w:rFonts w:ascii="Arial" w:cs="Arial" w:eastAsia="Arial" w:hAnsi="Arial"/>
                <w:sz w:val="16"/>
                <w:szCs w:val="16"/>
                <w:color w:val="auto"/>
                <w:w w:val="94"/>
              </w:rPr>
              <w:t>John T. Raymond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/s/ BOBBY S. SHACKOULS</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jc w:val="center"/>
              <w:ind w:right="38"/>
              <w:spacing w:after="0"/>
              <w:rPr>
                <w:sz w:val="20"/>
                <w:szCs w:val="20"/>
                <w:color w:val="auto"/>
              </w:rPr>
            </w:pPr>
            <w:r>
              <w:rPr>
                <w:rFonts w:ascii="Arial" w:cs="Arial" w:eastAsia="Arial" w:hAnsi="Arial"/>
                <w:sz w:val="16"/>
                <w:szCs w:val="16"/>
                <w:color w:val="auto"/>
                <w:w w:val="96"/>
              </w:rPr>
              <w:t>Bobby S. Shackouls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560" w:right="320" w:hanging="426"/>
        <w:spacing w:after="0" w:line="292" w:lineRule="auto"/>
        <w:tabs>
          <w:tab w:leader="none" w:pos="1210" w:val="left"/>
        </w:tabs>
        <w:numPr>
          <w:ilvl w:val="0"/>
          <w:numId w:val="24"/>
        </w:numPr>
        <w:rPr>
          <w:rFonts w:ascii="Arial" w:cs="Arial" w:eastAsia="Arial" w:hAnsi="Arial"/>
          <w:sz w:val="33"/>
          <w:szCs w:val="33"/>
          <w:color w:val="auto"/>
          <w:vertAlign w:val="subscript"/>
        </w:rPr>
      </w:pPr>
      <w:r>
        <w:rPr>
          <w:rFonts w:ascii="Arial" w:cs="Arial" w:eastAsia="Arial" w:hAnsi="Arial"/>
          <w:sz w:val="16"/>
          <w:szCs w:val="16"/>
          <w:color w:val="auto"/>
        </w:rPr>
        <w:t xml:space="preserve">/s/ CHRISTOPHER M. TEMPLE </w:t>
      </w:r>
      <w:r>
        <w:rPr>
          <w:rFonts w:ascii="Arial" w:cs="Arial" w:eastAsia="Arial" w:hAnsi="Arial"/>
          <w:sz w:val="32"/>
          <w:szCs w:val="32"/>
          <w:color w:val="auto"/>
          <w:vertAlign w:val="subscript"/>
        </w:rPr>
        <w:t>​​</w:t>
      </w:r>
      <w:r>
        <w:rPr>
          <w:rFonts w:ascii="Arial" w:cs="Arial" w:eastAsia="Arial" w:hAnsi="Arial"/>
          <w:sz w:val="16"/>
          <w:szCs w:val="16"/>
          <w:color w:val="auto"/>
        </w:rPr>
        <w:t xml:space="preserve">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-201930</wp:posOffset>
            </wp:positionV>
            <wp:extent cx="15347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ind w:left="1320" w:right="320" w:hanging="478"/>
        <w:spacing w:after="0" w:line="380" w:lineRule="auto"/>
        <w:tabs>
          <w:tab w:leader="none" w:pos="1300" w:val="left"/>
        </w:tabs>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ab/>
        <w:t xml:space="preserve">/s/ LAWRENCE M. ZIEMBA </w:t>
      </w:r>
      <w:r>
        <w:rPr>
          <w:rFonts w:ascii="Arial" w:cs="Arial" w:eastAsia="Arial" w:hAnsi="Arial"/>
          <w:sz w:val="32"/>
          <w:szCs w:val="32"/>
          <w:color w:val="auto"/>
          <w:vertAlign w:val="subscript"/>
        </w:rPr>
        <w:t>​​</w:t>
      </w:r>
      <w:r>
        <w:rPr>
          <w:rFonts w:ascii="Arial" w:cs="Arial" w:eastAsia="Arial" w:hAnsi="Arial"/>
          <w:sz w:val="16"/>
          <w:szCs w:val="16"/>
          <w:color w:val="auto"/>
        </w:rPr>
        <w:t xml:space="preserve">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-290830</wp:posOffset>
            </wp:positionV>
            <wp:extent cx="153479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0"/>
        <w:spacing w:after="0"/>
        <w:tabs>
          <w:tab w:leader="none" w:pos="2660" w:val="left"/>
          <w:tab w:leader="none" w:pos="3160" w:val="left"/>
          <w:tab w:leader="none" w:pos="384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26"/>
          <w:szCs w:val="26"/>
          <w:b w:val="1"/>
          <w:bCs w:val="1"/>
          <w:color w:val="auto"/>
          <w:vertAlign w:val="subscript"/>
        </w:rPr>
        <w:t>​​</w:t>
      </w:r>
      <w:r>
        <w:rPr>
          <w:sz w:val="20"/>
          <w:szCs w:val="20"/>
          <w:color w:val="auto"/>
        </w:rPr>
        <w:tab/>
      </w:r>
      <w:r>
        <w:rPr>
          <w:rFonts w:ascii="Arial" w:cs="Arial" w:eastAsia="Arial" w:hAnsi="Arial"/>
          <w:sz w:val="13"/>
          <w:szCs w:val="13"/>
          <w:b w:val="1"/>
          <w:bCs w:val="1"/>
          <w:color w:val="auto"/>
        </w:rPr>
        <w:t>Date</w:t>
      </w:r>
      <w:r>
        <w:rPr>
          <w:sz w:val="20"/>
          <w:szCs w:val="20"/>
          <w:color w:val="auto"/>
        </w:rPr>
        <w:tab/>
      </w:r>
      <w:r>
        <w:rPr>
          <w:rFonts w:ascii="Arial" w:cs="Arial" w:eastAsia="Arial" w:hAnsi="Arial"/>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27305</wp:posOffset>
            </wp:positionV>
            <wp:extent cx="31242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1380" w:type="dxa"/>
            <w:vAlign w:val="bottom"/>
          </w:tcPr>
          <w:p>
            <w:pPr>
              <w:spacing w:after="0"/>
              <w:rPr>
                <w:sz w:val="18"/>
                <w:szCs w:val="18"/>
                <w:color w:val="auto"/>
              </w:rPr>
            </w:pPr>
          </w:p>
        </w:tc>
        <w:tc>
          <w:tcPr>
            <w:tcW w:w="1160" w:type="dxa"/>
            <w:vAlign w:val="bottom"/>
          </w:tcPr>
          <w:p>
            <w:pPr>
              <w:ind w:left="8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80"/>
              <w:spacing w:after="0"/>
              <w:rPr>
                <w:sz w:val="20"/>
                <w:szCs w:val="20"/>
                <w:color w:val="auto"/>
              </w:rPr>
            </w:pPr>
            <w:r>
              <w:rPr>
                <w:rFonts w:ascii="Arial" w:cs="Arial" w:eastAsia="Arial" w:hAnsi="Arial"/>
                <w:sz w:val="16"/>
                <w:szCs w:val="16"/>
                <w:color w:val="auto"/>
                <w:w w:val="98"/>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3, 2022</w:t>
            </w:r>
          </w:p>
        </w:tc>
      </w:tr>
      <w:tr>
        <w:trPr>
          <w:trHeight w:val="699"/>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160" w:type="dxa"/>
            <w:vAlign w:val="bottom"/>
          </w:tcPr>
          <w:p>
            <w:pPr>
              <w:ind w:left="800"/>
              <w:spacing w:after="0"/>
              <w:rPr>
                <w:sz w:val="20"/>
                <w:szCs w:val="20"/>
                <w:color w:val="auto"/>
              </w:rPr>
            </w:pPr>
            <w:r>
              <w:rPr>
                <w:rFonts w:ascii="Arial" w:cs="Arial" w:eastAsia="Arial" w:hAnsi="Arial"/>
                <w:sz w:val="16"/>
                <w:szCs w:val="16"/>
                <w:color w:val="auto"/>
              </w:rPr>
              <w:t>​​</w:t>
            </w:r>
          </w:p>
        </w:tc>
        <w:tc>
          <w:tcPr>
            <w:tcW w:w="300" w:type="dxa"/>
            <w:vAlign w:val="bottom"/>
          </w:tcPr>
          <w:p>
            <w:pPr>
              <w:ind w:left="2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73"/>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736"/>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736"/>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736"/>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736"/>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736"/>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r>
        <w:trPr>
          <w:trHeight w:val="687"/>
        </w:trPr>
        <w:tc>
          <w:tcPr>
            <w:tcW w:w="1380" w:type="dxa"/>
            <w:vAlign w:val="bottom"/>
          </w:tcPr>
          <w:p>
            <w:pPr>
              <w:spacing w:after="0"/>
              <w:rPr>
                <w:sz w:val="20"/>
                <w:szCs w:val="20"/>
                <w:color w:val="auto"/>
              </w:rPr>
            </w:pPr>
            <w:r>
              <w:rPr>
                <w:rFonts w:ascii="Arial" w:cs="Arial" w:eastAsia="Arial" w:hAnsi="Arial"/>
                <w:sz w:val="16"/>
                <w:szCs w:val="16"/>
                <w:color w:val="auto"/>
              </w:rPr>
              <w:t>Director</w:t>
            </w:r>
          </w:p>
        </w:tc>
        <w:tc>
          <w:tcPr>
            <w:tcW w:w="1460" w:type="dxa"/>
            <w:vAlign w:val="bottom"/>
            <w:gridSpan w:val="2"/>
          </w:tcPr>
          <w:p>
            <w:pPr>
              <w:ind w:left="800"/>
              <w:spacing w:after="0"/>
              <w:rPr>
                <w:sz w:val="20"/>
                <w:szCs w:val="20"/>
                <w:color w:val="auto"/>
              </w:rPr>
            </w:pPr>
            <w:r>
              <w:rPr>
                <w:rFonts w:ascii="Arial" w:cs="Arial" w:eastAsia="Arial" w:hAnsi="Arial"/>
                <w:sz w:val="16"/>
                <w:szCs w:val="16"/>
                <w:color w:val="auto"/>
              </w:rPr>
              <w:t>​​October</w:t>
            </w:r>
          </w:p>
        </w:tc>
        <w:tc>
          <w:tcPr>
            <w:tcW w:w="560" w:type="dxa"/>
            <w:vAlign w:val="bottom"/>
          </w:tcPr>
          <w:p>
            <w:pPr>
              <w:jc w:val="right"/>
              <w:spacing w:after="0"/>
              <w:rPr>
                <w:sz w:val="20"/>
                <w:szCs w:val="20"/>
                <w:color w:val="auto"/>
              </w:rPr>
            </w:pPr>
            <w:r>
              <w:rPr>
                <w:rFonts w:ascii="Arial" w:cs="Arial" w:eastAsia="Arial" w:hAnsi="Arial"/>
                <w:sz w:val="16"/>
                <w:szCs w:val="16"/>
                <w:color w:val="auto"/>
              </w:rPr>
              <w:t>3,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229235</wp:posOffset>
            </wp:positionV>
            <wp:extent cx="620395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203950" cy="41275"/>
                    </a:xfrm>
                    <a:prstGeom prst="rect">
                      <a:avLst/>
                    </a:prstGeom>
                    <a:noFill/>
                  </pic:spPr>
                </pic:pic>
              </a:graphicData>
            </a:graphic>
          </wp:anchor>
        </w:drawing>
      </w:r>
    </w:p>
    <w:p>
      <w:pPr>
        <w:sectPr>
          <w:pgSz w:w="11900" w:h="16838" w:orient="portrait"/>
          <w:cols w:equalWidth="0" w:num="2">
            <w:col w:w="4000" w:space="720"/>
            <w:col w:w="4659"/>
          </w:cols>
          <w:pgMar w:left="1080" w:top="131"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1550670" cy="327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1550670" cy="32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October 3,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Plains GP Holdings, L.P.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333 Clay Street, Suite 1600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Houston, TX 77002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acted as counsel to Plains GP Holdings, L.P., a Delaware limited partnership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in connection with the preparation and filing of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U.S. Securities and Exchange Commission (the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in connection with the registration by the Partnership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of the offer and sale, from time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to time, pursuant to Rule 415 under the Securities Act, by the selling shareholders (the “</w:t>
      </w:r>
      <w:r>
        <w:rPr>
          <w:rFonts w:ascii="Arial" w:cs="Arial" w:eastAsia="Arial" w:hAnsi="Arial"/>
          <w:sz w:val="15"/>
          <w:szCs w:val="15"/>
          <w:b w:val="1"/>
          <w:bCs w:val="1"/>
          <w:i w:val="1"/>
          <w:iCs w:val="1"/>
          <w:color w:val="auto"/>
        </w:rPr>
        <w:t>Selling Shareholders</w:t>
      </w:r>
      <w:r>
        <w:rPr>
          <w:rFonts w:ascii="Arial" w:cs="Arial" w:eastAsia="Arial" w:hAnsi="Arial"/>
          <w:sz w:val="15"/>
          <w:szCs w:val="15"/>
          <w:color w:val="auto"/>
        </w:rPr>
        <w:t>”) named in the Registration Statement, of up to 1,066,579</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Class A shares representing limited partner interests in the Partnership (the “</w:t>
      </w:r>
      <w:r>
        <w:rPr>
          <w:rFonts w:ascii="Arial" w:cs="Arial" w:eastAsia="Arial" w:hAnsi="Arial"/>
          <w:sz w:val="15"/>
          <w:szCs w:val="15"/>
          <w:b w:val="1"/>
          <w:bCs w:val="1"/>
          <w:i w:val="1"/>
          <w:iCs w:val="1"/>
          <w:color w:val="auto"/>
        </w:rPr>
        <w:t>Class A Shares</w:t>
      </w:r>
      <w:r>
        <w:rPr>
          <w:rFonts w:ascii="Arial" w:cs="Arial" w:eastAsia="Arial" w:hAnsi="Arial"/>
          <w:sz w:val="15"/>
          <w:szCs w:val="15"/>
          <w:color w:val="auto"/>
        </w:rPr>
        <w:t>”). The Class A Shares to be offered by the Selling Shareholders consist of</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certain Shares that are issuable upon the exchange of Class A units representing limited partnership interests (“</w:t>
      </w:r>
      <w:r>
        <w:rPr>
          <w:rFonts w:ascii="Arial" w:cs="Arial" w:eastAsia="Arial" w:hAnsi="Arial"/>
          <w:sz w:val="14"/>
          <w:szCs w:val="14"/>
          <w:b w:val="1"/>
          <w:bCs w:val="1"/>
          <w:i w:val="1"/>
          <w:iCs w:val="1"/>
          <w:color w:val="auto"/>
        </w:rPr>
        <w:t>AAP Class A Units</w:t>
      </w:r>
      <w:r>
        <w:rPr>
          <w:rFonts w:ascii="Arial" w:cs="Arial" w:eastAsia="Arial" w:hAnsi="Arial"/>
          <w:sz w:val="14"/>
          <w:szCs w:val="14"/>
          <w:color w:val="auto"/>
        </w:rPr>
        <w:t>”) in Plains AAP, L.P. (“</w:t>
      </w:r>
      <w:r>
        <w:rPr>
          <w:rFonts w:ascii="Arial" w:cs="Arial" w:eastAsia="Arial" w:hAnsi="Arial"/>
          <w:sz w:val="14"/>
          <w:szCs w:val="14"/>
          <w:b w:val="1"/>
          <w:bCs w:val="1"/>
          <w:i w:val="1"/>
          <w:iCs w:val="1"/>
          <w:color w:val="auto"/>
        </w:rPr>
        <w:t>AAP</w:t>
      </w:r>
      <w:r>
        <w:rPr>
          <w:rFonts w:ascii="Arial" w:cs="Arial" w:eastAsia="Arial" w:hAnsi="Arial"/>
          <w:sz w:val="14"/>
          <w:szCs w:val="14"/>
          <w:color w:val="auto"/>
        </w:rPr>
        <w:t>”), together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with an equal number of Class B shares representing limited partner interests (the “</w:t>
      </w:r>
      <w:r>
        <w:rPr>
          <w:rFonts w:ascii="Arial" w:cs="Arial" w:eastAsia="Arial" w:hAnsi="Arial"/>
          <w:sz w:val="15"/>
          <w:szCs w:val="15"/>
          <w:b w:val="1"/>
          <w:bCs w:val="1"/>
          <w:i w:val="1"/>
          <w:iCs w:val="1"/>
          <w:color w:val="auto"/>
        </w:rPr>
        <w:t>Class B Shares</w:t>
      </w:r>
      <w:r>
        <w:rPr>
          <w:rFonts w:ascii="Arial" w:cs="Arial" w:eastAsia="Arial" w:hAnsi="Arial"/>
          <w:sz w:val="15"/>
          <w:szCs w:val="15"/>
          <w:color w:val="auto"/>
        </w:rPr>
        <w:t>”) in the Partnership, pursuant to the Eighth Amended and Restated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 Agreement of AAP, dated as of November 15, 2016, as amended (the “</w:t>
      </w:r>
      <w:r>
        <w:rPr>
          <w:rFonts w:ascii="Arial" w:cs="Arial" w:eastAsia="Arial" w:hAnsi="Arial"/>
          <w:sz w:val="16"/>
          <w:szCs w:val="16"/>
          <w:b w:val="1"/>
          <w:bCs w:val="1"/>
          <w:i w:val="1"/>
          <w:iCs w:val="1"/>
          <w:color w:val="auto"/>
        </w:rPr>
        <w:t>AAP Partnership Agreement</w:t>
      </w:r>
      <w:r>
        <w:rPr>
          <w:rFonts w:ascii="Arial" w:cs="Arial" w:eastAsia="Arial" w:hAnsi="Arial"/>
          <w:sz w:val="16"/>
          <w:szCs w:val="16"/>
          <w:color w:val="auto"/>
        </w:rPr>
        <w:t>”).</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20" w:lineRule="exact"/>
        <w:rPr>
          <w:sz w:val="20"/>
          <w:szCs w:val="20"/>
          <w:color w:val="auto"/>
        </w:rPr>
      </w:pPr>
    </w:p>
    <w:p>
      <w:pPr>
        <w:ind w:firstLine="294"/>
        <w:spacing w:after="0" w:line="299" w:lineRule="auto"/>
        <w:rPr>
          <w:sz w:val="20"/>
          <w:szCs w:val="20"/>
          <w:color w:val="auto"/>
        </w:rPr>
      </w:pPr>
      <w:r>
        <w:rPr>
          <w:rFonts w:ascii="Arial" w:cs="Arial" w:eastAsia="Arial" w:hAnsi="Arial"/>
          <w:sz w:val="14"/>
          <w:szCs w:val="14"/>
          <w:color w:val="auto"/>
        </w:rPr>
        <w:t>As the basis for the opinion hereinafter expressed, we examined such statutes, including the Delaware Revised Uniform Limited Partnership Act (the “</w:t>
      </w:r>
      <w:r>
        <w:rPr>
          <w:rFonts w:ascii="Arial" w:cs="Arial" w:eastAsia="Arial" w:hAnsi="Arial"/>
          <w:sz w:val="14"/>
          <w:szCs w:val="14"/>
          <w:b w:val="1"/>
          <w:bCs w:val="1"/>
          <w:i w:val="1"/>
          <w:iCs w:val="1"/>
          <w:color w:val="auto"/>
        </w:rPr>
        <w:t>Delaware LP</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the Second Amended and Restated Agreement of Limited Partnership of the Partnership as amended (the “</w:t>
      </w:r>
      <w:r>
        <w:rPr>
          <w:rFonts w:ascii="Arial" w:cs="Arial" w:eastAsia="Arial" w:hAnsi="Arial"/>
          <w:sz w:val="14"/>
          <w:szCs w:val="14"/>
          <w:b w:val="1"/>
          <w:bCs w:val="1"/>
          <w:i w:val="1"/>
          <w:iCs w:val="1"/>
          <w:color w:val="auto"/>
        </w:rPr>
        <w:t>Partnership Agreement</w:t>
      </w:r>
      <w:r>
        <w:rPr>
          <w:rFonts w:ascii="Arial" w:cs="Arial" w:eastAsia="Arial" w:hAnsi="Arial"/>
          <w:sz w:val="14"/>
          <w:szCs w:val="14"/>
          <w:color w:val="auto"/>
        </w:rPr>
        <w:t>”), the Certificate of Limited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 of the Partnership filed with the Secretary of State of the State of Delaware, the AAP Partnership Agreement,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have become effective; (vi) all Class A Shares will be issued and sold in compliance with applicable federal and state securities laws and in the manner stated in the Registration Statement and the appropriate prospectus supplement; and (vii) any Class A Shares issuable upon the exchange of AAP Class A Units, and an equivalent number of Class B Shares, will have been issued in accordance with the AAP Partnership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960" w:type="dxa"/>
            <w:vAlign w:val="bottom"/>
          </w:tcPr>
          <w:p>
            <w:pPr>
              <w:ind w:left="1240"/>
              <w:spacing w:after="0"/>
              <w:rPr>
                <w:sz w:val="20"/>
                <w:szCs w:val="20"/>
                <w:color w:val="auto"/>
              </w:rPr>
            </w:pPr>
            <w:r>
              <w:rPr>
                <w:rFonts w:ascii="Arial" w:cs="Arial" w:eastAsia="Arial" w:hAnsi="Arial"/>
                <w:sz w:val="16"/>
                <w:szCs w:val="16"/>
                <w:color w:val="auto"/>
              </w:rPr>
              <w:t>845 Texas Ave, Suite 4700</w:t>
            </w:r>
          </w:p>
        </w:tc>
      </w:tr>
      <w:tr>
        <w:trPr>
          <w:trHeight w:val="192"/>
        </w:trPr>
        <w:tc>
          <w:tcPr>
            <w:tcW w:w="5280" w:type="dxa"/>
            <w:vAlign w:val="bottom"/>
          </w:tcPr>
          <w:p>
            <w:pPr>
              <w:spacing w:after="0"/>
              <w:rPr>
                <w:sz w:val="20"/>
                <w:szCs w:val="20"/>
                <w:color w:val="auto"/>
              </w:rPr>
            </w:pPr>
            <w:r>
              <w:rPr>
                <w:rFonts w:ascii="Arial" w:cs="Arial" w:eastAsia="Arial" w:hAnsi="Arial"/>
                <w:sz w:val="16"/>
                <w:szCs w:val="16"/>
                <w:color w:val="auto"/>
              </w:rPr>
              <w:t>Austin Dallas Dubai Houston London Los Angeles New York</w:t>
            </w:r>
          </w:p>
        </w:tc>
        <w:tc>
          <w:tcPr>
            <w:tcW w:w="5960" w:type="dxa"/>
            <w:vAlign w:val="bottom"/>
          </w:tcPr>
          <w:p>
            <w:pPr>
              <w:ind w:left="1240"/>
              <w:spacing w:after="0"/>
              <w:rPr>
                <w:sz w:val="20"/>
                <w:szCs w:val="20"/>
                <w:color w:val="auto"/>
              </w:rPr>
            </w:pPr>
            <w:r>
              <w:rPr>
                <w:rFonts w:ascii="Arial" w:cs="Arial" w:eastAsia="Arial" w:hAnsi="Arial"/>
                <w:sz w:val="16"/>
                <w:szCs w:val="16"/>
                <w:color w:val="auto"/>
              </w:rPr>
              <w:t>Houston, TX 77002-6760</w:t>
            </w: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Richmond Riyadh San Francisco Tokyo Washington</w:t>
            </w:r>
          </w:p>
        </w:tc>
        <w:tc>
          <w:tcPr>
            <w:tcW w:w="5960" w:type="dxa"/>
            <w:vAlign w:val="bottom"/>
          </w:tcPr>
          <w:p>
            <w:pPr>
              <w:ind w:left="124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velaw.com</w:t>
            </w:r>
          </w:p>
        </w:tc>
      </w:tr>
      <w:tr>
        <w:trPr>
          <w:trHeight w:val="615"/>
        </w:trPr>
        <w:tc>
          <w:tcPr>
            <w:tcW w:w="5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32" w:name="page33"/>
    <w:bookmarkEnd w:id="32"/>
    <w:p>
      <w:pPr>
        <w:ind w:left="9540"/>
        <w:spacing w:after="0"/>
        <w:rPr>
          <w:sz w:val="20"/>
          <w:szCs w:val="20"/>
          <w:color w:val="auto"/>
        </w:rPr>
      </w:pPr>
      <w:r>
        <w:rPr>
          <w:rFonts w:ascii="Arial" w:cs="Arial" w:eastAsia="Arial" w:hAnsi="Arial"/>
          <w:sz w:val="15"/>
          <w:szCs w:val="15"/>
          <w:color w:val="auto"/>
        </w:rPr>
        <w:t>October 3, 2022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560705" cy="264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560705" cy="2647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right="20" w:firstLine="294"/>
        <w:spacing w:after="0" w:line="266" w:lineRule="auto"/>
        <w:rPr>
          <w:sz w:val="20"/>
          <w:szCs w:val="20"/>
          <w:color w:val="auto"/>
        </w:rPr>
      </w:pPr>
      <w:r>
        <w:rPr>
          <w:rFonts w:ascii="Arial" w:cs="Arial" w:eastAsia="Arial" w:hAnsi="Arial"/>
          <w:sz w:val="16"/>
          <w:szCs w:val="16"/>
          <w:color w:val="auto"/>
        </w:rPr>
        <w:t>Based upon and subject to the foregoing and subject to the qualifications and limitations set forth herein, we are of the opinion that the Class A Shares have been duly authorized and that the Class A Shares, when such Class A Shares have been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spacing w:after="0" w:line="166" w:lineRule="exact"/>
        <w:rPr>
          <w:sz w:val="20"/>
          <w:szCs w:val="20"/>
          <w:color w:val="auto"/>
        </w:rPr>
      </w:pPr>
    </w:p>
    <w:p>
      <w:pPr>
        <w:ind w:right="20" w:firstLine="294"/>
        <w:spacing w:after="0" w:line="282" w:lineRule="auto"/>
        <w:rPr>
          <w:sz w:val="20"/>
          <w:szCs w:val="20"/>
          <w:color w:val="auto"/>
        </w:rPr>
      </w:pPr>
      <w:r>
        <w:rPr>
          <w:rFonts w:ascii="Arial" w:cs="Arial" w:eastAsia="Arial" w:hAnsi="Arial"/>
          <w:sz w:val="15"/>
          <w:szCs w:val="15"/>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58" w:lineRule="exact"/>
        <w:rPr>
          <w:sz w:val="20"/>
          <w:szCs w:val="20"/>
          <w:color w:val="auto"/>
        </w:rPr>
      </w:pPr>
    </w:p>
    <w:p>
      <w:pPr>
        <w:ind w:firstLine="294"/>
        <w:spacing w:after="0" w:line="287"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49" w:lineRule="exact"/>
        <w:rPr>
          <w:sz w:val="20"/>
          <w:szCs w:val="20"/>
          <w:color w:val="auto"/>
        </w:rPr>
      </w:pPr>
    </w:p>
    <w:p>
      <w:pPr>
        <w:ind w:right="80" w:firstLine="294"/>
        <w:spacing w:after="0" w:line="271" w:lineRule="auto"/>
        <w:rPr>
          <w:sz w:val="20"/>
          <w:szCs w:val="20"/>
          <w:color w:val="auto"/>
        </w:rPr>
      </w:pPr>
      <w:r>
        <w:rPr>
          <w:rFonts w:ascii="Arial" w:cs="Arial" w:eastAsia="Arial" w:hAnsi="Arial"/>
          <w:sz w:val="16"/>
          <w:szCs w:val="16"/>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50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20"/>
          </w:cols>
          <w:pgMar w:left="320" w:top="839"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156591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15659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October 3, 2022</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Plains GP Holdings, 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333 Clay Street, Suite 1600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77002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 Plains GP Holdings, L.P. Registration Statement on Form S-3</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9" w:lineRule="exact"/>
        <w:rPr>
          <w:sz w:val="20"/>
          <w:szCs w:val="20"/>
          <w:color w:val="auto"/>
        </w:rPr>
      </w:pPr>
    </w:p>
    <w:p>
      <w:pPr>
        <w:jc w:val="both"/>
        <w:ind w:firstLine="294"/>
        <w:spacing w:after="0" w:line="266" w:lineRule="auto"/>
        <w:rPr>
          <w:sz w:val="20"/>
          <w:szCs w:val="20"/>
          <w:color w:val="auto"/>
        </w:rPr>
      </w:pPr>
      <w:r>
        <w:rPr>
          <w:rFonts w:ascii="Arial" w:cs="Arial" w:eastAsia="Arial" w:hAnsi="Arial"/>
          <w:sz w:val="16"/>
          <w:szCs w:val="16"/>
          <w:color w:val="auto"/>
        </w:rPr>
        <w:t>We have acted as counsel for 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which this opinion is an exhibit. The Registration Statement relates to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Class A shares representing limited partner interests in PAGP.</w:t>
      </w:r>
    </w:p>
    <w:p>
      <w:pPr>
        <w:spacing w:after="0" w:line="166" w:lineRule="exact"/>
        <w:rPr>
          <w:sz w:val="20"/>
          <w:szCs w:val="20"/>
          <w:color w:val="auto"/>
        </w:rPr>
      </w:pPr>
    </w:p>
    <w:p>
      <w:pPr>
        <w:jc w:val="both"/>
        <w:ind w:firstLine="294"/>
        <w:spacing w:after="0" w:line="297" w:lineRule="auto"/>
        <w:rPr>
          <w:sz w:val="20"/>
          <w:szCs w:val="20"/>
          <w:color w:val="auto"/>
        </w:rPr>
      </w:pPr>
      <w:r>
        <w:rPr>
          <w:rFonts w:ascii="Arial" w:cs="Arial" w:eastAsia="Arial" w:hAnsi="Arial"/>
          <w:sz w:val="15"/>
          <w:szCs w:val="15"/>
          <w:color w:val="auto"/>
        </w:rPr>
        <w:t xml:space="preserve">This opinion is based on various facts and assumptions, and is conditioned upon certain representations made by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a Delaware limited partnership, as to factual matters through a certificate of an officer of the Partnership (the “</w:t>
      </w:r>
      <w:r>
        <w:rPr>
          <w:rFonts w:ascii="Arial" w:cs="Arial" w:eastAsia="Arial" w:hAnsi="Arial"/>
          <w:sz w:val="15"/>
          <w:szCs w:val="15"/>
          <w:b w:val="1"/>
          <w:bCs w:val="1"/>
          <w:i w:val="1"/>
          <w:iCs w:val="1"/>
          <w:color w:val="auto"/>
        </w:rPr>
        <w:t>Officer’s Certificate</w:t>
      </w:r>
      <w:r>
        <w:rPr>
          <w:rFonts w:ascii="Arial" w:cs="Arial" w:eastAsia="Arial" w:hAnsi="Arial"/>
          <w:sz w:val="15"/>
          <w:szCs w:val="15"/>
          <w:color w:val="auto"/>
        </w:rPr>
        <w:t>”). In addition,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opinion is based upon the factual representations of PAGP concerning its business, properties and governing documents as set forth in the Registration Statement.</w:t>
      </w:r>
    </w:p>
    <w:p>
      <w:pPr>
        <w:spacing w:after="0" w:line="145" w:lineRule="exact"/>
        <w:rPr>
          <w:sz w:val="20"/>
          <w:szCs w:val="20"/>
          <w:color w:val="auto"/>
        </w:rPr>
      </w:pPr>
    </w:p>
    <w:p>
      <w:pPr>
        <w:jc w:val="both"/>
        <w:ind w:firstLine="294"/>
        <w:spacing w:after="0" w:line="261"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0" w:lineRule="exact"/>
        <w:rPr>
          <w:sz w:val="20"/>
          <w:szCs w:val="20"/>
          <w:color w:val="auto"/>
        </w:rPr>
      </w:pPr>
    </w:p>
    <w:p>
      <w:pPr>
        <w:jc w:val="both"/>
        <w:ind w:firstLine="294"/>
        <w:spacing w:after="0" w:line="262"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960" w:type="dxa"/>
            <w:vAlign w:val="bottom"/>
          </w:tcPr>
          <w:p>
            <w:pPr>
              <w:ind w:left="1240"/>
              <w:spacing w:after="0"/>
              <w:rPr>
                <w:sz w:val="20"/>
                <w:szCs w:val="20"/>
                <w:color w:val="auto"/>
              </w:rPr>
            </w:pPr>
            <w:r>
              <w:rPr>
                <w:rFonts w:ascii="Arial" w:cs="Arial" w:eastAsia="Arial" w:hAnsi="Arial"/>
                <w:sz w:val="16"/>
                <w:szCs w:val="16"/>
                <w:color w:val="auto"/>
              </w:rPr>
              <w:t>845 Texas Avenue, Suite 4700</w:t>
            </w:r>
          </w:p>
        </w:tc>
      </w:tr>
      <w:tr>
        <w:trPr>
          <w:trHeight w:val="192"/>
        </w:trPr>
        <w:tc>
          <w:tcPr>
            <w:tcW w:w="5280" w:type="dxa"/>
            <w:vAlign w:val="bottom"/>
          </w:tcPr>
          <w:p>
            <w:pPr>
              <w:spacing w:after="0"/>
              <w:rPr>
                <w:sz w:val="20"/>
                <w:szCs w:val="20"/>
                <w:color w:val="auto"/>
              </w:rPr>
            </w:pPr>
            <w:r>
              <w:rPr>
                <w:rFonts w:ascii="Arial" w:cs="Arial" w:eastAsia="Arial" w:hAnsi="Arial"/>
                <w:sz w:val="16"/>
                <w:szCs w:val="16"/>
                <w:color w:val="auto"/>
              </w:rPr>
              <w:t>Austin Dallas Dubai Houston London Los Angeles New York</w:t>
            </w:r>
          </w:p>
        </w:tc>
        <w:tc>
          <w:tcPr>
            <w:tcW w:w="5960" w:type="dxa"/>
            <w:vAlign w:val="bottom"/>
          </w:tcPr>
          <w:p>
            <w:pPr>
              <w:ind w:left="1240"/>
              <w:spacing w:after="0"/>
              <w:rPr>
                <w:sz w:val="20"/>
                <w:szCs w:val="20"/>
                <w:color w:val="auto"/>
              </w:rPr>
            </w:pPr>
            <w:r>
              <w:rPr>
                <w:rFonts w:ascii="Arial" w:cs="Arial" w:eastAsia="Arial" w:hAnsi="Arial"/>
                <w:sz w:val="16"/>
                <w:szCs w:val="16"/>
                <w:color w:val="auto"/>
              </w:rPr>
              <w:t>Houston, TX 77002-6760</w:t>
            </w: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Richmond Riyadh San Francisco Tokyo Washington</w:t>
            </w:r>
          </w:p>
        </w:tc>
        <w:tc>
          <w:tcPr>
            <w:tcW w:w="5960" w:type="dxa"/>
            <w:vAlign w:val="bottom"/>
          </w:tcPr>
          <w:p>
            <w:pPr>
              <w:ind w:left="124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velaw.com</w:t>
            </w:r>
          </w:p>
        </w:tc>
      </w:tr>
      <w:tr>
        <w:trPr>
          <w:trHeight w:val="615"/>
        </w:trPr>
        <w:tc>
          <w:tcPr>
            <w:tcW w:w="5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514350" cy="241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514350" cy="241300"/>
                    </a:xfrm>
                    <a:prstGeom prst="rect">
                      <a:avLst/>
                    </a:prstGeom>
                    <a:noFill/>
                  </pic:spPr>
                </pic:pic>
              </a:graphicData>
            </a:graphic>
          </wp:anchor>
        </w:drawing>
      </w:r>
    </w:p>
    <w:p>
      <w:pPr>
        <w:spacing w:after="0" w:line="373" w:lineRule="exact"/>
        <w:rPr>
          <w:sz w:val="20"/>
          <w:szCs w:val="20"/>
          <w:color w:val="auto"/>
        </w:rPr>
      </w:pPr>
    </w:p>
    <w:p>
      <w:pPr>
        <w:jc w:val="both"/>
        <w:ind w:right="20" w:firstLine="294"/>
        <w:spacing w:after="0" w:line="266" w:lineRule="auto"/>
        <w:rPr>
          <w:sz w:val="20"/>
          <w:szCs w:val="20"/>
          <w:color w:val="auto"/>
        </w:rPr>
      </w:pPr>
      <w:r>
        <w:rPr>
          <w:rFonts w:ascii="Arial" w:cs="Arial" w:eastAsia="Arial" w:hAnsi="Arial"/>
          <w:sz w:val="16"/>
          <w:szCs w:val="16"/>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66" w:lineRule="exact"/>
        <w:rPr>
          <w:sz w:val="20"/>
          <w:szCs w:val="20"/>
          <w:color w:val="auto"/>
        </w:rPr>
      </w:pPr>
    </w:p>
    <w:p>
      <w:pPr>
        <w:jc w:val="both"/>
        <w:ind w:right="20" w:firstLine="294"/>
        <w:spacing w:after="0" w:line="263"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jc w:val="both"/>
        <w:ind w:right="20" w:firstLine="294"/>
        <w:spacing w:after="0" w:line="271" w:lineRule="auto"/>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VINSON &amp; ELKINS L.L.P.</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50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839"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9" w:lineRule="exact"/>
        <w:rPr>
          <w:sz w:val="20"/>
          <w:szCs w:val="20"/>
          <w:color w:val="auto"/>
        </w:rPr>
      </w:pPr>
    </w:p>
    <w:p>
      <w:pPr>
        <w:jc w:val="both"/>
        <w:ind w:right="100"/>
        <w:spacing w:after="0" w:line="297"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GP Holdings, L.P. of our report dated February 28, 2022 relating to the financial statements and the effectiveness of internal control over financial reporting, which appears in Plains GP Holdings, L.P.’s Annual Report on Form 10-K for the year ended December 31, 2021. We also consent to the reference to us under the heading “Experts” in such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Houston, TX</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71450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344" w:right="319" w:bottom="1440" w:gutter="0" w:footer="0" w:header="0"/>
        </w:sectPr>
      </w:pPr>
    </w:p>
    <w:bookmarkStart w:id="36" w:name="page37"/>
    <w:bookmarkEnd w:id="36"/>
    <w:tbl>
      <w:tblPr>
        <w:tblLayout w:type="fixed"/>
        <w:tblInd w:w="2"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6"/>
                <w:szCs w:val="16"/>
                <w:b w:val="1"/>
                <w:bCs w:val="1"/>
                <w:color w:val="auto"/>
              </w:rPr>
              <w:t>Exhibit 107</w:t>
            </w:r>
          </w:p>
        </w:tc>
        <w:tc>
          <w:tcPr>
            <w:tcW w:w="0" w:type="dxa"/>
            <w:vAlign w:val="bottom"/>
          </w:tcPr>
          <w:p>
            <w:pPr>
              <w:spacing w:after="0"/>
              <w:rPr>
                <w:sz w:val="1"/>
                <w:szCs w:val="1"/>
                <w:color w:val="auto"/>
              </w:rPr>
            </w:pPr>
          </w:p>
        </w:tc>
      </w:tr>
      <w:tr>
        <w:trPr>
          <w:trHeight w:val="39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center"/>
              <w:ind w:right="638"/>
              <w:spacing w:after="0"/>
              <w:rPr>
                <w:sz w:val="20"/>
                <w:szCs w:val="20"/>
                <w:color w:val="auto"/>
              </w:rPr>
            </w:pPr>
            <w:r>
              <w:rPr>
                <w:rFonts w:ascii="Arial" w:cs="Arial" w:eastAsia="Arial" w:hAnsi="Arial"/>
                <w:sz w:val="16"/>
                <w:szCs w:val="16"/>
                <w:b w:val="1"/>
                <w:bCs w:val="1"/>
                <w:color w:val="auto"/>
                <w:w w:val="91"/>
              </w:rPr>
              <w:t>Calculation of Filing Fee Tables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5"/>
              </w:rPr>
              <w:t>Form S-3</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6"/>
                <w:szCs w:val="16"/>
                <w:color w:val="auto"/>
                <w:w w:val="93"/>
              </w:rPr>
              <w:t>(Form Type)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tcPr>
          <w:p>
            <w:pPr>
              <w:jc w:val="center"/>
              <w:ind w:left="118"/>
              <w:spacing w:after="0"/>
              <w:rPr>
                <w:sz w:val="20"/>
                <w:szCs w:val="20"/>
                <w:color w:val="auto"/>
              </w:rPr>
            </w:pPr>
            <w:r>
              <w:rPr>
                <w:rFonts w:ascii="Arial" w:cs="Arial" w:eastAsia="Arial" w:hAnsi="Arial"/>
                <w:sz w:val="16"/>
                <w:szCs w:val="16"/>
                <w:b w:val="1"/>
                <w:bCs w:val="1"/>
                <w:color w:val="auto"/>
                <w:w w:val="92"/>
              </w:rPr>
              <w:t>Plains GP Holdings, L.P.</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8"/>
          </w:tcPr>
          <w:p>
            <w:pPr>
              <w:jc w:val="center"/>
              <w:spacing w:after="0"/>
              <w:rPr>
                <w:sz w:val="20"/>
                <w:szCs w:val="20"/>
                <w:color w:val="auto"/>
              </w:rPr>
            </w:pPr>
            <w:r>
              <w:rPr>
                <w:rFonts w:ascii="Arial" w:cs="Arial" w:eastAsia="Arial" w:hAnsi="Arial"/>
                <w:sz w:val="16"/>
                <w:szCs w:val="16"/>
                <w:color w:val="auto"/>
                <w:w w:val="93"/>
              </w:rPr>
              <w:t>(Exact Name of Registrant as Specified in its Charter)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80" w:type="dxa"/>
            <w:vAlign w:val="bottom"/>
            <w:gridSpan w:val="9"/>
          </w:tcPr>
          <w:p>
            <w:pPr>
              <w:jc w:val="center"/>
              <w:ind w:left="158"/>
              <w:spacing w:after="0"/>
              <w:rPr>
                <w:sz w:val="20"/>
                <w:szCs w:val="20"/>
                <w:color w:val="auto"/>
              </w:rPr>
            </w:pPr>
            <w:r>
              <w:rPr>
                <w:rFonts w:ascii="Arial" w:cs="Arial" w:eastAsia="Arial" w:hAnsi="Arial"/>
                <w:sz w:val="16"/>
                <w:szCs w:val="16"/>
                <w:color w:val="auto"/>
                <w:w w:val="92"/>
              </w:rPr>
              <w:t>Table 1: Newly Registered and Carry Forward Securities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Filing Fee</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Previously</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Paid In</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1"/>
              </w:rPr>
              <w:t>Connection</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Proposed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center"/>
              <w:ind w:right="18"/>
              <w:spacing w:after="0"/>
              <w:rPr>
                <w:sz w:val="20"/>
                <w:szCs w:val="20"/>
                <w:color w:val="auto"/>
              </w:rPr>
            </w:pPr>
            <w:r>
              <w:rPr>
                <w:rFonts w:ascii="Arial" w:cs="Arial" w:eastAsia="Arial" w:hAnsi="Arial"/>
                <w:sz w:val="16"/>
                <w:szCs w:val="16"/>
                <w:color w:val="auto"/>
                <w:w w:val="97"/>
              </w:rPr>
              <w:t>Carry</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Unsold</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6"/>
              </w:rPr>
              <w:t>Fee</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Maximum</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Carry</w:t>
            </w:r>
          </w:p>
        </w:tc>
        <w:tc>
          <w:tcPr>
            <w:tcW w:w="640" w:type="dxa"/>
            <w:vAlign w:val="bottom"/>
          </w:tcPr>
          <w:p>
            <w:pPr>
              <w:jc w:val="center"/>
              <w:ind w:right="18"/>
              <w:spacing w:after="0"/>
              <w:rPr>
                <w:sz w:val="20"/>
                <w:szCs w:val="20"/>
                <w:color w:val="auto"/>
              </w:rPr>
            </w:pPr>
            <w:r>
              <w:rPr>
                <w:rFonts w:ascii="Arial" w:cs="Arial" w:eastAsia="Arial" w:hAnsi="Arial"/>
                <w:sz w:val="16"/>
                <w:szCs w:val="16"/>
                <w:color w:val="auto"/>
                <w:w w:val="97"/>
              </w:rPr>
              <w:t>Carry</w:t>
            </w:r>
          </w:p>
        </w:tc>
        <w:tc>
          <w:tcPr>
            <w:tcW w:w="680" w:type="dxa"/>
            <w:vAlign w:val="bottom"/>
          </w:tcPr>
          <w:p>
            <w:pPr>
              <w:jc w:val="center"/>
              <w:ind w:right="18"/>
              <w:spacing w:after="0"/>
              <w:rPr>
                <w:sz w:val="20"/>
                <w:szCs w:val="20"/>
                <w:color w:val="auto"/>
              </w:rPr>
            </w:pPr>
            <w:r>
              <w:rPr>
                <w:rFonts w:ascii="Arial" w:cs="Arial" w:eastAsia="Arial" w:hAnsi="Arial"/>
                <w:sz w:val="16"/>
                <w:szCs w:val="16"/>
                <w:color w:val="auto"/>
                <w:w w:val="91"/>
              </w:rPr>
              <w:t>Forward</w:t>
            </w:r>
          </w:p>
        </w:tc>
        <w:tc>
          <w:tcPr>
            <w:tcW w:w="780" w:type="dxa"/>
            <w:vAlign w:val="bottom"/>
          </w:tcPr>
          <w:p>
            <w:pPr>
              <w:jc w:val="center"/>
              <w:spacing w:after="0"/>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Calculation or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Offering</w:t>
            </w:r>
          </w:p>
        </w:tc>
        <w:tc>
          <w:tcPr>
            <w:tcW w:w="18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Maximum</w:t>
            </w:r>
          </w:p>
        </w:tc>
        <w:tc>
          <w:tcPr>
            <w:tcW w:w="9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color w:val="auto"/>
              </w:rPr>
              <w:t>Amount of</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Forward</w:t>
            </w:r>
          </w:p>
        </w:tc>
        <w:tc>
          <w:tcPr>
            <w:tcW w:w="640" w:type="dxa"/>
            <w:vAlign w:val="bottom"/>
          </w:tcPr>
          <w:p>
            <w:pPr>
              <w:jc w:val="center"/>
              <w:spacing w:after="0"/>
              <w:rPr>
                <w:sz w:val="20"/>
                <w:szCs w:val="20"/>
                <w:color w:val="auto"/>
              </w:rPr>
            </w:pPr>
            <w:r>
              <w:rPr>
                <w:rFonts w:ascii="Arial" w:cs="Arial" w:eastAsia="Arial" w:hAnsi="Arial"/>
                <w:sz w:val="16"/>
                <w:szCs w:val="16"/>
                <w:color w:val="auto"/>
                <w:w w:val="95"/>
              </w:rPr>
              <w:t>Forward</w:t>
            </w:r>
          </w:p>
        </w:tc>
        <w:tc>
          <w:tcPr>
            <w:tcW w:w="680" w:type="dxa"/>
            <w:vAlign w:val="bottom"/>
          </w:tcPr>
          <w:p>
            <w:pPr>
              <w:jc w:val="center"/>
              <w:ind w:right="18"/>
              <w:spacing w:after="0"/>
              <w:rPr>
                <w:sz w:val="20"/>
                <w:szCs w:val="20"/>
                <w:color w:val="auto"/>
              </w:rPr>
            </w:pPr>
            <w:r>
              <w:rPr>
                <w:rFonts w:ascii="Arial" w:cs="Arial" w:eastAsia="Arial" w:hAnsi="Arial"/>
                <w:sz w:val="16"/>
                <w:szCs w:val="16"/>
                <w:color w:val="auto"/>
              </w:rPr>
              <w:t>Initial</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to be</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w w:val="94"/>
              </w:rPr>
              <w:t>Security Security Class</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Carry</w:t>
            </w:r>
          </w:p>
        </w:tc>
        <w:tc>
          <w:tcPr>
            <w:tcW w:w="960" w:type="dxa"/>
            <w:vAlign w:val="bottom"/>
            <w:gridSpan w:val="3"/>
          </w:tcPr>
          <w:p>
            <w:pPr>
              <w:jc w:val="right"/>
              <w:ind w:right="340"/>
              <w:spacing w:after="0"/>
              <w:rPr>
                <w:sz w:val="20"/>
                <w:szCs w:val="20"/>
                <w:color w:val="auto"/>
              </w:rPr>
            </w:pPr>
            <w:r>
              <w:rPr>
                <w:rFonts w:ascii="Arial" w:cs="Arial" w:eastAsia="Arial" w:hAnsi="Arial"/>
                <w:sz w:val="16"/>
                <w:szCs w:val="16"/>
                <w:color w:val="auto"/>
              </w:rPr>
              <w:t>Amount</w:t>
            </w: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Price Per</w:t>
            </w:r>
          </w:p>
        </w:tc>
        <w:tc>
          <w:tcPr>
            <w:tcW w:w="18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Aggregate</w:t>
            </w:r>
          </w:p>
        </w:tc>
        <w:tc>
          <w:tcPr>
            <w:tcW w:w="9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auto"/>
              </w:rPr>
              <w:t>Registration</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Form</w:t>
            </w:r>
          </w:p>
        </w:tc>
        <w:tc>
          <w:tcPr>
            <w:tcW w:w="640" w:type="dxa"/>
            <w:vAlign w:val="bottom"/>
          </w:tcPr>
          <w:p>
            <w:pPr>
              <w:jc w:val="center"/>
              <w:ind w:right="18"/>
              <w:spacing w:after="0"/>
              <w:rPr>
                <w:sz w:val="20"/>
                <w:szCs w:val="20"/>
                <w:color w:val="auto"/>
              </w:rPr>
            </w:pPr>
            <w:r>
              <w:rPr>
                <w:rFonts w:ascii="Arial" w:cs="Arial" w:eastAsia="Arial" w:hAnsi="Arial"/>
                <w:sz w:val="16"/>
                <w:szCs w:val="16"/>
                <w:color w:val="auto"/>
              </w:rPr>
              <w:t>File</w:t>
            </w:r>
          </w:p>
        </w:tc>
        <w:tc>
          <w:tcPr>
            <w:tcW w:w="680" w:type="dxa"/>
            <w:vAlign w:val="bottom"/>
          </w:tcPr>
          <w:p>
            <w:pPr>
              <w:jc w:val="center"/>
              <w:ind w:right="18"/>
              <w:spacing w:after="0"/>
              <w:rPr>
                <w:sz w:val="20"/>
                <w:szCs w:val="20"/>
                <w:color w:val="auto"/>
              </w:rPr>
            </w:pPr>
            <w:r>
              <w:rPr>
                <w:rFonts w:ascii="Arial" w:cs="Arial" w:eastAsia="Arial" w:hAnsi="Arial"/>
                <w:sz w:val="16"/>
                <w:szCs w:val="16"/>
                <w:color w:val="auto"/>
                <w:w w:val="97"/>
              </w:rPr>
              <w:t>effective</w:t>
            </w:r>
          </w:p>
        </w:tc>
        <w:tc>
          <w:tcPr>
            <w:tcW w:w="780" w:type="dxa"/>
            <w:vAlign w:val="bottom"/>
          </w:tcPr>
          <w:p>
            <w:pPr>
              <w:jc w:val="center"/>
              <w:spacing w:after="0"/>
              <w:rPr>
                <w:sz w:val="20"/>
                <w:szCs w:val="20"/>
                <w:color w:val="auto"/>
              </w:rPr>
            </w:pPr>
            <w:r>
              <w:rPr>
                <w:rFonts w:ascii="Arial" w:cs="Arial" w:eastAsia="Arial" w:hAnsi="Arial"/>
                <w:sz w:val="16"/>
                <w:szCs w:val="16"/>
                <w:color w:val="auto"/>
                <w:w w:val="91"/>
              </w:rPr>
              <w:t>Carried</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Type</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100" w:type="dxa"/>
            <w:vAlign w:val="bottom"/>
          </w:tcPr>
          <w:p>
            <w:pPr>
              <w:jc w:val="center"/>
              <w:spacing w:after="0"/>
              <w:rPr>
                <w:sz w:val="20"/>
                <w:szCs w:val="20"/>
                <w:color w:val="auto"/>
              </w:rPr>
            </w:pPr>
            <w:r>
              <w:rPr>
                <w:rFonts w:ascii="Arial" w:cs="Arial" w:eastAsia="Arial" w:hAnsi="Arial"/>
                <w:sz w:val="16"/>
                <w:szCs w:val="16"/>
                <w:color w:val="auto"/>
                <w:w w:val="95"/>
              </w:rPr>
              <w:t>Forward Rule</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w w:val="87"/>
              </w:rPr>
              <w:t>Registered</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rPr>
              <w:t>Unit</w:t>
            </w: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Offering Price</w:t>
            </w:r>
          </w:p>
        </w:tc>
        <w:tc>
          <w:tcPr>
            <w:tcW w:w="920" w:type="dxa"/>
            <w:vAlign w:val="bottom"/>
          </w:tcPr>
          <w:p>
            <w:pPr>
              <w:jc w:val="right"/>
              <w:ind w:right="138"/>
              <w:spacing w:after="0"/>
              <w:rPr>
                <w:sz w:val="20"/>
                <w:szCs w:val="20"/>
                <w:color w:val="auto"/>
              </w:rPr>
            </w:pPr>
            <w:r>
              <w:rPr>
                <w:rFonts w:ascii="Arial" w:cs="Arial" w:eastAsia="Arial" w:hAnsi="Arial"/>
                <w:sz w:val="16"/>
                <w:szCs w:val="16"/>
                <w:color w:val="auto"/>
              </w:rPr>
              <w:t>Fee Rate</w:t>
            </w: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6"/>
                <w:szCs w:val="16"/>
                <w:color w:val="auto"/>
              </w:rPr>
              <w:t>Fee</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Type</w:t>
            </w:r>
          </w:p>
        </w:tc>
        <w:tc>
          <w:tcPr>
            <w:tcW w:w="640" w:type="dxa"/>
            <w:vAlign w:val="bottom"/>
          </w:tcPr>
          <w:p>
            <w:pPr>
              <w:jc w:val="center"/>
              <w:ind w:right="18"/>
              <w:spacing w:after="0"/>
              <w:rPr>
                <w:sz w:val="20"/>
                <w:szCs w:val="20"/>
                <w:color w:val="auto"/>
              </w:rPr>
            </w:pPr>
            <w:r>
              <w:rPr>
                <w:rFonts w:ascii="Arial" w:cs="Arial" w:eastAsia="Arial" w:hAnsi="Arial"/>
                <w:sz w:val="16"/>
                <w:szCs w:val="16"/>
                <w:color w:val="auto"/>
                <w:w w:val="94"/>
              </w:rPr>
              <w:t>Number</w:t>
            </w:r>
          </w:p>
        </w:tc>
        <w:tc>
          <w:tcPr>
            <w:tcW w:w="680" w:type="dxa"/>
            <w:vAlign w:val="bottom"/>
          </w:tcPr>
          <w:p>
            <w:pPr>
              <w:jc w:val="center"/>
              <w:ind w:right="18"/>
              <w:spacing w:after="0"/>
              <w:rPr>
                <w:sz w:val="20"/>
                <w:szCs w:val="20"/>
                <w:color w:val="auto"/>
              </w:rPr>
            </w:pPr>
            <w:r>
              <w:rPr>
                <w:rFonts w:ascii="Arial" w:cs="Arial" w:eastAsia="Arial" w:hAnsi="Arial"/>
                <w:sz w:val="16"/>
                <w:szCs w:val="16"/>
                <w:color w:val="auto"/>
                <w:w w:val="83"/>
              </w:rPr>
              <w:t>date</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Forward</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ind w:left="320"/>
              <w:spacing w:after="0" w:line="177" w:lineRule="exact"/>
              <w:rPr>
                <w:sz w:val="20"/>
                <w:szCs w:val="20"/>
                <w:color w:val="auto"/>
              </w:rPr>
            </w:pPr>
            <w:r>
              <w:rPr>
                <w:rFonts w:ascii="Arial" w:cs="Arial" w:eastAsia="Arial" w:hAnsi="Arial"/>
                <w:sz w:val="16"/>
                <w:szCs w:val="16"/>
                <w:color w:val="auto"/>
                <w:w w:val="77"/>
              </w:rPr>
              <w:t>Newly</w:t>
            </w:r>
          </w:p>
        </w:tc>
        <w:tc>
          <w:tcPr>
            <w:tcW w:w="240" w:type="dxa"/>
            <w:vAlign w:val="bottom"/>
            <w:gridSpan w:val="2"/>
            <w:vMerge w:val="continue"/>
            <w:shd w:val="clear" w:color="auto" w:fill="CCEEFF"/>
          </w:tcPr>
          <w:p>
            <w:pPr>
              <w:spacing w:after="0"/>
              <w:rPr>
                <w:sz w:val="15"/>
                <w:szCs w:val="15"/>
                <w:color w:val="auto"/>
              </w:rPr>
            </w:pPr>
          </w:p>
        </w:tc>
        <w:tc>
          <w:tcPr>
            <w:tcW w:w="128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6"/>
                <w:szCs w:val="16"/>
                <w:color w:val="auto"/>
                <w:w w:val="81"/>
              </w:rPr>
              <w:t>Registered Securities</w:t>
            </w:r>
          </w:p>
        </w:tc>
        <w:tc>
          <w:tcPr>
            <w:tcW w:w="9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tcPr>
          <w:p>
            <w:pPr>
              <w:jc w:val="center"/>
              <w:spacing w:after="0"/>
              <w:rPr>
                <w:sz w:val="20"/>
                <w:szCs w:val="20"/>
                <w:color w:val="auto"/>
              </w:rPr>
            </w:pPr>
            <w:r>
              <w:rPr>
                <w:rFonts w:ascii="Arial" w:cs="Arial" w:eastAsia="Arial" w:hAnsi="Arial"/>
                <w:sz w:val="16"/>
                <w:szCs w:val="16"/>
                <w:color w:val="auto"/>
                <w:w w:val="90"/>
              </w:rPr>
              <w:t>Fees to Be</w:t>
            </w: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000" w:type="dxa"/>
            <w:vAlign w:val="bottom"/>
          </w:tcPr>
          <w:p>
            <w:pPr>
              <w:jc w:val="center"/>
              <w:spacing w:after="0"/>
              <w:rPr>
                <w:sz w:val="20"/>
                <w:szCs w:val="20"/>
                <w:color w:val="auto"/>
              </w:rPr>
            </w:pPr>
            <w:r>
              <w:rPr>
                <w:rFonts w:ascii="Arial" w:cs="Arial" w:eastAsia="Arial" w:hAnsi="Arial"/>
                <w:sz w:val="16"/>
                <w:szCs w:val="16"/>
                <w:color w:val="auto"/>
                <w:w w:val="90"/>
              </w:rPr>
              <w:t>Class A</w:t>
            </w: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Rule 416(a) and</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center"/>
              <w:spacing w:after="0"/>
              <w:rPr>
                <w:sz w:val="20"/>
                <w:szCs w:val="20"/>
                <w:color w:val="auto"/>
              </w:rPr>
            </w:pPr>
            <w:r>
              <w:rPr>
                <w:rFonts w:ascii="Arial" w:cs="Arial" w:eastAsia="Arial" w:hAnsi="Arial"/>
                <w:sz w:val="16"/>
                <w:szCs w:val="16"/>
                <w:color w:val="auto"/>
                <w:w w:val="93"/>
              </w:rPr>
              <w:t>Paid</w:t>
            </w:r>
          </w:p>
        </w:tc>
        <w:tc>
          <w:tcPr>
            <w:tcW w:w="6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7"/>
              </w:rPr>
              <w:t>shares</w:t>
            </w: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Rule 457(c)</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representing</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limited</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partnership</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interests</w:t>
            </w:r>
          </w:p>
        </w:tc>
        <w:tc>
          <w:tcPr>
            <w:tcW w:w="1100" w:type="dxa"/>
            <w:vAlign w:val="bottom"/>
          </w:tcPr>
          <w:p>
            <w:pPr>
              <w:spacing w:after="0"/>
              <w:rPr>
                <w:sz w:val="18"/>
                <w:szCs w:val="18"/>
                <w:color w:val="auto"/>
              </w:rPr>
            </w:pPr>
          </w:p>
        </w:tc>
        <w:tc>
          <w:tcPr>
            <w:tcW w:w="3160" w:type="dxa"/>
            <w:vAlign w:val="bottom"/>
            <w:gridSpan w:val="8"/>
          </w:tcPr>
          <w:p>
            <w:pPr>
              <w:jc w:val="right"/>
              <w:ind w:right="60"/>
              <w:spacing w:after="0"/>
              <w:rPr>
                <w:sz w:val="20"/>
                <w:szCs w:val="20"/>
                <w:color w:val="auto"/>
              </w:rPr>
            </w:pPr>
            <w:r>
              <w:rPr>
                <w:rFonts w:ascii="Arial" w:cs="Arial" w:eastAsia="Arial" w:hAnsi="Arial"/>
                <w:sz w:val="16"/>
                <w:szCs w:val="16"/>
                <w:color w:val="auto"/>
                <w:w w:val="97"/>
              </w:rPr>
              <w:t>1,066,579(1) $  10.635(2) $11,343,067.67(2)</w:t>
            </w:r>
          </w:p>
        </w:tc>
        <w:tc>
          <w:tcPr>
            <w:tcW w:w="920" w:type="dxa"/>
            <w:vAlign w:val="bottom"/>
          </w:tcPr>
          <w:p>
            <w:pPr>
              <w:jc w:val="right"/>
              <w:ind w:right="18"/>
              <w:spacing w:after="0"/>
              <w:rPr>
                <w:sz w:val="20"/>
                <w:szCs w:val="20"/>
                <w:color w:val="auto"/>
              </w:rPr>
            </w:pPr>
            <w:r>
              <w:rPr>
                <w:rFonts w:ascii="Arial" w:cs="Arial" w:eastAsia="Arial" w:hAnsi="Arial"/>
                <w:sz w:val="16"/>
                <w:szCs w:val="16"/>
                <w:color w:val="auto"/>
                <w:w w:val="94"/>
              </w:rPr>
              <w:t>0.00011020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1,250.01(2)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Fees</w:t>
            </w:r>
          </w:p>
        </w:tc>
        <w:tc>
          <w:tcPr>
            <w:tcW w:w="60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Previously</w:t>
            </w:r>
          </w:p>
        </w:tc>
        <w:tc>
          <w:tcPr>
            <w:tcW w:w="60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Paid</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6"/>
                <w:szCs w:val="16"/>
                <w:color w:val="auto"/>
              </w:rPr>
              <w:t>Carry Forward Securities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Carry</w:t>
            </w:r>
          </w:p>
        </w:tc>
        <w:tc>
          <w:tcPr>
            <w:tcW w:w="60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Forward</w:t>
            </w:r>
          </w:p>
        </w:tc>
        <w:tc>
          <w:tcPr>
            <w:tcW w:w="60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Securities</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7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gridSpan w:val="2"/>
          </w:tcPr>
          <w:p>
            <w:pPr>
              <w:jc w:val="center"/>
              <w:ind w:left="38"/>
              <w:spacing w:after="0"/>
              <w:rPr>
                <w:sz w:val="20"/>
                <w:szCs w:val="20"/>
                <w:color w:val="auto"/>
              </w:rPr>
            </w:pPr>
            <w:r>
              <w:rPr>
                <w:rFonts w:ascii="Arial" w:cs="Arial" w:eastAsia="Arial" w:hAnsi="Arial"/>
                <w:sz w:val="16"/>
                <w:szCs w:val="16"/>
                <w:color w:val="auto"/>
                <w:w w:val="96"/>
              </w:rPr>
              <w:t>Total Offering Amounts</w:t>
            </w: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11,343,067.67</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1,250.01</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100" w:type="dxa"/>
            <w:vAlign w:val="bottom"/>
            <w:tcBorders>
              <w:right w:val="single" w:sz="8" w:color="CCEEFF"/>
            </w:tcBorders>
            <w:gridSpan w:val="2"/>
            <w:shd w:val="clear" w:color="auto" w:fill="CCEEFF"/>
          </w:tcPr>
          <w:p>
            <w:pPr>
              <w:jc w:val="center"/>
              <w:ind w:left="38"/>
              <w:spacing w:after="0"/>
              <w:rPr>
                <w:sz w:val="20"/>
                <w:szCs w:val="20"/>
                <w:color w:val="auto"/>
              </w:rPr>
            </w:pPr>
            <w:r>
              <w:rPr>
                <w:rFonts w:ascii="Arial" w:cs="Arial" w:eastAsia="Arial" w:hAnsi="Arial"/>
                <w:sz w:val="16"/>
                <w:szCs w:val="16"/>
                <w:color w:val="auto"/>
                <w:w w:val="91"/>
              </w:rPr>
              <w:t>Total Fees Previously Paid</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gridSpan w:val="2"/>
          </w:tcPr>
          <w:p>
            <w:pPr>
              <w:jc w:val="center"/>
              <w:ind w:left="18"/>
              <w:spacing w:after="0"/>
              <w:rPr>
                <w:sz w:val="20"/>
                <w:szCs w:val="20"/>
                <w:color w:val="auto"/>
              </w:rPr>
            </w:pPr>
            <w:r>
              <w:rPr>
                <w:rFonts w:ascii="Arial" w:cs="Arial" w:eastAsia="Arial" w:hAnsi="Arial"/>
                <w:sz w:val="16"/>
                <w:szCs w:val="16"/>
                <w:color w:val="auto"/>
                <w:w w:val="91"/>
              </w:rPr>
              <w:t>Total Fee Offsets</w:t>
            </w: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100" w:type="dxa"/>
            <w:vAlign w:val="bottom"/>
            <w:tcBorders>
              <w:right w:val="single" w:sz="8" w:color="CCEEFF"/>
            </w:tcBorders>
            <w:gridSpan w:val="2"/>
            <w:shd w:val="clear" w:color="auto" w:fill="CCEEFF"/>
          </w:tcPr>
          <w:p>
            <w:pPr>
              <w:jc w:val="center"/>
              <w:ind w:left="38"/>
              <w:spacing w:after="0"/>
              <w:rPr>
                <w:sz w:val="20"/>
                <w:szCs w:val="20"/>
                <w:color w:val="auto"/>
              </w:rPr>
            </w:pPr>
            <w:r>
              <w:rPr>
                <w:rFonts w:ascii="Arial" w:cs="Arial" w:eastAsia="Arial" w:hAnsi="Arial"/>
                <w:sz w:val="16"/>
                <w:szCs w:val="16"/>
                <w:color w:val="auto"/>
                <w:w w:val="90"/>
              </w:rPr>
              <w:t>Net Fee Due</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1,250.01</w:t>
            </w: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78435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1784350" cy="7620"/>
                    </a:xfrm>
                    <a:prstGeom prst="rect">
                      <a:avLst/>
                    </a:prstGeom>
                    <a:noFill/>
                  </pic:spPr>
                </pic:pic>
              </a:graphicData>
            </a:graphic>
          </wp:anchor>
        </w:drawing>
      </w:r>
    </w:p>
    <w:p>
      <w:pPr>
        <w:spacing w:after="0" w:line="188" w:lineRule="exact"/>
        <w:rPr>
          <w:sz w:val="20"/>
          <w:szCs w:val="20"/>
          <w:color w:val="auto"/>
        </w:rPr>
      </w:pPr>
    </w:p>
    <w:p>
      <w:pPr>
        <w:ind w:left="302" w:right="100" w:hanging="302"/>
        <w:spacing w:after="0" w:line="271" w:lineRule="auto"/>
        <w:tabs>
          <w:tab w:leader="none" w:pos="3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number of Class A shares representing limited partner interests (“Class A shares”) in Plains GP Holdings, L.P. being registered on behalf of the selling shareholders shall be adjusted automatically to include any additional Class A shares that may become issuable as a result of any share distribution, split, combination or similar transaction.</w:t>
      </w:r>
    </w:p>
    <w:p>
      <w:pPr>
        <w:spacing w:after="0" w:line="162" w:lineRule="exact"/>
        <w:rPr>
          <w:rFonts w:ascii="Arial" w:cs="Arial" w:eastAsia="Arial" w:hAnsi="Arial"/>
          <w:sz w:val="16"/>
          <w:szCs w:val="16"/>
          <w:color w:val="auto"/>
        </w:rPr>
      </w:pPr>
    </w:p>
    <w:p>
      <w:pPr>
        <w:ind w:left="302" w:right="500" w:hanging="302"/>
        <w:spacing w:after="0" w:line="287" w:lineRule="auto"/>
        <w:tabs>
          <w:tab w:leader="none" w:pos="3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Rule 457(c) of the Securities Act, the registration fee is calculated on the basis of the average of the high and low sale prices of our Class A shares on September 27, 2022, as reported on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1450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sectPr>
      <w:pgSz w:w="11900" w:h="16838" w:orient="portrait"/>
      <w:cols w:equalWidth="0" w:num="1">
        <w:col w:w="11342"/>
      </w:cols>
      <w:pgMar w:left="318" w:top="3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3"/>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
    <w:nsid w:val="2D1D5A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6763845E"/>
    <w:multiLevelType w:val="hybridMultilevel"/>
    <w:lvl w:ilvl="0">
      <w:lvlJc w:val="left"/>
      <w:lvlText w:val="%1."/>
      <w:numFmt w:val="upperLetter"/>
      <w:start w:val="4"/>
    </w:lvl>
    <w:lvl w:ilvl="1">
      <w:lvlJc w:val="left"/>
      <w:lvlText w:val="(%2)"/>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jpeg"/><Relationship Id="rId80" Type="http://schemas.openxmlformats.org/officeDocument/2006/relationships/image" Target="media/image61.jpeg"/><Relationship Id="rId81" Type="http://schemas.openxmlformats.org/officeDocument/2006/relationships/image" Target="media/image62.png"/><Relationship Id="rId82" Type="http://schemas.openxmlformats.org/officeDocument/2006/relationships/image" Target="media/image63.jpeg"/><Relationship Id="rId83" Type="http://schemas.openxmlformats.org/officeDocument/2006/relationships/image" Target="media/image64.jpe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26" Type="http://schemas.openxmlformats.org/officeDocument/2006/relationships/hyperlink" Target="http://www.sec.gov/ix?doc=/Archives/edgar/data/1581990/000158199022000006/pagp-20211231.htm" TargetMode="External"/><Relationship Id="rId27" Type="http://schemas.openxmlformats.org/officeDocument/2006/relationships/hyperlink" Target="http://www.sec.gov/ix?doc=/Archives/edgar/data/1581990/000158199022000011/pagp-20220331.htm" TargetMode="External"/><Relationship Id="rId28" Type="http://schemas.openxmlformats.org/officeDocument/2006/relationships/hyperlink" Target="http://www.sec.gov/ix?doc=/Archives/edgar/data/1581990/000158199022000018/pagp-20220630.htm" TargetMode="External"/><Relationship Id="rId29" Type="http://schemas.openxmlformats.org/officeDocument/2006/relationships/hyperlink" Target="http://www.sec.gov/ix?doc=/Archives/edgar/data/1581990/000110465922028163/tm227689d1_8k.htm" TargetMode="External"/><Relationship Id="rId30" Type="http://schemas.openxmlformats.org/officeDocument/2006/relationships/hyperlink" Target="http://www.sec.gov/ix?doc=/Archives/edgar/data/1581990/000110465922065810/tm2216980d1_8k.htm" TargetMode="External"/><Relationship Id="rId31" Type="http://schemas.openxmlformats.org/officeDocument/2006/relationships/hyperlink" Target="http://www.sec.gov/ix?doc=/Archives/edgar/data/1581990/000110465922083718/tm2222016d1_8k.htm" TargetMode="External"/><Relationship Id="rId32" Type="http://schemas.openxmlformats.org/officeDocument/2006/relationships/hyperlink" Target="http://www.sec.gov/ix?doc=/Archives/edgar/data/1581990/000110465922094485/tm2224525d1_8k.htm" TargetMode="External"/><Relationship Id="rId33" Type="http://schemas.openxmlformats.org/officeDocument/2006/relationships/hyperlink" Target="http://www.sec.gov/Archives/edgar/data/1581990/000110465922045589/tm223468-1_def14a.htm" TargetMode="External"/><Relationship Id="rId34" Type="http://schemas.openxmlformats.org/officeDocument/2006/relationships/hyperlink" Target="http://www.sec.gov/Archives/edgar/data/1581990/000110465916157336/a16-21686_18a12ba.htm" TargetMode="External"/><Relationship Id="rId35" Type="http://schemas.openxmlformats.org/officeDocument/2006/relationships/hyperlink" Target="http://www.sec.gov/Archives/edgar/data/1581990/000110465920134603/tm2037371-3_8a12b.htm" TargetMode="External"/><Relationship Id="rId43" Type="http://schemas.openxmlformats.org/officeDocument/2006/relationships/hyperlink" Target="https://www.sec.gov/Archives/edgar/data/1581990/000158199022000006/pagp202110-kexhibit417.htm" TargetMode="External"/><Relationship Id="rId63" Type="http://schemas.openxmlformats.org/officeDocument/2006/relationships/hyperlink" Target="http://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2022-10-04T05:13:57Z</dcterms:created>
  <dcterms:modified xsi:type="dcterms:W3CDTF">2022-10-04T05:13:57Z</dcterms:modified>
</cp:coreProperties>
</file>