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19,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2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spacing w:after="0" w:line="1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8"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Senior Unsecured Revolving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19, 2024, Plains All American Pipeline, L.P. (the “Partnership”) and Plains Midstream Canada ULC (“PMC”) entered into that certain Second Amendment to Credit Agreement (the “Revolving Credit Facility Amendment”) amending certain of the terms of their Credit Agreement dated as of August 20, 2021 among the Partnership and PMC, as borrowers, Bank of America, N.A., as administrative agent, and the other lenders party thereto (as amended, the “Revolving Credit Agreement”). Pursuant to the Revolving Credit Facility Amendment, among other things, the Canadian dollar offered rate (CDOR) was replaced with rates based on the Canadian Overnight Repo Rate Average (CORRA), and the requirement that lenders accept Canadian bankers’ acceptances issued by PMC or other designated borrowers was eliminated. In connection with the Revolving Credit Facility Amendment, the Maturity Date of the Revolving Credit Agreement was also extended from August 18, 2028 to August 17, 2029. Terms used in this paragraph but not defined herein have the meanings assigned to them in the Revolving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Hedged Inventory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19, 2024, Plains Marketing, L.P. (“PMLP”), a wholly-owned subsidiary of the Partnership, and PMC entered into that certain Second Amendment to Fourth Amended and Restated Credit Agreement (the “Hedged Inventory Facility Amendment” and together with the Revolving Credit Facility Amendment, the “Amendments”) amending certain of the terms of their Fourth Amended and Restated Credit Agreement dated as of August 20, 2021 among PMLP and PMC, as borrowers, the Partnership, as guarantor, Bank of America, N.A., as administrative agent, and the other lenders party thereto (as amended, the “Hedged Inventory Facility”). Pursuant to the Hedged Inventory Facility Amendment, among other things, the Canadian dollar offered rate (CDOR) was replaced with rates based on the Canadian Overnight Repo Rate Average (CORRA), and the requirement that lenders accept Canadian bankers’ acceptances issued by PMC or other designated borrowers was eliminated. In connection with the Hedged Inventory Facility Amendment, the Maturity Date of the Hedged Inventory Facility was also extended from August 18, 2026 to August 18, 2027. Terms used in this paragraph but not defined herein have the meanings assigned to them in the Hedged Inventory Facility.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descriptions of the Amendments are qualified in their entirety by the terms of the Revolving Credit Facility Amendment and the Hedged Inventory Facility Amendment, as applicable, which are attached hereto as Exhibits 10.1 and 10.2, respectively, and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jc w:val="both"/>
        <w:ind w:left="1700" w:hanging="1227"/>
        <w:spacing w:after="0" w:line="281" w:lineRule="auto"/>
        <w:tabs>
          <w:tab w:leader="none" w:pos="1680" w:val="left"/>
        </w:tabs>
        <w:rPr>
          <w:sz w:val="20"/>
          <w:szCs w:val="20"/>
          <w:color w:val="auto"/>
        </w:rPr>
      </w:pPr>
      <w:r>
        <w:rPr>
          <w:rFonts w:ascii="Times New Roman" w:cs="Times New Roman" w:eastAsia="Times New Roman" w:hAnsi="Times New Roman"/>
          <w:sz w:val="18"/>
          <w:szCs w:val="18"/>
          <w:u w:val="single" w:color="auto"/>
          <w:color w:val="0000EE"/>
        </w:rPr>
        <w:t>Exhibit 10.1 –</w:t>
      </w:r>
      <w:r>
        <w:rPr>
          <w:sz w:val="20"/>
          <w:szCs w:val="20"/>
          <w:color w:val="auto"/>
        </w:rPr>
        <w:tab/>
      </w:r>
      <w:r>
        <w:rPr>
          <w:rFonts w:ascii="Times New Roman" w:cs="Times New Roman" w:eastAsia="Times New Roman" w:hAnsi="Times New Roman"/>
          <w:sz w:val="17"/>
          <w:szCs w:val="17"/>
          <w:u w:val="single" w:color="auto"/>
          <w:color w:val="0000EE"/>
        </w:rPr>
        <w:t>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w:t>
      </w:r>
    </w:p>
    <w:p>
      <w:pPr>
        <w:spacing w:after="0" w:line="164" w:lineRule="exact"/>
        <w:rPr>
          <w:sz w:val="20"/>
          <w:szCs w:val="20"/>
          <w:color w:val="auto"/>
        </w:rPr>
      </w:pPr>
    </w:p>
    <w:p>
      <w:pPr>
        <w:jc w:val="both"/>
        <w:ind w:left="1700" w:hanging="1227"/>
        <w:spacing w:after="0" w:line="261" w:lineRule="auto"/>
        <w:tabs>
          <w:tab w:leader="none" w:pos="1680" w:val="left"/>
        </w:tabs>
        <w:rPr>
          <w:sz w:val="20"/>
          <w:szCs w:val="20"/>
          <w:color w:val="auto"/>
        </w:rPr>
      </w:pPr>
      <w:r>
        <w:rPr>
          <w:rFonts w:ascii="Times New Roman" w:cs="Times New Roman" w:eastAsia="Times New Roman" w:hAnsi="Times New Roman"/>
          <w:sz w:val="18"/>
          <w:szCs w:val="18"/>
          <w:u w:val="single" w:color="auto"/>
          <w:color w:val="0000EE"/>
        </w:rPr>
        <w:t>Exhibit 10.2 –</w:t>
        <w:tab/>
        <w:t>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w:t>
      </w:r>
    </w:p>
    <w:p>
      <w:pPr>
        <w:spacing w:after="0" w:line="180"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color w:val="auto"/>
        </w:rPr>
        <w:t>Exhibit 104 –</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 Swanson</w:t>
            </w:r>
          </w:p>
        </w:tc>
      </w:tr>
      <w:tr>
        <w:trPr>
          <w:trHeight w:val="191"/>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Al Swanson</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SECOND AMENDMENT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19th day of August, 2024, is by and among PLAINS ALL AMERICAN PIPELINE, L.P.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the Lenders party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Administrative Agent and the L/C Issuers and Lenders party thereto entered into that certain Credit Agreement dated as of August 20, 2021 (as amended by the First Amendment to Credit Agreement dated as of August 22, 2022,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Borrowers, Administrative Agent, and the Lenders party hereto desire to amend the Original Agreement to, among other things</w:t>
      </w:r>
    </w:p>
    <w:p>
      <w:pPr>
        <w:spacing w:after="0" w:line="27" w:lineRule="exact"/>
        <w:rPr>
          <w:sz w:val="20"/>
          <w:szCs w:val="20"/>
          <w:color w:val="auto"/>
        </w:rPr>
      </w:pPr>
    </w:p>
    <w:p>
      <w:pPr>
        <w:ind w:firstLine="8"/>
        <w:spacing w:after="0" w:line="260"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Existing Maturity Date and (ii) adopt CORRA as the benchmark rate for Canadian Dollar Credit Extensions and remove the bankers’ acceptance facility under the Original Agreement;</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right="20"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Second Amendment to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jc w:val="both"/>
        <w:ind w:firstLine="656"/>
        <w:spacing w:after="0" w:line="261" w:lineRule="auto"/>
        <w:tabs>
          <w:tab w:leader="none" w:pos="7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Credit Agreement</w:t>
      </w:r>
      <w:r>
        <w:rPr>
          <w:rFonts w:ascii="Times New Roman" w:cs="Times New Roman" w:eastAsia="Times New Roman" w:hAnsi="Times New Roman"/>
          <w:sz w:val="18"/>
          <w:szCs w:val="18"/>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B150"/>
          <w:strike w:val="1"/>
        </w:rPr>
        <w:t>stricken text</w:t>
      </w:r>
      <w:r>
        <w:rPr>
          <w:rFonts w:ascii="Times New Roman" w:cs="Times New Roman" w:eastAsia="Times New Roman" w:hAnsi="Times New Roman"/>
          <w:sz w:val="18"/>
          <w:szCs w:val="18"/>
          <w:color w:val="000000"/>
        </w:rPr>
        <w:t>) and (b) to add the blue or green double-underlined text (indicated textually in the same manner as the following examples: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B150"/>
        </w:rPr>
        <w:t>double-underlined text</w:t>
      </w:r>
      <w:r>
        <w:rPr>
          <w:rFonts w:ascii="Times New Roman" w:cs="Times New Roman" w:eastAsia="Times New Roman" w:hAnsi="Times New Roman"/>
          <w:sz w:val="18"/>
          <w:szCs w:val="18"/>
          <w:color w:val="000000"/>
        </w:rPr>
        <w:t>), in each case, as set forth in the marked pages of the Credit Agreement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20" w:firstLine="656"/>
        <w:spacing w:after="0" w:line="282" w:lineRule="auto"/>
        <w:tabs>
          <w:tab w:leader="none" w:pos="7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Committed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Swing Line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7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xml:space="preserve">. With respect to the Company’s request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 to extend the Maturity Date applicable to each Lender for one additional year from the Existing Maturity Date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Administrative Agent has notified the Company of the Extending Lenders and Non-Extending Lenders with respect thereto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Subject to the satisfaction of the conditions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Effective as of the Amendment Effective Date (i) the Maturity Date with respect to each such Extending Lender is August 17, 2029, (ii) the Existing Maturity Date of August 20, 2027 shall remain in effect with respect to each such Non-Extending Lender and (iii)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Credit Agreement;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parties hereto agree that with respect to the Extension, the certification by the Company required by </w:t>
      </w:r>
      <w:r>
        <w:rPr>
          <w:rFonts w:ascii="Times New Roman" w:cs="Times New Roman" w:eastAsia="Times New Roman" w:hAnsi="Times New Roman"/>
          <w:sz w:val="18"/>
          <w:szCs w:val="18"/>
          <w:u w:val="single" w:color="auto"/>
          <w:color w:val="auto"/>
        </w:rPr>
        <w:t>Section 2.14(f)</w:t>
      </w:r>
      <w:r>
        <w:rPr>
          <w:rFonts w:ascii="Times New Roman" w:cs="Times New Roman" w:eastAsia="Times New Roman" w:hAnsi="Times New Roman"/>
          <w:sz w:val="18"/>
          <w:szCs w:val="18"/>
          <w:color w:val="auto"/>
        </w:rPr>
        <w:t xml:space="preserve"> of the Credit Agreement is hereby satisfied by the Company’s execution and delivery of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right="20" w:firstLine="656"/>
        <w:spacing w:after="0" w:line="282"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Amendment from each Borrower, Administrative Agent and Lenders, sufficient in number for distribution to the Administrative Agent, each Lender and each Borrower;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such other assurances, certificates, documents, consents or opinions as the Administrative Agent may reasonably require.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656"/>
        <w:spacing w:after="0" w:line="282" w:lineRule="auto"/>
        <w:tabs>
          <w:tab w:leader="none" w:pos="7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represents and warrants to Administrative Agent, L/C Issuers and each Lender that: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(i)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 Default has occurred and is continuing as of the Amendment Effective Date or would immediately result from the effectiveness hereof.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7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7"/>
          <w:szCs w:val="17"/>
          <w:color w:val="auto"/>
        </w:rPr>
        <w:t>§ 5.2.       </w:t>
      </w:r>
      <w:r>
        <w:rPr>
          <w:rFonts w:ascii="Times New Roman" w:cs="Times New Roman" w:eastAsia="Times New Roman" w:hAnsi="Times New Roman"/>
          <w:sz w:val="17"/>
          <w:szCs w:val="17"/>
          <w:u w:val="single" w:color="auto"/>
          <w:color w:val="auto"/>
        </w:rPr>
        <w:t>  Loan Documents</w:t>
      </w:r>
      <w:r>
        <w:rPr>
          <w:rFonts w:ascii="Times New Roman" w:cs="Times New Roman" w:eastAsia="Times New Roman" w:hAnsi="Times New Roman"/>
          <w:sz w:val="17"/>
          <w:szCs w:val="17"/>
          <w:color w:val="auto"/>
        </w:rPr>
        <w:t>. This Amendment is a Loan Document, and all provisions in the Credit Agreement pertaining to Loan Documents apply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firstLine="656"/>
        <w:spacing w:after="0" w:line="286" w:lineRule="auto"/>
        <w:tabs>
          <w:tab w:leader="none" w:pos="78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5.3.         GOVERNING LAW. 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as a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PLAINS MIDSTREAM CANADA ULC, </w:t>
      </w:r>
      <w:r>
        <w:rPr>
          <w:rFonts w:ascii="Times New Roman" w:cs="Times New Roman" w:eastAsia="Times New Roman" w:hAnsi="Times New Roman"/>
          <w:sz w:val="18"/>
          <w:szCs w:val="18"/>
          <w:color w:val="auto"/>
        </w:rPr>
        <w:t>as a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Senior Vice President and Treasurer</w:t>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540" w:val="left"/>
        </w:tabs>
        <w:rPr>
          <w:sz w:val="20"/>
          <w:szCs w:val="20"/>
          <w:color w:val="auto"/>
        </w:rPr>
      </w:pPr>
      <w:r>
        <w:rPr>
          <w:rFonts w:ascii="Times New Roman" w:cs="Times New Roman" w:eastAsia="Times New Roman" w:hAnsi="Times New Roman"/>
          <w:sz w:val="35"/>
          <w:szCs w:val="35"/>
          <w:color w:val="auto"/>
          <w:vertAlign w:val="superscript"/>
        </w:rPr>
        <w:t>S-1</w:t>
      </w:r>
      <w:r>
        <w:rPr>
          <w:sz w:val="20"/>
          <w:szCs w:val="20"/>
          <w:color w:val="auto"/>
        </w:rPr>
        <w:tab/>
      </w:r>
      <w:r>
        <w:rPr>
          <w:rFonts w:ascii="Times New Roman" w:cs="Times New Roman" w:eastAsia="Times New Roman" w:hAnsi="Times New Roman"/>
          <w:sz w:val="17"/>
          <w:szCs w:val="17"/>
          <w:color w:val="auto"/>
        </w:rPr>
        <w:t>PAA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-80645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 Agent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414"/>
        </w:trPr>
        <w:tc>
          <w:tcPr>
            <w:tcW w:w="11260" w:type="dxa"/>
            <w:vAlign w:val="bottom"/>
            <w:gridSpan w:val="3"/>
          </w:tcPr>
          <w:p>
            <w:pPr>
              <w:ind w:left="56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Lender, an L/C Issuer and Swing Line</w:t>
            </w: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Lender</w:t>
            </w: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Megan Baqui</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Megan Baqui</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9" w:name="page10"/>
    <w:bookmarkEnd w:id="9"/>
    <w:p>
      <w:pPr>
        <w:ind w:left="56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 and an L/C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Maureen Maroney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Maureen Maroney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0" w:name="page11"/>
    <w:bookmarkEnd w:id="10"/>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Lender and an L/C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Kyle Gruen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Kyle Gruen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S-4</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1" w:name="page12"/>
    <w:bookmarkEnd w:id="11"/>
    <w:p>
      <w:pPr>
        <w:ind w:left="560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 Lender and</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an L/C 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Nathan Starr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Nathan Starr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S-5</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2" w:name="page13"/>
    <w:bookmarkEnd w:id="12"/>
    <w:p>
      <w:pPr>
        <w:ind w:left="5600"/>
        <w:spacing w:after="0"/>
        <w:rPr>
          <w:sz w:val="20"/>
          <w:szCs w:val="20"/>
          <w:color w:val="auto"/>
        </w:rPr>
      </w:pPr>
      <w:r>
        <w:rPr>
          <w:rFonts w:ascii="Times New Roman" w:cs="Times New Roman" w:eastAsia="Times New Roman" w:hAnsi="Times New Roman"/>
          <w:sz w:val="18"/>
          <w:szCs w:val="18"/>
          <w:b w:val="1"/>
          <w:bCs w:val="1"/>
          <w:color w:val="auto"/>
        </w:rPr>
        <w:t>BANCO  BILBAO  VIZCAYA  ARGENTARIA,  S.A.  NEW  YORK</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Cara Younger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Cara Younger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Armen Semizian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Armen Semizian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S-6</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1116" w:right="339" w:bottom="1440" w:gutter="0" w:footer="0" w:header="0"/>
        </w:sectPr>
      </w:pPr>
    </w:p>
    <w:bookmarkStart w:id="13" w:name="page14"/>
    <w:bookmarkEnd w:id="13"/>
    <w:p>
      <w:pPr>
        <w:ind w:left="5600"/>
        <w:spacing w:after="0"/>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Jason Lang</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Lang</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S-7</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4" w:name="page15"/>
    <w:bookmarkEnd w:id="14"/>
    <w:p>
      <w:pPr>
        <w:ind w:left="560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Joe Lattanzi</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 Lattanzi</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S-8</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5" w:name="page16"/>
    <w:bookmarkEnd w:id="15"/>
    <w:p>
      <w:pPr>
        <w:ind w:left="5600"/>
        <w:spacing w:after="0"/>
        <w:rPr>
          <w:sz w:val="20"/>
          <w:szCs w:val="20"/>
          <w:color w:val="auto"/>
        </w:rPr>
      </w:pPr>
      <w:r>
        <w:rPr>
          <w:rFonts w:ascii="Times New Roman" w:cs="Times New Roman" w:eastAsia="Times New Roman" w:hAnsi="Times New Roman"/>
          <w:sz w:val="18"/>
          <w:szCs w:val="18"/>
          <w:b w:val="1"/>
          <w:bCs w:val="1"/>
          <w:color w:val="auto"/>
        </w:rPr>
        <w:t xml:space="preserve">BARCLAYS BANK PLC,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S-9</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6" w:name="page17"/>
    <w:bookmarkEnd w:id="16"/>
    <w:p>
      <w:pPr>
        <w:ind w:left="560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S-10</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7" w:name="page18"/>
    <w:bookmarkEnd w:id="17"/>
    <w:p>
      <w:pPr>
        <w:ind w:left="560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Connor Schrotel</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Connor Schrotel</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8" w:name="page19"/>
    <w:bookmarkEnd w:id="18"/>
    <w:p>
      <w:pPr>
        <w:ind w:left="560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Paul Mandeville</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Mandeville</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Anthony Rivera</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Anthony Rivera</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19" w:name="page20"/>
    <w:bookmarkEnd w:id="19"/>
    <w:p>
      <w:pPr>
        <w:ind w:left="560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Sacks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Edward Sacks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0" w:name="page21"/>
    <w:bookmarkEnd w:id="20"/>
    <w:p>
      <w:pPr>
        <w:ind w:left="560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Facenda</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Facenda</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S-14</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1" w:name="page22"/>
    <w:bookmarkEnd w:id="21"/>
    <w:p>
      <w:pPr>
        <w:ind w:left="56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Danielle Bernicky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Danielle Bernicky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S-15</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2" w:name="page23"/>
    <w:bookmarkEnd w:id="22"/>
    <w:p>
      <w:pPr>
        <w:ind w:left="560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Valentine</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Valentine</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S-16</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3" w:name="page24"/>
    <w:bookmarkEnd w:id="23"/>
    <w:p>
      <w:pPr>
        <w:ind w:left="560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Sue Carol Sedillo</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Sue Carol Sedillo</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S-17</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4" w:name="page25"/>
    <w:bookmarkEnd w:id="24"/>
    <w:p>
      <w:pPr>
        <w:ind w:left="560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Alkesh Nanavaty</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Alkesh Nanavaty</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5" w:name="page26"/>
    <w:bookmarkEnd w:id="25"/>
    <w:p>
      <w:pPr>
        <w:ind w:left="560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Jonathan Schwartz</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Jonathan Schwartz</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S-19</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6" w:name="page27"/>
    <w:bookmarkEnd w:id="26"/>
    <w:p>
      <w:pPr>
        <w:ind w:left="560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Lincoln LaCour</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Lincoln LaCour</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S-20</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7" w:name="page28"/>
    <w:bookmarkEnd w:id="27"/>
    <w:p>
      <w:pPr>
        <w:ind w:left="560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Beth Johnson</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Beth Johnson</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S-21</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8" w:name="page29"/>
    <w:bookmarkEnd w:id="28"/>
    <w:p>
      <w:pPr>
        <w:ind w:left="560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Cameron Burns</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Cameron Burns</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S-22</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29" w:name="page30"/>
    <w:bookmarkEnd w:id="29"/>
    <w:p>
      <w:pPr>
        <w:ind w:left="560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620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King</w:t>
            </w:r>
          </w:p>
        </w:tc>
        <w:tc>
          <w:tcPr>
            <w:tcW w:w="20" w:type="dxa"/>
            <w:vAlign w:val="bottom"/>
          </w:tcPr>
          <w:p>
            <w:pPr>
              <w:spacing w:after="0"/>
              <w:rPr>
                <w:sz w:val="16"/>
                <w:szCs w:val="16"/>
                <w:color w:val="auto"/>
              </w:rPr>
            </w:pPr>
          </w:p>
        </w:tc>
      </w:tr>
      <w:tr>
        <w:trPr>
          <w:trHeight w:val="234"/>
        </w:trPr>
        <w:tc>
          <w:tcPr>
            <w:tcW w:w="62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S-23</w:t>
            </w:r>
          </w:p>
        </w:tc>
        <w:tc>
          <w:tcPr>
            <w:tcW w:w="5060" w:type="dxa"/>
            <w:vAlign w:val="bottom"/>
            <w:tcBorders>
              <w:bottom w:val="single" w:sz="8" w:color="auto"/>
            </w:tcBorders>
            <w:gridSpan w:val="2"/>
          </w:tcPr>
          <w:p>
            <w:pPr>
              <w:ind w:left="3480"/>
              <w:spacing w:after="0"/>
              <w:rPr>
                <w:sz w:val="20"/>
                <w:szCs w:val="20"/>
                <w:color w:val="auto"/>
              </w:rPr>
            </w:pPr>
            <w:r>
              <w:rPr>
                <w:rFonts w:ascii="Times New Roman" w:cs="Times New Roman" w:eastAsia="Times New Roman" w:hAnsi="Times New Roman"/>
                <w:sz w:val="18"/>
                <w:szCs w:val="18"/>
                <w:color w:val="auto"/>
                <w:w w:val="96"/>
              </w:rPr>
              <w:t>PAA 2</w:t>
            </w:r>
            <w:r>
              <w:rPr>
                <w:rFonts w:ascii="Times New Roman" w:cs="Times New Roman" w:eastAsia="Times New Roman" w:hAnsi="Times New Roman"/>
                <w:sz w:val="29"/>
                <w:szCs w:val="29"/>
                <w:color w:val="auto"/>
                <w:w w:val="96"/>
                <w:vertAlign w:val="superscript"/>
              </w:rPr>
              <w:t>nd</w:t>
            </w:r>
            <w:r>
              <w:rPr>
                <w:rFonts w:ascii="Times New Roman" w:cs="Times New Roman" w:eastAsia="Times New Roman" w:hAnsi="Times New Roman"/>
                <w:sz w:val="18"/>
                <w:szCs w:val="18"/>
                <w:color w:val="auto"/>
                <w:w w:val="96"/>
              </w:rPr>
              <w:t xml:space="preserve"> Amendment</w:t>
            </w:r>
          </w:p>
        </w:tc>
      </w:tr>
    </w:tbl>
    <w:p>
      <w:pPr>
        <w:sectPr>
          <w:pgSz w:w="11900" w:h="16838" w:orient="portrait"/>
          <w:cols w:equalWidth="0" w:num="1">
            <w:col w:w="11240"/>
          </w:cols>
          <w:pgMar w:left="320" w:top="90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each Subsidiary of the Company from time to time and during the time it is a party thereto (each such Subsidiary and, together with the Company and PMCULC,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conversion or continuation of Committed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On________________________________(a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 Loans] [Term SOFR/Canadian Term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Canadian Term Rate Loans: with an Interest Period of [one] [three]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If a conversion or continuation of Committed Loans, the existing Borrowing(s) of Committed Loans to be converted or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Base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Committed Borrowing, if any,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451485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 Swing Line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200" w:lineRule="exact"/>
        <w:rPr>
          <w:sz w:val="20"/>
          <w:szCs w:val="20"/>
          <w:color w:val="auto"/>
        </w:rPr>
      </w:pPr>
    </w:p>
    <w:p>
      <w:pPr>
        <w:sectPr>
          <w:pgSz w:w="11900" w:h="16838" w:orient="portrait"/>
          <w:cols w:equalWidth="0" w:num="2">
            <w:col w:w="240" w:space="340"/>
            <w:col w:w="10660"/>
          </w:cols>
          <w:pgMar w:left="320" w:top="900"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All American Pipeline, L.P., a Delaware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each Subsidiary of the Company from time to time and during the time it is a party thereto (each such Subsidiary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a Swing Line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On___________________________________(a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Rate/Term SOFR] [Canadian Prime Rate/Canadian Swing Line Rate]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Swing Line Borrowing requested herein complies with the requirements of the provisos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the Agreement.</w:t>
      </w:r>
    </w:p>
    <w:p>
      <w:pPr>
        <w:spacing w:after="0" w:line="15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2.01</w:t>
            </w:r>
          </w:p>
        </w:tc>
      </w:tr>
      <w:tr>
        <w:trPr>
          <w:trHeight w:val="410"/>
        </w:trPr>
        <w:tc>
          <w:tcPr>
            <w:tcW w:w="4540" w:type="dxa"/>
            <w:vAlign w:val="bottom"/>
          </w:tcPr>
          <w:p>
            <w:pPr>
              <w:spacing w:after="0"/>
              <w:rPr>
                <w:sz w:val="24"/>
                <w:szCs w:val="24"/>
                <w:color w:val="auto"/>
              </w:rPr>
            </w:pPr>
          </w:p>
        </w:tc>
        <w:tc>
          <w:tcPr>
            <w:tcW w:w="298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7520" w:type="dxa"/>
            <w:vAlign w:val="bottom"/>
            <w:gridSpan w:val="6"/>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AND APPLICABLE PERCENTAGES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Applicable Percentage</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4.7407407407%</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20,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Nova Scotia, Houston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CoBank, ACB**</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Capital LLC</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17, 2029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100.0000000000%</w:t>
            </w:r>
          </w:p>
        </w:tc>
        <w:tc>
          <w:tcPr>
            <w:tcW w:w="16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ten decimal places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**Unlicensed Term CORRA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EXTENDING AND NON-EXTENDING LENDERS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EXTENDING LENDERS: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Montreal</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Nova Scotia, Houston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CoBank ACB</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Zions Bancorporation, N.A. DBA Amegy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Copy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FOURTH AMENDED AND RESTATED CREDIT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SECOND AMENDMENT TO FOURTH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19th day of August, 2024, is by and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as guarantor, BANK OF AMERICA, N.A., as Administrative Agent, and the Lenders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PAA, Administrative Agent and the L/C Issuers and Lenders party thereto entered into that certain Fourth Amended and Restated Credit Agreement dated as of August 20, 2021 (as amended by the First Amendment to Fourth Amended and Restated Credit Agreement dated as of August 22, 2022,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for the purposes and consideration therein expressed;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Borrowers, PAA, Administrative Agent, and the Lenders party hereto desire to amend the Original Agreement to, among other things (i) extend the Existing Maturity Date and (ii) adopt CORRA as the benchmark rate for Canadian Dollar Credit Extensions and remove the bankers’ acceptance facility under the Original Agreement;</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 — </w:t>
      </w:r>
      <w:r>
        <w:rPr>
          <w:rFonts w:ascii="Times New Roman" w:cs="Times New Roman" w:eastAsia="Times New Roman" w:hAnsi="Times New Roman"/>
          <w:sz w:val="18"/>
          <w:szCs w:val="18"/>
          <w:u w:val="single" w:color="auto"/>
          <w:color w:val="auto"/>
        </w:rPr>
        <w:t>Definitions and References</w:t>
      </w:r>
    </w:p>
    <w:p>
      <w:pPr>
        <w:spacing w:after="0" w:line="225" w:lineRule="exact"/>
        <w:rPr>
          <w:sz w:val="20"/>
          <w:szCs w:val="20"/>
          <w:color w:val="auto"/>
        </w:rPr>
      </w:pPr>
    </w:p>
    <w:p>
      <w:pPr>
        <w:ind w:right="20" w:firstLine="656"/>
        <w:spacing w:after="0" w:line="282" w:lineRule="auto"/>
        <w:tabs>
          <w:tab w:leader="none" w:pos="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Terms Defined in the Original Agreement</w:t>
      </w:r>
      <w:r>
        <w:rPr>
          <w:rFonts w:ascii="Times New Roman" w:cs="Times New Roman" w:eastAsia="Times New Roman" w:hAnsi="Times New Roman"/>
          <w:sz w:val="18"/>
          <w:szCs w:val="18"/>
          <w:color w:val="auto"/>
        </w:rPr>
        <w:t>. Unless the context otherwise requires or unless otherwise expressly defined herein, the terms defined in the Credit Agreement shall have the same meanings whenever used in this Amendment.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xml:space="preserve">. Unless the context otherwise requires, the following terms when used in this Amendment shall have the meanings assigned to them in this </w:t>
      </w:r>
      <w:r>
        <w:rPr>
          <w:rFonts w:ascii="Times New Roman" w:cs="Times New Roman" w:eastAsia="Times New Roman" w:hAnsi="Times New Roman"/>
          <w:sz w:val="18"/>
          <w:szCs w:val="18"/>
          <w:u w:val="single" w:color="auto"/>
          <w:color w:val="auto"/>
        </w:rPr>
        <w:t>§ 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this Second Amendment to Fourth Amended and Restated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Original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 xml:space="preserve">ARTICLE II. —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jc w:val="both"/>
        <w:ind w:firstLine="656"/>
        <w:spacing w:after="0" w:line="261"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Credit Agreement</w:t>
      </w:r>
      <w:r>
        <w:rPr>
          <w:rFonts w:ascii="Times New Roman" w:cs="Times New Roman" w:eastAsia="Times New Roman" w:hAnsi="Times New Roman"/>
          <w:sz w:val="18"/>
          <w:szCs w:val="18"/>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B150"/>
          <w:strike w:val="1"/>
        </w:rPr>
        <w:t>stricken text</w:t>
      </w:r>
      <w:r>
        <w:rPr>
          <w:rFonts w:ascii="Times New Roman" w:cs="Times New Roman" w:eastAsia="Times New Roman" w:hAnsi="Times New Roman"/>
          <w:sz w:val="18"/>
          <w:szCs w:val="18"/>
          <w:color w:val="000000"/>
        </w:rPr>
        <w:t>) and (b) to add the blue or green double-underlined text (indicated textually in the same manner as the following examples: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B150"/>
        </w:rPr>
        <w:t>double-underlined text</w:t>
      </w:r>
      <w:r>
        <w:rPr>
          <w:rFonts w:ascii="Times New Roman" w:cs="Times New Roman" w:eastAsia="Times New Roman" w:hAnsi="Times New Roman"/>
          <w:sz w:val="18"/>
          <w:szCs w:val="18"/>
          <w:color w:val="000000"/>
        </w:rPr>
        <w:t>), in each case, as set forth in the marked pages of the Credit Agreement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hereto.</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Committed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7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Swing Line Loan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Credit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xml:space="preserve">. With respect to the Company’s request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Credit Agreement to extend the Maturity Date applicable to each Lender for one additional year from the Existing Maturity Date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Administrative Agent has notified the Company of the Extending Lenders and Non-Extending Lenders with respect thereto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Subject to the satisfaction of the conditions precedent set forth in Article III:</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Effective as of the Amendment Effective Date (i) the Maturity Date with respect to each such Extending Lender is August 18, 2027, (ii) the Existing Maturity Date of August 18, 2026 shall remain in effect with respect to each such Non-Extending Lender and (iii)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Original Agreement is hereby amended in its entirety to read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attached hereto, which shall be deemed to be attached as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Credit Agreement;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parties hereto agree that with respect to the Extension, the certification by the Company required by </w:t>
      </w:r>
      <w:r>
        <w:rPr>
          <w:rFonts w:ascii="Times New Roman" w:cs="Times New Roman" w:eastAsia="Times New Roman" w:hAnsi="Times New Roman"/>
          <w:sz w:val="18"/>
          <w:szCs w:val="18"/>
          <w:u w:val="single" w:color="auto"/>
          <w:color w:val="auto"/>
        </w:rPr>
        <w:t>Section 2.14(f)</w:t>
      </w:r>
      <w:r>
        <w:rPr>
          <w:rFonts w:ascii="Times New Roman" w:cs="Times New Roman" w:eastAsia="Times New Roman" w:hAnsi="Times New Roman"/>
          <w:sz w:val="18"/>
          <w:szCs w:val="18"/>
          <w:color w:val="auto"/>
        </w:rPr>
        <w:t xml:space="preserve"> of the Credit Agreement is hereby satisfied by the Company’s execution and delivery of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III. — </w:t>
      </w:r>
      <w:r>
        <w:rPr>
          <w:rFonts w:ascii="Times New Roman" w:cs="Times New Roman" w:eastAsia="Times New Roman" w:hAnsi="Times New Roman"/>
          <w:sz w:val="18"/>
          <w:szCs w:val="18"/>
          <w:u w:val="single" w:color="auto"/>
          <w:color w:val="auto"/>
        </w:rPr>
        <w:t>Conditions of Effectiveness</w:t>
      </w:r>
    </w:p>
    <w:p>
      <w:pPr>
        <w:spacing w:after="0" w:line="225" w:lineRule="exact"/>
        <w:rPr>
          <w:sz w:val="20"/>
          <w:szCs w:val="20"/>
          <w:color w:val="auto"/>
        </w:rPr>
      </w:pPr>
    </w:p>
    <w:p>
      <w:pPr>
        <w:ind w:right="20" w:firstLine="656"/>
        <w:spacing w:after="0" w:line="282"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Amendment Effective Date</w:t>
      </w:r>
      <w:r>
        <w:rPr>
          <w:rFonts w:ascii="Times New Roman" w:cs="Times New Roman" w:eastAsia="Times New Roman" w:hAnsi="Times New Roman"/>
          <w:sz w:val="18"/>
          <w:szCs w:val="18"/>
          <w:color w:val="auto"/>
        </w:rPr>
        <w:t>. This Amendment shall become effective as of the date first written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 the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executed counterparts of this Amendment from each Borrower, PAA, Administrative Agent and Lenders, sufficient in number for distribution to the Administrative Agent, each Lender, each Borrower and PAA;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(ii)          such other assurances, certificates, documents, consents or opinions as the Administrative Agent may reasonably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paid all reasonable fees, charges and disbursements of counsel to the Administrative Agent to the extent invoiced prior to the Amendment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 3.1</w:t>
      </w:r>
      <w:r>
        <w:rPr>
          <w:rFonts w:ascii="Times New Roman" w:cs="Times New Roman" w:eastAsia="Times New Roman" w:hAnsi="Times New Roman"/>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ARTICLE IV. —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656"/>
        <w:spacing w:after="0" w:line="282" w:lineRule="auto"/>
        <w:tabs>
          <w:tab w:leader="none" w:pos="7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In order to induce Administrative Agent, L/C Issuers and Lenders to enter into this Amendment, the Company (and PMCULC, solely as to itself) represents and warrants to Administrative Agent, L/C Issuers and each Lender that: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(i) the Company (and PMCULC, solely as to itself)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18"/>
          <w:szCs w:val="18"/>
          <w:u w:val="single" w:color="auto"/>
          <w:color w:val="auto"/>
        </w:rPr>
        <w:t>subsections (a) and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the Credit Agreement shall be deemed to refer to the most recent statements furnished pursuant to clauses (a)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 Default has occurred and is continuing as of the Amendment Effective Date or would immediately result from the effectiveness hereof.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 xml:space="preserve">ARTICLE V. —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56"/>
        <w:spacing w:after="0" w:line="254" w:lineRule="auto"/>
        <w:tabs>
          <w:tab w:leader="none" w:pos="8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Ratification of Agreements</w:t>
      </w:r>
      <w:r>
        <w:rPr>
          <w:rFonts w:ascii="Times New Roman" w:cs="Times New Roman" w:eastAsia="Times New Roman" w:hAnsi="Times New Roman"/>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7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Ratification of PAA Guaranty and Collateral Documents</w:t>
      </w:r>
      <w:r>
        <w:rPr>
          <w:rFonts w:ascii="Times New Roman" w:cs="Times New Roman" w:eastAsia="Times New Roman" w:hAnsi="Times New Roman"/>
          <w:sz w:val="18"/>
          <w:szCs w:val="18"/>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8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This Amendment is a Loan Document, and all provisions in the Credit Agreement pertaining to Loan Documents apply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2" w:lineRule="exact"/>
        <w:rPr>
          <w:rFonts w:ascii="Times New Roman" w:cs="Times New Roman" w:eastAsia="Times New Roman" w:hAnsi="Times New Roman"/>
          <w:sz w:val="18"/>
          <w:szCs w:val="18"/>
          <w:color w:val="auto"/>
        </w:rPr>
      </w:pPr>
    </w:p>
    <w:p>
      <w:pPr>
        <w:ind w:firstLine="656"/>
        <w:spacing w:after="0" w:line="286" w:lineRule="auto"/>
        <w:tabs>
          <w:tab w:leader="none" w:pos="78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5.4.      GOVERNING LAW. THIS AMENDMENT SHALL BE GOVERNED BY, AND CONSTRUED IN ACCORDANCE WITH, THE LAWS OF THE STATE OF NEW YORK</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7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399" w:lineRule="exact"/>
        <w:rPr>
          <w:rFonts w:ascii="Times New Roman" w:cs="Times New Roman" w:eastAsia="Times New Roman" w:hAnsi="Times New Roman"/>
          <w:sz w:val="18"/>
          <w:szCs w:val="18"/>
          <w:color w:val="auto"/>
        </w:rPr>
      </w:pPr>
    </w:p>
    <w:p>
      <w:pPr>
        <w:jc w:val="both"/>
        <w:ind w:firstLine="656"/>
        <w:spacing w:after="0" w:line="266" w:lineRule="auto"/>
        <w:tabs>
          <w:tab w:leader="none" w:pos="7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IN WITNESS WHEREOF, this Amendment is executed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PLAINS MARKETING, L.P., </w:t>
      </w:r>
      <w:r>
        <w:rPr>
          <w:rFonts w:ascii="Times New Roman" w:cs="Times New Roman" w:eastAsia="Times New Roman" w:hAnsi="Times New Roman"/>
          <w:sz w:val="18"/>
          <w:szCs w:val="18"/>
          <w:color w:val="auto"/>
        </w:rPr>
        <w:t>as a Borrower</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GP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432"/>
        </w:trPr>
        <w:tc>
          <w:tcPr>
            <w:tcW w:w="11260" w:type="dxa"/>
            <w:vAlign w:val="bottom"/>
            <w:gridSpan w:val="3"/>
          </w:tcPr>
          <w:p>
            <w:pPr>
              <w:ind w:left="5640"/>
              <w:spacing w:after="0"/>
              <w:rPr>
                <w:sz w:val="20"/>
                <w:szCs w:val="20"/>
                <w:color w:val="auto"/>
              </w:rPr>
            </w:pPr>
            <w:r>
              <w:rPr>
                <w:rFonts w:ascii="Times New Roman" w:cs="Times New Roman" w:eastAsia="Times New Roman" w:hAnsi="Times New Roman"/>
                <w:sz w:val="18"/>
                <w:szCs w:val="18"/>
                <w:b w:val="1"/>
                <w:bCs w:val="1"/>
                <w:color w:val="auto"/>
              </w:rPr>
              <w:t>PLAINS MIDSTREAM CANADA ULC,</w:t>
            </w:r>
            <w:r>
              <w:rPr>
                <w:rFonts w:ascii="Times New Roman" w:cs="Times New Roman" w:eastAsia="Times New Roman" w:hAnsi="Times New Roman"/>
                <w:sz w:val="18"/>
                <w:szCs w:val="18"/>
                <w:color w:val="auto"/>
              </w:rPr>
              <w:t> as a Borrower</w:t>
            </w:r>
          </w:p>
        </w:tc>
      </w:tr>
      <w:tr>
        <w:trPr>
          <w:trHeight w:val="648"/>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432"/>
        </w:trPr>
        <w:tc>
          <w:tcPr>
            <w:tcW w:w="11260" w:type="dxa"/>
            <w:vAlign w:val="bottom"/>
            <w:gridSpan w:val="3"/>
          </w:tcPr>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PLAINS ALL AMERICAN PIPELINE, L.P. </w:t>
            </w:r>
            <w:r>
              <w:rPr>
                <w:rFonts w:ascii="Times New Roman" w:cs="Times New Roman" w:eastAsia="Times New Roman" w:hAnsi="Times New Roman"/>
                <w:sz w:val="18"/>
                <w:szCs w:val="18"/>
                <w:color w:val="auto"/>
              </w:rPr>
              <w:t>as Guarantor</w:t>
            </w:r>
          </w:p>
        </w:tc>
      </w:tr>
      <w:tr>
        <w:trPr>
          <w:trHeight w:val="63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PAA GP LLC, its general partner</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PLAINS AAP, L.P., its sole member</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PLAINS ALL AMERICAN GP LLC,</w:t>
            </w: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S. Spurlin</w:t>
            </w:r>
          </w:p>
        </w:tc>
      </w:tr>
      <w:tr>
        <w:trPr>
          <w:trHeight w:val="191"/>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Sharon S. Spurlin</w:t>
            </w:r>
          </w:p>
        </w:tc>
        <w:tc>
          <w:tcPr>
            <w:tcW w:w="20" w:type="dxa"/>
            <w:vAlign w:val="bottom"/>
          </w:tcPr>
          <w:p>
            <w:pPr>
              <w:spacing w:after="0"/>
              <w:rPr>
                <w:sz w:val="16"/>
                <w:szCs w:val="16"/>
                <w:color w:val="auto"/>
              </w:rPr>
            </w:pPr>
          </w:p>
        </w:tc>
      </w:tr>
      <w:tr>
        <w:trPr>
          <w:trHeight w:val="234"/>
        </w:trPr>
        <w:tc>
          <w:tcPr>
            <w:tcW w:w="620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Treasurer</w:t>
            </w:r>
          </w:p>
        </w:tc>
      </w:tr>
      <w:tr>
        <w:trPr>
          <w:trHeight w:val="64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S-1</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4" w:right="339" w:bottom="1440" w:gutter="0" w:footer="0" w:header="0"/>
        </w:sectPr>
      </w:pPr>
    </w:p>
    <w:bookmarkStart w:id="40" w:name="page41"/>
    <w:bookmarkEnd w:id="40"/>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Melanie Brichant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Melanie Brichant</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AVP</w:t>
            </w:r>
          </w:p>
        </w:tc>
      </w:tr>
      <w:tr>
        <w:trPr>
          <w:trHeight w:val="648"/>
        </w:trPr>
        <w:tc>
          <w:tcPr>
            <w:tcW w:w="62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S-2</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27" w:right="339" w:bottom="1440" w:gutter="0" w:footer="0" w:header="0"/>
        </w:sectPr>
      </w:pPr>
    </w:p>
    <w:bookmarkStart w:id="41" w:name="page42"/>
    <w:bookmarkEnd w:id="41"/>
    <w:p>
      <w:pPr>
        <w:ind w:left="4520" w:right="300"/>
        <w:spacing w:after="0" w:line="286" w:lineRule="auto"/>
        <w:rPr>
          <w:sz w:val="20"/>
          <w:szCs w:val="20"/>
          <w:color w:val="auto"/>
        </w:rPr>
      </w:pPr>
      <w:r>
        <w:rPr>
          <w:rFonts w:ascii="Times New Roman" w:cs="Times New Roman" w:eastAsia="Times New Roman" w:hAnsi="Times New Roman"/>
          <w:sz w:val="18"/>
          <w:szCs w:val="18"/>
          <w:b w:val="1"/>
          <w:bCs w:val="1"/>
          <w:color w:val="auto"/>
        </w:rPr>
        <w:t>BANK OF AMERICA, N.A., </w:t>
      </w:r>
      <w:r>
        <w:rPr>
          <w:rFonts w:ascii="Times New Roman" w:cs="Times New Roman" w:eastAsia="Times New Roman" w:hAnsi="Times New Roman"/>
          <w:sz w:val="18"/>
          <w:szCs w:val="18"/>
          <w:color w:val="auto"/>
        </w:rPr>
        <w:t>as a Lender, an L/C Issuer and Swing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Megan Baqui</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a Lender and an L/C Issuer</w:t>
      </w:r>
    </w:p>
    <w:p>
      <w:pPr>
        <w:spacing w:after="0" w:line="200" w:lineRule="exact"/>
        <w:rPr>
          <w:sz w:val="20"/>
          <w:szCs w:val="20"/>
          <w:color w:val="auto"/>
        </w:rPr>
      </w:pPr>
    </w:p>
    <w:p>
      <w:pPr>
        <w:spacing w:after="0" w:line="27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Kyle Gruen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S-5</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4" w:name="page45"/>
    <w:bookmarkEnd w:id="44"/>
    <w:p>
      <w:pPr>
        <w:ind w:left="45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WELLS FARGO BANK, NATIONAL ASSOCIATION, </w:t>
      </w:r>
      <w:r>
        <w:rPr>
          <w:rFonts w:ascii="Times New Roman" w:cs="Times New Roman" w:eastAsia="Times New Roman" w:hAnsi="Times New Roman"/>
          <w:sz w:val="18"/>
          <w:szCs w:val="18"/>
          <w:color w:val="auto"/>
        </w:rPr>
        <w:t>as a 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L/C Issuer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Nathan Starr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S-6</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8"/>
          <w:szCs w:val="18"/>
          <w:b w:val="1"/>
          <w:bCs w:val="1"/>
          <w:color w:val="auto"/>
        </w:rPr>
        <w:t>BANCO BILBAO VIZCAYA ARGENTARIA, S.A. NEW YORK</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S-7</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BANK OF MONTREAL,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Jason Lang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S-8</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8"/>
          <w:szCs w:val="18"/>
          <w:b w:val="1"/>
          <w:bCs w:val="1"/>
          <w:color w:val="auto"/>
        </w:rPr>
        <w:t>BANK OF NOVA SCOTIA, HOUSTON BRANCH</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Joe Lattanzi</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80"/>
        <w:spacing w:after="0"/>
        <w:tabs>
          <w:tab w:leader="none" w:pos="8380" w:val="left"/>
        </w:tabs>
        <w:rPr>
          <w:sz w:val="20"/>
          <w:szCs w:val="20"/>
          <w:color w:val="auto"/>
        </w:rPr>
      </w:pPr>
      <w:r>
        <w:rPr>
          <w:rFonts w:ascii="Times New Roman" w:cs="Times New Roman" w:eastAsia="Times New Roman" w:hAnsi="Times New Roman"/>
          <w:sz w:val="18"/>
          <w:szCs w:val="18"/>
          <w:color w:val="auto"/>
        </w:rPr>
        <w:t>S-9</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BARCLAYS BANK PLC,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Sydney G. Dennis</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S-10</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0" w:right="339" w:bottom="1440" w:gutter="0" w:footer="0" w:header="0"/>
        </w:sectPr>
      </w:pPr>
    </w:p>
    <w:bookmarkStart w:id="49" w:name="page50"/>
    <w:bookmarkEnd w:id="49"/>
    <w:p>
      <w:pPr>
        <w:ind w:left="5640"/>
        <w:spacing w:after="0"/>
        <w:rPr>
          <w:sz w:val="20"/>
          <w:szCs w:val="20"/>
          <w:color w:val="auto"/>
        </w:rPr>
      </w:pPr>
      <w:r>
        <w:rPr>
          <w:rFonts w:ascii="Times New Roman" w:cs="Times New Roman" w:eastAsia="Times New Roman" w:hAnsi="Times New Roman"/>
          <w:sz w:val="18"/>
          <w:szCs w:val="18"/>
          <w:b w:val="1"/>
          <w:bCs w:val="1"/>
          <w:color w:val="auto"/>
        </w:rPr>
        <w:t>CANADIAN IMPERIAL BANK OF COMMERCE, NEW YORK</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W. Danvers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W. Danvers</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Donovan C. Broussard</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Donovan C. Broussard</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00" w:right="339" w:bottom="1440" w:gutter="0" w:footer="0" w:header="0"/>
        </w:sectPr>
      </w:pPr>
    </w:p>
    <w:bookmarkStart w:id="50" w:name="page51"/>
    <w:bookmarkEnd w:id="50"/>
    <w:p>
      <w:pPr>
        <w:ind w:left="4520"/>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Connor Schrotel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Connor Schrotel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S-12</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1" w:name="page52"/>
    <w:bookmarkEnd w:id="51"/>
    <w:p>
      <w:pPr>
        <w:ind w:left="452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Mandeville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Mandeville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Anthony Rivera</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2" w:name="page53"/>
    <w:bookmarkEnd w:id="52"/>
    <w:p>
      <w:pPr>
        <w:ind w:left="452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Facenda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Christopher Facenda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S-15</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4" w:name="page55"/>
    <w:bookmarkEnd w:id="54"/>
    <w:p>
      <w:pPr>
        <w:ind w:left="452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Danielle Bernicky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Danielle Bernicky</w:t>
      </w:r>
    </w:p>
    <w:p>
      <w:pPr>
        <w:spacing w:after="0" w:line="23"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50"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S-16</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5" w:name="page56"/>
    <w:bookmarkEnd w:id="55"/>
    <w:p>
      <w:pPr>
        <w:ind w:left="4520"/>
        <w:spacing w:after="0"/>
        <w:rPr>
          <w:sz w:val="20"/>
          <w:szCs w:val="20"/>
          <w:color w:val="auto"/>
        </w:rPr>
      </w:pPr>
      <w:r>
        <w:rPr>
          <w:rFonts w:ascii="Times New Roman" w:cs="Times New Roman" w:eastAsia="Times New Roman" w:hAnsi="Times New Roman"/>
          <w:sz w:val="18"/>
          <w:szCs w:val="18"/>
          <w:b w:val="1"/>
          <w:bCs w:val="1"/>
          <w:color w:val="auto"/>
        </w:rPr>
        <w:t>REGIONS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Valentine</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50"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S-17</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56" w:name="page57"/>
    <w:bookmarkEnd w:id="56"/>
    <w:p>
      <w:pPr>
        <w:ind w:left="564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Sue Carol Sedillo</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Sue Carol Sedillo</w:t>
            </w:r>
          </w:p>
        </w:tc>
        <w:tc>
          <w:tcPr>
            <w:tcW w:w="20" w:type="dxa"/>
            <w:vAlign w:val="bottom"/>
          </w:tcPr>
          <w:p>
            <w:pPr>
              <w:spacing w:after="0"/>
              <w:rPr>
                <w:sz w:val="16"/>
                <w:szCs w:val="16"/>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62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S-18</w:t>
            </w:r>
          </w:p>
        </w:tc>
        <w:tc>
          <w:tcPr>
            <w:tcW w:w="50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w w:val="99"/>
              </w:rPr>
              <w:t>PMLP 2nd Amendment</w:t>
            </w:r>
          </w:p>
        </w:tc>
      </w:tr>
    </w:tbl>
    <w:p>
      <w:pPr>
        <w:sectPr>
          <w:pgSz w:w="11900" w:h="16838" w:orient="portrait"/>
          <w:cols w:equalWidth="0" w:num="1">
            <w:col w:w="11240"/>
          </w:cols>
          <w:pgMar w:left="320" w:top="927" w:right="339" w:bottom="1440" w:gutter="0" w:footer="0" w:header="0"/>
        </w:sectPr>
      </w:pPr>
    </w:p>
    <w:bookmarkStart w:id="57" w:name="page58"/>
    <w:bookmarkEnd w:id="57"/>
    <w:p>
      <w:pPr>
        <w:ind w:left="45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Alkesh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Alkesh Nanavaty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S-19</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8" w:name="page59"/>
    <w:bookmarkEnd w:id="58"/>
    <w:p>
      <w:pPr>
        <w:ind w:left="452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S-20</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9" w:name="page60"/>
    <w:bookmarkEnd w:id="59"/>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3"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S-21</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0" w:name="page61"/>
    <w:bookmarkEnd w:id="60"/>
    <w:p>
      <w:pPr>
        <w:ind w:left="45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Beth Johnson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S-22</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ZIONS BANCORPORATION, N.A. DBA AMEGY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Cameron Burns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S-23</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2" w:name="page63"/>
    <w:bookmarkEnd w:id="62"/>
    <w:p>
      <w:pPr>
        <w:ind w:left="4520"/>
        <w:spacing w:after="0"/>
        <w:rPr>
          <w:sz w:val="20"/>
          <w:szCs w:val="20"/>
          <w:color w:val="auto"/>
        </w:rPr>
      </w:pPr>
      <w:r>
        <w:rPr>
          <w:rFonts w:ascii="Times New Roman" w:cs="Times New Roman" w:eastAsia="Times New Roman" w:hAnsi="Times New Roman"/>
          <w:sz w:val="18"/>
          <w:szCs w:val="18"/>
          <w:b w:val="1"/>
          <w:bCs w:val="1"/>
          <w:color w:val="auto"/>
        </w:rPr>
        <w:t>MORGAN STANLEY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340"/>
        <w:spacing w:after="0"/>
        <w:tabs>
          <w:tab w:leader="none" w:pos="8380" w:val="left"/>
        </w:tabs>
        <w:rPr>
          <w:sz w:val="20"/>
          <w:szCs w:val="20"/>
          <w:color w:val="auto"/>
        </w:rPr>
      </w:pPr>
      <w:r>
        <w:rPr>
          <w:rFonts w:ascii="Times New Roman" w:cs="Times New Roman" w:eastAsia="Times New Roman" w:hAnsi="Times New Roman"/>
          <w:sz w:val="18"/>
          <w:szCs w:val="18"/>
          <w:color w:val="auto"/>
        </w:rPr>
        <w:t>S-24</w:t>
      </w:r>
      <w:r>
        <w:rPr>
          <w:sz w:val="20"/>
          <w:szCs w:val="20"/>
          <w:color w:val="auto"/>
        </w:rPr>
        <w:tab/>
      </w:r>
      <w:r>
        <w:rPr>
          <w:rFonts w:ascii="Times New Roman" w:cs="Times New Roman" w:eastAsia="Times New Roman" w:hAnsi="Times New Roman"/>
          <w:sz w:val="17"/>
          <w:szCs w:val="17"/>
          <w:color w:val="auto"/>
        </w:rPr>
        <w:t>PMLP 2nd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conversion or continuation of Committed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On ________________________________(a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 Loans] [Term SOFR/Canadian Term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Canadian Term Rate Loans: with an Interest Period of [one] [three]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If a conversion or continuation of Committed Loans, the existing Borrowing(s) of Committed Loans to be converted or 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amount of [$/C$] ____________ of Base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Committed Borrowing, if any, requested herein complies with the proviso to the first sentence of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Date: ___________, _____</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 Swing Line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Fourth Amended and Restated Credit Agreement, dated as of August 20, 2021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being used herein as therein defined), among Plains Marketing, L.P., a Texas limited partnership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Plains Midstream Canada ULC, a British Columbia unlimited liability company (“</w:t>
      </w:r>
      <w:r>
        <w:rPr>
          <w:rFonts w:ascii="Times New Roman" w:cs="Times New Roman" w:eastAsia="Times New Roman" w:hAnsi="Times New Roman"/>
          <w:sz w:val="18"/>
          <w:szCs w:val="18"/>
          <w:u w:val="single" w:color="auto"/>
          <w:color w:val="auto"/>
        </w:rPr>
        <w:t>PMCULC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requests a Swing Line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On__________________________________(a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In the principal amount of [$/C$]____________.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Comprised of [Base Rate/Term SOFR] [Canadian Prime Rate/Canadian Swing Line Rate]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Swing Line Borrowing requested herein complies with the requirements of the provisos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the Agreement.</w:t>
      </w:r>
    </w:p>
    <w:p>
      <w:pPr>
        <w:spacing w:after="0" w:line="15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SCHEDULE 2.01</w:t>
            </w:r>
          </w:p>
        </w:tc>
      </w:tr>
      <w:tr>
        <w:trPr>
          <w:trHeight w:val="410"/>
        </w:trPr>
        <w:tc>
          <w:tcPr>
            <w:tcW w:w="4540" w:type="dxa"/>
            <w:vAlign w:val="bottom"/>
          </w:tcPr>
          <w:p>
            <w:pPr>
              <w:spacing w:after="0"/>
              <w:rPr>
                <w:sz w:val="24"/>
                <w:szCs w:val="24"/>
                <w:color w:val="auto"/>
              </w:rPr>
            </w:pPr>
          </w:p>
        </w:tc>
        <w:tc>
          <w:tcPr>
            <w:tcW w:w="298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7520" w:type="dxa"/>
            <w:vAlign w:val="bottom"/>
            <w:gridSpan w:val="6"/>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AND APPLICABLE PERCENTAGES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5"/>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Applicable Percentage</w:t>
            </w: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64,000,000.00</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4.7407407407%</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Nova Scotia, Houston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CoBank, ACB**</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Capital LLC</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4.7407407407%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Zions Bancorporation, N.A. DBA Amegy Bank</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2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2.5925925926%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18, 2027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100.0000000000%</w:t>
            </w:r>
          </w:p>
        </w:tc>
        <w:tc>
          <w:tcPr>
            <w:tcW w:w="16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ten decimal places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**Unlicensed Term CORRA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EXTENDING AND NON-EXTENDING LENDERS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EXTENDING LENDERS: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Montreal</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Bank of Nova Scotia, Houston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CoBank ACB</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Zions Bancorporation, N.A. DBA Amegy Bank</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Morgan Stanley Bank, 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2024-08-22T16:32:05Z</dcterms:created>
  <dcterms:modified xsi:type="dcterms:W3CDTF">2024-08-22T16:32:05Z</dcterms:modified>
</cp:coreProperties>
</file>