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pPr>
      <w:bookmarkStart w:id="0" w:name="a13-26950_2s8.htm"/>
      <w:bookmarkStart w:id="1" w:name="ksa1326950_2s8"/>
      <w:bookmarkEnd w:id="0"/>
      <w:bookmarkEnd w:id="1"/>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As filed with the Securities and Exchange Commission on December 31, 2013</w:t>
      </w:r>
    </w:p>
    <w:p>
      <w:pPr>
        <w:pStyle w:val="TextBody"/>
        <w:spacing w:before="0" w:after="0"/>
        <w:ind w:left="0" w:right="0" w:hanging="0"/>
        <w:jc w:val="right"/>
        <w:rPr>
          <w:rFonts w:ascii="Times New Roman" w:hAnsi="Times New Roman"/>
          <w:b/>
          <w:sz w:val="17"/>
        </w:rPr>
      </w:pPr>
      <w:r>
        <w:rPr>
          <w:rFonts w:ascii="Times New Roman" w:hAnsi="Times New Roman"/>
          <w:b/>
          <w:sz w:val="17"/>
        </w:rPr>
        <w:t>Registration No. 333-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 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S-8</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REGISTRATION STATEMENT UNDER THE SECURITIES ACT OF 1933</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308" w:type="dxa"/>
            <w:tcBorders/>
            <w:shd w:fill="auto" w:val="clear"/>
            <w:vAlign w:val="bottom"/>
          </w:tcPr>
          <w:p>
            <w:pPr>
              <w:pStyle w:val="TableContents"/>
              <w:spacing w:before="0" w:after="0"/>
              <w:ind w:left="0" w:right="0" w:hanging="0"/>
              <w:rPr/>
            </w:pPr>
            <w:r>
              <w:rPr/>
              <w:t> </w:t>
            </w:r>
          </w:p>
        </w:tc>
        <w:tc>
          <w:tcPr>
            <w:tcW w:w="494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4948" w:type="dxa"/>
            <w:tcBorders/>
            <w:shd w:fill="auto" w:val="clear"/>
          </w:tcPr>
          <w:p>
            <w:pPr>
              <w:pStyle w:val="TableContents"/>
              <w:spacing w:before="0" w:after="0"/>
              <w:ind w:left="0" w:right="0" w:hanging="0"/>
              <w:jc w:val="center"/>
              <w:rPr/>
            </w:pPr>
            <w:r>
              <w:rPr/>
              <w:t> </w:t>
            </w:r>
            <w:r>
              <w:rPr>
                <w:rFonts w:ascii="Times New Roman" w:hAnsi="Times New Roman"/>
                <w:sz w:val="17"/>
              </w:rPr>
              <w:t>(State or other jurisdiction of</w:t>
            </w:r>
          </w:p>
          <w:p>
            <w:pPr>
              <w:pStyle w:val="TableContents"/>
              <w:spacing w:before="0" w:after="0"/>
              <w:ind w:left="0" w:right="0" w:hanging="0"/>
              <w:jc w:val="center"/>
              <w:rPr/>
            </w:pPr>
            <w:r>
              <w:rPr/>
              <w:t> </w:t>
            </w:r>
            <w:r>
              <w:rPr>
                <w:rFonts w:ascii="Times New Roman" w:hAnsi="Times New Roman"/>
                <w:sz w:val="17"/>
              </w:rPr>
              <w:t>incorporation or organization)</w:t>
            </w:r>
          </w:p>
        </w:tc>
        <w:tc>
          <w:tcPr>
            <w:tcW w:w="308" w:type="dxa"/>
            <w:tcBorders/>
            <w:shd w:fill="auto" w:val="clear"/>
            <w:vAlign w:val="bottom"/>
          </w:tcPr>
          <w:p>
            <w:pPr>
              <w:pStyle w:val="TableContents"/>
              <w:spacing w:before="0" w:after="0"/>
              <w:ind w:left="0" w:right="0" w:hanging="0"/>
              <w:rPr/>
            </w:pPr>
            <w:r>
              <w:rPr/>
              <w:t> </w:t>
            </w:r>
          </w:p>
        </w:tc>
        <w:tc>
          <w:tcPr>
            <w:tcW w:w="494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w:t>
      </w:r>
    </w:p>
    <w:p>
      <w:pPr>
        <w:pStyle w:val="TextBody"/>
        <w:spacing w:before="0" w:after="0"/>
        <w:ind w:left="0" w:right="0" w:hanging="0"/>
        <w:jc w:val="center"/>
        <w:rPr>
          <w:rFonts w:ascii="Times New Roman" w:hAnsi="Times New Roman"/>
          <w:b/>
          <w:sz w:val="17"/>
        </w:rPr>
      </w:pPr>
      <w:r>
        <w:rPr>
          <w:rFonts w:ascii="Times New Roman" w:hAnsi="Times New Roman"/>
          <w:b/>
          <w:sz w:val="17"/>
        </w:rPr>
        <w:t>Houston, Texas 77002</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including zip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2013 LONG-TERM INCENTIVE PLAN</w:t>
      </w:r>
    </w:p>
    <w:p>
      <w:pPr>
        <w:pStyle w:val="TextBody"/>
        <w:spacing w:before="0" w:after="0"/>
        <w:ind w:left="0" w:right="0" w:hanging="0"/>
        <w:jc w:val="center"/>
        <w:rPr/>
      </w:pPr>
      <w:r>
        <w:rPr/>
        <w:t> </w:t>
      </w:r>
      <w:r>
        <w:rPr>
          <w:rFonts w:ascii="Times New Roman" w:hAnsi="Times New Roman"/>
          <w:sz w:val="17"/>
        </w:rPr>
        <w:t>(Full title of the plan)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Richard McGee</w:t>
      </w:r>
    </w:p>
    <w:p>
      <w:pPr>
        <w:pStyle w:val="TextBody"/>
        <w:spacing w:before="0" w:after="0"/>
        <w:ind w:left="0" w:right="0" w:hanging="0"/>
        <w:jc w:val="center"/>
        <w:rPr>
          <w:rFonts w:ascii="Times New Roman" w:hAnsi="Times New Roman"/>
          <w:b/>
          <w:sz w:val="17"/>
        </w:rPr>
      </w:pPr>
      <w:r>
        <w:rPr>
          <w:rFonts w:ascii="Times New Roman" w:hAnsi="Times New Roman"/>
          <w:b/>
          <w:sz w:val="17"/>
        </w:rPr>
        <w:t>Executive Vice President</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w:t>
      </w:r>
    </w:p>
    <w:p>
      <w:pPr>
        <w:pStyle w:val="TextBody"/>
        <w:spacing w:before="0" w:after="0"/>
        <w:ind w:left="0" w:right="0" w:hanging="0"/>
        <w:jc w:val="center"/>
        <w:rPr>
          <w:rFonts w:ascii="Times New Roman" w:hAnsi="Times New Roman"/>
          <w:b/>
          <w:sz w:val="17"/>
        </w:rPr>
      </w:pPr>
      <w:r>
        <w:rPr>
          <w:rFonts w:ascii="Times New Roman" w:hAnsi="Times New Roman"/>
          <w:b/>
          <w:sz w:val="17"/>
        </w:rPr>
        <w:t>Houston, Texas 77002</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pPr>
      <w:r>
        <w:rPr/>
        <w:t> </w:t>
      </w:r>
      <w:r>
        <w:rPr>
          <w:rFonts w:ascii="Times New Roman" w:hAnsi="Times New Roman"/>
          <w:sz w:val="17"/>
        </w:rPr>
        <w:t>(Name, address and telephone number of agent for service)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copy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David P. Oelman</w:t>
      </w:r>
    </w:p>
    <w:p>
      <w:pPr>
        <w:pStyle w:val="TextBody"/>
        <w:spacing w:before="0" w:after="0"/>
        <w:ind w:left="0" w:right="0" w:hanging="0"/>
        <w:jc w:val="center"/>
        <w:rPr>
          <w:rFonts w:ascii="Times New Roman" w:hAnsi="Times New Roman"/>
          <w:b/>
          <w:sz w:val="17"/>
        </w:rPr>
      </w:pPr>
      <w:r>
        <w:rPr>
          <w:rFonts w:ascii="Times New Roman" w:hAnsi="Times New Roman"/>
          <w:b/>
          <w:sz w:val="17"/>
        </w:rPr>
        <w:t>D. Alan Beck, Jr.</w:t>
      </w:r>
    </w:p>
    <w:p>
      <w:pPr>
        <w:pStyle w:val="TextBody"/>
        <w:spacing w:before="0" w:after="0"/>
        <w:ind w:left="0" w:right="0" w:hanging="0"/>
        <w:jc w:val="center"/>
        <w:rPr>
          <w:rFonts w:ascii="Times New Roman" w:hAnsi="Times New Roman"/>
          <w:sz w:val="17"/>
        </w:rPr>
      </w:pPr>
      <w:r>
        <w:rPr>
          <w:rFonts w:ascii="Times New Roman" w:hAnsi="Times New Roman"/>
          <w:sz w:val="17"/>
        </w:rPr>
        <w:t>Vinson &amp; Elkins L.L.P.</w:t>
      </w:r>
    </w:p>
    <w:p>
      <w:pPr>
        <w:pStyle w:val="TextBody"/>
        <w:spacing w:before="0" w:after="0"/>
        <w:ind w:left="0" w:right="0" w:hanging="0"/>
        <w:jc w:val="center"/>
        <w:rPr>
          <w:rFonts w:ascii="Times New Roman" w:hAnsi="Times New Roman"/>
          <w:sz w:val="17"/>
        </w:rPr>
      </w:pPr>
      <w:r>
        <w:rPr>
          <w:rFonts w:ascii="Times New Roman" w:hAnsi="Times New Roman"/>
          <w:sz w:val="17"/>
        </w:rPr>
        <w:t>1001 Fannin Street, Suite 2500</w:t>
      </w:r>
    </w:p>
    <w:p>
      <w:pPr>
        <w:pStyle w:val="TextBody"/>
        <w:spacing w:before="0" w:after="0"/>
        <w:ind w:left="0" w:right="0" w:hanging="0"/>
        <w:jc w:val="center"/>
        <w:rPr>
          <w:rFonts w:ascii="Times New Roman" w:hAnsi="Times New Roman"/>
          <w:sz w:val="17"/>
        </w:rPr>
      </w:pPr>
      <w:r>
        <w:rPr>
          <w:rFonts w:ascii="Times New Roman" w:hAnsi="Times New Roman"/>
          <w:sz w:val="17"/>
        </w:rPr>
        <w:t>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(713) 758-2222</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2187"/>
        <w:gridCol w:w="4583"/>
        <w:gridCol w:w="102"/>
        <w:gridCol w:w="3333"/>
      </w:tblGrid>
      <w:tr>
        <w:trPr/>
        <w:tc>
          <w:tcPr>
            <w:tcW w:w="2187" w:type="dxa"/>
            <w:tcBorders/>
            <w:shd w:fill="auto" w:val="clear"/>
          </w:tcPr>
          <w:p>
            <w:pPr>
              <w:pStyle w:val="TableContents"/>
              <w:spacing w:before="0" w:after="0"/>
              <w:ind w:left="0" w:right="0" w:hanging="0"/>
              <w:rPr/>
            </w:pPr>
            <w:r>
              <w:rPr>
                <w:rFonts w:ascii="Times New Roman" w:hAnsi="Times New Roman"/>
                <w:b/>
                <w:sz w:val="17"/>
              </w:rPr>
              <w:t>Large accelerated filer </w:t>
            </w:r>
            <w:r>
              <w:rPr>
                <w:rFonts w:ascii="Wingdings" w:hAnsi="Wingdings"/>
                <w:b/>
                <w:sz w:val="17"/>
              </w:rPr>
              <w:t>x</w:t>
            </w:r>
          </w:p>
        </w:tc>
        <w:tc>
          <w:tcPr>
            <w:tcW w:w="4583"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3333" w:type="dxa"/>
            <w:tcBorders/>
            <w:shd w:fill="auto" w:val="clear"/>
          </w:tcPr>
          <w:p>
            <w:pPr>
              <w:pStyle w:val="TableContents"/>
              <w:spacing w:before="0" w:after="0"/>
              <w:ind w:left="0" w:right="0" w:hanging="0"/>
              <w:jc w:val="right"/>
              <w:rPr/>
            </w:pPr>
            <w:r>
              <w:rPr>
                <w:rFonts w:ascii="Times New Roman" w:hAnsi="Times New Roman"/>
                <w:b/>
                <w:sz w:val="17"/>
              </w:rPr>
              <w:t>Accelerated filer </w:t>
            </w:r>
            <w:r>
              <w:rPr>
                <w:rFonts w:ascii="Wingdings" w:hAnsi="Wingdings"/>
                <w:b/>
                <w:sz w:val="17"/>
              </w:rPr>
              <w:t>o</w:t>
            </w:r>
            <w:r>
              <w:rPr/>
              <w:t xml:space="preserve"> </w:t>
            </w:r>
          </w:p>
        </w:tc>
      </w:tr>
      <w:tr>
        <w:trPr/>
        <w:tc>
          <w:tcPr>
            <w:tcW w:w="2187" w:type="dxa"/>
            <w:tcBorders/>
            <w:shd w:fill="auto" w:val="clear"/>
          </w:tcPr>
          <w:p>
            <w:pPr>
              <w:pStyle w:val="TableContents"/>
              <w:spacing w:before="0" w:after="0"/>
              <w:ind w:left="0" w:right="0" w:hanging="0"/>
              <w:rPr/>
            </w:pPr>
            <w:r>
              <w:rPr>
                <w:rFonts w:ascii="Times New Roman" w:hAnsi="Times New Roman"/>
                <w:b/>
                <w:sz w:val="17"/>
              </w:rPr>
              <w:t>Non-accelerated filer </w:t>
            </w:r>
            <w:r>
              <w:rPr>
                <w:rFonts w:ascii="Wingdings" w:hAnsi="Wingdings"/>
                <w:b/>
                <w:sz w:val="17"/>
              </w:rPr>
              <w:t>o</w:t>
            </w:r>
          </w:p>
        </w:tc>
        <w:tc>
          <w:tcPr>
            <w:tcW w:w="458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(Do not check if smaller reporting company)</w:t>
            </w:r>
          </w:p>
        </w:tc>
        <w:tc>
          <w:tcPr>
            <w:tcW w:w="102" w:type="dxa"/>
            <w:tcBorders/>
            <w:shd w:fill="auto" w:val="clear"/>
            <w:vAlign w:val="bottom"/>
          </w:tcPr>
          <w:p>
            <w:pPr>
              <w:pStyle w:val="TableContents"/>
              <w:spacing w:before="0" w:after="0"/>
              <w:ind w:left="0" w:right="0" w:hanging="0"/>
              <w:rPr/>
            </w:pPr>
            <w:r>
              <w:rPr/>
              <w:t> </w:t>
            </w:r>
          </w:p>
        </w:tc>
        <w:tc>
          <w:tcPr>
            <w:tcW w:w="3333" w:type="dxa"/>
            <w:tcBorders/>
            <w:shd w:fill="auto" w:val="clear"/>
          </w:tcPr>
          <w:p>
            <w:pPr>
              <w:pStyle w:val="TableContents"/>
              <w:spacing w:before="0" w:after="0"/>
              <w:ind w:left="0" w:right="0" w:hanging="0"/>
              <w:jc w:val="right"/>
              <w:rPr/>
            </w:pPr>
            <w:r>
              <w:rPr>
                <w:rFonts w:ascii="Times New Roman" w:hAnsi="Times New Roman"/>
                <w:b/>
                <w:sz w:val="17"/>
              </w:rPr>
              <w:t>Smaller Reporting Company </w:t>
            </w:r>
            <w:r>
              <w:rPr>
                <w:rFonts w:ascii="Wingdings" w:hAnsi="Wingdings"/>
                <w:b/>
                <w:sz w:val="17"/>
              </w:rPr>
              <w:t>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CALCULATION OF REGISTRATION FEE</w:t>
      </w:r>
    </w:p>
    <w:tbl>
      <w:tblPr>
        <w:tblW w:w="5000" w:type="pct"/>
        <w:jc w:val="left"/>
        <w:tblInd w:w="0" w:type="dxa"/>
        <w:tblCellMar>
          <w:top w:w="0" w:type="dxa"/>
          <w:left w:w="0" w:type="dxa"/>
          <w:bottom w:w="28" w:type="dxa"/>
          <w:right w:w="0" w:type="dxa"/>
        </w:tblCellMar>
      </w:tblPr>
      <w:tblGrid>
        <w:gridCol w:w="2496"/>
        <w:gridCol w:w="171"/>
        <w:gridCol w:w="1543"/>
        <w:gridCol w:w="171"/>
        <w:gridCol w:w="230"/>
        <w:gridCol w:w="1477"/>
        <w:gridCol w:w="315"/>
        <w:gridCol w:w="159"/>
        <w:gridCol w:w="1636"/>
        <w:gridCol w:w="315"/>
        <w:gridCol w:w="151"/>
        <w:gridCol w:w="1425"/>
        <w:gridCol w:w="116"/>
      </w:tblGrid>
      <w:tr>
        <w:trPr/>
        <w:tc>
          <w:tcPr>
            <w:tcW w:w="2496"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71"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543"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71"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707" w:type="dxa"/>
            <w:gridSpan w:val="2"/>
            <w:tcBorders>
              <w:bottom w:val="double" w:sz="6" w:space="0" w:color="000000"/>
            </w:tcBorders>
            <w:shd w:fill="auto" w:val="clear"/>
            <w:vAlign w:val="bottom"/>
          </w:tcPr>
          <w:p>
            <w:pPr>
              <w:pStyle w:val="TableContents"/>
              <w:spacing w:before="0" w:after="0"/>
              <w:ind w:left="0" w:right="0" w:hanging="0"/>
              <w:jc w:val="center"/>
              <w:rPr/>
            </w:pPr>
            <w:r>
              <w:rPr/>
              <w:t> </w:t>
            </w:r>
          </w:p>
        </w:tc>
        <w:tc>
          <w:tcPr>
            <w:tcW w:w="315"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795" w:type="dxa"/>
            <w:gridSpan w:val="2"/>
            <w:tcBorders>
              <w:bottom w:val="double" w:sz="6" w:space="0" w:color="000000"/>
            </w:tcBorders>
            <w:shd w:fill="auto" w:val="clear"/>
            <w:vAlign w:val="bottom"/>
          </w:tcPr>
          <w:p>
            <w:pPr>
              <w:pStyle w:val="TableContents"/>
              <w:spacing w:before="0" w:after="0"/>
              <w:ind w:left="0" w:right="0" w:hanging="0"/>
              <w:jc w:val="center"/>
              <w:rPr/>
            </w:pPr>
            <w:r>
              <w:rPr/>
              <w:t> </w:t>
            </w:r>
          </w:p>
        </w:tc>
        <w:tc>
          <w:tcPr>
            <w:tcW w:w="315" w:type="dxa"/>
            <w:tcBorders>
              <w:bottom w:val="double" w:sz="6" w:space="0" w:color="000000"/>
            </w:tcBorders>
            <w:shd w:fill="auto" w:val="clear"/>
            <w:vAlign w:val="bottom"/>
          </w:tcPr>
          <w:p>
            <w:pPr>
              <w:pStyle w:val="TableContents"/>
              <w:spacing w:before="0" w:after="0"/>
              <w:ind w:left="0" w:right="0" w:hanging="0"/>
              <w:jc w:val="center"/>
              <w:rPr/>
            </w:pPr>
            <w:r>
              <w:rPr/>
              <w:t> </w:t>
            </w:r>
          </w:p>
        </w:tc>
        <w:tc>
          <w:tcPr>
            <w:tcW w:w="1576" w:type="dxa"/>
            <w:gridSpan w:val="2"/>
            <w:tcBorders>
              <w:bottom w:val="double" w:sz="6" w:space="0" w:color="000000"/>
            </w:tcBorders>
            <w:shd w:fill="auto" w:val="clear"/>
            <w:vAlign w:val="bottom"/>
          </w:tcPr>
          <w:p>
            <w:pPr>
              <w:pStyle w:val="TableContents"/>
              <w:spacing w:before="0" w:after="0"/>
              <w:ind w:left="0" w:right="0" w:hanging="0"/>
              <w:jc w:val="center"/>
              <w:rPr/>
            </w:pPr>
            <w:r>
              <w:rPr/>
              <w:t> </w:t>
            </w:r>
          </w:p>
        </w:tc>
        <w:tc>
          <w:tcPr>
            <w:tcW w:w="116" w:type="dxa"/>
            <w:tcBorders>
              <w:bottom w:val="double" w:sz="6" w:space="0" w:color="000000"/>
            </w:tcBorders>
            <w:shd w:fill="auto" w:val="clear"/>
            <w:vAlign w:val="bottom"/>
          </w:tcPr>
          <w:p>
            <w:pPr>
              <w:pStyle w:val="TableContents"/>
              <w:spacing w:before="0" w:after="0"/>
              <w:ind w:left="0" w:right="0" w:hanging="0"/>
              <w:jc w:val="center"/>
              <w:rPr/>
            </w:pPr>
            <w:r>
              <w:rPr/>
              <w:t> </w:t>
            </w:r>
          </w:p>
        </w:tc>
      </w:tr>
      <w:tr>
        <w:trPr/>
        <w:tc>
          <w:tcPr>
            <w:tcW w:w="249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 of securities</w:t>
              <w:br/>
              <w:t> to be registered</w:t>
            </w:r>
          </w:p>
        </w:tc>
        <w:tc>
          <w:tcPr>
            <w:tcW w:w="171"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54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 to be</w:t>
              <w:br/>
              <w:t>registered (1)</w:t>
            </w:r>
          </w:p>
        </w:tc>
        <w:tc>
          <w:tcPr>
            <w:tcW w:w="171"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707"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Proposed</w:t>
              <w:br/>
              <w:t>maximum offering</w:t>
              <w:br/>
              <w:t>price per unit</w:t>
            </w:r>
          </w:p>
        </w:tc>
        <w:tc>
          <w:tcPr>
            <w:tcW w:w="315"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79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Proposed</w:t>
              <w:br/>
              <w:t>maximum aggregate</w:t>
              <w:br/>
              <w:t>offering price</w:t>
            </w:r>
          </w:p>
        </w:tc>
        <w:tc>
          <w:tcPr>
            <w:tcW w:w="315" w:type="dxa"/>
            <w:tcBorders>
              <w:bottom w:val="single" w:sz="8" w:space="0" w:color="000000"/>
            </w:tcBorders>
            <w:shd w:fill="auto" w:val="clear"/>
            <w:vAlign w:val="bottom"/>
          </w:tcPr>
          <w:p>
            <w:pPr>
              <w:pStyle w:val="TableContents"/>
              <w:spacing w:before="0" w:after="0"/>
              <w:ind w:left="0" w:right="0" w:hanging="0"/>
              <w:jc w:val="center"/>
              <w:rPr/>
            </w:pPr>
            <w:r>
              <w:rPr/>
              <w:t> </w:t>
            </w:r>
          </w:p>
        </w:tc>
        <w:tc>
          <w:tcPr>
            <w:tcW w:w="157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 of</w:t>
              <w:br/>
              <w:t>registration fee</w:t>
            </w:r>
          </w:p>
        </w:tc>
        <w:tc>
          <w:tcPr>
            <w:tcW w:w="116" w:type="dxa"/>
            <w:tcBorders>
              <w:bottom w:val="single" w:sz="8" w:space="0" w:color="000000"/>
            </w:tcBorders>
            <w:shd w:fill="auto" w:val="clear"/>
            <w:vAlign w:val="bottom"/>
          </w:tcPr>
          <w:p>
            <w:pPr>
              <w:pStyle w:val="TableContents"/>
              <w:spacing w:before="0" w:after="0"/>
              <w:ind w:left="0" w:right="0" w:hanging="0"/>
              <w:jc w:val="center"/>
              <w:rPr/>
            </w:pPr>
            <w:r>
              <w:rPr/>
              <w:t> </w:t>
            </w:r>
          </w:p>
        </w:tc>
      </w:tr>
      <w:tr>
        <w:trPr/>
        <w:tc>
          <w:tcPr>
            <w:tcW w:w="2496" w:type="dxa"/>
            <w:tcBorders>
              <w:bottom w:val="double" w:sz="6"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units, representing limited partner interests</w:t>
            </w:r>
          </w:p>
        </w:tc>
        <w:tc>
          <w:tcPr>
            <w:tcW w:w="171" w:type="dxa"/>
            <w:tcBorders>
              <w:bottom w:val="double" w:sz="6" w:space="0" w:color="000000"/>
            </w:tcBorders>
            <w:shd w:fill="auto" w:val="clear"/>
            <w:vAlign w:val="bottom"/>
          </w:tcPr>
          <w:p>
            <w:pPr>
              <w:pStyle w:val="TableContents"/>
              <w:spacing w:before="0" w:after="0"/>
              <w:ind w:left="0" w:right="0" w:hanging="0"/>
              <w:rPr/>
            </w:pPr>
            <w:r>
              <w:rPr/>
              <w:t> </w:t>
            </w:r>
          </w:p>
        </w:tc>
        <w:tc>
          <w:tcPr>
            <w:tcW w:w="1543"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7,000,000 units</w:t>
            </w:r>
          </w:p>
        </w:tc>
        <w:tc>
          <w:tcPr>
            <w:tcW w:w="171" w:type="dxa"/>
            <w:tcBorders>
              <w:bottom w:val="double" w:sz="6" w:space="0" w:color="000000"/>
            </w:tcBorders>
            <w:shd w:fill="auto" w:val="clear"/>
            <w:vAlign w:val="bottom"/>
          </w:tcPr>
          <w:p>
            <w:pPr>
              <w:pStyle w:val="TableContents"/>
              <w:spacing w:before="0" w:after="0"/>
              <w:ind w:left="0" w:right="0" w:hanging="0"/>
              <w:rPr/>
            </w:pPr>
            <w:r>
              <w:rPr/>
              <w:t> </w:t>
            </w:r>
          </w:p>
        </w:tc>
        <w:tc>
          <w:tcPr>
            <w:tcW w:w="23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7"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51.17</w:t>
            </w:r>
          </w:p>
        </w:tc>
        <w:tc>
          <w:tcPr>
            <w:tcW w:w="315"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159"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6"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358,190,000</w:t>
            </w:r>
          </w:p>
        </w:tc>
        <w:tc>
          <w:tcPr>
            <w:tcW w:w="315"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15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5"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46,134.87</w:t>
            </w:r>
          </w:p>
        </w:tc>
        <w:tc>
          <w:tcPr>
            <w:tcW w:w="116" w:type="dxa"/>
            <w:tcBorders>
              <w:bottom w:val="double" w:sz="6" w:space="0" w:color="000000"/>
            </w:tcBorders>
            <w:shd w:fill="auto" w:val="clear"/>
            <w:vAlign w:val="bottom"/>
          </w:tcPr>
          <w:p>
            <w:pPr>
              <w:pStyle w:val="TableContents"/>
              <w:spacing w:before="0" w:after="0"/>
              <w:ind w:left="0" w:right="0" w:hanging="0"/>
              <w:rPr/>
            </w:pPr>
            <w:r>
              <w:rPr/>
              <w:t> </w:t>
            </w:r>
          </w:p>
        </w:tc>
      </w:tr>
      <w:tr>
        <w:trPr/>
        <w:tc>
          <w:tcPr>
            <w:tcW w:w="2496"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543"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230" w:type="dxa"/>
            <w:tcBorders/>
            <w:shd w:fill="auto" w:val="clear"/>
            <w:tcMar>
              <w:bottom w:w="0" w:type="dxa"/>
            </w:tcMar>
            <w:vAlign w:val="center"/>
          </w:tcPr>
          <w:p>
            <w:pPr>
              <w:pStyle w:val="TableContents"/>
              <w:spacing w:before="0" w:after="283"/>
              <w:rPr>
                <w:sz w:val="4"/>
                <w:szCs w:val="4"/>
              </w:rPr>
            </w:pPr>
            <w:r>
              <w:rPr>
                <w:sz w:val="4"/>
                <w:szCs w:val="4"/>
              </w:rPr>
            </w:r>
          </w:p>
        </w:tc>
        <w:tc>
          <w:tcPr>
            <w:tcW w:w="1477" w:type="dxa"/>
            <w:tcBorders/>
            <w:shd w:fill="auto" w:val="clear"/>
            <w:tcMar>
              <w:bottom w:w="0" w:type="dxa"/>
            </w:tcMar>
            <w:vAlign w:val="center"/>
          </w:tcPr>
          <w:p>
            <w:pPr>
              <w:pStyle w:val="TableContents"/>
              <w:spacing w:before="0" w:after="283"/>
              <w:rPr>
                <w:sz w:val="4"/>
                <w:szCs w:val="4"/>
              </w:rPr>
            </w:pPr>
            <w:r>
              <w:rPr>
                <w:sz w:val="4"/>
                <w:szCs w:val="4"/>
              </w:rPr>
            </w:r>
          </w:p>
        </w:tc>
        <w:tc>
          <w:tcPr>
            <w:tcW w:w="315" w:type="dxa"/>
            <w:tcBorders/>
            <w:shd w:fill="auto" w:val="clear"/>
            <w:tcMar>
              <w:bottom w:w="0" w:type="dxa"/>
            </w:tcMar>
            <w:vAlign w:val="center"/>
          </w:tcPr>
          <w:p>
            <w:pPr>
              <w:pStyle w:val="TableContents"/>
              <w:spacing w:before="0" w:after="283"/>
              <w:rPr>
                <w:sz w:val="4"/>
                <w:szCs w:val="4"/>
              </w:rPr>
            </w:pPr>
            <w:r>
              <w:rPr>
                <w:sz w:val="4"/>
                <w:szCs w:val="4"/>
              </w:rPr>
            </w:r>
          </w:p>
        </w:tc>
        <w:tc>
          <w:tcPr>
            <w:tcW w:w="159" w:type="dxa"/>
            <w:tcBorders/>
            <w:shd w:fill="auto" w:val="clear"/>
            <w:tcMar>
              <w:bottom w:w="0" w:type="dxa"/>
            </w:tcMar>
            <w:vAlign w:val="center"/>
          </w:tcPr>
          <w:p>
            <w:pPr>
              <w:pStyle w:val="TableContents"/>
              <w:spacing w:before="0" w:after="283"/>
              <w:rPr>
                <w:sz w:val="4"/>
                <w:szCs w:val="4"/>
              </w:rPr>
            </w:pPr>
            <w:r>
              <w:rPr>
                <w:sz w:val="4"/>
                <w:szCs w:val="4"/>
              </w:rPr>
            </w:r>
          </w:p>
        </w:tc>
        <w:tc>
          <w:tcPr>
            <w:tcW w:w="1636" w:type="dxa"/>
            <w:tcBorders/>
            <w:shd w:fill="auto" w:val="clear"/>
            <w:tcMar>
              <w:bottom w:w="0" w:type="dxa"/>
            </w:tcMar>
            <w:vAlign w:val="center"/>
          </w:tcPr>
          <w:p>
            <w:pPr>
              <w:pStyle w:val="TableContents"/>
              <w:spacing w:before="0" w:after="283"/>
              <w:rPr>
                <w:sz w:val="4"/>
                <w:szCs w:val="4"/>
              </w:rPr>
            </w:pPr>
            <w:r>
              <w:rPr>
                <w:sz w:val="4"/>
                <w:szCs w:val="4"/>
              </w:rPr>
            </w:r>
          </w:p>
        </w:tc>
        <w:tc>
          <w:tcPr>
            <w:tcW w:w="315" w:type="dxa"/>
            <w:tcBorders/>
            <w:shd w:fill="auto" w:val="clear"/>
            <w:tcMar>
              <w:bottom w:w="0" w:type="dxa"/>
            </w:tcMar>
            <w:vAlign w:val="center"/>
          </w:tcPr>
          <w:p>
            <w:pPr>
              <w:pStyle w:val="TableContents"/>
              <w:spacing w:before="0" w:after="283"/>
              <w:rPr>
                <w:sz w:val="4"/>
                <w:szCs w:val="4"/>
              </w:rPr>
            </w:pPr>
            <w:r>
              <w:rPr>
                <w:sz w:val="4"/>
                <w:szCs w:val="4"/>
              </w:rPr>
            </w:r>
          </w:p>
        </w:tc>
        <w:tc>
          <w:tcPr>
            <w:tcW w:w="151" w:type="dxa"/>
            <w:tcBorders/>
            <w:shd w:fill="auto" w:val="clear"/>
            <w:tcMar>
              <w:bottom w:w="0" w:type="dxa"/>
            </w:tcMar>
            <w:vAlign w:val="center"/>
          </w:tcPr>
          <w:p>
            <w:pPr>
              <w:pStyle w:val="TableContents"/>
              <w:spacing w:before="0" w:after="283"/>
              <w:rPr>
                <w:sz w:val="4"/>
                <w:szCs w:val="4"/>
              </w:rPr>
            </w:pPr>
            <w:r>
              <w:rPr>
                <w:sz w:val="4"/>
                <w:szCs w:val="4"/>
              </w:rPr>
            </w:r>
          </w:p>
        </w:tc>
        <w:tc>
          <w:tcPr>
            <w:tcW w:w="1425" w:type="dxa"/>
            <w:tcBorders/>
            <w:shd w:fill="auto" w:val="clear"/>
            <w:tcMar>
              <w:bottom w:w="0" w:type="dxa"/>
            </w:tcMar>
            <w:vAlign w:val="center"/>
          </w:tcPr>
          <w:p>
            <w:pPr>
              <w:pStyle w:val="TableContents"/>
              <w:spacing w:before="0" w:after="283"/>
              <w:rPr>
                <w:sz w:val="4"/>
                <w:szCs w:val="4"/>
              </w:rPr>
            </w:pPr>
            <w:r>
              <w:rPr>
                <w:sz w:val="4"/>
                <w:szCs w:val="4"/>
              </w:rPr>
            </w:r>
          </w:p>
        </w:tc>
        <w:tc>
          <w:tcPr>
            <w:tcW w:w="116"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Pursuant to Rule 416(a) under the Securities Act of 1933, as amended (the Securities Act), there are also being registered such additional common units as may become issuable pursuant to the adjustment provisions of the Plains All American 2013  Long-Term Incentive Plan (the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Estimated solely for purposes of calculating the registration fee in accordance with Rules 457(c) and 457(h) under the Securities Act.  The price for the 7,000,000 common units being registered hereby is based on a price of $51.17, which is the average of the high and low prices per common unit of Plains All American Pipeline, L.P. as reported by the New York Stock Exchange on December 23, 2013.</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EXPLANATORY NOTE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Registrant) previously filed the following registration statements on Form S-8 with the Securities and Exchange Commission (the Commission): (i) on February 14, 2005 registering 6,000,000 common units in connection with the Plains All American 2005 Long-Term Incentive Plan (File No. 333-122806); (ii) on November 17, 1999 registering 1,950,000 common units in connection with the Plains All American GP LLC 1998 Long-Term Incentive Plan (File No. 333-91141); (iii) on December 11, 2001 registering 900,000 additional common units in connection with the Plains All American GP LLC 1998 Long-Term Incentive Plan (File No. 333-74920); and (iv) on March 9, 2007 registering 1,999,618 common units in connection with the Plains All American PPX Successor Long-Term Incentive Plan (File No. 333-141185) (collectively, the Prior Registrations).  The Plan is an amendment and restatement of each of the three plans noted in the previous sentence, and on November 19, 2013, the Registrants unitholders approved the amendment and restatement of the Plan, along with the addition of 7,000,000 of the Registrants common units for issuance in connection with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registration statement is being filed in accordance with General Instruction E to Form S-8 for the purposes of registering the additional 7,000,000 common units of the Registrant under the Plan. The contents of the Prior Registrations are incorporated herein by reference.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w:t>
      </w:r>
    </w:p>
    <w:p>
      <w:pPr>
        <w:pStyle w:val="TextBody"/>
        <w:spacing w:before="0" w:after="0"/>
        <w:ind w:left="0" w:right="0" w:hanging="0"/>
        <w:jc w:val="center"/>
        <w:rPr>
          <w:rFonts w:ascii="Times New Roman" w:hAnsi="Times New Roman"/>
          <w:b/>
          <w:sz w:val="17"/>
        </w:rPr>
      </w:pPr>
      <w:r>
        <w:rPr>
          <w:rFonts w:ascii="Times New Roman" w:hAnsi="Times New Roman"/>
          <w:b/>
          <w:sz w:val="17"/>
        </w:rPr>
        <w:t>INFORMATION REQUIRED IN THE REGISTRATION STATEMENT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Incorporation of Documents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to the extent that information is deemed furnished and not filed pursuant to securities laws and regulations, the Registrant hereby incorporates by reference into this Registration Statement the following documents: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Registrants Annual Report on Form 10-K (File No. 001-14569) for the fiscal year ended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Registrants Quarterly Reports on Form 10-Q (File No. 001-14569) for the quarterly periods ended March 31, 2013, June 30, 2013 and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Registrants Current Reports on Form 8-K (File No. 001-14569), filed with the Commission on February 22, 2013, May 29, 2013, August 12, 2013, August 15, 2013, August 20, 2013, August 28, 2013, October 15, 2013, October 24, 2013, October 25, 2013, and November 21, 2013 (in each case excluding any information furnished pursuant to Item 2.02 or Item 7.01 of any such Current Report on Form 8-K).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description of the Registrants Common Units, representing limited partner interests, contained in the Registrants Form 8-A/A dated November 3, 1998 and any subsequent amendment thereto for the purpose of updating such description.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to the extent that information is deemed furnished and not filed pursuant to securities laws and regulations, all documents filed by the Registrant pursuant to Sections 13(a), 13(c), 14 and 15(d) of the Exchange Act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8.</w:t>
      </w:r>
      <w:r>
        <w:rPr>
          <w:rFonts w:ascii="Times New Roman" w:hAnsi="Times New Roman"/>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Unless otherwise indicated below as being incorporated by reference to another filing of the Registrant with the Commission, each of the exhibits listed below in the Exhibit Index is filed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II-1</w:t>
      </w:r>
      <w:bookmarkStart w:id="2" w:name="PB_1_110445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December 31,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308"/>
        <w:gridCol w:w="474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rPr/>
            </w:pPr>
            <w:r>
              <w:rPr/>
              <w:t> </w:t>
            </w:r>
          </w:p>
        </w:tc>
        <w:tc>
          <w:tcPr>
            <w:tcW w:w="474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PAA GP LLC, its general partner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Plains AAP, L.P., its sole member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rPr/>
            </w:pPr>
            <w:r>
              <w:rPr/>
              <w:t> </w:t>
            </w:r>
          </w:p>
        </w:tc>
        <w:tc>
          <w:tcPr>
            <w:tcW w:w="474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74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rPr/>
            </w:pPr>
            <w:r>
              <w:rPr/>
              <w:t> </w:t>
            </w:r>
          </w:p>
        </w:tc>
        <w:tc>
          <w:tcPr>
            <w:tcW w:w="47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54"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rPr/>
            </w:pPr>
            <w:r>
              <w:rPr/>
              <w:t> </w:t>
            </w:r>
          </w:p>
        </w:tc>
        <w:tc>
          <w:tcPr>
            <w:tcW w:w="47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Title: </w:t>
            </w:r>
            <w:r>
              <w:rPr>
                <w:rFonts w:ascii="Times New Roman" w:hAnsi="Times New Roman"/>
                <w:i/>
                <w:sz w:val="17"/>
              </w:rPr>
              <w:t>Chairman of the Board and Chief Executive Officer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person whose signature appears below hereby constitutes and appoints Greg L. Armstrong, Al Swanson and Richard McGee,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or otherwise) and to file the same, with all exhibits thereto, and the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Act, this registration statement has been signed by the following persons in the capacities and on the date indicated.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093"/>
        <w:gridCol w:w="204"/>
        <w:gridCol w:w="4643"/>
        <w:gridCol w:w="203"/>
        <w:gridCol w:w="2062"/>
      </w:tblGrid>
      <w:tr>
        <w:trPr/>
        <w:tc>
          <w:tcPr>
            <w:tcW w:w="309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Signature</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464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w:t>
            </w:r>
          </w:p>
        </w:tc>
        <w:tc>
          <w:tcPr>
            <w:tcW w:w="203" w:type="dxa"/>
            <w:tcBorders/>
            <w:shd w:fill="auto" w:val="clear"/>
            <w:tcMar>
              <w:bottom w:w="0" w:type="dxa"/>
            </w:tcMar>
            <w:vAlign w:val="bottom"/>
          </w:tcPr>
          <w:p>
            <w:pPr>
              <w:pStyle w:val="TableContents"/>
              <w:spacing w:before="0" w:after="0"/>
              <w:ind w:left="0" w:right="0" w:hanging="0"/>
              <w:jc w:val="center"/>
              <w:rPr/>
            </w:pPr>
            <w:r>
              <w:rPr/>
              <w:t> </w:t>
            </w:r>
          </w:p>
        </w:tc>
        <w:tc>
          <w:tcPr>
            <w:tcW w:w="206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r>
      <w:tr>
        <w:trPr/>
        <w:tc>
          <w:tcPr>
            <w:tcW w:w="3093"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Chairman of the Board and Chief Executive Officer</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Principal Executive Officer</w:t>
            </w:r>
            <w:r>
              <w:rPr>
                <w:rFonts w:ascii="Times New Roman" w:hAnsi="Times New Roman"/>
                <w:sz w:val="17"/>
              </w:rPr>
              <w:t>)</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 Swanson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Executive Vice President and Chief Financial Officer</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Principal Financial Officer</w:t>
            </w:r>
            <w:r>
              <w:rPr>
                <w:rFonts w:ascii="Times New Roman" w:hAnsi="Times New Roman"/>
                <w:sz w:val="17"/>
              </w:rPr>
              <w:t>)</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Chris Herbold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Chris Herbold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Vice PresidentAccounting and Chief Accounting Officer</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Principal Accounting Officer</w:t>
            </w:r>
            <w:r>
              <w:rPr>
                <w:rFonts w:ascii="Times New Roman" w:hAnsi="Times New Roman"/>
                <w:sz w:val="17"/>
              </w:rPr>
              <w:t>)</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Everardo Goyanes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Everardo Goyanes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Gary R. Petersen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Gary R. Petersen</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3" w:type="dxa"/>
            <w:tcBorders/>
            <w:shd w:fill="auto" w:val="clear"/>
            <w:tcMar>
              <w:bottom w:w="0" w:type="dxa"/>
            </w:tcMar>
          </w:tcPr>
          <w:p>
            <w:pPr>
              <w:pStyle w:val="TableContents"/>
              <w:spacing w:before="0" w:after="0"/>
              <w:ind w:left="0" w:right="0" w:hanging="0"/>
              <w:jc w:val="center"/>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 John T. Raymond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pPr>
            <w:r>
              <w:rPr/>
              <w:t> </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John T. Raymond</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46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0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II-2</w:t>
      </w:r>
      <w:bookmarkStart w:id="3" w:name="PB_2_111040_5796"/>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092"/>
        <w:gridCol w:w="206"/>
        <w:gridCol w:w="4639"/>
        <w:gridCol w:w="206"/>
        <w:gridCol w:w="2062"/>
      </w:tblGrid>
      <w:tr>
        <w:trPr/>
        <w:tc>
          <w:tcPr>
            <w:tcW w:w="3092"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Robert V. Sinnott</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Robert V. Sinnott</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2"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Vicky Sutil</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Vicky Sutil</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2"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J. Taft Symonds</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J. Taft Symonds</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r>
        <w:trPr/>
        <w:tc>
          <w:tcPr>
            <w:tcW w:w="3092"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Christopher M. Temple</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pPr>
            <w:r>
              <w:rPr/>
              <w:t> </w:t>
            </w:r>
          </w:p>
        </w:tc>
      </w:tr>
      <w:tr>
        <w:trPr/>
        <w:tc>
          <w:tcPr>
            <w:tcW w:w="309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Christopher M. Temple</w:t>
            </w:r>
          </w:p>
        </w:tc>
        <w:tc>
          <w:tcPr>
            <w:tcW w:w="206" w:type="dxa"/>
            <w:tcBorders/>
            <w:shd w:fill="auto" w:val="clear"/>
            <w:vAlign w:val="bottom"/>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Director</w:t>
            </w:r>
          </w:p>
        </w:tc>
        <w:tc>
          <w:tcPr>
            <w:tcW w:w="206" w:type="dxa"/>
            <w:tcBorders/>
            <w:shd w:fill="auto" w:val="clear"/>
            <w:vAlign w:val="bottom"/>
          </w:tcPr>
          <w:p>
            <w:pPr>
              <w:pStyle w:val="TableContents"/>
              <w:spacing w:before="0" w:after="0"/>
              <w:ind w:left="0" w:right="0" w:hanging="0"/>
              <w:rPr/>
            </w:pPr>
            <w:r>
              <w:rPr/>
              <w:t> </w:t>
            </w:r>
          </w:p>
        </w:tc>
        <w:tc>
          <w:tcPr>
            <w:tcW w:w="206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December 31,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II-3</w:t>
      </w:r>
      <w:bookmarkStart w:id="4" w:name="PB_3_111110_2897"/>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442"/>
        <w:gridCol w:w="205"/>
        <w:gridCol w:w="8558"/>
      </w:tblGrid>
      <w:tr>
        <w:trPr/>
        <w:tc>
          <w:tcPr>
            <w:tcW w:w="144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 Number</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855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Certificate of Limited Partnership of Plains All American Pipeline, L.P. (incorporated by reference to Exhibit 3.4 to the Registration Statement on Form S-1/A (File No. 333-64107) filed on November 3, 1998).</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(incorporated by reference to Exhibit 3.1 to the Current Report on Form 8-K filed on May 23, 2012).</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Amendment No. 1 dated October 1, 2012 to the Fourth Amended and Restated Agreement of Limited Partnership of Plains All American Pipeline, L.P. (incorporated by reference to Exhibit 3.1 to the Current Report on Form 8-K filed on October 2, 2012).</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2013 Long-Term Incentive Plan (incorporated by reference to Exhibit A to the Registrants Proxy Statement filed on October 3, 2013).</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Opinion of Vinson &amp; Elkins L.L.P. as to the legality of the securities being registered.</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23.1*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Consent of PricewaterhouseCoopers LLP.</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23.2*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Consent of Vinson &amp; Elkins L.L.P. (contained in Exhibit 5.1).</w:t>
            </w:r>
          </w:p>
        </w:tc>
      </w:tr>
      <w:tr>
        <w:trPr/>
        <w:tc>
          <w:tcPr>
            <w:tcW w:w="1442" w:type="dxa"/>
            <w:tcBorders/>
            <w:shd w:fill="auto" w:val="clear"/>
            <w:tcMar>
              <w:bottom w:w="0" w:type="dxa"/>
            </w:tcMar>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pPr>
            <w:r>
              <w:rPr/>
              <w:t> </w:t>
            </w:r>
          </w:p>
        </w:tc>
      </w:tr>
      <w:tr>
        <w:trPr/>
        <w:tc>
          <w:tcPr>
            <w:tcW w:w="144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24.1*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855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Powers of Attorney (included on the signature page of this Registration Statement).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Filed herewith.</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3-26950_2ex5d1.htm"/>
      <w:bookmarkStart w:id="6" w:name="ksa1326950_2ex5d1"/>
      <w:bookmarkEnd w:id="5"/>
      <w:bookmarkEnd w:id="6"/>
      <w:r>
        <w:rPr>
          <w:rFonts w:ascii="Times New Roman" w:hAnsi="Times New Roman"/>
          <w:b/>
          <w:sz w:val="17"/>
        </w:rPr>
        <w:t>Exhibit 5.1</w:t>
      </w:r>
    </w:p>
    <w:p>
      <w:pPr>
        <w:pStyle w:val="TextBody"/>
        <w:spacing w:before="0" w:after="0"/>
        <w:ind w:left="0" w:right="0" w:hanging="0"/>
        <w:jc w:val="right"/>
        <w:rPr/>
      </w:pPr>
      <w:r>
        <w:rPr/>
        <w:t> </w:t>
      </w:r>
    </w:p>
    <w:p>
      <w:pPr>
        <w:pStyle w:val="TextBody"/>
        <w:spacing w:before="0" w:after="0"/>
        <w:ind w:left="0" w:right="0" w:hanging="0"/>
        <w:rPr/>
      </w:pPr>
      <w:r>
        <w:rPr/>
        <w:drawing>
          <wp:inline distT="0" distB="0" distL="0" distR="0">
            <wp:extent cx="16192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90500"/>
                    </a:xfrm>
                    <a:prstGeom prst="rect">
                      <a:avLst/>
                    </a:prstGeom>
                  </pic:spPr>
                </pic:pic>
              </a:graphicData>
            </a:graphic>
          </wp:inline>
        </w:drawing>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rPr>
      </w:pPr>
      <w:r>
        <w:rPr>
          <w:rFonts w:ascii="Times New Roman" w:hAnsi="Times New Roman"/>
          <w:sz w:val="17"/>
        </w:rPr>
        <w:t>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rPr>
          <w:rFonts w:ascii="Times New Roman" w:hAnsi="Times New Roman"/>
          <w:sz w:val="17"/>
        </w:rPr>
      </w:pPr>
      <w:r>
        <w:rPr>
          <w:rFonts w:ascii="Times New Roman" w:hAnsi="Times New Roman"/>
          <w:sz w:val="17"/>
        </w:rPr>
        <w:t>333 Clay Street, Suite 1600</w:t>
      </w:r>
    </w:p>
    <w:p>
      <w:pPr>
        <w:pStyle w:val="TextBody"/>
        <w:spacing w:before="0" w:after="0"/>
        <w:ind w:left="0" w:right="0" w:hanging="0"/>
        <w:rPr>
          <w:rFonts w:ascii="Times New Roman" w:hAnsi="Times New Roman"/>
          <w:sz w:val="17"/>
        </w:rPr>
      </w:pPr>
      <w:r>
        <w:rPr>
          <w:rFonts w:ascii="Times New Roman" w:hAnsi="Times New Roman"/>
          <w:sz w:val="17"/>
        </w:rPr>
        <w:t>Houston, Texas 77002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acted as counsel for Plains All American Pipeline, L.P., a Delaware limited partnership (the Partnership), in connection with the Partnerships registration under the Securities Act of 1933, as amended (the Act), of the offer and sale of an aggregate of up to 7,000,000 additional common units representing limited partner interests in the Partnership (the Units), pursuant to the Partnerships registration statement on Form S-8 (the Registration Statement) filed with the Securities and Exchange Commission (the Commission) on December 31, 2013, which Units may be issued from time to time in accordance with the terms of the Plains All American 2013 Long-Term Incentive Plan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reaching the opinions set forth herein, we have examined and are familiar with originals or copies, certified or otherwise identified to our satisfaction, of such documents and records of the Partnership and such statutes, regulations and other instruments as we deemed necessary or advisable for purposes of this opinion, including (i) the Registration Statement, (ii) the Partnerships Fourth Amended and Restated Agreement of Limited Partnership (as amended, the Partnership Agreement), (iii) the Partnerships Certificate of Limited Partnership, (iv) certain resolutions adopted by the board of directors of the Partnership, (v) the Plan, and (vi)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Units will be issued in accordance with the terms of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on the foregoing and subject to the limitations set forth herein, and having due regard for the legal considerations we deem relevant, we are of the opinion that the Units have been duly authorized and, when the Units are issued by the Partnership in accordance with the terms of the Plan and the instruments executed pursuant to the Plan, as applicable, which govern the awards to which any Unit relates, will be validly issued, fully paid and non-assessable.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opinion is limited in all respects to the Delaware Revised Uniform Limited Partnership Act.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64"/>
        <w:gridCol w:w="4741"/>
      </w:tblGrid>
      <w:tr>
        <w:trPr/>
        <w:tc>
          <w:tcPr>
            <w:tcW w:w="5464" w:type="dxa"/>
            <w:tcBorders/>
            <w:shd w:fill="auto" w:val="clear"/>
          </w:tcPr>
          <w:p>
            <w:pPr>
              <w:pStyle w:val="TableContents"/>
              <w:spacing w:before="0" w:after="0"/>
              <w:ind w:left="0" w:right="0" w:hanging="0"/>
              <w:rPr/>
            </w:pPr>
            <w:r>
              <w:rPr>
                <w:rFonts w:ascii="Times New Roman" w:hAnsi="Times New Roman"/>
                <w:b/>
                <w:sz w:val="17"/>
              </w:rPr>
              <w:t>Vinson &amp; Elkins LLP Attorneys at Law</w:t>
            </w:r>
            <w:r>
              <w:rPr/>
              <w:t xml:space="preserve"> </w:t>
            </w:r>
          </w:p>
          <w:p>
            <w:pPr>
              <w:pStyle w:val="TableContents"/>
              <w:spacing w:before="0" w:after="0"/>
              <w:ind w:left="0" w:right="0" w:hanging="0"/>
              <w:rPr>
                <w:rFonts w:ascii="Times New Roman" w:hAnsi="Times New Roman"/>
                <w:sz w:val="17"/>
              </w:rPr>
            </w:pPr>
            <w:r>
              <w:rPr>
                <w:rFonts w:ascii="Times New Roman" w:hAnsi="Times New Roman"/>
                <w:sz w:val="17"/>
              </w:rPr>
              <w:t>Abu Dhabi Austin Beijing Dallas Dubai Hong Kong Houston London</w:t>
            </w:r>
          </w:p>
          <w:p>
            <w:pPr>
              <w:pStyle w:val="TableContents"/>
              <w:spacing w:before="0" w:after="0"/>
              <w:ind w:left="0" w:right="0" w:hanging="0"/>
              <w:rPr>
                <w:rFonts w:ascii="Times New Roman" w:hAnsi="Times New Roman"/>
                <w:sz w:val="17"/>
              </w:rPr>
            </w:pPr>
            <w:r>
              <w:rPr>
                <w:rFonts w:ascii="Times New Roman" w:hAnsi="Times New Roman"/>
                <w:sz w:val="17"/>
              </w:rPr>
              <w:t>Moscow New York Palo Alto Riyadh Shanghai Tokyo Washington</w:t>
            </w:r>
          </w:p>
        </w:tc>
        <w:tc>
          <w:tcPr>
            <w:tcW w:w="47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1001 Fannin Street, Suite 2500</w:t>
            </w:r>
          </w:p>
          <w:p>
            <w:pPr>
              <w:pStyle w:val="TableContents"/>
              <w:spacing w:before="0" w:after="0"/>
              <w:ind w:left="0" w:right="0" w:hanging="0"/>
              <w:rPr>
                <w:rFonts w:ascii="Times New Roman" w:hAnsi="Times New Roman"/>
                <w:sz w:val="17"/>
              </w:rPr>
            </w:pPr>
            <w:r>
              <w:rPr>
                <w:rFonts w:ascii="Times New Roman" w:hAnsi="Times New Roman"/>
                <w:sz w:val="17"/>
              </w:rPr>
              <w:t>Houston, TX 77002-6760</w:t>
            </w:r>
          </w:p>
          <w:p>
            <w:pPr>
              <w:pStyle w:val="TableContents"/>
              <w:spacing w:before="0" w:after="0"/>
              <w:ind w:left="0" w:right="0" w:hanging="0"/>
              <w:rPr/>
            </w:pPr>
            <w:r>
              <w:rPr>
                <w:rFonts w:ascii="Times New Roman" w:hAnsi="Times New Roman"/>
                <w:b/>
                <w:sz w:val="17"/>
              </w:rPr>
              <w:t>Tel</w:t>
            </w:r>
            <w:r>
              <w:rPr/>
              <w:t xml:space="preserve"> </w:t>
            </w:r>
            <w:r>
              <w:rPr>
                <w:sz w:val="17"/>
              </w:rPr>
              <w:t xml:space="preserve">+1.713.758.2222 </w:t>
            </w:r>
            <w:r>
              <w:rPr>
                <w:b/>
                <w:sz w:val="17"/>
              </w:rPr>
              <w:t>Fax</w:t>
            </w:r>
            <w:r>
              <w:rPr>
                <w:sz w:val="17"/>
              </w:rPr>
              <w:t xml:space="preserve"> +1.713.758.2346 </w:t>
            </w:r>
            <w:r>
              <w:rPr>
                <w:b/>
                <w:sz w:val="17"/>
              </w:rPr>
              <w:t>www.velaw.com</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opinion letter may be filed as an exhibit to the Registration Statement.  In giving this consent, we do not thereby admit that we come within the category of persons whose consent is required under Section 7 of the Act.</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rFonts w:ascii="Times New Roman" w:hAnsi="Times New Roman"/>
                <w:b/>
                <w:sz w:val="17"/>
              </w:rPr>
              <w:t xml:space="preserve">/s/ </w:t>
            </w:r>
            <w:r>
              <w:rPr>
                <w:sz w:val="17"/>
              </w:rPr>
              <w:t>Vinson &amp; Elkins L.L.P.</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Vinson &amp; Elkins L.L.P.</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7" w:name="PB_2_202503_457"/>
      <w:bookmarkEnd w:id="7"/>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 w:name="a13-26950_2ex23d1.htm"/>
      <w:bookmarkStart w:id="9" w:name="ksa1326950_2ex23d1"/>
      <w:bookmarkEnd w:id="8"/>
      <w:bookmarkEnd w:id="9"/>
      <w:r>
        <w:rPr>
          <w:rFonts w:ascii="Times New Roman" w:hAnsi="Times New Roman"/>
          <w:b/>
          <w:sz w:val="17"/>
        </w:rPr>
        <w:t>Exhibit 23.1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CONSENT OF INDEPENDENT REGISTERED PUBLIC ACCOUNTING FIRM</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hereby consent to the incorporation by reference in this Registration Statement on Form S-8 of our report dated February 27, 2013 relating to the financial statements and the effectiveness of internal control over financial reporting, which appears in Plains All American Pipeline, L.P.s Annual Report on Form 10-K for the year ended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 PricewaterhouseCoopers LLP </w:t>
        <w:br/>
        <w:t>Houston, Texas</w:t>
        <w:br/>
        <w:t>December 30, 2013</w:t>
      </w:r>
    </w:p>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2400</Words>
  <CharactersWithSpaces>15147</CharactersWithSpaces>
  <Paragraphs>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