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813d1_8k.htm"/>
      <w:bookmarkStart w:id="1" w:name="kstm2624813d1_8k"/>
      <w:bookmarkEnd w:id="0"/>
      <w:bookmarkEnd w:id="1"/>
      <w:r>
        <w:rPr/>
        <w:t> </w:t>
      </w:r>
    </w:p>
    <w:p>
      <w:pPr>
        <w:pStyle w:val="TextBody"/>
        <w:bidi w:val="0"/>
        <w:spacing w:before="0" w:after="283"/>
        <w:jc w:val="left"/>
        <w:rPr/>
      </w:pPr>
      <w:bookmarkStart w:id="2" w:name="xdx_901_edei--EntityRegistrantName_dxL_c"/>
      <w:bookmarkEnd w:id="2"/>
      <w:r>
        <w:rPr/>
        <w:t>PLAINS ALL AMERICAN PIPELINE LP</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3" w:name="xdx_90C_edei--DocumentType_c20260908__20"/>
      <w:bookmarkEnd w:id="3"/>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 </w:t>
      </w:r>
      <w:bookmarkStart w:id="4" w:name="xdx_907_edei--DocumentPeriodEndDate_c202"/>
      <w:bookmarkEnd w:id="4"/>
      <w:r>
        <w:rPr>
          <w:rFonts w:ascii="Times New Roman;Times;Serif" w:hAnsi="Times New Roman;Times;Serif"/>
          <w:b/>
          <w:i w:val="false"/>
          <w:caps w:val="false"/>
          <w:smallCaps w:val="false"/>
          <w:sz w:val="20"/>
        </w:rPr>
        <w:t>September 8, 2026</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Plains All American Pipeline,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b/>
              </w:rPr>
            </w:pPr>
            <w:bookmarkStart w:id="6" w:name="xdx_907_edei--EntityFileNumber_c20260908"/>
            <w:bookmarkEnd w:id="6"/>
            <w:r>
              <w:rPr>
                <w:b/>
              </w:rPr>
              <w:t>1-14569</w:t>
            </w:r>
          </w:p>
        </w:tc>
        <w:tc>
          <w:tcPr>
            <w:tcW w:w="2780" w:type="dxa"/>
            <w:tcBorders/>
            <w:vAlign w:val="center"/>
          </w:tcPr>
          <w:p>
            <w:pPr>
              <w:pStyle w:val="TableContents"/>
              <w:bidi w:val="0"/>
              <w:spacing w:before="0" w:after="283"/>
              <w:jc w:val="center"/>
              <w:rPr>
                <w:b/>
              </w:rPr>
            </w:pPr>
            <w:bookmarkStart w:id="7" w:name="xdx_906_edei--EntityTaxIdentificationNum"/>
            <w:bookmarkEnd w:id="7"/>
            <w:r>
              <w:rPr>
                <w:b/>
              </w:rPr>
              <w:t>76-0582150</w:t>
            </w:r>
          </w:p>
        </w:tc>
      </w:tr>
      <w:tr>
        <w:trPr/>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333 Clay Street, </w:t>
      </w:r>
      <w:bookmarkStart w:id="9" w:name="xdx_90C_edei--EntityAddressAddressLine2_"/>
      <w:bookmarkEnd w:id="9"/>
      <w:r>
        <w:rPr>
          <w:rFonts w:ascii="Times New Roman;Times;Serif" w:hAnsi="Times New Roman;Times;Serif"/>
          <w:b/>
          <w:i w:val="false"/>
          <w:caps w:val="false"/>
          <w:smallCaps w:val="false"/>
          <w:sz w:val="20"/>
        </w:rPr>
        <w:t xml:space="preserve">Suite 1600, </w:t>
      </w:r>
      <w:bookmarkStart w:id="10" w:name="xdx_90A_edei--EntityAddressCityOrTown_c2"/>
      <w:bookmarkEnd w:id="10"/>
      <w:r>
        <w:rPr>
          <w:rFonts w:ascii="Times New Roman;Times;Serif" w:hAnsi="Times New Roman;Times;Serif"/>
          <w:b/>
          <w:i w:val="false"/>
          <w:caps w:val="false"/>
          <w:smallCaps w:val="false"/>
          <w:sz w:val="20"/>
        </w:rPr>
        <w:t xml:space="preserve">Houston, </w:t>
      </w:r>
      <w:bookmarkStart w:id="11" w:name="xdx_909_edei--EntityAddressStateOrProvin"/>
      <w:bookmarkEnd w:id="11"/>
      <w:r>
        <w:rPr>
          <w:rFonts w:ascii="Times New Roman;Times;Serif" w:hAnsi="Times New Roman;Times;Serif"/>
          <w:b/>
          <w:i w:val="false"/>
          <w:caps w:val="false"/>
          <w:smallCaps w:val="false"/>
          <w:sz w:val="20"/>
        </w:rPr>
        <w:t xml:space="preserve">Texas </w:t>
      </w:r>
      <w:bookmarkStart w:id="12" w:name="xdx_906_edei--EntityAddressPostalZipCode"/>
      <w:bookmarkEnd w:id="12"/>
      <w:r>
        <w:rPr>
          <w:rFonts w:ascii="Times New Roman;Times;Serif" w:hAnsi="Times New Roman;Times;Serif"/>
          <w:b/>
          <w:i w:val="false"/>
          <w:caps w:val="false"/>
          <w:smallCaps w:val="false"/>
          <w:sz w:val="20"/>
        </w:rPr>
        <w:t>77002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8_edei--CityAreaCode_c20260908__20"/>
      <w:bookmarkEnd w:id="13"/>
      <w:r>
        <w:rPr>
          <w:rFonts w:ascii="Times New Roman;Times;Serif" w:hAnsi="Times New Roman;Times;Serif"/>
          <w:b/>
          <w:i w:val="false"/>
          <w:caps w:val="false"/>
          <w:smallCaps w:val="false"/>
          <w:sz w:val="20"/>
        </w:rPr>
        <w:t>713-</w:t>
      </w:r>
      <w:bookmarkStart w:id="14" w:name="xdx_907_edei--LocalPhoneNumber_c20260908"/>
      <w:bookmarkEnd w:id="14"/>
      <w:r>
        <w:rPr>
          <w:rFonts w:ascii="Times New Roman;Times;Serif" w:hAnsi="Times New Roman;Times;Serif"/>
          <w:b/>
          <w:i w:val="false"/>
          <w:caps w:val="false"/>
          <w:smallCaps w:val="false"/>
          <w:sz w:val="20"/>
        </w:rPr>
        <w:t>646-4100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9_edei--SolicitingMaterial_c202609"/>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A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1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0" w:type="dxa"/>
          <w:right w:w="0" w:type="dxa"/>
        </w:tblCellMar>
      </w:tblPr>
      <w:tblGrid>
        <w:gridCol w:w="1520"/>
        <w:gridCol w:w="60"/>
        <w:gridCol w:w="1610"/>
        <w:gridCol w:w="60"/>
        <w:gridCol w:w="3725"/>
      </w:tblGrid>
      <w:tr>
        <w:trPr/>
        <w:tc>
          <w:tcPr>
            <w:tcW w:w="15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vAlign w:val="center"/>
          </w:tcPr>
          <w:p>
            <w:pPr>
              <w:pStyle w:val="TableContents"/>
              <w:bidi w:val="0"/>
              <w:spacing w:before="0" w:after="283"/>
              <w:jc w:val="center"/>
              <w:rPr/>
            </w:pPr>
            <w:r>
              <w:rPr/>
              <w:t> </w:t>
            </w:r>
          </w:p>
        </w:tc>
        <w:tc>
          <w:tcPr>
            <w:tcW w:w="37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520" w:type="dxa"/>
            <w:tcBorders/>
            <w:vAlign w:val="center"/>
          </w:tcPr>
          <w:p>
            <w:pPr>
              <w:pStyle w:val="TableContents"/>
              <w:bidi w:val="0"/>
              <w:spacing w:before="0" w:after="283"/>
              <w:jc w:val="center"/>
              <w:rPr>
                <w:rFonts w:ascii="Times New Roman;Times;Serif" w:hAnsi="Times New Roman;Times;Serif"/>
                <w:sz w:val="20"/>
              </w:rPr>
            </w:pPr>
            <w:bookmarkStart w:id="19" w:name="xdx_907_edei--Security12bTitle_c20260908"/>
            <w:bookmarkEnd w:id="19"/>
            <w:r>
              <w:rPr>
                <w:rFonts w:ascii="Times New Roman;Times;Serif" w:hAnsi="Times New Roman;Times;Serif"/>
                <w:sz w:val="20"/>
              </w:rPr>
              <w:t>Common Units</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sz w:val="20"/>
              </w:rPr>
            </w:pPr>
            <w:bookmarkStart w:id="20" w:name="xdx_908_edei--TradingSymbol_c20260908__2"/>
            <w:bookmarkEnd w:id="20"/>
            <w:r>
              <w:rPr>
                <w:rFonts w:ascii="Times New Roman;Times;Serif" w:hAnsi="Times New Roman;Times;Serif"/>
                <w:sz w:val="20"/>
              </w:rPr>
              <w:t>PAA</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center"/>
              <w:rPr/>
            </w:pPr>
            <w:r>
              <w:rPr/>
              <w:t xml:space="preserve">The </w:t>
            </w:r>
            <w:bookmarkStart w:id="21" w:name="xdx_909_edei--SecurityExchangeName_c2026"/>
            <w:bookmarkEnd w:id="21"/>
            <w:r>
              <w:rPr>
                <w:rFonts w:ascii="Times New Roman;Times;Serif" w:hAnsi="Times New Roman;Times;Serif"/>
                <w:sz w:val="20"/>
              </w:rPr>
              <w:t>Nasdaq</w:t>
            </w:r>
            <w:r>
              <w:rPr/>
              <w:t xml:space="preserve">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Emerging growth company  </w:t>
      </w:r>
      <w:bookmarkStart w:id="22" w:name="xdx_90B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All American Pipeline, L.P. (“PAA”) is providing an unaudited pro forma condensed statement of combined operations of PAA for the year ended December 31, 2025 (the “pro forma statement of operations”), as described in Item 8.01 below and which is incorporated into this Item 2.02 by reference. The pro forma statement of operations gives effect to (1) the purchase completed on October 1, 2025 of an aggregate 55% non-operated equity interest in EPIC Crude Holdings, LP (“EPIC Crude Holdings”), the entity that owned and operated the Cactus III Pipeline (formerly known as the EPIC Crude Oil Pipeline), and an aggregate 55% of the membership interests in EPIC Crude Holdings GP, LLC (“EPIC GP”), the general partner of EPIC Crude Holdings (the “EPIC 55% Transaction”) and (2) the purchase effective November 1, 2025 of the remaining 45% equity interest in EPIC Crude Holdings and the remaining 45% of the membership interests in EPIC GP (the “EPIC 45% Transaction,” and, together with the EPIC 55% Transaction, the “Transactions”), as if such Transactions had been consummated on January 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 Forma Financials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 forma financial information, which gives effect to the Transactions as if they had been consummated on January 1, 2025, is provided in Exhibit 99.1 attached hereto:</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Unaudited Pro Forma Condensed Statement of Combined Operations for the year ended December 31, 2025 and the notes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center"/>
              <w:rPr>
                <w:b/>
                <w:sz w:val="20"/>
              </w:rPr>
            </w:pPr>
            <w:r>
              <w:rPr>
                <w:b/>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725" w:type="dxa"/>
            <w:tcBorders/>
            <w:tcMar>
              <w:bottom w:w="0" w:type="dxa"/>
            </w:tcMar>
            <w:vAlign w:val="center"/>
          </w:tcPr>
          <w:p>
            <w:pPr>
              <w:pStyle w:val="TableContents"/>
              <w:bidi w:val="0"/>
              <w:spacing w:before="0" w:after="283"/>
              <w:jc w:val="center"/>
              <w:rPr/>
            </w:pPr>
            <w:hyperlink w:anchor="tm2624813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4813d1_ex99-1.htm">
              <w:r>
                <w:rPr>
                  <w:rStyle w:val="InternetLink"/>
                  <w:sz w:val="20"/>
                </w:rPr>
                <w:t>Unaudited Pro Forma Condensed Statement of Combined Operations for the year ended December 31, 2025 and the notes thereto.</w:t>
              </w:r>
            </w:hyperlink>
          </w:p>
        </w:tc>
      </w:tr>
      <w:tr>
        <w:trPr/>
        <w:tc>
          <w:tcPr>
            <w:tcW w:w="7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center"/>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280" w:type="dxa"/>
        <w:jc w:val="left"/>
        <w:tblInd w:w="0" w:type="dxa"/>
        <w:tblLayout w:type="fixed"/>
        <w:tblCellMar>
          <w:top w:w="0" w:type="dxa"/>
          <w:left w:w="0" w:type="dxa"/>
          <w:bottom w:w="0" w:type="dxa"/>
          <w:right w:w="0" w:type="dxa"/>
        </w:tblCellMar>
      </w:tblPr>
      <w:tblGrid>
        <w:gridCol w:w="2030"/>
        <w:gridCol w:w="650"/>
        <w:gridCol w:w="5600"/>
      </w:tblGrid>
      <w:tr>
        <w:trPr/>
        <w:tc>
          <w:tcPr>
            <w:tcW w:w="2030" w:type="dxa"/>
            <w:tcBorders/>
            <w:vAlign w:val="center"/>
          </w:tcPr>
          <w:p>
            <w:pPr>
              <w:pStyle w:val="TableContents"/>
              <w:bidi w:val="0"/>
              <w:spacing w:before="0" w:after="283"/>
              <w:jc w:val="left"/>
              <w:rPr/>
            </w:pPr>
            <w:r>
              <w:rPr/>
              <w:t> </w:t>
            </w:r>
          </w:p>
        </w:tc>
        <w:tc>
          <w:tcPr>
            <w:tcW w:w="6250" w:type="dxa"/>
            <w:gridSpan w:val="2"/>
            <w:tcBorders/>
            <w:vAlign w:val="center"/>
          </w:tcPr>
          <w:p>
            <w:pPr>
              <w:pStyle w:val="TableContents"/>
              <w:bidi w:val="0"/>
              <w:spacing w:before="0" w:after="283"/>
              <w:jc w:val="left"/>
              <w:rPr>
                <w:sz w:val="20"/>
              </w:rPr>
            </w:pPr>
            <w:r>
              <w:rPr>
                <w:sz w:val="20"/>
              </w:rPr>
              <w:t>PLAINS ALL AMERICAN PIPELINE, L.P.</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By:</w:t>
            </w:r>
          </w:p>
        </w:tc>
        <w:tc>
          <w:tcPr>
            <w:tcW w:w="5600" w:type="dxa"/>
            <w:tcBorders/>
            <w:vAlign w:val="center"/>
          </w:tcPr>
          <w:p>
            <w:pPr>
              <w:pStyle w:val="TableContents"/>
              <w:bidi w:val="0"/>
              <w:spacing w:before="0" w:after="283"/>
              <w:jc w:val="left"/>
              <w:rPr>
                <w:sz w:val="20"/>
              </w:rPr>
            </w:pPr>
            <w:r>
              <w:rPr>
                <w:sz w:val="20"/>
              </w:rPr>
              <w:t>PAA GP LLC, its general partner</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By:</w:t>
            </w:r>
          </w:p>
        </w:tc>
        <w:tc>
          <w:tcPr>
            <w:tcW w:w="5600" w:type="dxa"/>
            <w:tcBorders/>
            <w:vAlign w:val="center"/>
          </w:tcPr>
          <w:p>
            <w:pPr>
              <w:pStyle w:val="TableContents"/>
              <w:bidi w:val="0"/>
              <w:spacing w:before="0" w:after="283"/>
              <w:jc w:val="left"/>
              <w:rPr>
                <w:sz w:val="20"/>
              </w:rPr>
            </w:pPr>
            <w:r>
              <w:rPr>
                <w:sz w:val="20"/>
              </w:rPr>
              <w:t>Plains AAP, L.P., its sole member</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By:</w:t>
            </w:r>
          </w:p>
        </w:tc>
        <w:tc>
          <w:tcPr>
            <w:tcW w:w="5600" w:type="dxa"/>
            <w:tcBorders/>
            <w:vAlign w:val="center"/>
          </w:tcPr>
          <w:p>
            <w:pPr>
              <w:pStyle w:val="TableContents"/>
              <w:bidi w:val="0"/>
              <w:spacing w:before="0" w:after="283"/>
              <w:jc w:val="left"/>
              <w:rPr>
                <w:sz w:val="20"/>
              </w:rPr>
            </w:pPr>
            <w:r>
              <w:rPr>
                <w:sz w:val="20"/>
              </w:rPr>
              <w:t>Plains All American GP LLC, its general partner</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 September 8, 2026</w:t>
            </w:r>
          </w:p>
        </w:tc>
        <w:tc>
          <w:tcPr>
            <w:tcW w:w="650" w:type="dxa"/>
            <w:tcBorders/>
            <w:vAlign w:val="center"/>
          </w:tcPr>
          <w:p>
            <w:pPr>
              <w:pStyle w:val="TableContents"/>
              <w:bidi w:val="0"/>
              <w:spacing w:before="0" w:after="283"/>
              <w:jc w:val="left"/>
              <w:rPr>
                <w:sz w:val="20"/>
              </w:rPr>
            </w:pPr>
            <w:r>
              <w:rPr>
                <w:sz w:val="20"/>
              </w:rPr>
              <w:t>By:</w:t>
            </w:r>
          </w:p>
        </w:tc>
        <w:tc>
          <w:tcPr>
            <w:tcW w:w="5600" w:type="dxa"/>
            <w:tcBorders>
              <w:bottom w:val="single" w:sz="8" w:space="0" w:color="000000"/>
            </w:tcBorders>
            <w:tcMar>
              <w:bottom w:w="28" w:type="dxa"/>
            </w:tcMar>
            <w:vAlign w:val="center"/>
          </w:tcPr>
          <w:p>
            <w:pPr>
              <w:pStyle w:val="TableContents"/>
              <w:bidi w:val="0"/>
              <w:spacing w:before="0" w:after="283"/>
              <w:jc w:val="left"/>
              <w:rPr/>
            </w:pPr>
            <w:r>
              <w:rPr/>
              <w:t>/s/ Russ Montgomery </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600" w:type="dxa"/>
            <w:tcBorders/>
            <w:vAlign w:val="center"/>
          </w:tcPr>
          <w:p>
            <w:pPr>
              <w:pStyle w:val="TableContents"/>
              <w:bidi w:val="0"/>
              <w:spacing w:before="0" w:after="283"/>
              <w:jc w:val="left"/>
              <w:rPr/>
            </w:pPr>
            <w:r>
              <w:rPr/>
              <w:t>Russ Montgomery</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600" w:type="dxa"/>
            <w:tcBorders/>
            <w:vAlign w:val="center"/>
          </w:tcPr>
          <w:p>
            <w:pPr>
              <w:pStyle w:val="TableContents"/>
              <w:bidi w:val="0"/>
              <w:spacing w:before="0" w:after="283"/>
              <w:jc w:val="left"/>
              <w:rPr/>
            </w:pPr>
            <w:r>
              <w:rPr/>
              <w:t>Vice President, Accounting and Chief Accounting Officer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ind w:left="0" w:right="0" w:hanging="0"/>
        <w:jc w:val="left"/>
        <w:rPr/>
      </w:pPr>
      <w:bookmarkStart w:id="23" w:name="tm2624813d1_ex99-1.htm"/>
      <w:bookmarkStart w:id="24" w:name="kstm2624813d1_ex991"/>
      <w:bookmarkEnd w:id="23"/>
      <w:bookmarkEnd w:id="24"/>
      <w:r>
        <w:rPr/>
        <w:t> </w:t>
      </w:r>
      <w:r>
        <w:br w:type="page"/>
      </w:r>
    </w:p>
    <w:p>
      <w:pPr>
        <w:pStyle w:val="TextBody"/>
        <w:bidi w:val="0"/>
        <w:spacing w:before="0" w:after="0"/>
        <w:ind w:left="360" w:right="0" w:hanging="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ALL AMERICAN PIPELINE, L.P.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2025, Plains All American Pipeline, L.P. (“PAA”, “we”, “us”, “our”, or the “Company”) filed a Current Report on Form 8-K, as amended on a Form 8-K/A filed on January 16, 2026, to report that on October 31, 2025, pursuant to a Purchase and Sale Agreement (the “PSA”) entered into on August 30, 2025 by and among a wholly-owned subsidiary (the “Buyer”) of PAA, and subsidiaries of Diamondback Energy, Inc. and Kinetik Holdings Inc. (collectively, the “Sellers”), the Buyer completed the purchase from Sellers of an aggregate 55% non-operated equity interest in EPIC Crude Holdings, LP (“EPIC Crude Holdings”), the entity that owned and operated the Cactus III Pipeline, formerly known as the EPIC Crude Oil Pipeline (the “Cactus III Pipeline”), and an aggregate 55% of the membership interests in EPIC Crude Holdings GP, LLC (“EPIC GP”), the general partner of EPIC Crude Holdings (the “EPIC 55%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November 1, 2025, in a separate transaction from the EPIC 55% Transaction, the Buyer also completed the purchase of the remaining 45% equity interest in EPIC Crude Holdings and the remaining 45% of the membership interests in EPIC GP from a subsidiary of Ares Management LLC (the “Ares Seller”) pursuant to that certain definitive Equity Purchase Agreement (the “EPA”) between the Buyer and the Ares Seller (the “EPIC 45% Transaction,” and, together with the EPIC 55% Transaction, the “EPIC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EPIC Transactions, PAA now indirectly owns 100% of the equity interests in EPIC Crude Holdings and 100% of the membership interests in EPIC GP and serves as operator of record of the Cactus III Pipeline. The EPIC Transactions are being reported in aggregate as a singular transaction (the “Transaction”) for purposes of the unaudited pro forma condensed combined financial information below due to EPIC Crude Holdings being managed by a common management team despite varying equity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accounted for as a business combination and thus the Transaction Accounting Adjustments presented in the unaudited pro forma condensed combined financial information have been prepared using the acquisition method of accounting in accordance with Financial Accounting Standards Board Accounting Standards Codification 805, Business Combinations (“ASC 805”). The unaudited pro forma condensed combined financial information is based on assumptions that we believe are reasonable under the circumstances and are intended for informational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has been prepared in accordance with Article 11 of SEC Regulation S-X and includes pro forma adjustments that are directly attributable to the Transaction and factually supportable. Certain reclassifications have been made to the historical presentation of EPIC Crude Holdings’ financial statements to conform to our presentation and to the presentation of the unaudited pro forma condensed combined financial information contained herein. See Note 4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derived from and should be read in conjunction with the following historical financial statements and accompanying notes of PAA and EPIC Crude Holdings: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audited consolidated financial statements and related notes of PAA included in PAA’s Annual Report on Form 10-K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unaudited consolidated financial statements of EPIC Crude Holdings, LP and Subsidiaries as of and for the nine months ended September 30, 2025, filed as Exhibit 99.2 to PAA’s Form 8-K/A dated January 16,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should also be read together with the accompanying notes to the unaudited pro forma condensed combined financial information. The pro forma adjustments are based upon available information and certain assumptions, as described in the accompanying notes to the unaudited pro forma condensed combined financial information, which PAA believes are reasonable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statement of combined continuing operations for the year ended December 31, 2025 has been prepared as if the Transaction described above had taken place on January 1, 2025. Because the results of the Transaction are fully reflected in the audited consolidated balance sheet as of December 31, 2025 included in PAA’s Annual Report on Form 10-K for the year ended December 31, 2025, no pro forma balance sheet is included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was prepared to reflect transaction accounting adjustments that PAA believes are necessary to present a fair statement of the combined company’s results of operations following the Transaction. They do not reflect any anticipated synergies, integration costs, cost savings, or other potential impacts of combining the businesses. The unaudited pro forma condensed combined financial information is presented for illustrative purposes only and is based on preliminary estimates and assumptions that are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not necessarily indicative of the results of the actual or future operations or financial condition that would have been achieved had the Transaction occurred at the date assumed (as noted above). The actual results in the periods following the Transaction may differ significantly from those reflected in the unaudited pro forma condensed combined financial information for a number of reasons.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ALL AMERICAN PIPELINE, L.P. AND SUBSIDIARIES</w:t>
        <w:br/>
        <w:t>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ALL AMERICAN PIPELINE, L.P.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STATEMENT OF COMBINED CONTINUING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Year Ended December 31, 2025</w:t>
        <w:br/>
      </w:r>
      <w:r>
        <w:rPr>
          <w:rFonts w:ascii="Times New Roman;Times;Serif" w:hAnsi="Times New Roman;Times;Serif"/>
          <w:b w:val="false"/>
          <w:i w:val="false"/>
          <w:caps w:val="false"/>
          <w:smallCaps w:val="false"/>
          <w:sz w:val="20"/>
        </w:rPr>
        <w:t>(in millions, except per unit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64"/>
        <w:gridCol w:w="60"/>
        <w:gridCol w:w="152"/>
        <w:gridCol w:w="723"/>
        <w:gridCol w:w="80"/>
        <w:gridCol w:w="60"/>
        <w:gridCol w:w="324"/>
        <w:gridCol w:w="872"/>
        <w:gridCol w:w="80"/>
        <w:gridCol w:w="60"/>
        <w:gridCol w:w="253"/>
        <w:gridCol w:w="802"/>
        <w:gridCol w:w="282"/>
        <w:gridCol w:w="60"/>
        <w:gridCol w:w="163"/>
        <w:gridCol w:w="773"/>
        <w:gridCol w:w="97"/>
      </w:tblGrid>
      <w:tr>
        <w:trPr/>
        <w:tc>
          <w:tcPr>
            <w:tcW w:w="53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6"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EPIC Historical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Adjusted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w:t>
            </w:r>
          </w:p>
        </w:tc>
        <w:tc>
          <w:tcPr>
            <w:tcW w:w="2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Combined</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44,464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3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3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and related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40,361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Field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3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3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asset sales,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42,940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3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3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INCOME/(EXPENSE)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3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earnings in unconsolidated entities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investments in unconsolidated entities,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6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CONTINUING OPERATIONS BEFORE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 expense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expense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CONTINUING OPERATIONS,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w:t>
            </w:r>
          </w:p>
        </w:tc>
        <w:tc>
          <w:tcPr>
            <w:tcW w:w="9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PAA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3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PER COMMON UNIT: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36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allocated to common unitholders - Basic and Diluted</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53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allocated to common unitholders from continuing operations -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3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common units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53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income per common unit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this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ALL AMERICAN PIPELINE, L.P. AND SUBSIDIARIES</w:t>
        <w:br/>
        <w:t>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was prepared in accordance with Article 11 of SEC Regulation S-X (“Article 11”). The unaudited pro forma condensed combined financial information includes adjustments that depict the accounting for the Transaction using Transaction Accounting Adjustments (as defined in Article 11). Adjustments depicting synergies and dis-synergies of the Transaction (“Management Adjustments”) are not presented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and underlying pro forma adjustments are based upon currently available information and certain estimates and assumptions that management believes are factually supportable; therefore, actual results could differ materially from the unaudited pro forma condensed combined financial information. However, we believe the assumptions provide a reasonable basis for presenting the significant effects of the Transaction noted herein. We believe the pro forma adjustments give appropriate effect to those assumptions and are properly applied in the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Pro Forma Adjustments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(a)</w:t>
            </w:r>
          </w:p>
        </w:tc>
        <w:tc>
          <w:tcPr>
            <w:tcW w:w="9916" w:type="dxa"/>
            <w:tcBorders/>
            <w:vAlign w:val="center"/>
          </w:tcPr>
          <w:p>
            <w:pPr>
              <w:pStyle w:val="TableContents"/>
              <w:bidi w:val="0"/>
              <w:spacing w:before="0" w:after="283"/>
              <w:jc w:val="left"/>
              <w:rPr/>
            </w:pPr>
            <w:r>
              <w:rPr/>
              <w:t>Reflects the elimination of EPIC Crude Holdings’ historical depreciation and amortization of $96 million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left"/>
              <w:rPr/>
            </w:pPr>
            <w:r>
              <w:rPr/>
              <w:t>Reflects the depreciation on the acquired property and equipment under the straight-line method of depreciation over a blended average useful life of 47 years resulting in incremental depreciation expense of $47 million for the year ended December 31, 2025. Also reflects the incremental amortization of the intangible assets under the declining balance method resulting in incremental amortization expense of $55 million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(c)</w:t>
            </w:r>
          </w:p>
        </w:tc>
        <w:tc>
          <w:tcPr>
            <w:tcW w:w="9955" w:type="dxa"/>
            <w:tcBorders/>
            <w:vAlign w:val="center"/>
          </w:tcPr>
          <w:p>
            <w:pPr>
              <w:pStyle w:val="TableContents"/>
              <w:bidi w:val="0"/>
              <w:spacing w:before="0" w:after="283"/>
              <w:jc w:val="left"/>
              <w:rPr/>
            </w:pPr>
            <w:r>
              <w:rPr/>
              <w:t>Represents the interest expense on the $1,901 million of financing as if such financing was obtained on or prior to January 1, 2025, and was outstanding for the entire year ended December 31, 2025. The interest rate assumed for purposes of preparing this unaudited pro forma condensed combined financial information was based off the one-month SOFR plus 1.125% as of the Closing Date. The amortization of debt issuance costs is not considered material to the unaudited pro forma condensed combined financial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Pro Forma Net Income Per Common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basic and diluted net income per common unit is determined by dividing the pro forma net income attributable to PAA (after deducting amounts allocated to preferred unitholders and participating securities) by the basic and diluted weighted average number of common units outstanding during the applicable periods. The Transaction did not involve the issuance or redemption of securities. For purposes of this calculation, we assumed that distributions were equal to historical PAA distributions for the respective periods; all remaining excess earnings were assumed to be allocated to our common unitholders and participating securities in accordance with the contractual terms of our partnership agreement. Because our partnership agreement requires us to distribute available cash rather than earnings reflected in our statement of operations and the pro forma net income per unit calculation has been prepared on an annual basis in lieu of a quarterly basis, actual cash distributions declared and paid by us may vary significantly from reported pro forma net income per common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Reclassification of EPIC Crude Holdings’ Historical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Reclassification adjustments were made to EPIC Crude Holdings’ historical statements of operations for the nine months ended September 30, 2025 and for the period from October 1, 2025 to November 6, 2025. Certain income statement line items presented by EPIC Crude Holdings under GAAP have been reclassified to align with the presentation used by PAA under GAAP. In addition, EPIC Crude Holdings’ historical presentation of margin related to inventory exchanges has been conformed to PAA’s accounting policy, which results in a reclassification from Revenue to Purchases and related costs. The amount of reclassification was $125 million for the year ended December 31, 2025. These reclassification adjustments are shown in the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ALL AMERICAN PIPELINE, L.P. AND SUBSIDIARIES</w:t>
        <w:br/>
        <w:t>NOTES TO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EPIC CRUDE HOLDINGS, LP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Nine Months Ended September 30, 2025 and the Period from October 1, 2025 to November 6, 2025</w:t>
        <w:br/>
      </w:r>
      <w:r>
        <w:rPr>
          <w:rFonts w:ascii="Times New Roman;Times;Serif" w:hAnsi="Times New Roman;Times;Serif"/>
          <w:b w:val="false"/>
          <w:i w:val="false"/>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9447" w:type="dxa"/>
        <w:jc w:val="left"/>
        <w:tblInd w:w="0" w:type="dxa"/>
        <w:tblLayout w:type="fixed"/>
        <w:tblCellMar>
          <w:top w:w="0" w:type="dxa"/>
          <w:left w:w="0" w:type="dxa"/>
          <w:bottom w:w="0" w:type="dxa"/>
          <w:right w:w="0" w:type="dxa"/>
        </w:tblCellMar>
      </w:tblPr>
      <w:tblGrid>
        <w:gridCol w:w="3005"/>
        <w:gridCol w:w="60"/>
        <w:gridCol w:w="417"/>
        <w:gridCol w:w="1132"/>
        <w:gridCol w:w="80"/>
        <w:gridCol w:w="60"/>
        <w:gridCol w:w="511"/>
        <w:gridCol w:w="1068"/>
        <w:gridCol w:w="80"/>
        <w:gridCol w:w="60"/>
        <w:gridCol w:w="325"/>
        <w:gridCol w:w="1030"/>
        <w:gridCol w:w="80"/>
        <w:gridCol w:w="60"/>
        <w:gridCol w:w="375"/>
        <w:gridCol w:w="1009"/>
        <w:gridCol w:w="9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EPIC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EPIC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for the</w:t>
              <w:br/>
              <w:t>Nine Months</w:t>
              <w:br/>
              <w:t>Ended September </w:t>
              <w:br/>
              <w:t>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for the</w:t>
              <w:br/>
              <w:t>Period from</w:t>
              <w:br/>
              <w:t>October 1, 2025 to</w:t>
              <w:br/>
              <w:t>November 6,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EPIC Historical</w:t>
              <w:br/>
              <w:t>As Adjusted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and maintenance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and related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Field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2666</Words>
  <Characters>14744</Characters>
  <CharactersWithSpaces>17924</CharactersWithSpaces>
  <Paragraphs>1185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