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-592455</wp:posOffset>
            </wp:positionV>
            <wp:extent cx="8255" cy="593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-600075</wp:posOffset>
            </wp:positionV>
            <wp:extent cx="8255" cy="6007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-576580</wp:posOffset>
            </wp:positionV>
            <wp:extent cx="1266190" cy="553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5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25400</wp:posOffset>
            </wp:positionV>
            <wp:extent cx="6971030" cy="1578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1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PEFANIS HARRY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09/01/2020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33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&amp; CCO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Shares representing limited partner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09/01/2020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1,233,653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interests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60" w:type="dxa"/>
            <w:vAlign w:val="bottom"/>
            <w:gridSpan w:val="12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Units/Class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1,000,000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2,768,988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7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-2876550</wp:posOffset>
            </wp:positionV>
            <wp:extent cx="7035165" cy="3013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301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440" w:hanging="1"/>
        <w:spacing w:after="0" w:line="295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if applicable, for an equal number of Class A shares of the Issuer (the "Class A shares"). On September 1, 2020, the Reporting Person exchanged 1,000,000 Class A Units and Class B shares for 1,000,000 Class A shares.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Harry N. Pefanis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09/02/2020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50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2020-09-02T16:05:12Z</dcterms:created>
  <dcterms:modified xsi:type="dcterms:W3CDTF">2020-09-02T16:05:12Z</dcterms:modified>
</cp:coreProperties>
</file>