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left"/>
        <w:rPr>
          <w:rFonts w:ascii="Times New Roman;serif" w:hAnsi="Times New Roman;serif"/>
          <w:b/>
          <w:sz w:val="22"/>
        </w:rPr>
      </w:pPr>
      <w:bookmarkStart w:id="0" w:name="sc13da.htm"/>
      <w:bookmarkStart w:id="1" w:name="kssc13da"/>
      <w:bookmarkEnd w:id="0"/>
      <w:bookmarkEnd w:id="1"/>
      <w:r>
        <w:rPr>
          <w:rFonts w:ascii="Times New Roman;serif" w:hAnsi="Times New Roman;serif"/>
          <w:b/>
          <w:sz w:val="22"/>
        </w:rPr>
        <w:t>CUSIP NO. 726503105</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SCHEDULE 13D/A</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(Rule 13d-101)</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INFORMATION TO BE INCLUDED IN STATEMENTS FILED PURSUANT</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TO RULE 13d-1(a) AND AMENDMENTS THERETO FILED PURSUANT TO</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RULE 13d-2(a)</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SECURITIES AND EXCHANGE COMMISSION</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Washington, D.C. 20549</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Under the Securities Exchange Act of 1934*</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(Amendment #10)</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center"/>
        <w:rPr>
          <w:rFonts w:ascii="Times New Roman;serif" w:hAnsi="Times New Roman;serif"/>
          <w:b w:val="false"/>
          <w:sz w:val="22"/>
          <w:u w:val="single"/>
        </w:rPr>
      </w:pPr>
      <w:r>
        <w:rPr>
          <w:rFonts w:ascii="Times New Roman;serif" w:hAnsi="Times New Roman;serif"/>
          <w:b w:val="false"/>
          <w:sz w:val="22"/>
          <w:u w:val="single"/>
        </w:rPr>
        <w:t>Plains All American Pipeline, L.P.</w:t>
      </w:r>
    </w:p>
    <w:p>
      <w:pPr>
        <w:pStyle w:val="TextBody"/>
        <w:spacing w:before="0" w:after="0"/>
        <w:ind w:left="0" w:right="0" w:hanging="0"/>
        <w:jc w:val="center"/>
        <w:rPr>
          <w:rFonts w:ascii="Times New Roman;serif" w:hAnsi="Times New Roman;serif"/>
          <w:b w:val="false"/>
          <w:sz w:val="22"/>
        </w:rPr>
      </w:pPr>
      <w:r>
        <w:rPr>
          <w:rFonts w:ascii="Times New Roman;serif" w:hAnsi="Times New Roman;serif"/>
          <w:b w:val="false"/>
          <w:sz w:val="22"/>
        </w:rPr>
        <w:t>(Name of Issuer)</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center"/>
        <w:rPr>
          <w:rFonts w:ascii="Times New Roman;serif" w:hAnsi="Times New Roman;serif"/>
          <w:b w:val="false"/>
          <w:sz w:val="22"/>
          <w:u w:val="single"/>
        </w:rPr>
      </w:pPr>
      <w:r>
        <w:rPr>
          <w:rFonts w:ascii="Times New Roman;serif" w:hAnsi="Times New Roman;serif"/>
          <w:b w:val="false"/>
          <w:sz w:val="22"/>
          <w:u w:val="single"/>
        </w:rPr>
        <w:t>Common Units</w:t>
      </w:r>
    </w:p>
    <w:p>
      <w:pPr>
        <w:pStyle w:val="TextBody"/>
        <w:spacing w:before="0" w:after="0"/>
        <w:ind w:left="0" w:right="0" w:hanging="0"/>
        <w:jc w:val="center"/>
        <w:rPr>
          <w:rFonts w:ascii="Times New Roman;serif" w:hAnsi="Times New Roman;serif"/>
          <w:b w:val="false"/>
          <w:sz w:val="22"/>
        </w:rPr>
      </w:pPr>
      <w:r>
        <w:rPr>
          <w:rFonts w:ascii="Times New Roman;serif" w:hAnsi="Times New Roman;serif"/>
          <w:b w:val="false"/>
          <w:sz w:val="22"/>
        </w:rPr>
        <w:t>(Title of Class of Securities)</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center"/>
        <w:rPr>
          <w:u w:val="single"/>
        </w:rPr>
      </w:pPr>
      <w:r>
        <w:rPr>
          <w:u w:val="single"/>
        </w:rPr>
        <w:t>         </w:t>
      </w:r>
      <w:r>
        <w:rPr>
          <w:rFonts w:ascii="Times New Roman;serif" w:hAnsi="Times New Roman;serif"/>
          <w:b w:val="false"/>
          <w:sz w:val="22"/>
          <w:u w:val="single"/>
        </w:rPr>
        <w:t>726503105      </w:t>
      </w:r>
    </w:p>
    <w:p>
      <w:pPr>
        <w:pStyle w:val="TextBody"/>
        <w:spacing w:before="0" w:after="0"/>
        <w:ind w:left="0" w:right="0" w:hanging="0"/>
        <w:jc w:val="center"/>
        <w:rPr>
          <w:rFonts w:ascii="Times New Roman;serif" w:hAnsi="Times New Roman;serif"/>
          <w:b w:val="false"/>
          <w:sz w:val="22"/>
        </w:rPr>
      </w:pPr>
      <w:r>
        <w:rPr>
          <w:rFonts w:ascii="Times New Roman;serif" w:hAnsi="Times New Roman;serif"/>
          <w:b w:val="false"/>
          <w:sz w:val="22"/>
        </w:rPr>
        <w:t>(CUSIP Number)</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center"/>
        <w:rPr>
          <w:rFonts w:ascii="Times New Roman;serif" w:hAnsi="Times New Roman;serif"/>
          <w:b w:val="false"/>
          <w:sz w:val="22"/>
        </w:rPr>
      </w:pPr>
      <w:r>
        <w:rPr>
          <w:rFonts w:ascii="Times New Roman;serif" w:hAnsi="Times New Roman;serif"/>
          <w:b w:val="false"/>
          <w:sz w:val="22"/>
        </w:rPr>
        <w:t>Paul G. Allen</w:t>
      </w:r>
    </w:p>
    <w:p>
      <w:pPr>
        <w:pStyle w:val="TextBody"/>
        <w:spacing w:before="0" w:after="0"/>
        <w:ind w:left="0" w:right="0" w:hanging="0"/>
        <w:jc w:val="center"/>
        <w:rPr>
          <w:rFonts w:ascii="Times New Roman;serif" w:hAnsi="Times New Roman;serif"/>
          <w:b w:val="false"/>
          <w:sz w:val="22"/>
        </w:rPr>
      </w:pPr>
      <w:r>
        <w:rPr>
          <w:rFonts w:ascii="Times New Roman;serif" w:hAnsi="Times New Roman;serif"/>
          <w:b w:val="false"/>
          <w:sz w:val="22"/>
        </w:rPr>
        <w:t>Vulcan Capital Private Equity Inc.</w:t>
      </w:r>
    </w:p>
    <w:p>
      <w:pPr>
        <w:pStyle w:val="TextBody"/>
        <w:spacing w:before="0" w:after="0"/>
        <w:ind w:left="0" w:right="0" w:hanging="0"/>
        <w:jc w:val="center"/>
        <w:rPr>
          <w:rFonts w:ascii="Times New Roman;serif" w:hAnsi="Times New Roman;serif"/>
          <w:b w:val="false"/>
          <w:sz w:val="22"/>
        </w:rPr>
      </w:pPr>
      <w:r>
        <w:rPr>
          <w:rFonts w:ascii="Times New Roman;serif" w:hAnsi="Times New Roman;serif"/>
          <w:b w:val="false"/>
          <w:sz w:val="22"/>
        </w:rPr>
        <w:t>Vulcan Capital Private Equity Management I LLC</w:t>
      </w:r>
    </w:p>
    <w:p>
      <w:pPr>
        <w:pStyle w:val="TextBody"/>
        <w:spacing w:before="0" w:after="0"/>
        <w:ind w:left="0" w:right="0" w:hanging="0"/>
        <w:jc w:val="center"/>
        <w:rPr>
          <w:rFonts w:ascii="Times New Roman;serif" w:hAnsi="Times New Roman;serif"/>
          <w:b w:val="false"/>
          <w:sz w:val="22"/>
        </w:rPr>
      </w:pPr>
      <w:r>
        <w:rPr>
          <w:rFonts w:ascii="Times New Roman;serif" w:hAnsi="Times New Roman;serif"/>
          <w:b w:val="false"/>
          <w:sz w:val="22"/>
        </w:rPr>
        <w:t>Vulcan Capital Private Equity I LLC</w:t>
      </w:r>
    </w:p>
    <w:p>
      <w:pPr>
        <w:pStyle w:val="TextBody"/>
        <w:spacing w:before="0" w:after="0"/>
        <w:ind w:left="0" w:right="0" w:hanging="0"/>
        <w:jc w:val="center"/>
        <w:rPr>
          <w:rFonts w:ascii="Times New Roman;serif" w:hAnsi="Times New Roman;serif"/>
          <w:b w:val="false"/>
          <w:sz w:val="22"/>
        </w:rPr>
      </w:pPr>
      <w:r>
        <w:rPr>
          <w:rFonts w:ascii="Times New Roman;serif" w:hAnsi="Times New Roman;serif"/>
          <w:b w:val="false"/>
          <w:sz w:val="22"/>
        </w:rPr>
        <w:t>Vulcan Capital Private Equity II LLC</w:t>
      </w:r>
    </w:p>
    <w:p>
      <w:pPr>
        <w:pStyle w:val="TextBody"/>
        <w:spacing w:before="0" w:after="0"/>
        <w:ind w:left="0" w:right="0" w:hanging="0"/>
        <w:jc w:val="center"/>
        <w:rPr>
          <w:rFonts w:ascii="Times New Roman;serif" w:hAnsi="Times New Roman;serif"/>
          <w:b w:val="false"/>
          <w:sz w:val="22"/>
        </w:rPr>
      </w:pPr>
      <w:r>
        <w:rPr>
          <w:rFonts w:ascii="Times New Roman;serif" w:hAnsi="Times New Roman;serif"/>
          <w:b w:val="false"/>
          <w:sz w:val="22"/>
        </w:rPr>
        <w:t>505 Fifth Avenue S, Suite 900</w:t>
      </w:r>
    </w:p>
    <w:p>
      <w:pPr>
        <w:pStyle w:val="TextBody"/>
        <w:spacing w:before="0" w:after="0"/>
        <w:ind w:left="0" w:right="0" w:hanging="0"/>
        <w:jc w:val="center"/>
        <w:rPr>
          <w:rFonts w:ascii="Times New Roman;serif" w:hAnsi="Times New Roman;serif"/>
          <w:b w:val="false"/>
          <w:sz w:val="22"/>
        </w:rPr>
      </w:pPr>
      <w:r>
        <w:rPr>
          <w:rFonts w:ascii="Times New Roman;serif" w:hAnsi="Times New Roman;serif"/>
          <w:b w:val="false"/>
          <w:sz w:val="22"/>
        </w:rPr>
        <w:t>Seattle, Washington 98104</w:t>
      </w:r>
    </w:p>
    <w:p>
      <w:pPr>
        <w:pStyle w:val="TextBody"/>
        <w:spacing w:before="0" w:after="0"/>
        <w:ind w:left="0" w:right="0" w:hanging="0"/>
        <w:jc w:val="center"/>
        <w:rPr>
          <w:rFonts w:ascii="Times New Roman;serif" w:hAnsi="Times New Roman;serif"/>
          <w:b w:val="false"/>
          <w:sz w:val="22"/>
        </w:rPr>
      </w:pPr>
      <w:r>
        <w:rPr>
          <w:rFonts w:ascii="Times New Roman;serif" w:hAnsi="Times New Roman;serif"/>
          <w:b w:val="false"/>
          <w:sz w:val="22"/>
        </w:rPr>
        <w:t>(206) 342-2000</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center"/>
        <w:rPr>
          <w:rFonts w:ascii="Times New Roman;serif" w:hAnsi="Times New Roman;serif"/>
          <w:b w:val="false"/>
          <w:sz w:val="22"/>
        </w:rPr>
      </w:pPr>
      <w:r>
        <w:rPr>
          <w:rFonts w:ascii="Times New Roman;serif" w:hAnsi="Times New Roman;serif"/>
          <w:b w:val="false"/>
          <w:sz w:val="22"/>
        </w:rPr>
        <w:t>Vulcan Energy Corporation</w:t>
      </w:r>
    </w:p>
    <w:p>
      <w:pPr>
        <w:pStyle w:val="TextBody"/>
        <w:spacing w:before="0" w:after="0"/>
        <w:ind w:left="0" w:right="0" w:hanging="0"/>
        <w:jc w:val="center"/>
        <w:rPr>
          <w:rFonts w:ascii="Times New Roman;serif" w:hAnsi="Times New Roman;serif"/>
          <w:b w:val="false"/>
          <w:sz w:val="22"/>
        </w:rPr>
      </w:pPr>
      <w:r>
        <w:rPr>
          <w:rFonts w:ascii="Times New Roman;serif" w:hAnsi="Times New Roman;serif"/>
          <w:b w:val="false"/>
          <w:sz w:val="22"/>
        </w:rPr>
        <w:t>333 Clay Street, Suite 1600,</w:t>
      </w:r>
    </w:p>
    <w:p>
      <w:pPr>
        <w:pStyle w:val="TextBody"/>
        <w:spacing w:before="0" w:after="0"/>
        <w:ind w:left="0" w:right="0" w:hanging="0"/>
        <w:jc w:val="center"/>
        <w:rPr>
          <w:rFonts w:ascii="Times New Roman;serif" w:hAnsi="Times New Roman;serif"/>
          <w:b w:val="false"/>
          <w:sz w:val="22"/>
        </w:rPr>
      </w:pPr>
      <w:r>
        <w:rPr>
          <w:rFonts w:ascii="Times New Roman;serif" w:hAnsi="Times New Roman;serif"/>
          <w:b w:val="false"/>
          <w:sz w:val="22"/>
        </w:rPr>
        <w:t>Houston, Texas 77002</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center"/>
        <w:rPr>
          <w:rFonts w:ascii="Times New Roman;serif" w:hAnsi="Times New Roman;serif"/>
          <w:b w:val="false"/>
          <w:sz w:val="22"/>
        </w:rPr>
      </w:pPr>
      <w:r>
        <w:rPr>
          <w:rFonts w:ascii="Times New Roman;serif" w:hAnsi="Times New Roman;serif"/>
          <w:b w:val="false"/>
          <w:sz w:val="22"/>
        </w:rPr>
        <w:t>August 17, 2011</w:t>
      </w:r>
    </w:p>
    <w:p>
      <w:pPr>
        <w:pStyle w:val="TextBody"/>
        <w:spacing w:before="0" w:after="0"/>
        <w:ind w:left="0" w:right="0" w:hanging="0"/>
        <w:jc w:val="center"/>
        <w:rPr>
          <w:rFonts w:ascii="Times New Roman;serif" w:hAnsi="Times New Roman;serif"/>
          <w:b w:val="false"/>
          <w:sz w:val="22"/>
        </w:rPr>
      </w:pPr>
      <w:r>
        <w:rPr>
          <w:rFonts w:ascii="Times New Roman;serif" w:hAnsi="Times New Roman;serif"/>
          <w:b w:val="false"/>
          <w:sz w:val="22"/>
        </w:rPr>
        <w:t>(Date of Event which Requires Filing</w:t>
      </w:r>
    </w:p>
    <w:p>
      <w:pPr>
        <w:pStyle w:val="TextBody"/>
        <w:spacing w:before="0" w:after="0"/>
        <w:ind w:left="0" w:right="0" w:hanging="0"/>
        <w:jc w:val="center"/>
        <w:rPr>
          <w:rFonts w:ascii="Times New Roman;serif" w:hAnsi="Times New Roman;serif"/>
          <w:b w:val="false"/>
          <w:sz w:val="22"/>
        </w:rPr>
      </w:pPr>
      <w:r>
        <w:rPr>
          <w:rFonts w:ascii="Times New Roman;serif" w:hAnsi="Times New Roman;serif"/>
          <w:b w:val="false"/>
          <w:sz w:val="22"/>
        </w:rPr>
        <w:t>of this Statement)</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t xml:space="preserve">If the filing person has previously filed a statement on Schedule 13G to report the acquisition that is the subject of this Schedule 13D, and is filing this schedule because of Rule 13d-1(e), 13d-1(f) or 13d-1(g), check the following box </w:t>
      </w:r>
      <w:r>
        <w:rPr>
          <w:rFonts w:ascii="Times New Roman;serif" w:hAnsi="Times New Roman;serif"/>
          <w:b/>
          <w:sz w:val="22"/>
        </w:rPr>
        <w:t>[</w:t>
      </w:r>
      <w:r>
        <w:rPr>
          <w:rFonts w:ascii="Times New Roman;serif" w:hAnsi="Times New Roman;serif"/>
          <w:b w:val="false"/>
          <w:sz w:val="22"/>
        </w:rPr>
        <w:t>  </w:t>
      </w:r>
      <w:r>
        <w:rPr>
          <w:rFonts w:ascii="Times New Roman;serif" w:hAnsi="Times New Roman;serif"/>
          <w:b/>
          <w:sz w:val="22"/>
        </w:rPr>
        <w:t>]</w:t>
      </w:r>
      <w:r>
        <w:rPr>
          <w:rFonts w:ascii="Times New Roman;serif" w:hAnsi="Times New Roman;serif"/>
          <w:b w:val="false"/>
          <w:sz w:val="22"/>
        </w:rPr>
        <w:t>.</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i/>
          <w:sz w:val="22"/>
        </w:rPr>
        <w:t>Note.</w:t>
      </w:r>
      <w:r>
        <w:rPr>
          <w:rFonts w:ascii="Times New Roman;serif" w:hAnsi="Times New Roman;serif"/>
          <w:b w:val="false"/>
          <w:sz w:val="22"/>
        </w:rPr>
        <w:t>  Schedules filed in paper format shall include a signed original and five copies of the schedule, including all exhibits.  See Rule 13d-7 for other parties to whom copies are to be sent.</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Times New Roman;serif" w:hAnsi="Times New Roman;serif"/>
          <w:b w:val="false"/>
          <w:i/>
          <w:sz w:val="22"/>
        </w:rPr>
        <w:t>see</w:t>
      </w:r>
      <w:r>
        <w:rPr>
          <w:rFonts w:ascii="Times New Roman;serif" w:hAnsi="Times New Roman;serif"/>
          <w:b w:val="false"/>
          <w:sz w:val="22"/>
        </w:rPr>
        <w:t xml:space="preserve"> the Notes).</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center"/>
        <w:rPr>
          <w:rFonts w:ascii="Times New Roman;serif" w:hAnsi="Times New Roman;serif"/>
          <w:b w:val="false"/>
          <w:sz w:val="22"/>
        </w:rPr>
      </w:pPr>
      <w:r>
        <w:rPr>
          <w:rFonts w:ascii="Times New Roman;serif" w:hAnsi="Times New Roman;serif"/>
          <w:b w:val="false"/>
          <w:sz w:val="22"/>
        </w:rPr>
        <w:t>Continued on following page(s)</w:t>
      </w: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726503105</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tbl>
      <w:tblPr>
        <w:tblW w:w="5000" w:type="pct"/>
        <w:jc w:val="left"/>
        <w:tblInd w:w="0" w:type="dxa"/>
        <w:tblCellMar>
          <w:top w:w="28" w:type="dxa"/>
          <w:left w:w="28" w:type="dxa"/>
          <w:bottom w:w="28" w:type="dxa"/>
          <w:right w:w="0" w:type="dxa"/>
        </w:tblCellMar>
      </w:tblPr>
      <w:tblGrid>
        <w:gridCol w:w="1109"/>
        <w:gridCol w:w="3972"/>
        <w:gridCol w:w="1200"/>
        <w:gridCol w:w="2974"/>
        <w:gridCol w:w="950"/>
      </w:tblGrid>
      <w:tr>
        <w:trPr/>
        <w:tc>
          <w:tcPr>
            <w:tcW w:w="1109" w:type="dxa"/>
            <w:tcBorders>
              <w:top w:val="double" w:sz="6" w:space="0" w:color="000000"/>
              <w:left w:val="double" w:sz="6" w:space="0" w:color="000000"/>
              <w:bottom w:val="single" w:sz="6" w:space="0" w:color="000000"/>
            </w:tcBorders>
            <w:shd w:fill="auto" w:val="cle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w:t>
            </w:r>
          </w:p>
        </w:tc>
        <w:tc>
          <w:tcPr>
            <w:tcW w:w="9096" w:type="dxa"/>
            <w:gridSpan w:val="4"/>
            <w:tcBorders>
              <w:top w:val="double" w:sz="6" w:space="0" w:color="000000"/>
              <w:left w:val="single" w:sz="6" w:space="0" w:color="000000"/>
              <w:bottom w:val="single" w:sz="6" w:space="0" w:color="000000"/>
              <w:right w:val="double" w:sz="6" w:space="0" w:color="000000"/>
            </w:tcBorders>
            <w:shd w:fill="auto" w:val="clear"/>
            <w:tcMar>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NAME OF REPORTING PERSON</w:t>
            </w:r>
          </w:p>
          <w:p>
            <w:pPr>
              <w:pStyle w:val="TableContents"/>
              <w:spacing w:before="0" w:after="0"/>
              <w:ind w:left="0" w:right="0" w:hanging="0"/>
              <w:jc w:val="left"/>
              <w:rPr>
                <w:rFonts w:ascii="times new roman;serif" w:hAnsi="times new roman;serif"/>
                <w:sz w:val="16"/>
              </w:rPr>
            </w:pPr>
            <w:r>
              <w:rPr>
                <w:rFonts w:ascii="times new roman;serif" w:hAnsi="times new roman;serif"/>
                <w:sz w:val="16"/>
              </w:rPr>
              <w:t>S.S. OR I.R.S. IDENTIFICATION NO. OF ABOVE PERSON</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Paul G. Allen</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w:t>
            </w:r>
          </w:p>
        </w:tc>
        <w:tc>
          <w:tcPr>
            <w:tcW w:w="8146"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THE APPROPRIATE BOX IF A MEMBER OF A GROUP*</w:t>
            </w:r>
          </w:p>
        </w:tc>
        <w:tc>
          <w:tcPr>
            <w:tcW w:w="950"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(b) </w:t>
            </w:r>
            <w:r>
              <w:rPr>
                <w:rFonts w:ascii="wingdings" w:hAnsi="wingdings"/>
                <w:sz w:val="20"/>
              </w:rPr>
              <w:t>x</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SEC USE ONLY</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SOURCE OF FUNDS*</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N/A</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8146"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DISCLOSURE OF LEGAL PROCEEDINGS</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IS REQUIRED PURSUANT TO ITEMS 2(d) OR 2(e)</w:t>
            </w:r>
          </w:p>
          <w:p>
            <w:pPr>
              <w:pStyle w:val="TableContents"/>
              <w:spacing w:before="0" w:after="0"/>
              <w:ind w:left="0" w:right="0" w:hanging="0"/>
              <w:jc w:val="left"/>
              <w:rPr/>
            </w:pPr>
            <w:r>
              <w:rPr/>
              <w:t> </w:t>
            </w:r>
          </w:p>
        </w:tc>
        <w:tc>
          <w:tcPr>
            <w:tcW w:w="950"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center"/>
              <w:rPr/>
            </w:pPr>
            <w:r>
              <w:rPr/>
              <w:t>☐</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CITIZENSHIP OR PLACE OF ORGANIZATION</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United States</w:t>
            </w:r>
          </w:p>
          <w:p>
            <w:pPr>
              <w:pStyle w:val="TableContents"/>
              <w:spacing w:before="0" w:after="0"/>
              <w:ind w:left="0" w:right="0" w:hanging="0"/>
              <w:jc w:val="left"/>
              <w:rPr/>
            </w:pPr>
            <w:r>
              <w:rPr/>
              <w:t> </w:t>
            </w:r>
          </w:p>
        </w:tc>
      </w:tr>
      <w:tr>
        <w:trPr/>
        <w:tc>
          <w:tcPr>
            <w:tcW w:w="5081" w:type="dxa"/>
            <w:gridSpan w:val="2"/>
            <w:tcBorders>
              <w:left w:val="double" w:sz="6" w:space="0" w:color="000000"/>
            </w:tcBorders>
            <w:shd w:fill="auto" w:val="clear"/>
            <w:tcMar>
              <w:top w:w="0" w:type="dxa"/>
              <w:bottom w:w="0" w:type="dxa"/>
            </w:tcMar>
            <w:vAlign w:val="bottom"/>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NUMBER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OF</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w:t>
            </w:r>
          </w:p>
        </w:tc>
        <w:tc>
          <w:tcPr>
            <w:tcW w:w="3924"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6,502,240 Common Units</w:t>
            </w:r>
          </w:p>
          <w:p>
            <w:pPr>
              <w:pStyle w:val="TableContents"/>
              <w:spacing w:before="0" w:after="0"/>
              <w:ind w:left="0" w:right="0" w:hanging="0"/>
              <w:jc w:val="left"/>
              <w:rPr/>
            </w:pPr>
            <w:r>
              <w:rPr/>
              <w:t> </w:t>
            </w:r>
          </w:p>
        </w:tc>
      </w:tr>
      <w:tr>
        <w:trPr/>
        <w:tc>
          <w:tcPr>
            <w:tcW w:w="5081"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BENEFICIALLY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OWNED BY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EACH</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3924"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VOTING POWER:  0</w:t>
            </w:r>
          </w:p>
        </w:tc>
      </w:tr>
      <w:tr>
        <w:trPr/>
        <w:tc>
          <w:tcPr>
            <w:tcW w:w="5081"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REPORTING</w:t>
            </w:r>
          </w:p>
          <w:p>
            <w:pPr>
              <w:pStyle w:val="TableContents"/>
              <w:spacing w:before="0" w:after="0"/>
              <w:jc w:val="center"/>
              <w:rPr>
                <w:rFonts w:ascii="times new roman;serif" w:hAnsi="times new roman;serif"/>
                <w:b/>
                <w:sz w:val="20"/>
              </w:rPr>
            </w:pPr>
            <w:r>
              <w:rPr>
                <w:rFonts w:ascii="times new roman;serif" w:hAnsi="times new roman;serif"/>
                <w:b/>
                <w:sz w:val="20"/>
              </w:rPr>
              <w:t>PERSON</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WITH</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w:t>
            </w:r>
          </w:p>
        </w:tc>
        <w:tc>
          <w:tcPr>
            <w:tcW w:w="3924"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6,502,240 Common Units</w:t>
            </w:r>
          </w:p>
          <w:p>
            <w:pPr>
              <w:pStyle w:val="TableContents"/>
              <w:spacing w:before="0" w:after="0"/>
              <w:ind w:left="0" w:right="0" w:hanging="0"/>
              <w:jc w:val="left"/>
              <w:rPr/>
            </w:pPr>
            <w:r>
              <w:rPr/>
              <w:t> </w:t>
            </w:r>
          </w:p>
        </w:tc>
      </w:tr>
      <w:tr>
        <w:trPr/>
        <w:tc>
          <w:tcPr>
            <w:tcW w:w="5081" w:type="dxa"/>
            <w:gridSpan w:val="2"/>
            <w:tcBorders>
              <w:left w:val="double" w:sz="6" w:space="0" w:color="000000"/>
              <w:bottom w:val="single" w:sz="6" w:space="0" w:color="000000"/>
            </w:tcBorders>
            <w:shd w:fill="auto" w:val="clear"/>
            <w:tcMar>
              <w:top w:w="0" w:type="dxa"/>
            </w:tcMar>
          </w:tcPr>
          <w:p>
            <w:pPr>
              <w:pStyle w:val="TableContents"/>
              <w:spacing w:before="0" w:after="283"/>
              <w:rPr/>
            </w:pPr>
            <w:r>
              <w:rPr/>
              <w:t xml:space="preserve">  </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3924"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DISPOSITIVE POWER:  0</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11</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6,502,240 Common Units</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12</w:t>
            </w:r>
          </w:p>
        </w:tc>
        <w:tc>
          <w:tcPr>
            <w:tcW w:w="8146"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THE AGGREGATE AMOUNT IN ROW (11)</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EXCLUDES CERTAIN SHARES*</w:t>
            </w:r>
          </w:p>
          <w:p>
            <w:pPr>
              <w:pStyle w:val="TableContents"/>
              <w:spacing w:before="0" w:after="0"/>
              <w:ind w:left="0" w:right="0" w:hanging="0"/>
              <w:jc w:val="left"/>
              <w:rPr/>
            </w:pPr>
            <w:r>
              <w:rPr/>
              <w:t> </w:t>
            </w:r>
          </w:p>
        </w:tc>
        <w:tc>
          <w:tcPr>
            <w:tcW w:w="950"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center"/>
              <w:rPr/>
            </w:pPr>
            <w:r>
              <w:rPr/>
              <w:t>☐</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13</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PERCENT OF CLASS REPRESENTED BY AMOUNT IN ROW (11)</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4.4% of Common Units</w:t>
            </w:r>
          </w:p>
          <w:p>
            <w:pPr>
              <w:pStyle w:val="TableContents"/>
              <w:spacing w:before="0" w:after="0"/>
              <w:ind w:left="0" w:right="0" w:hanging="0"/>
              <w:jc w:val="left"/>
              <w:rPr/>
            </w:pPr>
            <w:r>
              <w:rPr/>
              <w:t> </w:t>
            </w:r>
          </w:p>
        </w:tc>
      </w:tr>
      <w:tr>
        <w:trPr/>
        <w:tc>
          <w:tcPr>
            <w:tcW w:w="1109" w:type="dxa"/>
            <w:tcBorders>
              <w:left w:val="double" w:sz="6" w:space="0" w:color="000000"/>
              <w:bottom w:val="doub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14</w:t>
            </w:r>
          </w:p>
        </w:tc>
        <w:tc>
          <w:tcPr>
            <w:tcW w:w="9096" w:type="dxa"/>
            <w:gridSpan w:val="4"/>
            <w:tcBorders>
              <w:left w:val="single" w:sz="6" w:space="0" w:color="000000"/>
              <w:bottom w:val="doub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TYPE OF REPORTING PERSON*</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IN</w:t>
            </w:r>
          </w:p>
          <w:p>
            <w:pPr>
              <w:pStyle w:val="TableContents"/>
              <w:spacing w:before="0" w:after="0"/>
              <w:ind w:left="0" w:right="0" w:hanging="0"/>
              <w:jc w:val="left"/>
              <w:rPr/>
            </w:pPr>
            <w:r>
              <w:rPr/>
              <w:t> </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*SEE INSTRUCTIONS BEFORE FILLING OUT!</w:t>
      </w: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2" w:name="PGBRK"/>
      <w:bookmarkStart w:id="3" w:name="PGBRK"/>
      <w:bookmarkEnd w:id="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 w:name="FTR"/>
      <w:bookmarkStart w:id="5" w:name="FTR"/>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 w:name="GLFTR"/>
      <w:bookmarkEnd w:id="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b w:val="false"/>
          <w:sz w:val="20"/>
        </w:rPr>
      </w:pPr>
      <w:bookmarkStart w:id="7" w:name="PN"/>
      <w:bookmarkEnd w:id="7"/>
      <w:r>
        <w:rPr>
          <w:rFonts w:ascii="Times New Roman;serif" w:hAnsi="Times New Roman;serif"/>
          <w:b w:val="false"/>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 w:name="HDR"/>
      <w:bookmarkStart w:id="9" w:name="HD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 w:name="GLHDR"/>
      <w:bookmarkEnd w:id="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726503105</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tbl>
      <w:tblPr>
        <w:tblW w:w="5000" w:type="pct"/>
        <w:jc w:val="left"/>
        <w:tblInd w:w="0" w:type="dxa"/>
        <w:tblCellMar>
          <w:top w:w="28" w:type="dxa"/>
          <w:left w:w="28" w:type="dxa"/>
          <w:bottom w:w="28" w:type="dxa"/>
          <w:right w:w="0" w:type="dxa"/>
        </w:tblCellMar>
      </w:tblPr>
      <w:tblGrid>
        <w:gridCol w:w="1109"/>
        <w:gridCol w:w="4136"/>
        <w:gridCol w:w="1200"/>
        <w:gridCol w:w="2811"/>
        <w:gridCol w:w="949"/>
      </w:tblGrid>
      <w:tr>
        <w:trPr/>
        <w:tc>
          <w:tcPr>
            <w:tcW w:w="1109" w:type="dxa"/>
            <w:tcBorders>
              <w:top w:val="double" w:sz="6" w:space="0" w:color="000000"/>
              <w:left w:val="double" w:sz="6" w:space="0" w:color="000000"/>
              <w:bottom w:val="single" w:sz="6" w:space="0" w:color="000000"/>
            </w:tcBorders>
            <w:shd w:fill="auto" w:val="cle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w:t>
            </w:r>
          </w:p>
        </w:tc>
        <w:tc>
          <w:tcPr>
            <w:tcW w:w="9096" w:type="dxa"/>
            <w:gridSpan w:val="4"/>
            <w:tcBorders>
              <w:top w:val="double" w:sz="6" w:space="0" w:color="000000"/>
              <w:left w:val="single" w:sz="6" w:space="0" w:color="000000"/>
              <w:bottom w:val="single" w:sz="6" w:space="0" w:color="000000"/>
              <w:right w:val="double" w:sz="6" w:space="0" w:color="000000"/>
            </w:tcBorders>
            <w:shd w:fill="auto" w:val="clear"/>
            <w:tcMar>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NAME OF REPORTING PERSON</w:t>
            </w:r>
          </w:p>
          <w:p>
            <w:pPr>
              <w:pStyle w:val="TableContents"/>
              <w:spacing w:before="0" w:after="0"/>
              <w:ind w:left="0" w:right="0" w:hanging="0"/>
              <w:jc w:val="left"/>
              <w:rPr>
                <w:rFonts w:ascii="times new roman;serif" w:hAnsi="times new roman;serif"/>
                <w:sz w:val="16"/>
              </w:rPr>
            </w:pPr>
            <w:r>
              <w:rPr>
                <w:rFonts w:ascii="times new roman;serif" w:hAnsi="times new roman;serif"/>
                <w:sz w:val="16"/>
              </w:rPr>
              <w:t>S.S. OR I.R.S. IDENTIFICATION NO. OF ABOVE PERSON</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Vulcan Capital Private Equity Inc.</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w:t>
            </w:r>
          </w:p>
        </w:tc>
        <w:tc>
          <w:tcPr>
            <w:tcW w:w="814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THE APPROPRIATE BOX IF A MEMBER OF A GROUP*</w:t>
            </w:r>
          </w:p>
        </w:tc>
        <w:tc>
          <w:tcPr>
            <w:tcW w:w="949"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(b) </w:t>
            </w:r>
            <w:r>
              <w:rPr>
                <w:rFonts w:ascii="wingdings" w:hAnsi="wingdings"/>
                <w:sz w:val="20"/>
              </w:rPr>
              <w:t>x</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SEC USE ONLY</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SOURCE OF FUNDS*</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N/A</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814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DISCLOSURE OF LEGAL PROCEEDINGS</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IS REQUIRED PURSUANT TO ITEMS 2(d) OR 2(e)</w:t>
            </w:r>
          </w:p>
          <w:p>
            <w:pPr>
              <w:pStyle w:val="TableContents"/>
              <w:spacing w:before="0" w:after="0"/>
              <w:ind w:left="0" w:right="0" w:hanging="0"/>
              <w:jc w:val="left"/>
              <w:rPr/>
            </w:pPr>
            <w:r>
              <w:rPr/>
              <w:t> </w:t>
            </w:r>
          </w:p>
        </w:tc>
        <w:tc>
          <w:tcPr>
            <w:tcW w:w="949"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center"/>
              <w:rPr/>
            </w:pPr>
            <w:r>
              <w:rPr/>
              <w:t>☐</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CITIZENSHIP OR PLACE OF ORGANIZATION</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Delaware</w:t>
            </w:r>
          </w:p>
          <w:p>
            <w:pPr>
              <w:pStyle w:val="TableContents"/>
              <w:spacing w:before="0" w:after="0"/>
              <w:ind w:left="0" w:right="0" w:hanging="0"/>
              <w:jc w:val="left"/>
              <w:rPr/>
            </w:pPr>
            <w:r>
              <w:rPr/>
              <w:t> </w:t>
            </w:r>
          </w:p>
        </w:tc>
      </w:tr>
      <w:tr>
        <w:trPr/>
        <w:tc>
          <w:tcPr>
            <w:tcW w:w="5245" w:type="dxa"/>
            <w:gridSpan w:val="2"/>
            <w:tcBorders>
              <w:left w:val="double" w:sz="6" w:space="0" w:color="000000"/>
            </w:tcBorders>
            <w:shd w:fill="auto" w:val="clear"/>
            <w:tcMar>
              <w:top w:w="0" w:type="dxa"/>
              <w:bottom w:w="0" w:type="dxa"/>
            </w:tcMar>
          </w:tcPr>
          <w:p>
            <w:pPr>
              <w:pStyle w:val="TableContents"/>
              <w:spacing w:before="0" w:after="283"/>
              <w:rPr/>
            </w:pPr>
            <w:r>
              <w:rPr/>
              <w:t> </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w:t>
            </w:r>
          </w:p>
        </w:tc>
        <w:tc>
          <w:tcPr>
            <w:tcW w:w="3760"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VOTING POWER: 0</w:t>
            </w:r>
          </w:p>
          <w:p>
            <w:pPr>
              <w:pStyle w:val="TableContents"/>
              <w:spacing w:before="0" w:after="0"/>
              <w:ind w:left="0" w:right="0" w:hanging="0"/>
              <w:jc w:val="left"/>
              <w:rPr/>
            </w:pPr>
            <w:r>
              <w:rPr/>
              <w:t> </w:t>
            </w:r>
          </w:p>
        </w:tc>
      </w:tr>
      <w:tr>
        <w:trPr/>
        <w:tc>
          <w:tcPr>
            <w:tcW w:w="5245" w:type="dxa"/>
            <w:gridSpan w:val="2"/>
            <w:tcBorders>
              <w:left w:val="double" w:sz="6" w:space="0" w:color="000000"/>
            </w:tcBorders>
            <w:shd w:fill="auto" w:val="clear"/>
            <w:tcMar>
              <w:top w:w="0" w:type="dxa"/>
              <w:bottom w:w="0" w:type="dxa"/>
            </w:tcMar>
            <w:vAlign w:val="bottom"/>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NUMBER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OF</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3760"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3,903,259 Common Units</w:t>
            </w:r>
          </w:p>
          <w:p>
            <w:pPr>
              <w:pStyle w:val="TableContents"/>
              <w:spacing w:before="0" w:after="0"/>
              <w:ind w:left="0" w:right="0" w:hanging="0"/>
              <w:jc w:val="left"/>
              <w:rPr/>
            </w:pPr>
            <w:r>
              <w:rPr/>
              <w:t> </w:t>
            </w:r>
          </w:p>
        </w:tc>
      </w:tr>
      <w:tr>
        <w:trPr/>
        <w:tc>
          <w:tcPr>
            <w:tcW w:w="5245"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BENEFICIALLY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OWNED BY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EACH</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REPORTING</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w:t>
            </w:r>
          </w:p>
        </w:tc>
        <w:tc>
          <w:tcPr>
            <w:tcW w:w="3760"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DISPOSITIVE POWER:  0</w:t>
            </w:r>
          </w:p>
        </w:tc>
      </w:tr>
      <w:tr>
        <w:trPr/>
        <w:tc>
          <w:tcPr>
            <w:tcW w:w="5245" w:type="dxa"/>
            <w:gridSpan w:val="2"/>
            <w:tcBorders>
              <w:left w:val="double" w:sz="6" w:space="0" w:color="000000"/>
              <w:bottom w:val="single" w:sz="6" w:space="0" w:color="000000"/>
            </w:tcBorders>
            <w:shd w:fill="auto" w:val="clear"/>
            <w:tcMar>
              <w:top w:w="0" w:type="dxa"/>
            </w:tcMar>
          </w:tcPr>
          <w:p>
            <w:pPr>
              <w:pStyle w:val="TableContents"/>
              <w:spacing w:before="0" w:after="0"/>
              <w:jc w:val="center"/>
              <w:rPr/>
            </w:pPr>
            <w:r>
              <w:rPr/>
              <w:t xml:space="preserve">  </w:t>
            </w:r>
            <w:r>
              <w:rPr>
                <w:rFonts w:ascii="times new roman;serif" w:hAnsi="times new roman;serif"/>
                <w:b/>
                <w:sz w:val="20"/>
              </w:rPr>
              <w:t>PERSON</w:t>
            </w:r>
            <w:r>
              <w:rPr>
                <w:rFonts w:ascii="times new roman" w:hAnsi="times new roman"/>
                <w:sz w:val="20"/>
              </w:rPr>
              <w:t xml:space="preserve">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WITH</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3760"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3,903,259 Common Units</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11</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3,903,259 Common Units</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12</w:t>
            </w:r>
          </w:p>
        </w:tc>
        <w:tc>
          <w:tcPr>
            <w:tcW w:w="814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THE AGGREGATE AMOUNT IN ROW (11)</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EXCLUDES CERTAIN SHARES*</w:t>
            </w:r>
          </w:p>
          <w:p>
            <w:pPr>
              <w:pStyle w:val="TableContents"/>
              <w:spacing w:before="0" w:after="0"/>
              <w:ind w:left="0" w:right="0" w:hanging="0"/>
              <w:jc w:val="left"/>
              <w:rPr/>
            </w:pPr>
            <w:r>
              <w:rPr/>
              <w:t> </w:t>
            </w:r>
          </w:p>
        </w:tc>
        <w:tc>
          <w:tcPr>
            <w:tcW w:w="949"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center"/>
              <w:rPr/>
            </w:pPr>
            <w:r>
              <w:rPr/>
              <w:t>☐</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13</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PERCENT OF CLASS REPRESENTED BY AMOUNT IN ROW (11)</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2.6%</w:t>
            </w:r>
          </w:p>
          <w:p>
            <w:pPr>
              <w:pStyle w:val="TableContents"/>
              <w:spacing w:before="0" w:after="0"/>
              <w:ind w:left="0" w:right="0" w:hanging="0"/>
              <w:jc w:val="left"/>
              <w:rPr/>
            </w:pPr>
            <w:r>
              <w:rPr/>
              <w:t> </w:t>
            </w:r>
          </w:p>
        </w:tc>
      </w:tr>
      <w:tr>
        <w:trPr/>
        <w:tc>
          <w:tcPr>
            <w:tcW w:w="1109" w:type="dxa"/>
            <w:tcBorders>
              <w:left w:val="double" w:sz="6" w:space="0" w:color="000000"/>
              <w:bottom w:val="doub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14</w:t>
            </w:r>
          </w:p>
        </w:tc>
        <w:tc>
          <w:tcPr>
            <w:tcW w:w="9096" w:type="dxa"/>
            <w:gridSpan w:val="4"/>
            <w:tcBorders>
              <w:left w:val="single" w:sz="6" w:space="0" w:color="000000"/>
              <w:bottom w:val="doub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TYPE OF REPORTING PERSON*</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CO</w:t>
            </w:r>
          </w:p>
          <w:p>
            <w:pPr>
              <w:pStyle w:val="TableContents"/>
              <w:spacing w:before="0" w:after="0"/>
              <w:ind w:left="0" w:right="0" w:hanging="0"/>
              <w:jc w:val="left"/>
              <w:rPr/>
            </w:pPr>
            <w:r>
              <w:rPr/>
              <w:t> </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*SEE INSTRUCTIONS BEFORE FILLING OUT!</w:t>
      </w: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1" w:name="PGBRK1"/>
      <w:bookmarkStart w:id="12" w:name="PGBRK1"/>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3" w:name="FTR1"/>
      <w:bookmarkStart w:id="14" w:name="FTR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 w:name="GLFTR1"/>
      <w:bookmarkEnd w:id="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b w:val="false"/>
          <w:sz w:val="20"/>
        </w:rPr>
      </w:pPr>
      <w:bookmarkStart w:id="16" w:name="PN1"/>
      <w:bookmarkEnd w:id="16"/>
      <w:r>
        <w:rPr>
          <w:rFonts w:ascii="Times New Roman;serif" w:hAnsi="Times New Roman;serif"/>
          <w:b w:val="false"/>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7" w:name="HDR1"/>
      <w:bookmarkStart w:id="18" w:name="HDR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 w:name="GLHDR1"/>
      <w:bookmarkEnd w:id="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726503105</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tbl>
      <w:tblPr>
        <w:tblW w:w="5000" w:type="pct"/>
        <w:jc w:val="left"/>
        <w:tblInd w:w="0" w:type="dxa"/>
        <w:tblCellMar>
          <w:top w:w="28" w:type="dxa"/>
          <w:left w:w="28" w:type="dxa"/>
          <w:bottom w:w="28" w:type="dxa"/>
          <w:right w:w="0" w:type="dxa"/>
        </w:tblCellMar>
      </w:tblPr>
      <w:tblGrid>
        <w:gridCol w:w="1109"/>
        <w:gridCol w:w="4136"/>
        <w:gridCol w:w="1200"/>
        <w:gridCol w:w="2811"/>
        <w:gridCol w:w="949"/>
      </w:tblGrid>
      <w:tr>
        <w:trPr/>
        <w:tc>
          <w:tcPr>
            <w:tcW w:w="1109" w:type="dxa"/>
            <w:tcBorders>
              <w:top w:val="double" w:sz="6" w:space="0" w:color="000000"/>
              <w:left w:val="double" w:sz="6" w:space="0" w:color="000000"/>
              <w:bottom w:val="single" w:sz="6" w:space="0" w:color="000000"/>
            </w:tcBorders>
            <w:shd w:fill="auto" w:val="cle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w:t>
            </w:r>
          </w:p>
        </w:tc>
        <w:tc>
          <w:tcPr>
            <w:tcW w:w="9096" w:type="dxa"/>
            <w:gridSpan w:val="4"/>
            <w:tcBorders>
              <w:top w:val="double" w:sz="6" w:space="0" w:color="000000"/>
              <w:left w:val="single" w:sz="6" w:space="0" w:color="000000"/>
              <w:bottom w:val="single" w:sz="6" w:space="0" w:color="000000"/>
              <w:right w:val="double" w:sz="6" w:space="0" w:color="000000"/>
            </w:tcBorders>
            <w:shd w:fill="auto" w:val="clear"/>
            <w:tcMar>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NAME OF REPORTING PERSON</w:t>
            </w:r>
          </w:p>
          <w:p>
            <w:pPr>
              <w:pStyle w:val="TableContents"/>
              <w:spacing w:before="0" w:after="0"/>
              <w:ind w:left="0" w:right="0" w:hanging="0"/>
              <w:jc w:val="left"/>
              <w:rPr>
                <w:rFonts w:ascii="times new roman;serif" w:hAnsi="times new roman;serif"/>
                <w:sz w:val="16"/>
              </w:rPr>
            </w:pPr>
            <w:r>
              <w:rPr>
                <w:rFonts w:ascii="times new roman;serif" w:hAnsi="times new roman;serif"/>
                <w:sz w:val="16"/>
              </w:rPr>
              <w:t>S.S. OR I.R.S. IDENTIFICATION NO. OF ABOVE PERSON</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Vulcan Capital Private Equity Management I LLC</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w:t>
            </w:r>
          </w:p>
        </w:tc>
        <w:tc>
          <w:tcPr>
            <w:tcW w:w="814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THE APPROPRIATE BOX IF A MEMBER OF A GROUP*</w:t>
            </w:r>
          </w:p>
        </w:tc>
        <w:tc>
          <w:tcPr>
            <w:tcW w:w="949"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(b) </w:t>
            </w:r>
            <w:r>
              <w:rPr>
                <w:rFonts w:ascii="wingdings" w:hAnsi="wingdings"/>
                <w:sz w:val="20"/>
              </w:rPr>
              <w:t>x</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SEC USE ONLY</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SOURCE OF FUNDS*</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N/A</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814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DISCLOSURE OF LEGAL PROCEEDINGS</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IS REQUIRED PURSUANT TO ITEMS 2(d) OR 2(e)</w:t>
            </w:r>
          </w:p>
          <w:p>
            <w:pPr>
              <w:pStyle w:val="TableContents"/>
              <w:spacing w:before="0" w:after="0"/>
              <w:ind w:left="0" w:right="0" w:hanging="0"/>
              <w:jc w:val="left"/>
              <w:rPr/>
            </w:pPr>
            <w:r>
              <w:rPr/>
              <w:t> </w:t>
            </w:r>
          </w:p>
        </w:tc>
        <w:tc>
          <w:tcPr>
            <w:tcW w:w="949"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center"/>
              <w:rPr/>
            </w:pPr>
            <w:r>
              <w:rPr/>
              <w:t>☐</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CITIZENSHIP OR PLACE OF ORGANIZATION</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Delaware</w:t>
            </w:r>
          </w:p>
          <w:p>
            <w:pPr>
              <w:pStyle w:val="TableContents"/>
              <w:spacing w:before="0" w:after="0"/>
              <w:ind w:left="0" w:right="0" w:hanging="0"/>
              <w:jc w:val="left"/>
              <w:rPr/>
            </w:pPr>
            <w:r>
              <w:rPr/>
              <w:t> </w:t>
            </w:r>
          </w:p>
        </w:tc>
      </w:tr>
      <w:tr>
        <w:trPr/>
        <w:tc>
          <w:tcPr>
            <w:tcW w:w="5245" w:type="dxa"/>
            <w:gridSpan w:val="2"/>
            <w:tcBorders>
              <w:left w:val="double" w:sz="6" w:space="0" w:color="000000"/>
            </w:tcBorders>
            <w:shd w:fill="auto" w:val="clear"/>
            <w:tcMar>
              <w:top w:w="0" w:type="dxa"/>
              <w:bottom w:w="0" w:type="dxa"/>
            </w:tcMar>
          </w:tcPr>
          <w:p>
            <w:pPr>
              <w:pStyle w:val="TableContents"/>
              <w:spacing w:before="0" w:after="283"/>
              <w:rPr/>
            </w:pPr>
            <w:r>
              <w:rPr/>
              <w:t> </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w:t>
            </w:r>
          </w:p>
        </w:tc>
        <w:tc>
          <w:tcPr>
            <w:tcW w:w="3760"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VOTING POWER: 0</w:t>
            </w:r>
          </w:p>
          <w:p>
            <w:pPr>
              <w:pStyle w:val="TableContents"/>
              <w:spacing w:before="0" w:after="0"/>
              <w:ind w:left="0" w:right="0" w:hanging="0"/>
              <w:jc w:val="left"/>
              <w:rPr/>
            </w:pPr>
            <w:r>
              <w:rPr/>
              <w:t> </w:t>
            </w:r>
          </w:p>
        </w:tc>
      </w:tr>
      <w:tr>
        <w:trPr/>
        <w:tc>
          <w:tcPr>
            <w:tcW w:w="5245" w:type="dxa"/>
            <w:gridSpan w:val="2"/>
            <w:tcBorders>
              <w:left w:val="double" w:sz="6" w:space="0" w:color="000000"/>
            </w:tcBorders>
            <w:shd w:fill="auto" w:val="clear"/>
            <w:tcMar>
              <w:top w:w="0" w:type="dxa"/>
              <w:bottom w:w="0" w:type="dxa"/>
            </w:tcMar>
            <w:vAlign w:val="bottom"/>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NUMBER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OF</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3760"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3,706,044 Common Units</w:t>
            </w:r>
          </w:p>
          <w:p>
            <w:pPr>
              <w:pStyle w:val="TableContents"/>
              <w:spacing w:before="0" w:after="0"/>
              <w:ind w:left="0" w:right="0" w:hanging="0"/>
              <w:jc w:val="left"/>
              <w:rPr/>
            </w:pPr>
            <w:r>
              <w:rPr/>
              <w:t> </w:t>
            </w:r>
          </w:p>
        </w:tc>
      </w:tr>
      <w:tr>
        <w:trPr/>
        <w:tc>
          <w:tcPr>
            <w:tcW w:w="5245"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BENEFICIALLY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OWNED BY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EACH</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REPORTING</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w:t>
            </w:r>
          </w:p>
        </w:tc>
        <w:tc>
          <w:tcPr>
            <w:tcW w:w="3760"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DISPOSITIVE POWER:  0</w:t>
            </w:r>
          </w:p>
        </w:tc>
      </w:tr>
      <w:tr>
        <w:trPr/>
        <w:tc>
          <w:tcPr>
            <w:tcW w:w="5245" w:type="dxa"/>
            <w:gridSpan w:val="2"/>
            <w:tcBorders>
              <w:left w:val="double" w:sz="6" w:space="0" w:color="000000"/>
              <w:bottom w:val="single" w:sz="6" w:space="0" w:color="000000"/>
            </w:tcBorders>
            <w:shd w:fill="auto" w:val="clear"/>
            <w:tcMar>
              <w:top w:w="0" w:type="dxa"/>
            </w:tcMar>
          </w:tcPr>
          <w:p>
            <w:pPr>
              <w:pStyle w:val="TableContents"/>
              <w:spacing w:before="0" w:after="0"/>
              <w:jc w:val="center"/>
              <w:rPr/>
            </w:pPr>
            <w:r>
              <w:rPr/>
              <w:t xml:space="preserve">  </w:t>
            </w:r>
            <w:r>
              <w:rPr>
                <w:rFonts w:ascii="times new roman;serif" w:hAnsi="times new roman;serif"/>
                <w:b/>
                <w:sz w:val="20"/>
              </w:rPr>
              <w:t>PERSON</w:t>
            </w:r>
            <w:r>
              <w:rPr>
                <w:rFonts w:ascii="times new roman" w:hAnsi="times new roman"/>
                <w:sz w:val="20"/>
              </w:rPr>
              <w:t xml:space="preserve">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WITH</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3760"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3,706,044 Common Units</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11</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3,706,044 Common Units</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12</w:t>
            </w:r>
          </w:p>
        </w:tc>
        <w:tc>
          <w:tcPr>
            <w:tcW w:w="814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THE AGGREGATE AMOUNT IN ROW (11)</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EXCLUDES CERTAIN SHARES*</w:t>
            </w:r>
          </w:p>
          <w:p>
            <w:pPr>
              <w:pStyle w:val="TableContents"/>
              <w:spacing w:before="0" w:after="0"/>
              <w:ind w:left="0" w:right="0" w:hanging="0"/>
              <w:jc w:val="left"/>
              <w:rPr/>
            </w:pPr>
            <w:r>
              <w:rPr/>
              <w:t> </w:t>
            </w:r>
          </w:p>
        </w:tc>
        <w:tc>
          <w:tcPr>
            <w:tcW w:w="949"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center"/>
              <w:rPr/>
            </w:pPr>
            <w:r>
              <w:rPr/>
              <w:t>☐</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13</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PERCENT OF CLASS REPRESENTED BY AMOUNT IN ROW (11)</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2.5%</w:t>
            </w:r>
          </w:p>
          <w:p>
            <w:pPr>
              <w:pStyle w:val="TableContents"/>
              <w:spacing w:before="0" w:after="0"/>
              <w:ind w:left="0" w:right="0" w:hanging="0"/>
              <w:jc w:val="left"/>
              <w:rPr/>
            </w:pPr>
            <w:r>
              <w:rPr/>
              <w:t> </w:t>
            </w:r>
          </w:p>
        </w:tc>
      </w:tr>
      <w:tr>
        <w:trPr/>
        <w:tc>
          <w:tcPr>
            <w:tcW w:w="1109" w:type="dxa"/>
            <w:tcBorders>
              <w:left w:val="double" w:sz="6" w:space="0" w:color="000000"/>
              <w:bottom w:val="doub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14</w:t>
            </w:r>
          </w:p>
        </w:tc>
        <w:tc>
          <w:tcPr>
            <w:tcW w:w="9096" w:type="dxa"/>
            <w:gridSpan w:val="4"/>
            <w:tcBorders>
              <w:left w:val="single" w:sz="6" w:space="0" w:color="000000"/>
              <w:bottom w:val="doub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TYPE OF REPORTING PERSON*</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CO</w:t>
            </w:r>
          </w:p>
          <w:p>
            <w:pPr>
              <w:pStyle w:val="TableContents"/>
              <w:spacing w:before="0" w:after="0"/>
              <w:ind w:left="0" w:right="0" w:hanging="0"/>
              <w:jc w:val="left"/>
              <w:rPr/>
            </w:pPr>
            <w:r>
              <w:rPr/>
              <w:t> </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val="false"/>
          <w:sz w:val="20"/>
        </w:rPr>
      </w:pPr>
      <w:r>
        <w:rPr>
          <w:rFonts w:ascii="Times New Roman;serif" w:hAnsi="Times New Roman;serif"/>
          <w:b/>
          <w:sz w:val="20"/>
        </w:rPr>
        <w:t>*</w:t>
      </w:r>
      <w:r>
        <w:rPr>
          <w:rFonts w:ascii="Times New Roman;serif" w:hAnsi="Times New Roman;serif"/>
          <w:b/>
          <w:sz w:val="22"/>
        </w:rPr>
        <w:t>SEE INSTRUCTIONS BEFORE FILLING OUT</w:t>
      </w: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20" w:name="PGBRK2"/>
      <w:bookmarkStart w:id="21" w:name="PGBRK2"/>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2" w:name="FTR2"/>
      <w:bookmarkStart w:id="23" w:name="FTR2"/>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 w:name="GLFTR2"/>
      <w:bookmarkEnd w:id="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b w:val="false"/>
          <w:sz w:val="20"/>
        </w:rPr>
      </w:pPr>
      <w:bookmarkStart w:id="25" w:name="PN2"/>
      <w:bookmarkEnd w:id="25"/>
      <w:r>
        <w:rPr>
          <w:rFonts w:ascii="Times New Roman;serif" w:hAnsi="Times New Roman;serif"/>
          <w:b w:val="false"/>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6" w:name="HDR2"/>
      <w:bookmarkStart w:id="27" w:name="HDR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 w:name="GLHDR2"/>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726503105</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tbl>
      <w:tblPr>
        <w:tblW w:w="5000" w:type="pct"/>
        <w:jc w:val="left"/>
        <w:tblInd w:w="0" w:type="dxa"/>
        <w:tblCellMar>
          <w:top w:w="28" w:type="dxa"/>
          <w:left w:w="28" w:type="dxa"/>
          <w:bottom w:w="28" w:type="dxa"/>
          <w:right w:w="0" w:type="dxa"/>
        </w:tblCellMar>
      </w:tblPr>
      <w:tblGrid>
        <w:gridCol w:w="1109"/>
        <w:gridCol w:w="4136"/>
        <w:gridCol w:w="1200"/>
        <w:gridCol w:w="2811"/>
        <w:gridCol w:w="949"/>
      </w:tblGrid>
      <w:tr>
        <w:trPr/>
        <w:tc>
          <w:tcPr>
            <w:tcW w:w="1109" w:type="dxa"/>
            <w:tcBorders>
              <w:top w:val="double" w:sz="6" w:space="0" w:color="000000"/>
              <w:left w:val="double" w:sz="6" w:space="0" w:color="000000"/>
              <w:bottom w:val="single" w:sz="6" w:space="0" w:color="000000"/>
            </w:tcBorders>
            <w:shd w:fill="auto" w:val="cle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w:t>
            </w:r>
          </w:p>
        </w:tc>
        <w:tc>
          <w:tcPr>
            <w:tcW w:w="9096" w:type="dxa"/>
            <w:gridSpan w:val="4"/>
            <w:tcBorders>
              <w:top w:val="double" w:sz="6" w:space="0" w:color="000000"/>
              <w:left w:val="single" w:sz="6" w:space="0" w:color="000000"/>
              <w:bottom w:val="single" w:sz="6" w:space="0" w:color="000000"/>
              <w:right w:val="double" w:sz="6" w:space="0" w:color="000000"/>
            </w:tcBorders>
            <w:shd w:fill="auto" w:val="clear"/>
            <w:tcMar>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NAME OF REPORTING PERSON</w:t>
            </w:r>
          </w:p>
          <w:p>
            <w:pPr>
              <w:pStyle w:val="TableContents"/>
              <w:spacing w:before="0" w:after="0"/>
              <w:ind w:left="0" w:right="0" w:hanging="0"/>
              <w:jc w:val="left"/>
              <w:rPr>
                <w:rFonts w:ascii="times new roman;serif" w:hAnsi="times new roman;serif"/>
                <w:sz w:val="16"/>
              </w:rPr>
            </w:pPr>
            <w:r>
              <w:rPr>
                <w:rFonts w:ascii="times new roman;serif" w:hAnsi="times new roman;serif"/>
                <w:sz w:val="16"/>
              </w:rPr>
              <w:t>S.S. OR I.R.S. IDENTIFICATION NO. OF ABOVE PERSON</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Vulcan Capital Private Equity I LLC</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w:t>
            </w:r>
          </w:p>
        </w:tc>
        <w:tc>
          <w:tcPr>
            <w:tcW w:w="814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THE APPROPRIATE BOX IF A MEMBER OF A GROUP*</w:t>
            </w:r>
          </w:p>
        </w:tc>
        <w:tc>
          <w:tcPr>
            <w:tcW w:w="949"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(b) </w:t>
            </w:r>
            <w:r>
              <w:rPr>
                <w:rFonts w:ascii="wingdings" w:hAnsi="wingdings"/>
                <w:sz w:val="20"/>
              </w:rPr>
              <w:t>x</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SEC USE ONLY</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SOURCE OF FUNDS*</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N/A</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814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DISCLOSURE OF LEGAL PROCEEDINGS</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IS REQUIRED PURSUANT TO ITEMS 2(d) OR 2(e)</w:t>
            </w:r>
          </w:p>
          <w:p>
            <w:pPr>
              <w:pStyle w:val="TableContents"/>
              <w:spacing w:before="0" w:after="0"/>
              <w:ind w:left="0" w:right="0" w:hanging="0"/>
              <w:jc w:val="left"/>
              <w:rPr/>
            </w:pPr>
            <w:r>
              <w:rPr/>
              <w:t> </w:t>
            </w:r>
          </w:p>
        </w:tc>
        <w:tc>
          <w:tcPr>
            <w:tcW w:w="949"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center"/>
              <w:rPr/>
            </w:pPr>
            <w:r>
              <w:rPr/>
              <w:t>☐</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CITIZENSHIP OR PLACE OF ORGANIZATION</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Delaware</w:t>
            </w:r>
          </w:p>
          <w:p>
            <w:pPr>
              <w:pStyle w:val="TableContents"/>
              <w:spacing w:before="0" w:after="0"/>
              <w:ind w:left="0" w:right="0" w:hanging="0"/>
              <w:jc w:val="left"/>
              <w:rPr/>
            </w:pPr>
            <w:r>
              <w:rPr/>
              <w:t> </w:t>
            </w:r>
          </w:p>
        </w:tc>
      </w:tr>
      <w:tr>
        <w:trPr/>
        <w:tc>
          <w:tcPr>
            <w:tcW w:w="5245" w:type="dxa"/>
            <w:gridSpan w:val="2"/>
            <w:tcBorders>
              <w:left w:val="double" w:sz="6" w:space="0" w:color="000000"/>
            </w:tcBorders>
            <w:shd w:fill="auto" w:val="clear"/>
            <w:tcMar>
              <w:top w:w="0" w:type="dxa"/>
              <w:bottom w:w="0" w:type="dxa"/>
            </w:tcMar>
          </w:tcPr>
          <w:p>
            <w:pPr>
              <w:pStyle w:val="TableContents"/>
              <w:spacing w:before="0" w:after="283"/>
              <w:rPr/>
            </w:pPr>
            <w:r>
              <w:rPr/>
              <w:t> </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w:t>
            </w:r>
          </w:p>
        </w:tc>
        <w:tc>
          <w:tcPr>
            <w:tcW w:w="3760"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VOTING POWER: 0</w:t>
            </w:r>
          </w:p>
          <w:p>
            <w:pPr>
              <w:pStyle w:val="TableContents"/>
              <w:spacing w:before="0" w:after="0"/>
              <w:ind w:left="0" w:right="0" w:hanging="0"/>
              <w:jc w:val="left"/>
              <w:rPr/>
            </w:pPr>
            <w:r>
              <w:rPr/>
              <w:t> </w:t>
            </w:r>
          </w:p>
        </w:tc>
      </w:tr>
      <w:tr>
        <w:trPr/>
        <w:tc>
          <w:tcPr>
            <w:tcW w:w="5245" w:type="dxa"/>
            <w:gridSpan w:val="2"/>
            <w:tcBorders>
              <w:left w:val="double" w:sz="6" w:space="0" w:color="000000"/>
            </w:tcBorders>
            <w:shd w:fill="auto" w:val="clear"/>
            <w:tcMar>
              <w:top w:w="0" w:type="dxa"/>
              <w:bottom w:w="0" w:type="dxa"/>
            </w:tcMar>
            <w:vAlign w:val="bottom"/>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NUMBER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OF</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3760"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3,706,044 Common Units</w:t>
            </w:r>
          </w:p>
          <w:p>
            <w:pPr>
              <w:pStyle w:val="TableContents"/>
              <w:spacing w:before="0" w:after="0"/>
              <w:ind w:left="0" w:right="0" w:hanging="0"/>
              <w:jc w:val="left"/>
              <w:rPr/>
            </w:pPr>
            <w:r>
              <w:rPr/>
              <w:t> </w:t>
            </w:r>
          </w:p>
        </w:tc>
      </w:tr>
      <w:tr>
        <w:trPr/>
        <w:tc>
          <w:tcPr>
            <w:tcW w:w="5245"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BENEFICIALLY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OWNED BY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EACH</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REPORTING</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w:t>
            </w:r>
          </w:p>
        </w:tc>
        <w:tc>
          <w:tcPr>
            <w:tcW w:w="3760"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DISPOSITIVE POWER:  0</w:t>
            </w:r>
          </w:p>
        </w:tc>
      </w:tr>
      <w:tr>
        <w:trPr/>
        <w:tc>
          <w:tcPr>
            <w:tcW w:w="5245" w:type="dxa"/>
            <w:gridSpan w:val="2"/>
            <w:tcBorders>
              <w:left w:val="double" w:sz="6" w:space="0" w:color="000000"/>
              <w:bottom w:val="single" w:sz="6" w:space="0" w:color="000000"/>
            </w:tcBorders>
            <w:shd w:fill="auto" w:val="clear"/>
            <w:tcMar>
              <w:top w:w="0" w:type="dxa"/>
            </w:tcMar>
          </w:tcPr>
          <w:p>
            <w:pPr>
              <w:pStyle w:val="TableContents"/>
              <w:spacing w:before="0" w:after="0"/>
              <w:jc w:val="center"/>
              <w:rPr/>
            </w:pPr>
            <w:r>
              <w:rPr/>
              <w:t xml:space="preserve">  </w:t>
            </w:r>
            <w:r>
              <w:rPr>
                <w:rFonts w:ascii="times new roman;serif" w:hAnsi="times new roman;serif"/>
                <w:b/>
                <w:sz w:val="20"/>
              </w:rPr>
              <w:t>PERSON</w:t>
            </w:r>
            <w:r>
              <w:rPr>
                <w:rFonts w:ascii="times new roman" w:hAnsi="times new roman"/>
                <w:sz w:val="20"/>
              </w:rPr>
              <w:t xml:space="preserve">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WITH</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3760"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3,706,044 Common Units</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11</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3,706,044 Common Units</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12</w:t>
            </w:r>
          </w:p>
        </w:tc>
        <w:tc>
          <w:tcPr>
            <w:tcW w:w="814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THE AGGREGATE AMOUNT IN ROW (11)</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EXCLUDES CERTAIN SHARES*</w:t>
            </w:r>
          </w:p>
          <w:p>
            <w:pPr>
              <w:pStyle w:val="TableContents"/>
              <w:spacing w:before="0" w:after="0"/>
              <w:ind w:left="0" w:right="0" w:hanging="0"/>
              <w:jc w:val="left"/>
              <w:rPr/>
            </w:pPr>
            <w:r>
              <w:rPr/>
              <w:t> </w:t>
            </w:r>
          </w:p>
        </w:tc>
        <w:tc>
          <w:tcPr>
            <w:tcW w:w="949"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center"/>
              <w:rPr/>
            </w:pPr>
            <w:r>
              <w:rPr/>
              <w:t>☐</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13</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PERCENT OF CLASS REPRESENTED BY AMOUNT IN ROW (11)</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2.5%</w:t>
            </w:r>
          </w:p>
          <w:p>
            <w:pPr>
              <w:pStyle w:val="TableContents"/>
              <w:spacing w:before="0" w:after="0"/>
              <w:ind w:left="0" w:right="0" w:hanging="0"/>
              <w:jc w:val="left"/>
              <w:rPr/>
            </w:pPr>
            <w:r>
              <w:rPr/>
              <w:t> </w:t>
            </w:r>
          </w:p>
        </w:tc>
      </w:tr>
      <w:tr>
        <w:trPr/>
        <w:tc>
          <w:tcPr>
            <w:tcW w:w="1109" w:type="dxa"/>
            <w:tcBorders>
              <w:left w:val="double" w:sz="6" w:space="0" w:color="000000"/>
              <w:bottom w:val="doub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14</w:t>
            </w:r>
          </w:p>
        </w:tc>
        <w:tc>
          <w:tcPr>
            <w:tcW w:w="9096" w:type="dxa"/>
            <w:gridSpan w:val="4"/>
            <w:tcBorders>
              <w:left w:val="single" w:sz="6" w:space="0" w:color="000000"/>
              <w:bottom w:val="doub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TYPE OF REPORTING PERSON*</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CO</w:t>
            </w:r>
          </w:p>
          <w:p>
            <w:pPr>
              <w:pStyle w:val="TableContents"/>
              <w:spacing w:before="0" w:after="0"/>
              <w:ind w:left="0" w:right="0" w:hanging="0"/>
              <w:jc w:val="left"/>
              <w:rPr/>
            </w:pPr>
            <w:r>
              <w:rPr/>
              <w:t> </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val="false"/>
          <w:sz w:val="20"/>
        </w:rPr>
      </w:pPr>
      <w:r>
        <w:rPr>
          <w:rFonts w:ascii="Times New Roman;serif" w:hAnsi="Times New Roman;serif"/>
          <w:b/>
          <w:sz w:val="20"/>
        </w:rPr>
        <w:t>*</w:t>
      </w:r>
      <w:r>
        <w:rPr>
          <w:rFonts w:ascii="Times New Roman;serif" w:hAnsi="Times New Roman;serif"/>
          <w:b/>
          <w:sz w:val="22"/>
        </w:rPr>
        <w:t>SEE INSTRUCTIONS BEFORE FILLING OUT</w:t>
      </w: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29" w:name="PGBRK3"/>
      <w:bookmarkStart w:id="30" w:name="PGBRK3"/>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1" w:name="FTR3"/>
      <w:bookmarkStart w:id="32" w:name="FTR3"/>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 w:name="GLFTR3"/>
      <w:bookmarkEnd w:id="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b w:val="false"/>
          <w:sz w:val="20"/>
        </w:rPr>
      </w:pPr>
      <w:bookmarkStart w:id="34" w:name="PN3"/>
      <w:bookmarkEnd w:id="34"/>
      <w:r>
        <w:rPr>
          <w:rFonts w:ascii="Times New Roman;serif" w:hAnsi="Times New Roman;serif"/>
          <w:b w:val="false"/>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5" w:name="HDR3"/>
      <w:bookmarkStart w:id="36" w:name="HDR3"/>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 w:name="GLHDR3"/>
      <w:bookmarkEnd w:id="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726503105</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tbl>
      <w:tblPr>
        <w:tblW w:w="5000" w:type="pct"/>
        <w:jc w:val="left"/>
        <w:tblInd w:w="0" w:type="dxa"/>
        <w:tblCellMar>
          <w:top w:w="28" w:type="dxa"/>
          <w:left w:w="28" w:type="dxa"/>
          <w:bottom w:w="28" w:type="dxa"/>
          <w:right w:w="0" w:type="dxa"/>
        </w:tblCellMar>
      </w:tblPr>
      <w:tblGrid>
        <w:gridCol w:w="1109"/>
        <w:gridCol w:w="4136"/>
        <w:gridCol w:w="1200"/>
        <w:gridCol w:w="2811"/>
        <w:gridCol w:w="949"/>
      </w:tblGrid>
      <w:tr>
        <w:trPr/>
        <w:tc>
          <w:tcPr>
            <w:tcW w:w="1109" w:type="dxa"/>
            <w:tcBorders>
              <w:top w:val="double" w:sz="6" w:space="0" w:color="000000"/>
              <w:left w:val="double" w:sz="6" w:space="0" w:color="000000"/>
              <w:bottom w:val="single" w:sz="6" w:space="0" w:color="000000"/>
            </w:tcBorders>
            <w:shd w:fill="auto" w:val="cle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w:t>
            </w:r>
          </w:p>
        </w:tc>
        <w:tc>
          <w:tcPr>
            <w:tcW w:w="9096" w:type="dxa"/>
            <w:gridSpan w:val="4"/>
            <w:tcBorders>
              <w:top w:val="double" w:sz="6" w:space="0" w:color="000000"/>
              <w:left w:val="single" w:sz="6" w:space="0" w:color="000000"/>
              <w:bottom w:val="single" w:sz="6" w:space="0" w:color="000000"/>
              <w:right w:val="double" w:sz="6" w:space="0" w:color="000000"/>
            </w:tcBorders>
            <w:shd w:fill="auto" w:val="clear"/>
            <w:tcMar>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NAME OF REPORTING PERSON</w:t>
            </w:r>
          </w:p>
          <w:p>
            <w:pPr>
              <w:pStyle w:val="TableContents"/>
              <w:spacing w:before="0" w:after="0"/>
              <w:ind w:left="0" w:right="0" w:hanging="0"/>
              <w:jc w:val="left"/>
              <w:rPr>
                <w:rFonts w:ascii="times new roman;serif" w:hAnsi="times new roman;serif"/>
                <w:sz w:val="16"/>
              </w:rPr>
            </w:pPr>
            <w:r>
              <w:rPr>
                <w:rFonts w:ascii="times new roman;serif" w:hAnsi="times new roman;serif"/>
                <w:sz w:val="16"/>
              </w:rPr>
              <w:t>S.S. OR I.R.S. IDENTIFICATION NO. OF ABOVE PERSON</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Vulcan Capital Private Equity II LLC</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w:t>
            </w:r>
          </w:p>
        </w:tc>
        <w:tc>
          <w:tcPr>
            <w:tcW w:w="814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THE APPROPRIATE BOX IF A MEMBER OF A GROUP*</w:t>
            </w:r>
          </w:p>
        </w:tc>
        <w:tc>
          <w:tcPr>
            <w:tcW w:w="949"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(b) </w:t>
            </w:r>
            <w:r>
              <w:rPr>
                <w:rFonts w:ascii="wingdings" w:hAnsi="wingdings"/>
                <w:sz w:val="20"/>
              </w:rPr>
              <w:t>x</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SEC USE ONLY</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SOURCE OF FUNDS*</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N/A</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814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DISCLOSURE OF LEGAL PROCEEDINGS</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IS REQUIRED PURSUANT TO ITEMS 2(d) OR 2(e)</w:t>
            </w:r>
          </w:p>
          <w:p>
            <w:pPr>
              <w:pStyle w:val="TableContents"/>
              <w:spacing w:before="0" w:after="0"/>
              <w:ind w:left="0" w:right="0" w:hanging="0"/>
              <w:jc w:val="left"/>
              <w:rPr/>
            </w:pPr>
            <w:r>
              <w:rPr/>
              <w:t> </w:t>
            </w:r>
          </w:p>
        </w:tc>
        <w:tc>
          <w:tcPr>
            <w:tcW w:w="949"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center"/>
              <w:rPr/>
            </w:pPr>
            <w:r>
              <w:rPr/>
              <w:t>☐</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CITIZENSHIP OR PLACE OF ORGANIZATION</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Delaware</w:t>
            </w:r>
          </w:p>
          <w:p>
            <w:pPr>
              <w:pStyle w:val="TableContents"/>
              <w:spacing w:before="0" w:after="0"/>
              <w:ind w:left="0" w:right="0" w:hanging="0"/>
              <w:jc w:val="left"/>
              <w:rPr/>
            </w:pPr>
            <w:r>
              <w:rPr/>
              <w:t> </w:t>
            </w:r>
          </w:p>
        </w:tc>
      </w:tr>
      <w:tr>
        <w:trPr/>
        <w:tc>
          <w:tcPr>
            <w:tcW w:w="5245" w:type="dxa"/>
            <w:gridSpan w:val="2"/>
            <w:tcBorders>
              <w:left w:val="double" w:sz="6" w:space="0" w:color="000000"/>
            </w:tcBorders>
            <w:shd w:fill="auto" w:val="clear"/>
            <w:tcMar>
              <w:top w:w="0" w:type="dxa"/>
              <w:bottom w:w="0" w:type="dxa"/>
            </w:tcMar>
          </w:tcPr>
          <w:p>
            <w:pPr>
              <w:pStyle w:val="TableContents"/>
              <w:spacing w:before="0" w:after="283"/>
              <w:rPr/>
            </w:pPr>
            <w:r>
              <w:rPr/>
              <w:t> </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w:t>
            </w:r>
          </w:p>
        </w:tc>
        <w:tc>
          <w:tcPr>
            <w:tcW w:w="3760"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VOTING POWER: 0</w:t>
            </w:r>
          </w:p>
          <w:p>
            <w:pPr>
              <w:pStyle w:val="TableContents"/>
              <w:spacing w:before="0" w:after="0"/>
              <w:ind w:left="0" w:right="0" w:hanging="0"/>
              <w:jc w:val="left"/>
              <w:rPr/>
            </w:pPr>
            <w:r>
              <w:rPr/>
              <w:t> </w:t>
            </w:r>
          </w:p>
        </w:tc>
      </w:tr>
      <w:tr>
        <w:trPr/>
        <w:tc>
          <w:tcPr>
            <w:tcW w:w="5245" w:type="dxa"/>
            <w:gridSpan w:val="2"/>
            <w:tcBorders>
              <w:left w:val="double" w:sz="6" w:space="0" w:color="000000"/>
            </w:tcBorders>
            <w:shd w:fill="auto" w:val="clear"/>
            <w:tcMar>
              <w:top w:w="0" w:type="dxa"/>
              <w:bottom w:w="0" w:type="dxa"/>
            </w:tcMar>
            <w:vAlign w:val="bottom"/>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NUMBER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OF</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3760"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197,215 Common Units</w:t>
            </w:r>
          </w:p>
          <w:p>
            <w:pPr>
              <w:pStyle w:val="TableContents"/>
              <w:spacing w:before="0" w:after="0"/>
              <w:ind w:left="0" w:right="0" w:hanging="0"/>
              <w:jc w:val="left"/>
              <w:rPr/>
            </w:pPr>
            <w:r>
              <w:rPr/>
              <w:t> </w:t>
            </w:r>
          </w:p>
        </w:tc>
      </w:tr>
      <w:tr>
        <w:trPr/>
        <w:tc>
          <w:tcPr>
            <w:tcW w:w="5245"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BENEFICIALLY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OWNED BY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EACH</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REPORTING</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w:t>
            </w:r>
          </w:p>
        </w:tc>
        <w:tc>
          <w:tcPr>
            <w:tcW w:w="3760"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DISPOSITIVE POWER:  0</w:t>
            </w:r>
          </w:p>
        </w:tc>
      </w:tr>
      <w:tr>
        <w:trPr/>
        <w:tc>
          <w:tcPr>
            <w:tcW w:w="5245" w:type="dxa"/>
            <w:gridSpan w:val="2"/>
            <w:tcBorders>
              <w:left w:val="double" w:sz="6" w:space="0" w:color="000000"/>
              <w:bottom w:val="single" w:sz="6" w:space="0" w:color="000000"/>
            </w:tcBorders>
            <w:shd w:fill="auto" w:val="clear"/>
            <w:tcMar>
              <w:top w:w="0" w:type="dxa"/>
            </w:tcMar>
          </w:tcPr>
          <w:p>
            <w:pPr>
              <w:pStyle w:val="TableContents"/>
              <w:spacing w:before="0" w:after="0"/>
              <w:jc w:val="center"/>
              <w:rPr/>
            </w:pPr>
            <w:r>
              <w:rPr/>
              <w:t xml:space="preserve">  </w:t>
            </w:r>
            <w:r>
              <w:rPr>
                <w:rFonts w:ascii="times new roman;serif" w:hAnsi="times new roman;serif"/>
                <w:b/>
                <w:sz w:val="20"/>
              </w:rPr>
              <w:t>PERSON</w:t>
            </w:r>
            <w:r>
              <w:rPr>
                <w:rFonts w:ascii="times new roman" w:hAnsi="times new roman"/>
                <w:sz w:val="20"/>
              </w:rPr>
              <w:t xml:space="preserve">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WITH</w:t>
            </w:r>
          </w:p>
        </w:tc>
        <w:tc>
          <w:tcPr>
            <w:tcW w:w="1200"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3760"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197,215 Common Units</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11</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197,215 Common Units</w:t>
            </w:r>
          </w:p>
          <w:p>
            <w:pPr>
              <w:pStyle w:val="TableContents"/>
              <w:spacing w:before="0" w:after="0"/>
              <w:ind w:left="0" w:right="0" w:hanging="0"/>
              <w:jc w:val="left"/>
              <w:rPr/>
            </w:pPr>
            <w:r>
              <w:rPr/>
              <w:t> </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12</w:t>
            </w:r>
          </w:p>
        </w:tc>
        <w:tc>
          <w:tcPr>
            <w:tcW w:w="814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THE AGGREGATE AMOUNT IN ROW (11)</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EXCLUDES CERTAIN SHARES*</w:t>
            </w:r>
          </w:p>
          <w:p>
            <w:pPr>
              <w:pStyle w:val="TableContents"/>
              <w:spacing w:before="0" w:after="0"/>
              <w:ind w:left="0" w:right="0" w:hanging="0"/>
              <w:jc w:val="left"/>
              <w:rPr/>
            </w:pPr>
            <w:r>
              <w:rPr/>
              <w:t> </w:t>
            </w:r>
          </w:p>
        </w:tc>
        <w:tc>
          <w:tcPr>
            <w:tcW w:w="949"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center"/>
              <w:rPr/>
            </w:pPr>
            <w:r>
              <w:rPr/>
              <w:t>☐</w:t>
            </w:r>
          </w:p>
        </w:tc>
      </w:tr>
      <w:tr>
        <w:trPr/>
        <w:tc>
          <w:tcPr>
            <w:tcW w:w="1109"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13</w:t>
            </w:r>
          </w:p>
        </w:tc>
        <w:tc>
          <w:tcPr>
            <w:tcW w:w="9096"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PERCENT OF CLASS REPRESENTED BY AMOUNT IN ROW (11)</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0.1%</w:t>
            </w:r>
          </w:p>
          <w:p>
            <w:pPr>
              <w:pStyle w:val="TableContents"/>
              <w:spacing w:before="0" w:after="0"/>
              <w:ind w:left="0" w:right="0" w:hanging="0"/>
              <w:jc w:val="left"/>
              <w:rPr/>
            </w:pPr>
            <w:r>
              <w:rPr/>
              <w:t> </w:t>
            </w:r>
          </w:p>
        </w:tc>
      </w:tr>
      <w:tr>
        <w:trPr/>
        <w:tc>
          <w:tcPr>
            <w:tcW w:w="1109" w:type="dxa"/>
            <w:tcBorders>
              <w:left w:val="double" w:sz="6" w:space="0" w:color="000000"/>
              <w:bottom w:val="doub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14</w:t>
            </w:r>
          </w:p>
        </w:tc>
        <w:tc>
          <w:tcPr>
            <w:tcW w:w="9096" w:type="dxa"/>
            <w:gridSpan w:val="4"/>
            <w:tcBorders>
              <w:left w:val="single" w:sz="6" w:space="0" w:color="000000"/>
              <w:bottom w:val="doub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TYPE OF REPORTING PERSON*</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CO</w:t>
            </w:r>
          </w:p>
          <w:p>
            <w:pPr>
              <w:pStyle w:val="TableContents"/>
              <w:spacing w:before="0" w:after="0"/>
              <w:ind w:left="0" w:right="0" w:hanging="0"/>
              <w:jc w:val="left"/>
              <w:rPr/>
            </w:pPr>
            <w:r>
              <w:rPr/>
              <w:t> </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*SEE INSTRUCTIONS BEFORE FILLING OUT</w:t>
      </w: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38" w:name="PGBRK4"/>
      <w:bookmarkStart w:id="39" w:name="PGBRK4"/>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0" w:name="FTR4"/>
      <w:bookmarkStart w:id="41" w:name="FTR4"/>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 w:name="GLFTR4"/>
      <w:bookmarkEnd w:id="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b w:val="false"/>
          <w:sz w:val="20"/>
        </w:rPr>
      </w:pPr>
      <w:bookmarkStart w:id="43" w:name="PN4"/>
      <w:bookmarkEnd w:id="43"/>
      <w:r>
        <w:rPr>
          <w:rFonts w:ascii="Times New Roman;serif" w:hAnsi="Times New Roman;serif"/>
          <w:b w:val="false"/>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4" w:name="HDR4"/>
      <w:bookmarkStart w:id="45" w:name="HDR4"/>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 w:name="GLHDR4"/>
      <w:bookmarkEnd w:id="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br/>
      </w:r>
      <w:r>
        <w:rPr>
          <w:rFonts w:ascii="Times New Roman;serif" w:hAnsi="Times New Roman;serif"/>
          <w:b/>
          <w:sz w:val="22"/>
        </w:rPr>
        <w:t>CUSIP NO. 726503105</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tbl>
      <w:tblPr>
        <w:tblW w:w="5000" w:type="pct"/>
        <w:jc w:val="left"/>
        <w:tblInd w:w="0" w:type="dxa"/>
        <w:tblCellMar>
          <w:top w:w="28" w:type="dxa"/>
          <w:left w:w="28" w:type="dxa"/>
          <w:bottom w:w="28" w:type="dxa"/>
          <w:right w:w="0" w:type="dxa"/>
        </w:tblCellMar>
      </w:tblPr>
      <w:tblGrid>
        <w:gridCol w:w="1166"/>
        <w:gridCol w:w="4033"/>
        <w:gridCol w:w="1191"/>
        <w:gridCol w:w="2818"/>
        <w:gridCol w:w="997"/>
      </w:tblGrid>
      <w:tr>
        <w:trPr/>
        <w:tc>
          <w:tcPr>
            <w:tcW w:w="1166" w:type="dxa"/>
            <w:tcBorders>
              <w:top w:val="double" w:sz="6" w:space="0" w:color="000000"/>
              <w:left w:val="double" w:sz="6" w:space="0" w:color="000000"/>
              <w:bottom w:val="single" w:sz="6" w:space="0" w:color="000000"/>
            </w:tcBorders>
            <w:shd w:fill="auto" w:val="cle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w:t>
            </w:r>
          </w:p>
        </w:tc>
        <w:tc>
          <w:tcPr>
            <w:tcW w:w="9039" w:type="dxa"/>
            <w:gridSpan w:val="4"/>
            <w:tcBorders>
              <w:top w:val="double" w:sz="6" w:space="0" w:color="000000"/>
              <w:left w:val="single" w:sz="6" w:space="0" w:color="000000"/>
              <w:bottom w:val="single" w:sz="6" w:space="0" w:color="000000"/>
              <w:right w:val="double" w:sz="6" w:space="0" w:color="000000"/>
            </w:tcBorders>
            <w:shd w:fill="auto" w:val="clear"/>
            <w:tcMar>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NAME OF REPORTING PERSON</w:t>
            </w:r>
          </w:p>
          <w:p>
            <w:pPr>
              <w:pStyle w:val="TableContents"/>
              <w:spacing w:before="0" w:after="0"/>
              <w:ind w:left="0" w:right="0" w:hanging="0"/>
              <w:jc w:val="left"/>
              <w:rPr>
                <w:rFonts w:ascii="times new roman;serif" w:hAnsi="times new roman;serif"/>
                <w:sz w:val="16"/>
              </w:rPr>
            </w:pPr>
            <w:r>
              <w:rPr>
                <w:rFonts w:ascii="times new roman;serif" w:hAnsi="times new roman;serif"/>
                <w:sz w:val="16"/>
              </w:rPr>
              <w:t>S.S. OR I.R.S. IDENTIFICATION NO. OF ABOVE PERSON</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Vulcan Energy Corporation</w:t>
            </w:r>
          </w:p>
          <w:p>
            <w:pPr>
              <w:pStyle w:val="TableContents"/>
              <w:spacing w:before="0" w:after="0"/>
              <w:ind w:left="0" w:right="0" w:hanging="0"/>
              <w:jc w:val="left"/>
              <w:rPr/>
            </w:pPr>
            <w:r>
              <w:rPr/>
              <w:t> </w:t>
            </w:r>
          </w:p>
        </w:tc>
      </w:tr>
      <w:tr>
        <w:trPr/>
        <w:tc>
          <w:tcPr>
            <w:tcW w:w="1166"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w:t>
            </w:r>
          </w:p>
        </w:tc>
        <w:tc>
          <w:tcPr>
            <w:tcW w:w="8042"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THE APPROPRIATE BOX IF A MEMBER OF A GROUP*</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 xml:space="preserve">(b) </w:t>
            </w:r>
            <w:r>
              <w:rPr>
                <w:rFonts w:ascii="wingdings" w:hAnsi="wingdings"/>
                <w:sz w:val="20"/>
              </w:rPr>
              <w:t>x</w:t>
            </w:r>
          </w:p>
          <w:p>
            <w:pPr>
              <w:pStyle w:val="TableContents"/>
              <w:spacing w:before="0" w:after="0"/>
              <w:ind w:left="0" w:right="0" w:hanging="0"/>
              <w:jc w:val="left"/>
              <w:rPr/>
            </w:pPr>
            <w:r>
              <w:rPr/>
              <w:t> </w:t>
            </w:r>
          </w:p>
        </w:tc>
      </w:tr>
      <w:tr>
        <w:trPr/>
        <w:tc>
          <w:tcPr>
            <w:tcW w:w="1166"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w:t>
            </w:r>
          </w:p>
        </w:tc>
        <w:tc>
          <w:tcPr>
            <w:tcW w:w="9039"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SEC USE ONLY</w:t>
            </w:r>
          </w:p>
          <w:p>
            <w:pPr>
              <w:pStyle w:val="TableContents"/>
              <w:spacing w:before="0" w:after="0"/>
              <w:ind w:left="0" w:right="0" w:hanging="0"/>
              <w:jc w:val="left"/>
              <w:rPr/>
            </w:pPr>
            <w:r>
              <w:rPr/>
              <w:t> </w:t>
            </w:r>
          </w:p>
        </w:tc>
      </w:tr>
      <w:tr>
        <w:trPr/>
        <w:tc>
          <w:tcPr>
            <w:tcW w:w="1166"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w:t>
            </w:r>
          </w:p>
        </w:tc>
        <w:tc>
          <w:tcPr>
            <w:tcW w:w="9039"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SOURCE OF FUNDS*</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N/A</w:t>
            </w:r>
          </w:p>
          <w:p>
            <w:pPr>
              <w:pStyle w:val="TableContents"/>
              <w:spacing w:before="0" w:after="0"/>
              <w:ind w:left="0" w:right="0" w:hanging="0"/>
              <w:jc w:val="left"/>
              <w:rPr/>
            </w:pPr>
            <w:r>
              <w:rPr/>
              <w:t> </w:t>
            </w:r>
          </w:p>
        </w:tc>
      </w:tr>
      <w:tr>
        <w:trPr/>
        <w:tc>
          <w:tcPr>
            <w:tcW w:w="1166"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8042"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DISCLOSURE OF LEGAL PROCEEDINGS</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IS REQUIRED PURSUANT TO ITEMS 2(d) OR 2(e)</w:t>
            </w:r>
          </w:p>
          <w:p>
            <w:pPr>
              <w:pStyle w:val="TableContents"/>
              <w:spacing w:before="0" w:after="0"/>
              <w:ind w:left="0" w:right="0" w:hanging="0"/>
              <w:jc w:val="left"/>
              <w:rPr/>
            </w:pPr>
            <w:r>
              <w:rPr/>
              <w:t> </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center"/>
              <w:rPr/>
            </w:pPr>
            <w:r>
              <w:rPr/>
              <w:t>☐</w:t>
            </w:r>
          </w:p>
        </w:tc>
      </w:tr>
      <w:tr>
        <w:trPr/>
        <w:tc>
          <w:tcPr>
            <w:tcW w:w="1166"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w:t>
            </w:r>
          </w:p>
        </w:tc>
        <w:tc>
          <w:tcPr>
            <w:tcW w:w="9039"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CITIZENSHIP OR PLACE OF ORGANIZATION</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Delaware</w:t>
            </w:r>
          </w:p>
          <w:p>
            <w:pPr>
              <w:pStyle w:val="TableContents"/>
              <w:spacing w:before="0" w:after="0"/>
              <w:ind w:left="0" w:right="0" w:hanging="0"/>
              <w:jc w:val="left"/>
              <w:rPr/>
            </w:pPr>
            <w:r>
              <w:rPr/>
              <w:t> </w:t>
            </w:r>
          </w:p>
        </w:tc>
      </w:tr>
      <w:tr>
        <w:trPr/>
        <w:tc>
          <w:tcPr>
            <w:tcW w:w="5199" w:type="dxa"/>
            <w:gridSpan w:val="2"/>
            <w:tcBorders>
              <w:left w:val="double" w:sz="6" w:space="0" w:color="000000"/>
            </w:tcBorders>
            <w:shd w:fill="auto" w:val="clear"/>
            <w:tcMar>
              <w:top w:w="0" w:type="dxa"/>
              <w:bottom w:w="0" w:type="dxa"/>
            </w:tcMar>
          </w:tcPr>
          <w:p>
            <w:pPr>
              <w:pStyle w:val="TableContents"/>
              <w:spacing w:before="0" w:after="283"/>
              <w:rPr/>
            </w:pPr>
            <w:r>
              <w:rPr/>
              <w:t> </w:t>
            </w:r>
          </w:p>
        </w:tc>
        <w:tc>
          <w:tcPr>
            <w:tcW w:w="1191"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w:t>
            </w:r>
          </w:p>
        </w:tc>
        <w:tc>
          <w:tcPr>
            <w:tcW w:w="3815"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VOTING POWER:  0</w:t>
            </w:r>
          </w:p>
          <w:p>
            <w:pPr>
              <w:pStyle w:val="TableContents"/>
              <w:spacing w:before="0" w:after="0"/>
              <w:ind w:left="0" w:right="0" w:hanging="0"/>
              <w:jc w:val="left"/>
              <w:rPr/>
            </w:pPr>
            <w:r>
              <w:rPr/>
              <w:t> </w:t>
            </w:r>
          </w:p>
        </w:tc>
      </w:tr>
      <w:tr>
        <w:trPr/>
        <w:tc>
          <w:tcPr>
            <w:tcW w:w="5199" w:type="dxa"/>
            <w:gridSpan w:val="2"/>
            <w:tcBorders>
              <w:left w:val="double" w:sz="6" w:space="0" w:color="000000"/>
            </w:tcBorders>
            <w:shd w:fill="auto" w:val="clear"/>
            <w:tcMar>
              <w:top w:w="0" w:type="dxa"/>
              <w:bottom w:w="0" w:type="dxa"/>
            </w:tcMar>
            <w:vAlign w:val="bottom"/>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NUMBER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OF</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191"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3815"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VOTING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2,598,981 Common Units</w:t>
            </w:r>
          </w:p>
          <w:p>
            <w:pPr>
              <w:pStyle w:val="TableContents"/>
              <w:spacing w:before="0" w:after="0"/>
              <w:ind w:left="0" w:right="0" w:hanging="0"/>
              <w:jc w:val="left"/>
              <w:rPr/>
            </w:pPr>
            <w:r>
              <w:rPr/>
              <w:t> </w:t>
            </w:r>
          </w:p>
        </w:tc>
      </w:tr>
      <w:tr>
        <w:trPr/>
        <w:tc>
          <w:tcPr>
            <w:tcW w:w="5199"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BENEFICIALLY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OWNED BY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EACH</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REPORTING</w:t>
            </w:r>
          </w:p>
        </w:tc>
        <w:tc>
          <w:tcPr>
            <w:tcW w:w="1191"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w:t>
            </w:r>
          </w:p>
        </w:tc>
        <w:tc>
          <w:tcPr>
            <w:tcW w:w="3815"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DISPOSITIVE POWER:  0</w:t>
            </w:r>
          </w:p>
        </w:tc>
      </w:tr>
      <w:tr>
        <w:trPr/>
        <w:tc>
          <w:tcPr>
            <w:tcW w:w="5199" w:type="dxa"/>
            <w:gridSpan w:val="2"/>
            <w:tcBorders>
              <w:left w:val="double" w:sz="6" w:space="0" w:color="000000"/>
              <w:bottom w:val="single" w:sz="6" w:space="0" w:color="000000"/>
            </w:tcBorders>
            <w:shd w:fill="auto" w:val="clear"/>
            <w:tcMar>
              <w:top w:w="0" w:type="dxa"/>
            </w:tcMar>
          </w:tcPr>
          <w:p>
            <w:pPr>
              <w:pStyle w:val="TableContents"/>
              <w:spacing w:before="0" w:after="0"/>
              <w:jc w:val="center"/>
              <w:rPr/>
            </w:pPr>
            <w:r>
              <w:rPr/>
              <w:t xml:space="preserve">  </w:t>
            </w:r>
            <w:r>
              <w:rPr>
                <w:rFonts w:ascii="times new roman;serif" w:hAnsi="times new roman;serif"/>
                <w:b/>
                <w:sz w:val="20"/>
              </w:rPr>
              <w:t>PERSON</w:t>
            </w:r>
            <w:r>
              <w:rPr>
                <w:rFonts w:ascii="times new roman" w:hAnsi="times new roman"/>
                <w:sz w:val="20"/>
              </w:rPr>
              <w:t xml:space="preserve">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WITH</w:t>
            </w:r>
          </w:p>
        </w:tc>
        <w:tc>
          <w:tcPr>
            <w:tcW w:w="1191"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3815"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DISPOSITIVE POWER: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2,598,981 Common Units</w:t>
            </w:r>
          </w:p>
          <w:p>
            <w:pPr>
              <w:pStyle w:val="TableContents"/>
              <w:spacing w:before="0" w:after="0"/>
              <w:ind w:left="0" w:right="0" w:hanging="0"/>
              <w:jc w:val="left"/>
              <w:rPr/>
            </w:pPr>
            <w:r>
              <w:rPr/>
              <w:t> </w:t>
            </w:r>
          </w:p>
        </w:tc>
      </w:tr>
      <w:tr>
        <w:trPr/>
        <w:tc>
          <w:tcPr>
            <w:tcW w:w="1166"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11</w:t>
            </w:r>
          </w:p>
        </w:tc>
        <w:tc>
          <w:tcPr>
            <w:tcW w:w="9039"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2,598,981 Common Units</w:t>
            </w:r>
          </w:p>
          <w:p>
            <w:pPr>
              <w:pStyle w:val="TableContents"/>
              <w:spacing w:before="0" w:after="0"/>
              <w:ind w:left="0" w:right="0" w:hanging="0"/>
              <w:jc w:val="left"/>
              <w:rPr/>
            </w:pPr>
            <w:r>
              <w:rPr/>
              <w:t> </w:t>
            </w:r>
          </w:p>
        </w:tc>
      </w:tr>
      <w:tr>
        <w:trPr/>
        <w:tc>
          <w:tcPr>
            <w:tcW w:w="1166"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12</w:t>
            </w:r>
          </w:p>
        </w:tc>
        <w:tc>
          <w:tcPr>
            <w:tcW w:w="8042"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THE AGGREGATE AMOUNT IN ROW (11)</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EXCLUDES CERTAIN SHARES*</w:t>
            </w:r>
          </w:p>
          <w:p>
            <w:pPr>
              <w:pStyle w:val="TableContents"/>
              <w:spacing w:before="0" w:after="0"/>
              <w:ind w:left="0" w:right="0" w:hanging="0"/>
              <w:jc w:val="left"/>
              <w:rPr/>
            </w:pPr>
            <w:r>
              <w:rPr/>
              <w:t> </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center"/>
              <w:rPr/>
            </w:pPr>
            <w:r>
              <w:rPr/>
              <w:t>☐</w:t>
            </w:r>
          </w:p>
        </w:tc>
      </w:tr>
      <w:tr>
        <w:trPr/>
        <w:tc>
          <w:tcPr>
            <w:tcW w:w="1166"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13</w:t>
            </w:r>
          </w:p>
        </w:tc>
        <w:tc>
          <w:tcPr>
            <w:tcW w:w="9039"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PERCENT OF CLASS REPRESENTED BY AMOUNT IN ROW (11)</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1.7% of Common Units</w:t>
            </w:r>
          </w:p>
          <w:p>
            <w:pPr>
              <w:pStyle w:val="TableContents"/>
              <w:spacing w:before="0" w:after="0"/>
              <w:ind w:left="0" w:right="0" w:hanging="0"/>
              <w:jc w:val="left"/>
              <w:rPr/>
            </w:pPr>
            <w:r>
              <w:rPr/>
              <w:t> </w:t>
            </w:r>
          </w:p>
        </w:tc>
      </w:tr>
      <w:tr>
        <w:trPr/>
        <w:tc>
          <w:tcPr>
            <w:tcW w:w="1166" w:type="dxa"/>
            <w:tcBorders>
              <w:left w:val="double" w:sz="6" w:space="0" w:color="000000"/>
              <w:bottom w:val="doub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14</w:t>
            </w:r>
          </w:p>
        </w:tc>
        <w:tc>
          <w:tcPr>
            <w:tcW w:w="9039" w:type="dxa"/>
            <w:gridSpan w:val="4"/>
            <w:tcBorders>
              <w:left w:val="single" w:sz="6" w:space="0" w:color="000000"/>
              <w:bottom w:val="doub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TYPE OF REPORTING PERSON*</w:t>
            </w:r>
          </w:p>
          <w:p>
            <w:pPr>
              <w:pStyle w:val="TableContents"/>
              <w:spacing w:before="0" w:after="0"/>
              <w:ind w:left="0" w:right="0" w:hanging="0"/>
              <w:jc w:val="left"/>
              <w:rPr/>
            </w:pPr>
            <w:r>
              <w:rPr/>
              <w:t> </w:t>
            </w:r>
          </w:p>
          <w:p>
            <w:pPr>
              <w:pStyle w:val="TableContents"/>
              <w:spacing w:before="0" w:after="0"/>
              <w:ind w:left="660" w:right="0" w:hanging="0"/>
              <w:jc w:val="left"/>
              <w:rPr>
                <w:rFonts w:ascii="times new roman;serif" w:hAnsi="times new roman;serif"/>
                <w:sz w:val="20"/>
              </w:rPr>
            </w:pPr>
            <w:r>
              <w:rPr>
                <w:rFonts w:ascii="times new roman;serif" w:hAnsi="times new roman;serif"/>
                <w:sz w:val="20"/>
              </w:rPr>
              <w:t>CO</w:t>
            </w:r>
          </w:p>
          <w:p>
            <w:pPr>
              <w:pStyle w:val="TableContents"/>
              <w:spacing w:before="0" w:after="0"/>
              <w:ind w:left="0" w:right="0" w:hanging="0"/>
              <w:jc w:val="left"/>
              <w:rPr/>
            </w:pPr>
            <w:r>
              <w:rPr/>
              <w:t> </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*SEE INSTRUCTIONS BEFORE FILLING OUT!</w:t>
      </w: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47" w:name="PGBRK5"/>
      <w:bookmarkStart w:id="48" w:name="PGBRK5"/>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9" w:name="FTR5"/>
      <w:bookmarkStart w:id="50" w:name="FTR5"/>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 w:name="GLFTR5"/>
      <w:bookmarkEnd w:id="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b w:val="false"/>
          <w:sz w:val="20"/>
        </w:rPr>
      </w:pPr>
      <w:bookmarkStart w:id="52" w:name="PN5"/>
      <w:bookmarkEnd w:id="52"/>
      <w:r>
        <w:rPr>
          <w:rFonts w:ascii="Times New Roman;serif" w:hAnsi="Times New Roman;serif"/>
          <w:b w:val="false"/>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3" w:name="HDR5"/>
      <w:bookmarkStart w:id="54" w:name="HDR5"/>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5" w:name="GLHDR5"/>
      <w:bookmarkEnd w:id="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726503105</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Introductory Note</w:t>
      </w:r>
    </w:p>
    <w:p>
      <w:pPr>
        <w:pStyle w:val="TextBody"/>
        <w:spacing w:before="0" w:after="0"/>
        <w:ind w:left="0" w:right="0" w:hanging="0"/>
        <w:jc w:val="both"/>
        <w:rPr/>
      </w:pPr>
      <w:r>
        <w:rPr/>
        <w:t> </w:t>
      </w:r>
    </w:p>
    <w:p>
      <w:pPr>
        <w:pStyle w:val="TextBody"/>
        <w:spacing w:before="0" w:after="0"/>
        <w:ind w:left="0" w:right="0" w:firstLine="720"/>
        <w:jc w:val="left"/>
        <w:rPr>
          <w:rFonts w:ascii="Times New Roman;serif" w:hAnsi="Times New Roman;serif"/>
          <w:b w:val="false"/>
          <w:sz w:val="22"/>
        </w:rPr>
      </w:pPr>
      <w:r>
        <w:rPr>
          <w:rFonts w:ascii="Times New Roman;serif" w:hAnsi="Times New Roman;serif"/>
          <w:b w:val="false"/>
          <w:sz w:val="22"/>
        </w:rPr>
        <w:t>This tenth amendment to the Schedule 13D (this “</w:t>
      </w:r>
      <w:r>
        <w:rPr>
          <w:rFonts w:ascii="Times New Roman;serif" w:hAnsi="Times New Roman;serif"/>
          <w:b/>
          <w:i/>
          <w:sz w:val="22"/>
        </w:rPr>
        <w:t>Amendment</w:t>
      </w:r>
      <w:r>
        <w:rPr>
          <w:rFonts w:ascii="Times New Roman;serif" w:hAnsi="Times New Roman;serif"/>
          <w:b w:val="false"/>
          <w:sz w:val="22"/>
        </w:rPr>
        <w:t>”) amends the Schedule 13D filed with the Securities and Exchange Commission (the “</w:t>
      </w:r>
      <w:r>
        <w:rPr>
          <w:rFonts w:ascii="Times New Roman;serif" w:hAnsi="Times New Roman;serif"/>
          <w:b/>
          <w:i/>
          <w:sz w:val="22"/>
        </w:rPr>
        <w:t>SEC</w:t>
      </w:r>
      <w:r>
        <w:rPr>
          <w:rFonts w:ascii="Times New Roman;serif" w:hAnsi="Times New Roman;serif"/>
          <w:b w:val="false"/>
          <w:sz w:val="22"/>
        </w:rPr>
        <w:t>”) on December 3, 1993, as amended on July 3, 2001, July 23, 2004, October 13, 2004, December 20, 2004, August 12, 2005, September 3, 2008, September 10, 2009, January 6, 2011 and January 19, 2011.  This tenth amendment is filed by Paul G. Allen; Vulcan Capital Private Equity Inc., a Delaware corporation (“</w:t>
      </w:r>
      <w:r>
        <w:rPr>
          <w:rFonts w:ascii="Times New Roman;serif" w:hAnsi="Times New Roman;serif"/>
          <w:b/>
          <w:i/>
          <w:sz w:val="22"/>
        </w:rPr>
        <w:t>Vulcan Capital Inc.</w:t>
      </w:r>
      <w:r>
        <w:rPr>
          <w:rFonts w:ascii="Times New Roman;serif" w:hAnsi="Times New Roman;serif"/>
          <w:b w:val="false"/>
          <w:sz w:val="22"/>
        </w:rPr>
        <w:t>”), Vulcan Capital Private Equity Management I LLC, a Delaware limited liability company (“</w:t>
      </w:r>
      <w:r>
        <w:rPr>
          <w:rFonts w:ascii="Times New Roman;serif" w:hAnsi="Times New Roman;serif"/>
          <w:b/>
          <w:i/>
          <w:sz w:val="22"/>
        </w:rPr>
        <w:t>Vulcan Capital Management</w:t>
      </w:r>
      <w:r>
        <w:rPr>
          <w:rFonts w:ascii="Times New Roman;serif" w:hAnsi="Times New Roman;serif"/>
          <w:b w:val="false"/>
          <w:sz w:val="22"/>
        </w:rPr>
        <w:t>”), Vulcan Capital Private Equity I LLC, a Delaware limited liability company (“</w:t>
      </w:r>
      <w:r>
        <w:rPr>
          <w:rFonts w:ascii="Times New Roman;serif" w:hAnsi="Times New Roman;serif"/>
          <w:b/>
          <w:i/>
          <w:sz w:val="22"/>
        </w:rPr>
        <w:t>Vulcan Capital LLC</w:t>
      </w:r>
      <w:r>
        <w:rPr>
          <w:rFonts w:ascii="Times New Roman;serif" w:hAnsi="Times New Roman;serif"/>
          <w:b w:val="false"/>
          <w:sz w:val="22"/>
        </w:rPr>
        <w:t>”), Vulcan Capital Private Equity II LLC, a Delaware limited liability company (“</w:t>
      </w:r>
      <w:r>
        <w:rPr>
          <w:rFonts w:ascii="Times New Roman;serif" w:hAnsi="Times New Roman;serif"/>
          <w:b/>
          <w:i/>
          <w:sz w:val="22"/>
        </w:rPr>
        <w:t>Vulcan Capital II LLC</w:t>
      </w:r>
      <w:r>
        <w:rPr>
          <w:rFonts w:ascii="Times New Roman;serif" w:hAnsi="Times New Roman;serif"/>
          <w:b w:val="false"/>
          <w:sz w:val="22"/>
        </w:rPr>
        <w:t>”) and Vulcan Energy Corporation, a Delaware corporation (“</w:t>
      </w:r>
      <w:r>
        <w:rPr>
          <w:rFonts w:ascii="Times New Roman;serif" w:hAnsi="Times New Roman;serif"/>
          <w:b/>
          <w:i/>
          <w:sz w:val="22"/>
        </w:rPr>
        <w:t>Vulcan Energy</w:t>
      </w:r>
      <w:r>
        <w:rPr>
          <w:rFonts w:ascii="Times New Roman;serif" w:hAnsi="Times New Roman;serif"/>
          <w:b w:val="false"/>
          <w:sz w:val="22"/>
        </w:rPr>
        <w:t>” and collectively, the “</w:t>
      </w:r>
      <w:r>
        <w:rPr>
          <w:rFonts w:ascii="Times New Roman;serif" w:hAnsi="Times New Roman;serif"/>
          <w:b/>
          <w:i/>
          <w:sz w:val="22"/>
        </w:rPr>
        <w:t>Reporting Persons</w:t>
      </w:r>
      <w:r>
        <w:rPr>
          <w:rFonts w:ascii="Times New Roman;serif" w:hAnsi="Times New Roman;serif"/>
          <w:b w:val="false"/>
          <w:sz w:val="22"/>
        </w:rPr>
        <w:t>”), which is successor by merger to Plains Holdings II Inc., a Delaware corporation which was successor by merger to Plains Holdings Inc., a Delaware corporation which was successor by merger to Plains Resources Inc., a Delaware corporation, with respect to the common units (“</w:t>
      </w:r>
      <w:r>
        <w:rPr>
          <w:rFonts w:ascii="Times New Roman;serif" w:hAnsi="Times New Roman;serif"/>
          <w:b/>
          <w:i/>
          <w:sz w:val="22"/>
        </w:rPr>
        <w:t>Common Units</w:t>
      </w:r>
      <w:r>
        <w:rPr>
          <w:rFonts w:ascii="Times New Roman;serif" w:hAnsi="Times New Roman;serif"/>
          <w:b w:val="false"/>
          <w:sz w:val="22"/>
        </w:rPr>
        <w:t>”) of Plains All American Pipeline, L.P. (the “</w:t>
      </w:r>
      <w:r>
        <w:rPr>
          <w:rFonts w:ascii="Times New Roman;serif" w:hAnsi="Times New Roman;serif"/>
          <w:b/>
          <w:i/>
          <w:sz w:val="22"/>
        </w:rPr>
        <w:t>Issuer</w:t>
      </w:r>
      <w:r>
        <w:rPr>
          <w:rFonts w:ascii="Times New Roman;serif" w:hAnsi="Times New Roman;serif"/>
          <w:b w:val="false"/>
          <w:sz w:val="22"/>
        </w:rPr>
        <w:t>”), the principal executive offices of which are located at 333 Clay St., Suite 1600, Houston TX, 77002.  Except as otherwise specified in this Amendment, all previous Items are unchanged.  Capitalized terms not otherwise defined herein shall have the meaning ascribed thereto in the Schedule 13D as amended prior to the date hereof.</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firstLine="720"/>
        <w:jc w:val="left"/>
        <w:rPr>
          <w:rFonts w:ascii="Times New Roman;serif" w:hAnsi="Times New Roman;serif"/>
          <w:b w:val="false"/>
          <w:sz w:val="22"/>
        </w:rPr>
      </w:pPr>
      <w:r>
        <w:rPr>
          <w:rFonts w:ascii="Times New Roman;serif" w:hAnsi="Times New Roman;serif"/>
          <w:b w:val="false"/>
          <w:sz w:val="22"/>
        </w:rPr>
        <w:t>The Reporting Persons have entered into a Joint Filing Agreement, dated as of January 6, 2011, a copy of which is attached as Exhibit 99.1 to the eighth amendment to this Schedule 13D filed by the Reporting Persons on January 6, 2011 and incorporated herein by reference. Neither the fact of this filing nor anything contained herein shall be deemed an admission by the Reporting Persons that they constitute a “group” as such term is used in Section 13(d)(1)(k) of the rules and regulations under the Exchange Act.</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Item 5. Interest in Securities of the Issuer.</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t>The following sections of Item 5 are amended and restated in their entirety as follows:</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t>(a)           Based upon information set forth in the Issuer’s prospectus supplement dated August 12, 2011 filed with the Securities and Exchange Commission, there were 149,357,119 Common Units outstanding as of August 10, 2011.  As of August 23, 2011, the aggregate number and percentage of Common Units beneficially owned by the Reporting Persons is 6,502,240 Common Units, or 4.4%, although each Reporting Person disclaims beneficial ownership of the shares beneficially owned by each other Reporting Person.  This number of Common Units includes the following:</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tbl>
      <w:tblPr>
        <w:tblW w:w="5000" w:type="pct"/>
        <w:jc w:val="left"/>
        <w:tblInd w:w="0" w:type="dxa"/>
        <w:tblCellMar>
          <w:top w:w="0" w:type="dxa"/>
          <w:left w:w="0" w:type="dxa"/>
          <w:bottom w:w="0" w:type="dxa"/>
          <w:right w:w="0" w:type="dxa"/>
        </w:tblCellMar>
      </w:tblPr>
      <w:tblGrid>
        <w:gridCol w:w="711"/>
        <w:gridCol w:w="830"/>
        <w:gridCol w:w="8664"/>
      </w:tblGrid>
      <w:tr>
        <w:trPr/>
        <w:tc>
          <w:tcPr>
            <w:tcW w:w="711" w:type="dxa"/>
            <w:tcBorders/>
            <w:shd w:fill="auto" w:val="clear"/>
          </w:tcPr>
          <w:p>
            <w:pPr>
              <w:pStyle w:val="TableContents"/>
              <w:spacing w:before="0" w:after="283"/>
              <w:rPr/>
            </w:pPr>
            <w:r>
              <w:rPr/>
              <w:t xml:space="preserve">  </w:t>
            </w:r>
          </w:p>
        </w:tc>
        <w:tc>
          <w:tcPr>
            <w:tcW w:w="830"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(1)</w:t>
            </w:r>
          </w:p>
        </w:tc>
        <w:tc>
          <w:tcPr>
            <w:tcW w:w="8664"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Mr. Allen is not a holder of record of any Common Units.  Mr. Allen owns 175,875 shares of Class A Common Stock of Vulcan Energy, or approximately 80% of the outstanding shares of Vulcan Energy common stock.  Mr. Allen is the sole stockholder of Vulcan Capital Inc.</w:t>
            </w:r>
          </w:p>
        </w:tc>
      </w:tr>
      <w:tr>
        <w:trPr/>
        <w:tc>
          <w:tcPr>
            <w:tcW w:w="711" w:type="dxa"/>
            <w:tcBorders/>
            <w:shd w:fill="auto" w:val="clear"/>
          </w:tcPr>
          <w:p>
            <w:pPr>
              <w:pStyle w:val="TableContents"/>
              <w:spacing w:before="0" w:after="283"/>
              <w:rPr/>
            </w:pPr>
            <w:r>
              <w:rPr/>
              <w:t xml:space="preserve">  </w:t>
            </w:r>
          </w:p>
        </w:tc>
        <w:tc>
          <w:tcPr>
            <w:tcW w:w="830" w:type="dxa"/>
            <w:tcBorders/>
            <w:shd w:fill="auto" w:val="clear"/>
          </w:tcPr>
          <w:p>
            <w:pPr>
              <w:pStyle w:val="TableContents"/>
              <w:spacing w:before="0" w:after="283"/>
              <w:rPr/>
            </w:pPr>
            <w:r>
              <w:rPr/>
              <w:t xml:space="preserve">  </w:t>
            </w:r>
          </w:p>
        </w:tc>
        <w:tc>
          <w:tcPr>
            <w:tcW w:w="8664" w:type="dxa"/>
            <w:tcBorders/>
            <w:shd w:fill="auto" w:val="clear"/>
          </w:tcPr>
          <w:p>
            <w:pPr>
              <w:pStyle w:val="TableContents"/>
              <w:spacing w:before="0" w:after="283"/>
              <w:rPr/>
            </w:pPr>
            <w:r>
              <w:rPr/>
              <w:t xml:space="preserve">  </w:t>
            </w:r>
          </w:p>
        </w:tc>
      </w:tr>
      <w:tr>
        <w:trPr/>
        <w:tc>
          <w:tcPr>
            <w:tcW w:w="711" w:type="dxa"/>
            <w:tcBorders/>
            <w:shd w:fill="auto" w:val="clear"/>
          </w:tcPr>
          <w:p>
            <w:pPr>
              <w:pStyle w:val="TableContents"/>
              <w:spacing w:before="0" w:after="283"/>
              <w:rPr/>
            </w:pPr>
            <w:r>
              <w:rPr/>
              <w:t xml:space="preserve">  </w:t>
            </w:r>
          </w:p>
        </w:tc>
        <w:tc>
          <w:tcPr>
            <w:tcW w:w="830"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(2)</w:t>
            </w:r>
          </w:p>
        </w:tc>
        <w:tc>
          <w:tcPr>
            <w:tcW w:w="8664"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Vulcan Capital Inc. is not a holder of record of any Common Units.  Vulcan Capital Inc. is the managing member of Vulcan Capital Management, which is the manager of Vulcan Capital LLC.  Vulcan Capital Inc. is also the sole member of Vulcan Capital II LLC.</w:t>
            </w:r>
          </w:p>
        </w:tc>
      </w:tr>
      <w:tr>
        <w:trPr/>
        <w:tc>
          <w:tcPr>
            <w:tcW w:w="711" w:type="dxa"/>
            <w:tcBorders/>
            <w:shd w:fill="auto" w:val="clear"/>
          </w:tcPr>
          <w:p>
            <w:pPr>
              <w:pStyle w:val="TableContents"/>
              <w:spacing w:before="0" w:after="283"/>
              <w:rPr/>
            </w:pPr>
            <w:r>
              <w:rPr/>
              <w:t xml:space="preserve">  </w:t>
            </w:r>
          </w:p>
        </w:tc>
        <w:tc>
          <w:tcPr>
            <w:tcW w:w="830" w:type="dxa"/>
            <w:tcBorders/>
            <w:shd w:fill="auto" w:val="clear"/>
          </w:tcPr>
          <w:p>
            <w:pPr>
              <w:pStyle w:val="TableContents"/>
              <w:spacing w:before="0" w:after="283"/>
              <w:rPr/>
            </w:pPr>
            <w:r>
              <w:rPr/>
              <w:t xml:space="preserve">  </w:t>
            </w:r>
          </w:p>
        </w:tc>
        <w:tc>
          <w:tcPr>
            <w:tcW w:w="8664" w:type="dxa"/>
            <w:tcBorders/>
            <w:shd w:fill="auto" w:val="clear"/>
          </w:tcPr>
          <w:p>
            <w:pPr>
              <w:pStyle w:val="TableContents"/>
              <w:spacing w:before="0" w:after="283"/>
              <w:rPr/>
            </w:pPr>
            <w:r>
              <w:rPr/>
              <w:t xml:space="preserve">  </w:t>
            </w:r>
          </w:p>
        </w:tc>
      </w:tr>
      <w:tr>
        <w:trPr/>
        <w:tc>
          <w:tcPr>
            <w:tcW w:w="711" w:type="dxa"/>
            <w:tcBorders/>
            <w:shd w:fill="auto" w:val="clear"/>
          </w:tcPr>
          <w:p>
            <w:pPr>
              <w:pStyle w:val="TableContents"/>
              <w:spacing w:before="0" w:after="283"/>
              <w:rPr/>
            </w:pPr>
            <w:r>
              <w:rPr/>
              <w:t xml:space="preserve">  </w:t>
            </w:r>
          </w:p>
        </w:tc>
        <w:tc>
          <w:tcPr>
            <w:tcW w:w="830"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(3)</w:t>
            </w:r>
          </w:p>
        </w:tc>
        <w:tc>
          <w:tcPr>
            <w:tcW w:w="8664"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Vulcan Capital Management is not a holder of record of any Common Units.  Vulcan Capital Management is the manager of Vulcan Capital LLC.</w:t>
            </w:r>
          </w:p>
        </w:tc>
      </w:tr>
      <w:tr>
        <w:trPr/>
        <w:tc>
          <w:tcPr>
            <w:tcW w:w="711" w:type="dxa"/>
            <w:tcBorders/>
            <w:shd w:fill="auto" w:val="clear"/>
          </w:tcPr>
          <w:p>
            <w:pPr>
              <w:pStyle w:val="TableContents"/>
              <w:spacing w:before="0" w:after="283"/>
              <w:rPr/>
            </w:pPr>
            <w:r>
              <w:rPr/>
              <w:t xml:space="preserve">  </w:t>
            </w:r>
          </w:p>
        </w:tc>
        <w:tc>
          <w:tcPr>
            <w:tcW w:w="830" w:type="dxa"/>
            <w:tcBorders/>
            <w:shd w:fill="auto" w:val="clear"/>
          </w:tcPr>
          <w:p>
            <w:pPr>
              <w:pStyle w:val="TableContents"/>
              <w:spacing w:before="0" w:after="283"/>
              <w:rPr/>
            </w:pPr>
            <w:r>
              <w:rPr/>
              <w:t xml:space="preserve">  </w:t>
            </w:r>
          </w:p>
        </w:tc>
        <w:tc>
          <w:tcPr>
            <w:tcW w:w="8664" w:type="dxa"/>
            <w:tcBorders/>
            <w:shd w:fill="auto" w:val="clear"/>
          </w:tcPr>
          <w:p>
            <w:pPr>
              <w:pStyle w:val="TableContents"/>
              <w:spacing w:before="0" w:after="283"/>
              <w:rPr/>
            </w:pPr>
            <w:r>
              <w:rPr/>
              <w:t xml:space="preserve">  </w:t>
            </w:r>
          </w:p>
        </w:tc>
      </w:tr>
      <w:tr>
        <w:trPr/>
        <w:tc>
          <w:tcPr>
            <w:tcW w:w="711" w:type="dxa"/>
            <w:tcBorders/>
            <w:shd w:fill="auto" w:val="clear"/>
          </w:tcPr>
          <w:p>
            <w:pPr>
              <w:pStyle w:val="TableContents"/>
              <w:spacing w:before="0" w:after="283"/>
              <w:rPr/>
            </w:pPr>
            <w:r>
              <w:rPr/>
              <w:t xml:space="preserve">  </w:t>
            </w:r>
          </w:p>
        </w:tc>
        <w:tc>
          <w:tcPr>
            <w:tcW w:w="830"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(4)</w:t>
            </w:r>
          </w:p>
        </w:tc>
        <w:tc>
          <w:tcPr>
            <w:tcW w:w="8664"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Vulcan Capital LLC is a record holder of 3,706,044 Common Units (representing 2.5% of the total outstanding Common Units).</w:t>
            </w:r>
          </w:p>
        </w:tc>
      </w:tr>
      <w:tr>
        <w:trPr/>
        <w:tc>
          <w:tcPr>
            <w:tcW w:w="711" w:type="dxa"/>
            <w:tcBorders/>
            <w:shd w:fill="auto" w:val="clear"/>
          </w:tcPr>
          <w:p>
            <w:pPr>
              <w:pStyle w:val="TableContents"/>
              <w:spacing w:before="0" w:after="283"/>
              <w:rPr/>
            </w:pPr>
            <w:r>
              <w:rPr/>
              <w:t xml:space="preserve">  </w:t>
            </w:r>
          </w:p>
        </w:tc>
        <w:tc>
          <w:tcPr>
            <w:tcW w:w="830" w:type="dxa"/>
            <w:tcBorders/>
            <w:shd w:fill="auto" w:val="clear"/>
          </w:tcPr>
          <w:p>
            <w:pPr>
              <w:pStyle w:val="TableContents"/>
              <w:spacing w:before="0" w:after="283"/>
              <w:rPr/>
            </w:pPr>
            <w:r>
              <w:rPr/>
              <w:t xml:space="preserve">  </w:t>
            </w:r>
          </w:p>
        </w:tc>
        <w:tc>
          <w:tcPr>
            <w:tcW w:w="8664" w:type="dxa"/>
            <w:tcBorders/>
            <w:shd w:fill="auto" w:val="clear"/>
          </w:tcPr>
          <w:p>
            <w:pPr>
              <w:pStyle w:val="TableContents"/>
              <w:spacing w:before="0" w:after="283"/>
              <w:rPr/>
            </w:pPr>
            <w:r>
              <w:rPr/>
              <w:t xml:space="preserve">  </w:t>
            </w:r>
          </w:p>
        </w:tc>
      </w:tr>
      <w:tr>
        <w:trPr/>
        <w:tc>
          <w:tcPr>
            <w:tcW w:w="711" w:type="dxa"/>
            <w:tcBorders/>
            <w:shd w:fill="auto" w:val="clear"/>
          </w:tcPr>
          <w:p>
            <w:pPr>
              <w:pStyle w:val="TableContents"/>
              <w:spacing w:before="0" w:after="283"/>
              <w:rPr/>
            </w:pPr>
            <w:r>
              <w:rPr/>
              <w:t xml:space="preserve">  </w:t>
            </w:r>
          </w:p>
        </w:tc>
        <w:tc>
          <w:tcPr>
            <w:tcW w:w="830"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(5)</w:t>
            </w:r>
          </w:p>
        </w:tc>
        <w:tc>
          <w:tcPr>
            <w:tcW w:w="8664"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Vulcan Capital II LLC is a record holder of 197,215 Common Units (representing 0.1% of the total outstanding Common Units).</w:t>
            </w:r>
          </w:p>
        </w:tc>
      </w:tr>
      <w:tr>
        <w:trPr/>
        <w:tc>
          <w:tcPr>
            <w:tcW w:w="711" w:type="dxa"/>
            <w:tcBorders/>
            <w:shd w:fill="auto" w:val="clear"/>
          </w:tcPr>
          <w:p>
            <w:pPr>
              <w:pStyle w:val="TableContents"/>
              <w:spacing w:before="0" w:after="283"/>
              <w:rPr/>
            </w:pPr>
            <w:r>
              <w:rPr/>
              <w:t xml:space="preserve">  </w:t>
            </w:r>
          </w:p>
        </w:tc>
        <w:tc>
          <w:tcPr>
            <w:tcW w:w="830" w:type="dxa"/>
            <w:tcBorders/>
            <w:shd w:fill="auto" w:val="clear"/>
          </w:tcPr>
          <w:p>
            <w:pPr>
              <w:pStyle w:val="TableContents"/>
              <w:spacing w:before="0" w:after="283"/>
              <w:rPr/>
            </w:pPr>
            <w:r>
              <w:rPr/>
              <w:t xml:space="preserve">  </w:t>
            </w:r>
          </w:p>
        </w:tc>
        <w:tc>
          <w:tcPr>
            <w:tcW w:w="8664" w:type="dxa"/>
            <w:tcBorders/>
            <w:shd w:fill="auto" w:val="clear"/>
          </w:tcPr>
          <w:p>
            <w:pPr>
              <w:pStyle w:val="TableContents"/>
              <w:spacing w:before="0" w:after="283"/>
              <w:rPr/>
            </w:pPr>
            <w:r>
              <w:rPr/>
              <w:t xml:space="preserve">  </w:t>
            </w:r>
          </w:p>
        </w:tc>
      </w:tr>
    </w:tbl>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56" w:name="PGBRK6"/>
      <w:bookmarkStart w:id="57" w:name="PGBRK6"/>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8" w:name="FTR6"/>
      <w:bookmarkStart w:id="59" w:name="FTR6"/>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0" w:name="GLFTR6"/>
      <w:bookmarkEnd w:id="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b w:val="false"/>
          <w:sz w:val="20"/>
        </w:rPr>
      </w:pPr>
      <w:bookmarkStart w:id="61" w:name="PN6"/>
      <w:bookmarkEnd w:id="61"/>
      <w:r>
        <w:rPr>
          <w:rFonts w:ascii="Times New Roman;serif" w:hAnsi="Times New Roman;serif"/>
          <w:b w:val="false"/>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2" w:name="HDR6"/>
      <w:bookmarkStart w:id="63" w:name="HDR6"/>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4" w:name="GLHDR6"/>
      <w:bookmarkEnd w:id="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726503105</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tbl>
      <w:tblPr>
        <w:tblW w:w="5000" w:type="pct"/>
        <w:jc w:val="left"/>
        <w:tblInd w:w="0" w:type="dxa"/>
        <w:tblCellMar>
          <w:top w:w="0" w:type="dxa"/>
          <w:left w:w="0" w:type="dxa"/>
          <w:bottom w:w="0" w:type="dxa"/>
          <w:right w:w="0" w:type="dxa"/>
        </w:tblCellMar>
      </w:tblPr>
      <w:tblGrid>
        <w:gridCol w:w="710"/>
        <w:gridCol w:w="828"/>
        <w:gridCol w:w="8667"/>
      </w:tblGrid>
      <w:tr>
        <w:trPr/>
        <w:tc>
          <w:tcPr>
            <w:tcW w:w="710" w:type="dxa"/>
            <w:tcBorders/>
            <w:shd w:fill="auto" w:val="clear"/>
          </w:tcPr>
          <w:p>
            <w:pPr>
              <w:pStyle w:val="TableContents"/>
              <w:spacing w:before="0" w:after="283"/>
              <w:rPr/>
            </w:pPr>
            <w:r>
              <w:rPr/>
              <w:t xml:space="preserve">  </w:t>
            </w:r>
          </w:p>
        </w:tc>
        <w:tc>
          <w:tcPr>
            <w:tcW w:w="8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(6)</w:t>
            </w:r>
          </w:p>
        </w:tc>
        <w:tc>
          <w:tcPr>
            <w:tcW w:w="86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Vulcan Energy is a record holder of 2,598,981 Common Units (representing 1.7% of the total outstanding Common Units).</w:t>
            </w:r>
          </w:p>
        </w:tc>
      </w:tr>
    </w:tbl>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t>(c)           The following transactions in the Common Units beneficially owned by the Reporting Persons were effected by Vulcan Energy at a price per Common Unit of $59.30 in the last 60 days:</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tbl>
      <w:tblPr>
        <w:tblW w:w="5000" w:type="pct"/>
        <w:jc w:val="left"/>
        <w:tblInd w:w="0" w:type="dxa"/>
        <w:tblCellMar>
          <w:top w:w="0" w:type="dxa"/>
          <w:left w:w="0" w:type="dxa"/>
          <w:bottom w:w="0" w:type="dxa"/>
          <w:right w:w="0" w:type="dxa"/>
        </w:tblCellMar>
      </w:tblPr>
      <w:tblGrid>
        <w:gridCol w:w="1031"/>
        <w:gridCol w:w="114"/>
        <w:gridCol w:w="1950"/>
        <w:gridCol w:w="113"/>
        <w:gridCol w:w="6997"/>
      </w:tblGrid>
      <w:tr>
        <w:trPr/>
        <w:tc>
          <w:tcPr>
            <w:tcW w:w="1031" w:type="dxa"/>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Date</w:t>
            </w:r>
          </w:p>
        </w:tc>
        <w:tc>
          <w:tcPr>
            <w:tcW w:w="114" w:type="dxa"/>
            <w:tcBorders/>
            <w:shd w:fill="auto" w:val="clear"/>
          </w:tcPr>
          <w:p>
            <w:pPr>
              <w:pStyle w:val="TableContents"/>
              <w:spacing w:before="0" w:after="283"/>
              <w:jc w:val="left"/>
              <w:rPr/>
            </w:pPr>
            <w:r>
              <w:rPr/>
              <w:t> </w:t>
            </w:r>
          </w:p>
        </w:tc>
        <w:tc>
          <w:tcPr>
            <w:tcW w:w="1950" w:type="dxa"/>
            <w:tcBorders/>
            <w:shd w:fill="auto" w:val="clear"/>
          </w:tcPr>
          <w:p>
            <w:pPr>
              <w:pStyle w:val="TableContents"/>
              <w:spacing w:before="0" w:after="0"/>
              <w:ind w:left="0" w:right="0" w:hanging="0"/>
              <w:jc w:val="right"/>
              <w:rPr>
                <w:rFonts w:ascii="times new roman;serif" w:hAnsi="times new roman;serif"/>
                <w:b/>
                <w:sz w:val="22"/>
              </w:rPr>
            </w:pPr>
            <w:r>
              <w:rPr>
                <w:rFonts w:ascii="times new roman;serif" w:hAnsi="times new roman;serif"/>
                <w:b/>
                <w:sz w:val="22"/>
              </w:rPr>
              <w:t># of Common Units</w:t>
            </w:r>
          </w:p>
        </w:tc>
        <w:tc>
          <w:tcPr>
            <w:tcW w:w="113" w:type="dxa"/>
            <w:tcBorders/>
            <w:shd w:fill="auto" w:val="clear"/>
          </w:tcPr>
          <w:p>
            <w:pPr>
              <w:pStyle w:val="TableContents"/>
              <w:spacing w:before="0" w:after="283"/>
              <w:jc w:val="left"/>
              <w:rPr/>
            </w:pPr>
            <w:r>
              <w:rPr/>
              <w:t> </w:t>
            </w:r>
          </w:p>
        </w:tc>
        <w:tc>
          <w:tcPr>
            <w:tcW w:w="6997" w:type="dxa"/>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Where/How Transaction Effected</w:t>
            </w:r>
          </w:p>
        </w:tc>
      </w:tr>
      <w:tr>
        <w:trPr/>
        <w:tc>
          <w:tcPr>
            <w:tcW w:w="1031"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8/17/2011</w:t>
            </w:r>
          </w:p>
        </w:tc>
        <w:tc>
          <w:tcPr>
            <w:tcW w:w="114" w:type="dxa"/>
            <w:tcBorders/>
            <w:shd w:fill="auto" w:val="clear"/>
          </w:tcPr>
          <w:p>
            <w:pPr>
              <w:pStyle w:val="TableContents"/>
              <w:spacing w:before="0" w:after="283"/>
              <w:jc w:val="right"/>
              <w:rPr/>
            </w:pPr>
            <w:r>
              <w:rPr/>
              <w:t> </w:t>
            </w:r>
          </w:p>
        </w:tc>
        <w:tc>
          <w:tcPr>
            <w:tcW w:w="1950" w:type="dxa"/>
            <w:tcBorders/>
            <w:shd w:fill="auto" w:val="clear"/>
          </w:tcPr>
          <w:p>
            <w:pPr>
              <w:pStyle w:val="TableContents"/>
              <w:spacing w:before="0" w:after="0"/>
              <w:ind w:left="0" w:right="0" w:hanging="0"/>
              <w:jc w:val="right"/>
              <w:rPr>
                <w:rFonts w:ascii="times new roman;serif" w:hAnsi="times new roman;serif"/>
                <w:sz w:val="22"/>
              </w:rPr>
            </w:pPr>
            <w:r>
              <w:rPr>
                <w:rFonts w:ascii="times new roman;serif" w:hAnsi="times new roman;serif"/>
                <w:sz w:val="22"/>
              </w:rPr>
              <w:t>7,500,000</w:t>
            </w:r>
          </w:p>
        </w:tc>
        <w:tc>
          <w:tcPr>
            <w:tcW w:w="113" w:type="dxa"/>
            <w:tcBorders/>
            <w:shd w:fill="auto" w:val="clear"/>
          </w:tcPr>
          <w:p>
            <w:pPr>
              <w:pStyle w:val="TableContents"/>
              <w:spacing w:before="0" w:after="283"/>
              <w:jc w:val="left"/>
              <w:rPr/>
            </w:pPr>
            <w:r>
              <w:rPr/>
              <w:t> </w:t>
            </w:r>
          </w:p>
        </w:tc>
        <w:tc>
          <w:tcPr>
            <w:tcW w:w="699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Underwritten offering</w:t>
            </w:r>
          </w:p>
        </w:tc>
      </w:tr>
      <w:tr>
        <w:trPr/>
        <w:tc>
          <w:tcPr>
            <w:tcW w:w="1031"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8/18/2011</w:t>
            </w:r>
          </w:p>
        </w:tc>
        <w:tc>
          <w:tcPr>
            <w:tcW w:w="114" w:type="dxa"/>
            <w:tcBorders/>
            <w:shd w:fill="auto" w:val="clear"/>
          </w:tcPr>
          <w:p>
            <w:pPr>
              <w:pStyle w:val="TableContents"/>
              <w:spacing w:before="0" w:after="283"/>
              <w:jc w:val="right"/>
              <w:rPr/>
            </w:pPr>
            <w:r>
              <w:rPr/>
              <w:t> </w:t>
            </w:r>
          </w:p>
        </w:tc>
        <w:tc>
          <w:tcPr>
            <w:tcW w:w="1950" w:type="dxa"/>
            <w:tcBorders/>
            <w:shd w:fill="auto" w:val="clear"/>
          </w:tcPr>
          <w:p>
            <w:pPr>
              <w:pStyle w:val="TableContents"/>
              <w:spacing w:before="0" w:after="0"/>
              <w:ind w:left="0" w:right="0" w:hanging="0"/>
              <w:jc w:val="right"/>
              <w:rPr>
                <w:rFonts w:ascii="times new roman;serif" w:hAnsi="times new roman;serif"/>
                <w:sz w:val="22"/>
              </w:rPr>
            </w:pPr>
            <w:r>
              <w:rPr>
                <w:rFonts w:ascii="times new roman;serif" w:hAnsi="times new roman;serif"/>
                <w:sz w:val="22"/>
              </w:rPr>
              <w:t>1,052,572</w:t>
            </w:r>
          </w:p>
        </w:tc>
        <w:tc>
          <w:tcPr>
            <w:tcW w:w="113" w:type="dxa"/>
            <w:tcBorders/>
            <w:shd w:fill="auto" w:val="clear"/>
          </w:tcPr>
          <w:p>
            <w:pPr>
              <w:pStyle w:val="TableContents"/>
              <w:spacing w:before="0" w:after="283"/>
              <w:jc w:val="left"/>
              <w:rPr/>
            </w:pPr>
            <w:r>
              <w:rPr/>
              <w:t> </w:t>
            </w:r>
          </w:p>
        </w:tc>
        <w:tc>
          <w:tcPr>
            <w:tcW w:w="699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Registered direct sale to other stockholders of Vulcan Energy</w:t>
            </w:r>
          </w:p>
        </w:tc>
      </w:tr>
      <w:tr>
        <w:trPr/>
        <w:tc>
          <w:tcPr>
            <w:tcW w:w="1031"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8/22/2011</w:t>
            </w:r>
          </w:p>
        </w:tc>
        <w:tc>
          <w:tcPr>
            <w:tcW w:w="114" w:type="dxa"/>
            <w:tcBorders/>
            <w:shd w:fill="auto" w:val="clear"/>
          </w:tcPr>
          <w:p>
            <w:pPr>
              <w:pStyle w:val="TableContents"/>
              <w:spacing w:before="0" w:after="283"/>
              <w:jc w:val="right"/>
              <w:rPr/>
            </w:pPr>
            <w:r>
              <w:rPr/>
              <w:t> </w:t>
            </w:r>
          </w:p>
        </w:tc>
        <w:tc>
          <w:tcPr>
            <w:tcW w:w="1950" w:type="dxa"/>
            <w:tcBorders/>
            <w:shd w:fill="auto" w:val="clear"/>
          </w:tcPr>
          <w:p>
            <w:pPr>
              <w:pStyle w:val="TableContents"/>
              <w:spacing w:before="0" w:after="0"/>
              <w:ind w:left="0" w:right="0" w:hanging="0"/>
              <w:jc w:val="right"/>
              <w:rPr>
                <w:rFonts w:ascii="times new roman;serif" w:hAnsi="times new roman;serif"/>
                <w:sz w:val="22"/>
              </w:rPr>
            </w:pPr>
            <w:r>
              <w:rPr>
                <w:rFonts w:ascii="times new roman;serif" w:hAnsi="times new roman;serif"/>
                <w:sz w:val="22"/>
              </w:rPr>
              <w:t>1,050,000</w:t>
            </w:r>
          </w:p>
        </w:tc>
        <w:tc>
          <w:tcPr>
            <w:tcW w:w="113" w:type="dxa"/>
            <w:tcBorders/>
            <w:shd w:fill="auto" w:val="clear"/>
          </w:tcPr>
          <w:p>
            <w:pPr>
              <w:pStyle w:val="TableContents"/>
              <w:spacing w:before="0" w:after="283"/>
              <w:jc w:val="left"/>
              <w:rPr/>
            </w:pPr>
            <w:r>
              <w:rPr/>
              <w:t> </w:t>
            </w:r>
          </w:p>
        </w:tc>
        <w:tc>
          <w:tcPr>
            <w:tcW w:w="699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Underwritten offering (over-allotment)</w:t>
            </w:r>
          </w:p>
        </w:tc>
      </w:tr>
      <w:tr>
        <w:trPr/>
        <w:tc>
          <w:tcPr>
            <w:tcW w:w="1031"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8/23/2011</w:t>
            </w:r>
          </w:p>
        </w:tc>
        <w:tc>
          <w:tcPr>
            <w:tcW w:w="114" w:type="dxa"/>
            <w:tcBorders/>
            <w:shd w:fill="auto" w:val="clear"/>
          </w:tcPr>
          <w:p>
            <w:pPr>
              <w:pStyle w:val="TableContents"/>
              <w:spacing w:before="0" w:after="283"/>
              <w:jc w:val="right"/>
              <w:rPr/>
            </w:pPr>
            <w:r>
              <w:rPr/>
              <w:t> </w:t>
            </w:r>
          </w:p>
        </w:tc>
        <w:tc>
          <w:tcPr>
            <w:tcW w:w="1950" w:type="dxa"/>
            <w:tcBorders/>
            <w:shd w:fill="auto" w:val="clear"/>
          </w:tcPr>
          <w:p>
            <w:pPr>
              <w:pStyle w:val="TableContents"/>
              <w:spacing w:before="0" w:after="0"/>
              <w:ind w:left="0" w:right="0" w:hanging="0"/>
              <w:jc w:val="right"/>
              <w:rPr>
                <w:rFonts w:ascii="times new roman;serif" w:hAnsi="times new roman;serif"/>
                <w:sz w:val="22"/>
              </w:rPr>
            </w:pPr>
            <w:r>
              <w:rPr>
                <w:rFonts w:ascii="times new roman;serif" w:hAnsi="times new roman;serif"/>
                <w:sz w:val="22"/>
              </w:rPr>
              <w:t>188,567</w:t>
            </w:r>
          </w:p>
        </w:tc>
        <w:tc>
          <w:tcPr>
            <w:tcW w:w="113" w:type="dxa"/>
            <w:tcBorders/>
            <w:shd w:fill="auto" w:val="clear"/>
          </w:tcPr>
          <w:p>
            <w:pPr>
              <w:pStyle w:val="TableContents"/>
              <w:spacing w:before="0" w:after="283"/>
              <w:jc w:val="left"/>
              <w:rPr/>
            </w:pPr>
            <w:r>
              <w:rPr/>
              <w:t> </w:t>
            </w:r>
          </w:p>
        </w:tc>
        <w:tc>
          <w:tcPr>
            <w:tcW w:w="699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Registered direct sale to other stockholders of Vulcan Energy (over-allotment)</w:t>
            </w:r>
          </w:p>
        </w:tc>
      </w:tr>
    </w:tbl>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t>Except as set forth above, no other Reporting Person and, to each Reporting Person’s knowledge, the other persons identified pursuant to Item 2, have not effected any other transactions in any outstanding class of Common Units of the Issuer during the past 60 days.</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t>(e)           As of August 23, 2011, all Reporting Persons ceased to be the beneficial owner of more than 5% of the Common Units.</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Item 6. Contracts, Arrangements, Understandings or Relationships with respect to Securities of the Company</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firstLine="720"/>
        <w:jc w:val="left"/>
        <w:rPr>
          <w:rFonts w:ascii="Times New Roman;serif" w:hAnsi="Times New Roman;serif"/>
          <w:b w:val="false"/>
          <w:sz w:val="22"/>
        </w:rPr>
      </w:pPr>
      <w:r>
        <w:rPr>
          <w:rFonts w:ascii="Times New Roman;serif" w:hAnsi="Times New Roman;serif"/>
          <w:b w:val="false"/>
          <w:sz w:val="22"/>
        </w:rPr>
        <w:t>Item 6 is hereby amended by adding the following:</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firstLine="720"/>
        <w:jc w:val="left"/>
        <w:rPr>
          <w:rFonts w:ascii="Times New Roman;serif" w:hAnsi="Times New Roman;serif"/>
          <w:b w:val="false"/>
          <w:sz w:val="22"/>
        </w:rPr>
      </w:pPr>
      <w:r>
        <w:rPr>
          <w:rFonts w:ascii="Times New Roman;serif" w:hAnsi="Times New Roman;serif"/>
          <w:b w:val="false"/>
          <w:sz w:val="22"/>
        </w:rPr>
        <w:t>Lock-Up Agreements</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firstLine="720"/>
        <w:jc w:val="left"/>
        <w:rPr>
          <w:rFonts w:ascii="Times New Roman;serif" w:hAnsi="Times New Roman;serif"/>
          <w:b w:val="false"/>
          <w:sz w:val="22"/>
        </w:rPr>
      </w:pPr>
      <w:r>
        <w:rPr>
          <w:rFonts w:ascii="Times New Roman;serif" w:hAnsi="Times New Roman;serif"/>
          <w:b w:val="false"/>
          <w:sz w:val="22"/>
        </w:rPr>
        <w:t>In connection with these transactions, Vulcan Energy, Vulcan Capital LLC and Vulcan Capital II LLC have agreed that, for a period of 45 days from August 12, 2011 that they will not offer, sell, contract to sell, pledge or otherwise dispose of any Common Units or any securities convertible into, or exercisable or exchangeable for or that represent the right to receive Common Units or any securities that are senior to or pari passu with Common Units, including, including, with respect to us and our controlled affiliates, the grant of any options or warrants to purchase Common Units. This agreement does not apply to distributions to stockholders or members of Vulcan Energy, Vulcan Capital LLC or Vulcan Capital II LLC, or bona fide gifts or dispositions to any trust, family limited partnership or family limited liability company for the direct or indirect benefit of such entities and/or the immediate family of affiliates of such entities (in each such case, any transferees will agree to be bound by the lock-up agreement for the remainder of its term).  Citigroup Global Markets Inc., in its sole discretion, may release any of the Common Units subject to these lock-up agreements at any time without notice.</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firstLine="720"/>
        <w:jc w:val="left"/>
        <w:rPr>
          <w:rFonts w:ascii="Times New Roman;serif" w:hAnsi="Times New Roman;serif"/>
          <w:b w:val="false"/>
          <w:sz w:val="22"/>
        </w:rPr>
      </w:pPr>
      <w:r>
        <w:rPr>
          <w:rFonts w:ascii="Times New Roman;serif" w:hAnsi="Times New Roman;serif"/>
          <w:b w:val="false"/>
          <w:sz w:val="22"/>
        </w:rPr>
        <w:t>In addition, Vulcan Energy, Vulcan Capital LLC and Vulcan Capital II LLC have entered into lock-up agreements with the Issuer, with restrictions similar to those set forth above, for terms of two years with respect to the units owned by Vulcan Energy and one year with respect to the units owned by Vulcan Capital LLC and Vulcan Capital II LLC. The Issuer may waive these restrictions at any time or from time to time in our discretion.</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Item 7. Material to be Filed as Exhibits</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tbl>
      <w:tblPr>
        <w:tblW w:w="5000" w:type="pct"/>
        <w:jc w:val="left"/>
        <w:tblInd w:w="0" w:type="dxa"/>
        <w:tblCellMar>
          <w:top w:w="0" w:type="dxa"/>
          <w:left w:w="0" w:type="dxa"/>
          <w:bottom w:w="0" w:type="dxa"/>
          <w:right w:w="0" w:type="dxa"/>
        </w:tblCellMar>
      </w:tblPr>
      <w:tblGrid>
        <w:gridCol w:w="720"/>
        <w:gridCol w:w="839"/>
        <w:gridCol w:w="8646"/>
      </w:tblGrid>
      <w:tr>
        <w:trPr/>
        <w:tc>
          <w:tcPr>
            <w:tcW w:w="720" w:type="dxa"/>
            <w:tcBorders/>
            <w:shd w:fill="auto" w:val="clear"/>
          </w:tcPr>
          <w:p>
            <w:pPr>
              <w:pStyle w:val="TableContents"/>
              <w:spacing w:before="0" w:after="283"/>
              <w:rPr/>
            </w:pPr>
            <w:r>
              <w:rPr/>
              <w:t xml:space="preserve">  </w:t>
            </w:r>
          </w:p>
        </w:tc>
        <w:tc>
          <w:tcPr>
            <w:tcW w:w="839"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99.1</w:t>
            </w:r>
          </w:p>
        </w:tc>
        <w:tc>
          <w:tcPr>
            <w:tcW w:w="8646"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Underwriting Agreement, dated August 11, 2011, by and among Plains All American Pipeline, L.P., Vulcan Energy Corporation and Citigroup Global Markets Inc., Barclays Capital Inc., Merrill Lynch, Pierce, Fenner &amp; Smith Incorporated, J.P. Morgan Securities LLC and UBS Securities LLC, as representatives of the several underwriters named therein.</w:t>
            </w:r>
          </w:p>
        </w:tc>
      </w:tr>
      <w:tr>
        <w:trPr/>
        <w:tc>
          <w:tcPr>
            <w:tcW w:w="720" w:type="dxa"/>
            <w:tcBorders/>
            <w:shd w:fill="auto" w:val="clear"/>
          </w:tcPr>
          <w:p>
            <w:pPr>
              <w:pStyle w:val="TableContents"/>
              <w:spacing w:before="0" w:after="283"/>
              <w:rPr/>
            </w:pPr>
            <w:r>
              <w:rPr/>
              <w:t> </w:t>
            </w:r>
          </w:p>
        </w:tc>
        <w:tc>
          <w:tcPr>
            <w:tcW w:w="839" w:type="dxa"/>
            <w:tcBorders/>
            <w:shd w:fill="auto" w:val="clear"/>
          </w:tcPr>
          <w:p>
            <w:pPr>
              <w:pStyle w:val="TableContents"/>
              <w:spacing w:before="0" w:after="283"/>
              <w:jc w:val="left"/>
              <w:rPr/>
            </w:pPr>
            <w:r>
              <w:rPr/>
              <w:t> </w:t>
            </w:r>
          </w:p>
        </w:tc>
        <w:tc>
          <w:tcPr>
            <w:tcW w:w="8646" w:type="dxa"/>
            <w:tcBorders/>
            <w:shd w:fill="auto" w:val="clear"/>
          </w:tcPr>
          <w:p>
            <w:pPr>
              <w:pStyle w:val="TableContents"/>
              <w:spacing w:before="0" w:after="283"/>
              <w:jc w:val="left"/>
              <w:rPr/>
            </w:pPr>
            <w:r>
              <w:rPr/>
              <w:t> </w:t>
            </w:r>
          </w:p>
        </w:tc>
      </w:tr>
      <w:tr>
        <w:trPr/>
        <w:tc>
          <w:tcPr>
            <w:tcW w:w="720" w:type="dxa"/>
            <w:tcBorders/>
            <w:shd w:fill="auto" w:val="clear"/>
          </w:tcPr>
          <w:p>
            <w:pPr>
              <w:pStyle w:val="TableContents"/>
              <w:spacing w:before="0" w:after="283"/>
              <w:rPr/>
            </w:pPr>
            <w:r>
              <w:rPr/>
              <w:t xml:space="preserve">  </w:t>
            </w:r>
          </w:p>
        </w:tc>
        <w:tc>
          <w:tcPr>
            <w:tcW w:w="839"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99.2</w:t>
            </w:r>
          </w:p>
        </w:tc>
        <w:tc>
          <w:tcPr>
            <w:tcW w:w="8646"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Lock-Up Agreement dated August 11, 2011 by Vulcan Capital Private Equity I LLC and Vulcan Capital Private Equity II LLC in favor of Citigroup Global Markets Inc. and the other underwriters named therein.</w:t>
            </w:r>
          </w:p>
        </w:tc>
      </w:tr>
      <w:tr>
        <w:trPr/>
        <w:tc>
          <w:tcPr>
            <w:tcW w:w="720" w:type="dxa"/>
            <w:tcBorders/>
            <w:shd w:fill="auto" w:val="clear"/>
          </w:tcPr>
          <w:p>
            <w:pPr>
              <w:pStyle w:val="TableContents"/>
              <w:spacing w:before="0" w:after="283"/>
              <w:rPr/>
            </w:pPr>
            <w:r>
              <w:rPr/>
              <w:t> </w:t>
            </w:r>
          </w:p>
        </w:tc>
        <w:tc>
          <w:tcPr>
            <w:tcW w:w="839" w:type="dxa"/>
            <w:tcBorders/>
            <w:shd w:fill="auto" w:val="clear"/>
          </w:tcPr>
          <w:p>
            <w:pPr>
              <w:pStyle w:val="TableContents"/>
              <w:spacing w:before="0" w:after="283"/>
              <w:jc w:val="left"/>
              <w:rPr/>
            </w:pPr>
            <w:r>
              <w:rPr/>
              <w:t> </w:t>
            </w:r>
          </w:p>
        </w:tc>
        <w:tc>
          <w:tcPr>
            <w:tcW w:w="8646" w:type="dxa"/>
            <w:tcBorders/>
            <w:shd w:fill="auto" w:val="clear"/>
          </w:tcPr>
          <w:p>
            <w:pPr>
              <w:pStyle w:val="TableContents"/>
              <w:spacing w:before="0" w:after="283"/>
              <w:jc w:val="left"/>
              <w:rPr/>
            </w:pPr>
            <w:r>
              <w:rPr/>
              <w:t> </w:t>
            </w:r>
          </w:p>
        </w:tc>
      </w:tr>
      <w:tr>
        <w:trPr/>
        <w:tc>
          <w:tcPr>
            <w:tcW w:w="720" w:type="dxa"/>
            <w:tcBorders/>
            <w:shd w:fill="auto" w:val="clear"/>
          </w:tcPr>
          <w:p>
            <w:pPr>
              <w:pStyle w:val="TableContents"/>
              <w:spacing w:before="0" w:after="283"/>
              <w:rPr/>
            </w:pPr>
            <w:r>
              <w:rPr/>
              <w:t xml:space="preserve">  </w:t>
            </w:r>
          </w:p>
        </w:tc>
        <w:tc>
          <w:tcPr>
            <w:tcW w:w="839"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99.3</w:t>
            </w:r>
          </w:p>
        </w:tc>
        <w:tc>
          <w:tcPr>
            <w:tcW w:w="8646"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Lock-Up Agreement dated August 11, 2011 by Vulcan Energy Corporation in favor of Plains All American Pipeline, L.P.</w:t>
            </w:r>
          </w:p>
        </w:tc>
      </w:tr>
    </w:tbl>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65" w:name="PGBRK7"/>
      <w:bookmarkStart w:id="66" w:name="PGBRK7"/>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7" w:name="FTR7"/>
      <w:bookmarkStart w:id="68" w:name="FTR7"/>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9" w:name="GLFTR7"/>
      <w:bookmarkEnd w:id="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b w:val="false"/>
          <w:sz w:val="20"/>
        </w:rPr>
      </w:pPr>
      <w:bookmarkStart w:id="70" w:name="PN7"/>
      <w:bookmarkEnd w:id="70"/>
      <w:r>
        <w:rPr>
          <w:rFonts w:ascii="Times New Roman;serif" w:hAnsi="Times New Roman;serif"/>
          <w:b w:val="false"/>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1" w:name="HDR7"/>
      <w:bookmarkStart w:id="72" w:name="HDR7"/>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3" w:name="GLHDR7"/>
      <w:bookmarkEnd w:id="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726503105</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tbl>
      <w:tblPr>
        <w:tblW w:w="5000" w:type="pct"/>
        <w:jc w:val="left"/>
        <w:tblInd w:w="0" w:type="dxa"/>
        <w:tblCellMar>
          <w:top w:w="0" w:type="dxa"/>
          <w:left w:w="0" w:type="dxa"/>
          <w:bottom w:w="0" w:type="dxa"/>
          <w:right w:w="0" w:type="dxa"/>
        </w:tblCellMar>
      </w:tblPr>
      <w:tblGrid>
        <w:gridCol w:w="719"/>
        <w:gridCol w:w="839"/>
        <w:gridCol w:w="8647"/>
      </w:tblGrid>
      <w:tr>
        <w:trPr/>
        <w:tc>
          <w:tcPr>
            <w:tcW w:w="719" w:type="dxa"/>
            <w:tcBorders/>
            <w:shd w:fill="auto" w:val="clear"/>
          </w:tcPr>
          <w:p>
            <w:pPr>
              <w:pStyle w:val="TableContents"/>
              <w:spacing w:before="0" w:after="283"/>
              <w:rPr/>
            </w:pPr>
            <w:r>
              <w:rPr/>
              <w:t xml:space="preserve">  </w:t>
            </w:r>
          </w:p>
        </w:tc>
        <w:tc>
          <w:tcPr>
            <w:tcW w:w="839"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99.4</w:t>
            </w:r>
          </w:p>
        </w:tc>
        <w:tc>
          <w:tcPr>
            <w:tcW w:w="864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Lock-Up Agreement dated August 11, 2011 by Vulcan Capital Private Equity I LLC in favor of Plains All American Pipeline, L.P.</w:t>
            </w:r>
          </w:p>
        </w:tc>
      </w:tr>
      <w:tr>
        <w:trPr/>
        <w:tc>
          <w:tcPr>
            <w:tcW w:w="719" w:type="dxa"/>
            <w:tcBorders/>
            <w:shd w:fill="auto" w:val="clear"/>
          </w:tcPr>
          <w:p>
            <w:pPr>
              <w:pStyle w:val="TableContents"/>
              <w:spacing w:before="0" w:after="283"/>
              <w:rPr/>
            </w:pPr>
            <w:r>
              <w:rPr/>
              <w:t> </w:t>
            </w:r>
          </w:p>
        </w:tc>
        <w:tc>
          <w:tcPr>
            <w:tcW w:w="839" w:type="dxa"/>
            <w:tcBorders/>
            <w:shd w:fill="auto" w:val="clear"/>
          </w:tcPr>
          <w:p>
            <w:pPr>
              <w:pStyle w:val="TableContents"/>
              <w:spacing w:before="0" w:after="283"/>
              <w:jc w:val="left"/>
              <w:rPr/>
            </w:pPr>
            <w:r>
              <w:rPr/>
              <w:t> </w:t>
            </w:r>
          </w:p>
        </w:tc>
        <w:tc>
          <w:tcPr>
            <w:tcW w:w="8647" w:type="dxa"/>
            <w:tcBorders/>
            <w:shd w:fill="auto" w:val="clear"/>
          </w:tcPr>
          <w:p>
            <w:pPr>
              <w:pStyle w:val="TableContents"/>
              <w:spacing w:before="0" w:after="283"/>
              <w:jc w:val="left"/>
              <w:rPr/>
            </w:pPr>
            <w:r>
              <w:rPr/>
              <w:t> </w:t>
            </w:r>
          </w:p>
        </w:tc>
      </w:tr>
      <w:tr>
        <w:trPr/>
        <w:tc>
          <w:tcPr>
            <w:tcW w:w="719" w:type="dxa"/>
            <w:tcBorders/>
            <w:shd w:fill="auto" w:val="clear"/>
          </w:tcPr>
          <w:p>
            <w:pPr>
              <w:pStyle w:val="TableContents"/>
              <w:spacing w:before="0" w:after="283"/>
              <w:rPr/>
            </w:pPr>
            <w:r>
              <w:rPr/>
              <w:t xml:space="preserve">  </w:t>
            </w:r>
          </w:p>
        </w:tc>
        <w:tc>
          <w:tcPr>
            <w:tcW w:w="839"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99.5</w:t>
            </w:r>
          </w:p>
        </w:tc>
        <w:tc>
          <w:tcPr>
            <w:tcW w:w="864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Lock-Up Agreement dated August 11, 2011 by Vulcan Capital Private Equity II LLC in favor of Plains All American Pipeline, L.P.</w:t>
            </w:r>
          </w:p>
        </w:tc>
      </w:tr>
    </w:tbl>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74" w:name="PGBRK8"/>
      <w:bookmarkStart w:id="75" w:name="PGBRK8"/>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6" w:name="FTR8"/>
      <w:bookmarkStart w:id="77" w:name="FTR8"/>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8" w:name="GLFTR8"/>
      <w:bookmarkEnd w:id="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b w:val="false"/>
          <w:sz w:val="20"/>
        </w:rPr>
      </w:pPr>
      <w:bookmarkStart w:id="79" w:name="PN8"/>
      <w:bookmarkEnd w:id="79"/>
      <w:r>
        <w:rPr>
          <w:rFonts w:ascii="Times New Roman;serif" w:hAnsi="Times New Roman;serif"/>
          <w:b w:val="false"/>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0" w:name="HDR8"/>
      <w:bookmarkStart w:id="81" w:name="HDR8"/>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2" w:name="GLHDR8"/>
      <w:bookmarkEnd w:id="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SIGNATURES</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720" w:right="0" w:hanging="0"/>
        <w:jc w:val="both"/>
        <w:rPr>
          <w:rFonts w:ascii="Times New Roman;serif" w:hAnsi="Times New Roman;serif"/>
          <w:b w:val="false"/>
          <w:sz w:val="22"/>
        </w:rPr>
      </w:pPr>
      <w:bookmarkStart w:id="83" w:name="TAB1"/>
      <w:bookmarkEnd w:id="83"/>
      <w:r>
        <w:rPr>
          <w:rFonts w:ascii="Times New Roman;serif" w:hAnsi="Times New Roman;serif"/>
          <w:b w:val="false"/>
          <w:sz w:val="22"/>
        </w:rPr>
        <w:t>After reasonable inquiry and to the best of his knowledge and belief, the undersigned certifies that the information set forth in this Statement is true, complete and correct.</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both"/>
        <w:rPr>
          <w:rFonts w:ascii="Times New Roman;serif" w:hAnsi="Times New Roman;serif"/>
          <w:b w:val="false"/>
          <w:sz w:val="22"/>
        </w:rPr>
      </w:pPr>
      <w:r>
        <w:rPr>
          <w:rFonts w:ascii="Times New Roman;serif" w:hAnsi="Times New Roman;serif"/>
          <w:b w:val="false"/>
          <w:sz w:val="22"/>
        </w:rPr>
        <w:t>Date:  August 24, 2011</w:t>
      </w:r>
    </w:p>
    <w:p>
      <w:pPr>
        <w:pStyle w:val="TextBody"/>
        <w:spacing w:before="0" w:after="0"/>
        <w:ind w:left="0" w:right="0" w:hanging="0"/>
        <w:jc w:val="left"/>
        <w:rPr/>
      </w:pPr>
      <w:r>
        <w:rPr/>
        <w:t> </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tbl>
      <w:tblPr>
        <w:tblW w:w="5000" w:type="pct"/>
        <w:jc w:val="left"/>
        <w:tblInd w:w="0" w:type="dxa"/>
        <w:tblCellMar>
          <w:top w:w="0" w:type="dxa"/>
          <w:left w:w="0" w:type="dxa"/>
          <w:bottom w:w="0" w:type="dxa"/>
          <w:right w:w="0" w:type="dxa"/>
        </w:tblCellMar>
      </w:tblPr>
      <w:tblGrid>
        <w:gridCol w:w="6170"/>
        <w:gridCol w:w="4035"/>
      </w:tblGrid>
      <w:tr>
        <w:trPr/>
        <w:tc>
          <w:tcPr>
            <w:tcW w:w="6170" w:type="dxa"/>
            <w:tcBorders/>
            <w:shd w:fill="auto" w:val="clear"/>
          </w:tcPr>
          <w:p>
            <w:pPr>
              <w:pStyle w:val="TableContents"/>
              <w:spacing w:before="0" w:after="283"/>
              <w:rPr/>
            </w:pPr>
            <w:r>
              <w:rPr/>
              <w:t xml:space="preserve">  </w:t>
            </w:r>
          </w:p>
        </w:tc>
        <w:tc>
          <w:tcPr>
            <w:tcW w:w="4035" w:type="dxa"/>
            <w:tcBorders>
              <w:bottom w:val="single" w:sz="6" w:space="0" w:color="000000"/>
            </w:tcBorders>
            <w:shd w:fill="auto" w:val="clear"/>
            <w:tcMar>
              <w:bottom w:w="28" w:type="dxa"/>
            </w:tcM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/s/ William L. McGrath</w:t>
            </w:r>
          </w:p>
        </w:tc>
      </w:tr>
      <w:tr>
        <w:trPr/>
        <w:tc>
          <w:tcPr>
            <w:tcW w:w="6170" w:type="dxa"/>
            <w:tcBorders/>
            <w:shd w:fill="auto" w:val="clear"/>
          </w:tcPr>
          <w:p>
            <w:pPr>
              <w:pStyle w:val="TableContents"/>
              <w:spacing w:before="0" w:after="283"/>
              <w:rPr/>
            </w:pPr>
            <w:r>
              <w:rPr/>
              <w:t xml:space="preserve">  </w:t>
            </w:r>
          </w:p>
        </w:tc>
        <w:tc>
          <w:tcPr>
            <w:tcW w:w="4035"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William L. McGrath</w:t>
            </w:r>
          </w:p>
        </w:tc>
      </w:tr>
      <w:tr>
        <w:trPr/>
        <w:tc>
          <w:tcPr>
            <w:tcW w:w="6170" w:type="dxa"/>
            <w:tcBorders/>
            <w:shd w:fill="auto" w:val="clear"/>
          </w:tcPr>
          <w:p>
            <w:pPr>
              <w:pStyle w:val="TableContents"/>
              <w:spacing w:before="0" w:after="283"/>
              <w:rPr/>
            </w:pPr>
            <w:r>
              <w:rPr/>
              <w:t xml:space="preserve">  </w:t>
            </w:r>
          </w:p>
        </w:tc>
        <w:tc>
          <w:tcPr>
            <w:tcW w:w="4035"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As Attorney-in-fact for Paul G. Allen</w:t>
            </w:r>
          </w:p>
        </w:tc>
      </w:tr>
    </w:tbl>
    <w:p>
      <w:pPr>
        <w:pStyle w:val="TextBody"/>
        <w:ind w:left="0" w:right="0" w:hanging="0"/>
        <w:jc w:val="left"/>
        <w:rPr>
          <w:rFonts w:ascii="times new roman;serif" w:hAnsi="times new roman;serif"/>
          <w:b w:val="false"/>
          <w:sz w:val="22"/>
        </w:rPr>
      </w:pPr>
      <w:r>
        <w:rPr>
          <w:rFonts w:ascii="times new roman;serif" w:hAnsi="times new roman;serif"/>
          <w:b w:val="false"/>
          <w:sz w:val="22"/>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left"/>
        <w:rPr/>
      </w:pPr>
      <w:r>
        <w:rPr/>
      </w:r>
      <w:bookmarkStart w:id="84" w:name="PGBRK9"/>
      <w:bookmarkStart w:id="85" w:name="PGBRK9"/>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86" w:name="FTR9"/>
      <w:bookmarkStart w:id="87" w:name="FTR9"/>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88" w:name="GLFTR9"/>
      <w:bookmarkEnd w:id="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9" w:name="PN9"/>
      <w:bookmarkEnd w:id="8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90" w:name="HDR9"/>
      <w:bookmarkStart w:id="91" w:name="HDR9"/>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92" w:name="GLHDR9"/>
      <w:bookmarkEnd w:id="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SIGNATURES</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720" w:right="0" w:hanging="0"/>
        <w:jc w:val="both"/>
        <w:rPr>
          <w:rFonts w:ascii="Times New Roman;serif" w:hAnsi="Times New Roman;serif"/>
          <w:b w:val="false"/>
          <w:sz w:val="22"/>
        </w:rPr>
      </w:pPr>
      <w:bookmarkStart w:id="93" w:name="TAB11"/>
      <w:bookmarkEnd w:id="93"/>
      <w:r>
        <w:rPr>
          <w:rFonts w:ascii="Times New Roman;serif" w:hAnsi="Times New Roman;serif"/>
          <w:b w:val="false"/>
          <w:sz w:val="22"/>
        </w:rPr>
        <w:t>After reasonable inquiry and to the best of his knowledge and belief, the undersigned certifies that the information set forth in this Statement is true, complete and correct.</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both"/>
        <w:rPr>
          <w:rFonts w:ascii="Times New Roman;serif" w:hAnsi="Times New Roman;serif"/>
          <w:b w:val="false"/>
          <w:sz w:val="22"/>
        </w:rPr>
      </w:pPr>
      <w:r>
        <w:rPr>
          <w:rFonts w:ascii="Times New Roman;serif" w:hAnsi="Times New Roman;serif"/>
          <w:b w:val="false"/>
          <w:sz w:val="22"/>
        </w:rPr>
        <w:t>Date: August 24, 2011</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tbl>
      <w:tblPr>
        <w:tblW w:w="5000" w:type="pct"/>
        <w:jc w:val="left"/>
        <w:tblInd w:w="0" w:type="dxa"/>
        <w:tblCellMar>
          <w:top w:w="0" w:type="dxa"/>
          <w:left w:w="0" w:type="dxa"/>
          <w:bottom w:w="0" w:type="dxa"/>
          <w:right w:w="0" w:type="dxa"/>
        </w:tblCellMar>
      </w:tblPr>
      <w:tblGrid>
        <w:gridCol w:w="6004"/>
        <w:gridCol w:w="600"/>
        <w:gridCol w:w="960"/>
        <w:gridCol w:w="2641"/>
      </w:tblGrid>
      <w:tr>
        <w:trPr/>
        <w:tc>
          <w:tcPr>
            <w:tcW w:w="6004" w:type="dxa"/>
            <w:tcBorders/>
            <w:shd w:fill="auto" w:val="clear"/>
          </w:tcPr>
          <w:p>
            <w:pPr>
              <w:pStyle w:val="TableContents"/>
              <w:spacing w:before="0" w:after="283"/>
              <w:rPr/>
            </w:pPr>
            <w:r>
              <w:rPr/>
              <w:t xml:space="preserve">  </w:t>
            </w:r>
          </w:p>
        </w:tc>
        <w:tc>
          <w:tcPr>
            <w:tcW w:w="4201"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VULCAN CAPITAL PRIVATE EQUITY INC.</w:t>
            </w:r>
          </w:p>
        </w:tc>
      </w:tr>
      <w:tr>
        <w:trPr/>
        <w:tc>
          <w:tcPr>
            <w:tcW w:w="6004" w:type="dxa"/>
            <w:tcBorders/>
            <w:shd w:fill="auto" w:val="clear"/>
          </w:tcPr>
          <w:p>
            <w:pPr>
              <w:pStyle w:val="TableContents"/>
              <w:spacing w:before="0" w:after="283"/>
              <w:rPr/>
            </w:pPr>
            <w:r>
              <w:rPr/>
              <w:t xml:space="preserve">  </w:t>
            </w:r>
          </w:p>
        </w:tc>
        <w:tc>
          <w:tcPr>
            <w:tcW w:w="4201" w:type="dxa"/>
            <w:gridSpan w:val="3"/>
            <w:tcBorders/>
            <w:shd w:fill="auto" w:val="clear"/>
          </w:tcPr>
          <w:p>
            <w:pPr>
              <w:pStyle w:val="TableContents"/>
              <w:spacing w:before="0" w:after="283"/>
              <w:rPr/>
            </w:pPr>
            <w:r>
              <w:rPr/>
              <w:t xml:space="preserve">  </w:t>
            </w:r>
          </w:p>
        </w:tc>
      </w:tr>
      <w:tr>
        <w:trPr/>
        <w:tc>
          <w:tcPr>
            <w:tcW w:w="6004" w:type="dxa"/>
            <w:tcBorders/>
            <w:shd w:fill="auto" w:val="clear"/>
          </w:tcPr>
          <w:p>
            <w:pPr>
              <w:pStyle w:val="TableContents"/>
              <w:spacing w:before="0" w:after="283"/>
              <w:rPr/>
            </w:pPr>
            <w:r>
              <w:rPr/>
              <w:t xml:space="preserve">  </w:t>
            </w:r>
          </w:p>
        </w:tc>
        <w:tc>
          <w:tcPr>
            <w:tcW w:w="4201" w:type="dxa"/>
            <w:gridSpan w:val="3"/>
            <w:tcBorders/>
            <w:shd w:fill="auto" w:val="clear"/>
          </w:tcPr>
          <w:p>
            <w:pPr>
              <w:pStyle w:val="TableContents"/>
              <w:spacing w:before="0" w:after="283"/>
              <w:rPr/>
            </w:pPr>
            <w:r>
              <w:rPr/>
              <w:t xml:space="preserve">  </w:t>
            </w:r>
          </w:p>
        </w:tc>
      </w:tr>
      <w:tr>
        <w:trPr/>
        <w:tc>
          <w:tcPr>
            <w:tcW w:w="6004" w:type="dxa"/>
            <w:tcBorders/>
            <w:shd w:fill="auto" w:val="clear"/>
          </w:tcPr>
          <w:p>
            <w:pPr>
              <w:pStyle w:val="TableContents"/>
              <w:spacing w:before="0" w:after="283"/>
              <w:rPr/>
            </w:pPr>
            <w:r>
              <w:rPr/>
              <w:t xml:space="preserve">  </w:t>
            </w:r>
          </w:p>
        </w:tc>
        <w:tc>
          <w:tcPr>
            <w:tcW w:w="600"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3601" w:type="dxa"/>
            <w:gridSpan w:val="2"/>
            <w:tcBorders>
              <w:bottom w:val="single" w:sz="6" w:space="0" w:color="000000"/>
            </w:tcBorders>
            <w:shd w:fill="auto" w:val="clear"/>
            <w:tcMar>
              <w:bottom w:w="28" w:type="dxa"/>
            </w:tcM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/s/ William L. McGrath</w:t>
            </w:r>
          </w:p>
        </w:tc>
      </w:tr>
      <w:tr>
        <w:trPr/>
        <w:tc>
          <w:tcPr>
            <w:tcW w:w="6004" w:type="dxa"/>
            <w:tcBorders/>
            <w:shd w:fill="auto" w:val="clear"/>
          </w:tcPr>
          <w:p>
            <w:pPr>
              <w:pStyle w:val="TableContents"/>
              <w:spacing w:before="0" w:after="283"/>
              <w:rPr/>
            </w:pPr>
            <w:r>
              <w:rPr/>
              <w:t xml:space="preserve">  </w:t>
            </w:r>
          </w:p>
        </w:tc>
        <w:tc>
          <w:tcPr>
            <w:tcW w:w="600" w:type="dxa"/>
            <w:tcBorders/>
            <w:shd w:fill="auto" w:val="clear"/>
          </w:tcPr>
          <w:p>
            <w:pPr>
              <w:pStyle w:val="TableContents"/>
              <w:spacing w:before="0" w:after="283"/>
              <w:rPr/>
            </w:pPr>
            <w:r>
              <w:rPr/>
              <w:t xml:space="preserve">  </w:t>
            </w:r>
          </w:p>
        </w:tc>
        <w:tc>
          <w:tcPr>
            <w:tcW w:w="960"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w:t>
            </w:r>
          </w:p>
        </w:tc>
        <w:tc>
          <w:tcPr>
            <w:tcW w:w="2641"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William L. McGrath</w:t>
            </w:r>
          </w:p>
        </w:tc>
      </w:tr>
      <w:tr>
        <w:trPr/>
        <w:tc>
          <w:tcPr>
            <w:tcW w:w="6004" w:type="dxa"/>
            <w:tcBorders/>
            <w:shd w:fill="auto" w:val="clear"/>
          </w:tcPr>
          <w:p>
            <w:pPr>
              <w:pStyle w:val="TableContents"/>
              <w:spacing w:before="0" w:after="283"/>
              <w:rPr/>
            </w:pPr>
            <w:r>
              <w:rPr/>
              <w:t xml:space="preserve">  </w:t>
            </w:r>
          </w:p>
        </w:tc>
        <w:tc>
          <w:tcPr>
            <w:tcW w:w="600" w:type="dxa"/>
            <w:tcBorders/>
            <w:shd w:fill="auto" w:val="clear"/>
          </w:tcPr>
          <w:p>
            <w:pPr>
              <w:pStyle w:val="TableContents"/>
              <w:spacing w:before="0" w:after="283"/>
              <w:rPr/>
            </w:pPr>
            <w:r>
              <w:rPr/>
              <w:t xml:space="preserve">  </w:t>
            </w:r>
          </w:p>
        </w:tc>
        <w:tc>
          <w:tcPr>
            <w:tcW w:w="960"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w:t>
            </w:r>
          </w:p>
        </w:tc>
        <w:tc>
          <w:tcPr>
            <w:tcW w:w="2641"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 and Secretary</w:t>
            </w:r>
          </w:p>
        </w:tc>
      </w:tr>
    </w:tbl>
    <w:p>
      <w:pPr>
        <w:pStyle w:val="TextBody"/>
        <w:spacing w:before="0" w:after="0"/>
        <w:ind w:left="0" w:right="0" w:hanging="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94" w:name="PGBRK10"/>
      <w:bookmarkStart w:id="95" w:name="PGBRK10"/>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96" w:name="FTR10"/>
      <w:bookmarkStart w:id="97" w:name="FTR10"/>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8" w:name="GLFTR10"/>
      <w:bookmarkEnd w:id="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9" w:name="PN10"/>
      <w:bookmarkEnd w:id="9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00" w:name="HDR10"/>
      <w:bookmarkStart w:id="101" w:name="HDR10"/>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2" w:name="GLHDR10"/>
      <w:bookmarkEnd w:id="1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SIGNATURES</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720" w:right="0" w:hanging="0"/>
        <w:jc w:val="both"/>
        <w:rPr>
          <w:rFonts w:ascii="Times New Roman;serif" w:hAnsi="Times New Roman;serif"/>
          <w:b w:val="false"/>
          <w:sz w:val="22"/>
        </w:rPr>
      </w:pPr>
      <w:bookmarkStart w:id="103" w:name="TAB12"/>
      <w:bookmarkEnd w:id="103"/>
      <w:r>
        <w:rPr>
          <w:rFonts w:ascii="Times New Roman;serif" w:hAnsi="Times New Roman;serif"/>
          <w:b w:val="false"/>
          <w:sz w:val="22"/>
        </w:rPr>
        <w:t>After reasonable inquiry and to the best of his knowledge and belief, the undersigned certifies that the information set forth in this Statement is true, complete and correct.</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both"/>
        <w:rPr>
          <w:rFonts w:ascii="Times New Roman;serif" w:hAnsi="Times New Roman;serif"/>
          <w:b w:val="false"/>
          <w:sz w:val="22"/>
        </w:rPr>
      </w:pPr>
      <w:r>
        <w:rPr>
          <w:rFonts w:ascii="Times New Roman;serif" w:hAnsi="Times New Roman;serif"/>
          <w:b w:val="false"/>
          <w:sz w:val="22"/>
        </w:rPr>
        <w:t>Date:  August 24, 2011</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tbl>
      <w:tblPr>
        <w:tblW w:w="5000" w:type="pct"/>
        <w:jc w:val="left"/>
        <w:tblInd w:w="0" w:type="dxa"/>
        <w:tblCellMar>
          <w:top w:w="0" w:type="dxa"/>
          <w:left w:w="0" w:type="dxa"/>
          <w:bottom w:w="0" w:type="dxa"/>
          <w:right w:w="0" w:type="dxa"/>
        </w:tblCellMar>
      </w:tblPr>
      <w:tblGrid>
        <w:gridCol w:w="5934"/>
        <w:gridCol w:w="711"/>
        <w:gridCol w:w="949"/>
        <w:gridCol w:w="2611"/>
      </w:tblGrid>
      <w:tr>
        <w:trPr/>
        <w:tc>
          <w:tcPr>
            <w:tcW w:w="5934" w:type="dxa"/>
            <w:tcBorders/>
            <w:shd w:fill="auto" w:val="clear"/>
          </w:tcPr>
          <w:p>
            <w:pPr>
              <w:pStyle w:val="TableContents"/>
              <w:spacing w:before="0" w:after="283"/>
              <w:rPr/>
            </w:pPr>
            <w:r>
              <w:rPr/>
              <w:t xml:space="preserve">  </w:t>
            </w:r>
          </w:p>
        </w:tc>
        <w:tc>
          <w:tcPr>
            <w:tcW w:w="4271"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VULCAN CAPITAL PRIVATE EQUITY MANAGEMENT I LLC</w:t>
            </w:r>
          </w:p>
        </w:tc>
      </w:tr>
      <w:tr>
        <w:trPr/>
        <w:tc>
          <w:tcPr>
            <w:tcW w:w="5934" w:type="dxa"/>
            <w:tcBorders/>
            <w:shd w:fill="auto" w:val="clear"/>
          </w:tcPr>
          <w:p>
            <w:pPr>
              <w:pStyle w:val="TableContents"/>
              <w:spacing w:before="0" w:after="283"/>
              <w:rPr/>
            </w:pPr>
            <w:r>
              <w:rPr/>
              <w:t xml:space="preserve">  </w:t>
            </w:r>
          </w:p>
        </w:tc>
        <w:tc>
          <w:tcPr>
            <w:tcW w:w="4271" w:type="dxa"/>
            <w:gridSpan w:val="3"/>
            <w:tcBorders/>
            <w:shd w:fill="auto" w:val="clear"/>
          </w:tcPr>
          <w:p>
            <w:pPr>
              <w:pStyle w:val="TableContents"/>
              <w:spacing w:before="0" w:after="283"/>
              <w:rPr/>
            </w:pPr>
            <w:r>
              <w:rPr/>
              <w:t xml:space="preserve">  </w:t>
            </w:r>
          </w:p>
        </w:tc>
      </w:tr>
      <w:tr>
        <w:trPr/>
        <w:tc>
          <w:tcPr>
            <w:tcW w:w="5934" w:type="dxa"/>
            <w:tcBorders/>
            <w:shd w:fill="auto" w:val="clear"/>
          </w:tcPr>
          <w:p>
            <w:pPr>
              <w:pStyle w:val="TableContents"/>
              <w:spacing w:before="0" w:after="283"/>
              <w:rPr/>
            </w:pPr>
            <w:r>
              <w:rPr/>
              <w:t xml:space="preserve">  </w:t>
            </w:r>
          </w:p>
        </w:tc>
        <w:tc>
          <w:tcPr>
            <w:tcW w:w="4271" w:type="dxa"/>
            <w:gridSpan w:val="3"/>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Vulcan Capital Private Equity Inc., its managing member</w:t>
            </w:r>
          </w:p>
        </w:tc>
      </w:tr>
      <w:tr>
        <w:trPr/>
        <w:tc>
          <w:tcPr>
            <w:tcW w:w="5934" w:type="dxa"/>
            <w:tcBorders/>
            <w:shd w:fill="auto" w:val="clear"/>
          </w:tcPr>
          <w:p>
            <w:pPr>
              <w:pStyle w:val="TableContents"/>
              <w:spacing w:before="0" w:after="283"/>
              <w:rPr/>
            </w:pPr>
            <w:r>
              <w:rPr/>
              <w:t xml:space="preserve">  </w:t>
            </w:r>
          </w:p>
        </w:tc>
        <w:tc>
          <w:tcPr>
            <w:tcW w:w="4271" w:type="dxa"/>
            <w:gridSpan w:val="3"/>
            <w:tcBorders/>
            <w:shd w:fill="auto" w:val="clear"/>
          </w:tcPr>
          <w:p>
            <w:pPr>
              <w:pStyle w:val="TableContents"/>
              <w:spacing w:before="0" w:after="283"/>
              <w:rPr/>
            </w:pPr>
            <w:r>
              <w:rPr/>
              <w:t xml:space="preserve">  </w:t>
            </w:r>
          </w:p>
        </w:tc>
      </w:tr>
      <w:tr>
        <w:trPr/>
        <w:tc>
          <w:tcPr>
            <w:tcW w:w="5934" w:type="dxa"/>
            <w:tcBorders/>
            <w:shd w:fill="auto" w:val="clear"/>
          </w:tcPr>
          <w:p>
            <w:pPr>
              <w:pStyle w:val="TableContents"/>
              <w:spacing w:before="0" w:after="283"/>
              <w:rPr/>
            </w:pPr>
            <w:r>
              <w:rPr/>
              <w:t xml:space="preserve">  </w:t>
            </w:r>
          </w:p>
        </w:tc>
        <w:tc>
          <w:tcPr>
            <w:tcW w:w="4271" w:type="dxa"/>
            <w:gridSpan w:val="3"/>
            <w:tcBorders/>
            <w:shd w:fill="auto" w:val="clear"/>
          </w:tcPr>
          <w:p>
            <w:pPr>
              <w:pStyle w:val="TableContents"/>
              <w:spacing w:before="0" w:after="283"/>
              <w:rPr/>
            </w:pPr>
            <w:r>
              <w:rPr/>
              <w:t xml:space="preserve">  </w:t>
            </w:r>
          </w:p>
        </w:tc>
      </w:tr>
      <w:tr>
        <w:trPr/>
        <w:tc>
          <w:tcPr>
            <w:tcW w:w="5934" w:type="dxa"/>
            <w:tcBorders/>
            <w:shd w:fill="auto" w:val="clear"/>
          </w:tcPr>
          <w:p>
            <w:pPr>
              <w:pStyle w:val="TableContents"/>
              <w:spacing w:before="0" w:after="283"/>
              <w:rPr/>
            </w:pPr>
            <w:r>
              <w:rPr/>
              <w:t xml:space="preserve">  </w:t>
            </w:r>
          </w:p>
        </w:tc>
        <w:tc>
          <w:tcPr>
            <w:tcW w:w="711"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3560" w:type="dxa"/>
            <w:gridSpan w:val="2"/>
            <w:tcBorders>
              <w:bottom w:val="single" w:sz="6" w:space="0" w:color="000000"/>
            </w:tcBorders>
            <w:shd w:fill="auto" w:val="clear"/>
            <w:tcMar>
              <w:bottom w:w="28" w:type="dxa"/>
            </w:tcM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/s/ William L. McGrath</w:t>
            </w:r>
          </w:p>
        </w:tc>
      </w:tr>
      <w:tr>
        <w:trPr/>
        <w:tc>
          <w:tcPr>
            <w:tcW w:w="5934" w:type="dxa"/>
            <w:tcBorders/>
            <w:shd w:fill="auto" w:val="clear"/>
          </w:tcPr>
          <w:p>
            <w:pPr>
              <w:pStyle w:val="TableContents"/>
              <w:spacing w:before="0" w:after="283"/>
              <w:rPr/>
            </w:pPr>
            <w:r>
              <w:rPr/>
              <w:t xml:space="preserve">  </w:t>
            </w:r>
          </w:p>
        </w:tc>
        <w:tc>
          <w:tcPr>
            <w:tcW w:w="711" w:type="dxa"/>
            <w:tcBorders/>
            <w:shd w:fill="auto" w:val="clear"/>
          </w:tcPr>
          <w:p>
            <w:pPr>
              <w:pStyle w:val="TableContents"/>
              <w:spacing w:before="0" w:after="283"/>
              <w:rPr/>
            </w:pPr>
            <w:r>
              <w:rPr/>
              <w:t xml:space="preserve">  </w:t>
            </w:r>
          </w:p>
        </w:tc>
        <w:tc>
          <w:tcPr>
            <w:tcW w:w="949"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w:t>
            </w:r>
          </w:p>
        </w:tc>
        <w:tc>
          <w:tcPr>
            <w:tcW w:w="2611"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William L. McGrath</w:t>
            </w:r>
          </w:p>
        </w:tc>
      </w:tr>
      <w:tr>
        <w:trPr/>
        <w:tc>
          <w:tcPr>
            <w:tcW w:w="5934" w:type="dxa"/>
            <w:tcBorders/>
            <w:shd w:fill="auto" w:val="clear"/>
          </w:tcPr>
          <w:p>
            <w:pPr>
              <w:pStyle w:val="TableContents"/>
              <w:spacing w:before="0" w:after="283"/>
              <w:rPr/>
            </w:pPr>
            <w:r>
              <w:rPr/>
              <w:t xml:space="preserve">  </w:t>
            </w:r>
          </w:p>
        </w:tc>
        <w:tc>
          <w:tcPr>
            <w:tcW w:w="711" w:type="dxa"/>
            <w:tcBorders/>
            <w:shd w:fill="auto" w:val="clear"/>
          </w:tcPr>
          <w:p>
            <w:pPr>
              <w:pStyle w:val="TableContents"/>
              <w:spacing w:before="0" w:after="283"/>
              <w:rPr/>
            </w:pPr>
            <w:r>
              <w:rPr/>
              <w:t xml:space="preserve">  </w:t>
            </w:r>
          </w:p>
        </w:tc>
        <w:tc>
          <w:tcPr>
            <w:tcW w:w="949"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w:t>
            </w:r>
          </w:p>
        </w:tc>
        <w:tc>
          <w:tcPr>
            <w:tcW w:w="2611"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 and Secretary</w:t>
            </w:r>
          </w:p>
        </w:tc>
      </w:tr>
    </w:tbl>
    <w:p>
      <w:pPr>
        <w:pStyle w:val="TextBody"/>
        <w:ind w:left="0" w:right="0" w:hanging="0"/>
        <w:jc w:val="left"/>
        <w:rPr>
          <w:rFonts w:ascii="times new roman;serif" w:hAnsi="times new roman;serif"/>
          <w:b w:val="false"/>
          <w:sz w:val="22"/>
        </w:rPr>
      </w:pPr>
      <w:r>
        <w:rPr>
          <w:rFonts w:ascii="times new roman;serif" w:hAnsi="times new roman;serif"/>
          <w:b w:val="false"/>
          <w:sz w:val="22"/>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left"/>
        <w:rPr/>
      </w:pPr>
      <w:r>
        <w:rPr/>
      </w:r>
      <w:bookmarkStart w:id="104" w:name="PGBRK11"/>
      <w:bookmarkStart w:id="105" w:name="PGBRK11"/>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106" w:name="FTR11"/>
      <w:bookmarkStart w:id="107" w:name="FTR11"/>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08" w:name="GLFTR11"/>
      <w:bookmarkEnd w:id="1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9" w:name="PN11"/>
      <w:bookmarkEnd w:id="10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110" w:name="HDR11"/>
      <w:bookmarkStart w:id="111" w:name="HDR11"/>
      <w:bookmarkEnd w:id="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12" w:name="GLHDR11"/>
      <w:bookmarkEnd w:id="1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SIGNATURES</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720" w:right="0" w:hanging="0"/>
        <w:jc w:val="both"/>
        <w:rPr>
          <w:rFonts w:ascii="Times New Roman;serif" w:hAnsi="Times New Roman;serif"/>
          <w:b w:val="false"/>
          <w:sz w:val="22"/>
        </w:rPr>
      </w:pPr>
      <w:bookmarkStart w:id="113" w:name="TAB13"/>
      <w:bookmarkEnd w:id="113"/>
      <w:r>
        <w:rPr>
          <w:rFonts w:ascii="Times New Roman;serif" w:hAnsi="Times New Roman;serif"/>
          <w:b w:val="false"/>
          <w:sz w:val="22"/>
        </w:rPr>
        <w:t>After reasonable inquiry and to the best of his knowledge and belief, the undersigned certifies that the information set forth in this Statement is true, complete and correct.</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both"/>
        <w:rPr>
          <w:rFonts w:ascii="Times New Roman;serif" w:hAnsi="Times New Roman;serif"/>
          <w:b w:val="false"/>
          <w:sz w:val="22"/>
        </w:rPr>
      </w:pPr>
      <w:r>
        <w:rPr>
          <w:rFonts w:ascii="Times New Roman;serif" w:hAnsi="Times New Roman;serif"/>
          <w:b w:val="false"/>
          <w:sz w:val="22"/>
        </w:rPr>
        <w:t>Date:  August 24, 2011</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tbl>
      <w:tblPr>
        <w:tblW w:w="5000" w:type="pct"/>
        <w:jc w:val="left"/>
        <w:tblInd w:w="0" w:type="dxa"/>
        <w:tblCellMar>
          <w:top w:w="0" w:type="dxa"/>
          <w:left w:w="0" w:type="dxa"/>
          <w:bottom w:w="0" w:type="dxa"/>
          <w:right w:w="0" w:type="dxa"/>
        </w:tblCellMar>
      </w:tblPr>
      <w:tblGrid>
        <w:gridCol w:w="5934"/>
        <w:gridCol w:w="711"/>
        <w:gridCol w:w="949"/>
        <w:gridCol w:w="2611"/>
      </w:tblGrid>
      <w:tr>
        <w:trPr/>
        <w:tc>
          <w:tcPr>
            <w:tcW w:w="5934" w:type="dxa"/>
            <w:tcBorders/>
            <w:shd w:fill="auto" w:val="clear"/>
          </w:tcPr>
          <w:p>
            <w:pPr>
              <w:pStyle w:val="TableContents"/>
              <w:spacing w:before="0" w:after="283"/>
              <w:rPr/>
            </w:pPr>
            <w:r>
              <w:rPr/>
              <w:t xml:space="preserve">  </w:t>
            </w:r>
          </w:p>
        </w:tc>
        <w:tc>
          <w:tcPr>
            <w:tcW w:w="4271"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VULCAN CAPITAL PRIVATE EQUITY I LLC</w:t>
            </w:r>
          </w:p>
        </w:tc>
      </w:tr>
      <w:tr>
        <w:trPr/>
        <w:tc>
          <w:tcPr>
            <w:tcW w:w="5934" w:type="dxa"/>
            <w:tcBorders/>
            <w:shd w:fill="auto" w:val="clear"/>
          </w:tcPr>
          <w:p>
            <w:pPr>
              <w:pStyle w:val="TableContents"/>
              <w:spacing w:before="0" w:after="283"/>
              <w:rPr/>
            </w:pPr>
            <w:r>
              <w:rPr/>
              <w:t xml:space="preserve">  </w:t>
            </w:r>
          </w:p>
        </w:tc>
        <w:tc>
          <w:tcPr>
            <w:tcW w:w="4271" w:type="dxa"/>
            <w:gridSpan w:val="3"/>
            <w:tcBorders/>
            <w:shd w:fill="auto" w:val="clear"/>
          </w:tcPr>
          <w:p>
            <w:pPr>
              <w:pStyle w:val="TableContents"/>
              <w:spacing w:before="0" w:after="283"/>
              <w:rPr/>
            </w:pPr>
            <w:r>
              <w:rPr/>
              <w:t xml:space="preserve">  </w:t>
            </w:r>
          </w:p>
        </w:tc>
      </w:tr>
      <w:tr>
        <w:trPr/>
        <w:tc>
          <w:tcPr>
            <w:tcW w:w="5934" w:type="dxa"/>
            <w:tcBorders/>
            <w:shd w:fill="auto" w:val="clear"/>
          </w:tcPr>
          <w:p>
            <w:pPr>
              <w:pStyle w:val="TableContents"/>
              <w:spacing w:before="0" w:after="283"/>
              <w:rPr/>
            </w:pPr>
            <w:r>
              <w:rPr/>
              <w:t xml:space="preserve">  </w:t>
            </w:r>
          </w:p>
        </w:tc>
        <w:tc>
          <w:tcPr>
            <w:tcW w:w="4271" w:type="dxa"/>
            <w:gridSpan w:val="3"/>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Vulcan Capital Private Equity Management I LLC, its manager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Vulcan Capital Private Equity Inc., its managing member</w:t>
            </w:r>
          </w:p>
        </w:tc>
      </w:tr>
      <w:tr>
        <w:trPr/>
        <w:tc>
          <w:tcPr>
            <w:tcW w:w="5934" w:type="dxa"/>
            <w:tcBorders/>
            <w:shd w:fill="auto" w:val="clear"/>
          </w:tcPr>
          <w:p>
            <w:pPr>
              <w:pStyle w:val="TableContents"/>
              <w:spacing w:before="0" w:after="283"/>
              <w:rPr/>
            </w:pPr>
            <w:r>
              <w:rPr/>
              <w:t xml:space="preserve">  </w:t>
            </w:r>
          </w:p>
        </w:tc>
        <w:tc>
          <w:tcPr>
            <w:tcW w:w="4271" w:type="dxa"/>
            <w:gridSpan w:val="3"/>
            <w:tcBorders/>
            <w:shd w:fill="auto" w:val="clear"/>
          </w:tcPr>
          <w:p>
            <w:pPr>
              <w:pStyle w:val="TableContents"/>
              <w:spacing w:before="0" w:after="283"/>
              <w:rPr/>
            </w:pPr>
            <w:r>
              <w:rPr/>
              <w:t xml:space="preserve">  </w:t>
            </w:r>
          </w:p>
        </w:tc>
      </w:tr>
      <w:tr>
        <w:trPr/>
        <w:tc>
          <w:tcPr>
            <w:tcW w:w="5934" w:type="dxa"/>
            <w:tcBorders/>
            <w:shd w:fill="auto" w:val="clear"/>
          </w:tcPr>
          <w:p>
            <w:pPr>
              <w:pStyle w:val="TableContents"/>
              <w:spacing w:before="0" w:after="283"/>
              <w:rPr/>
            </w:pPr>
            <w:r>
              <w:rPr/>
              <w:t xml:space="preserve">  </w:t>
            </w:r>
          </w:p>
        </w:tc>
        <w:tc>
          <w:tcPr>
            <w:tcW w:w="4271" w:type="dxa"/>
            <w:gridSpan w:val="3"/>
            <w:tcBorders/>
            <w:shd w:fill="auto" w:val="clear"/>
          </w:tcPr>
          <w:p>
            <w:pPr>
              <w:pStyle w:val="TableContents"/>
              <w:spacing w:before="0" w:after="283"/>
              <w:rPr/>
            </w:pPr>
            <w:r>
              <w:rPr/>
              <w:t xml:space="preserve">  </w:t>
            </w:r>
          </w:p>
        </w:tc>
      </w:tr>
      <w:tr>
        <w:trPr/>
        <w:tc>
          <w:tcPr>
            <w:tcW w:w="5934" w:type="dxa"/>
            <w:tcBorders/>
            <w:shd w:fill="auto" w:val="clear"/>
          </w:tcPr>
          <w:p>
            <w:pPr>
              <w:pStyle w:val="TableContents"/>
              <w:spacing w:before="0" w:after="283"/>
              <w:rPr/>
            </w:pPr>
            <w:r>
              <w:rPr/>
              <w:t xml:space="preserve">  </w:t>
            </w:r>
          </w:p>
        </w:tc>
        <w:tc>
          <w:tcPr>
            <w:tcW w:w="711"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3560" w:type="dxa"/>
            <w:gridSpan w:val="2"/>
            <w:tcBorders>
              <w:bottom w:val="single" w:sz="6" w:space="0" w:color="000000"/>
            </w:tcBorders>
            <w:shd w:fill="auto" w:val="clear"/>
            <w:tcMar>
              <w:bottom w:w="28" w:type="dxa"/>
            </w:tcM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/s/ William L. McGrath</w:t>
            </w:r>
          </w:p>
        </w:tc>
      </w:tr>
      <w:tr>
        <w:trPr/>
        <w:tc>
          <w:tcPr>
            <w:tcW w:w="5934" w:type="dxa"/>
            <w:tcBorders/>
            <w:shd w:fill="auto" w:val="clear"/>
          </w:tcPr>
          <w:p>
            <w:pPr>
              <w:pStyle w:val="TableContents"/>
              <w:spacing w:before="0" w:after="283"/>
              <w:rPr/>
            </w:pPr>
            <w:r>
              <w:rPr/>
              <w:t xml:space="preserve">  </w:t>
            </w:r>
          </w:p>
        </w:tc>
        <w:tc>
          <w:tcPr>
            <w:tcW w:w="711" w:type="dxa"/>
            <w:tcBorders/>
            <w:shd w:fill="auto" w:val="clear"/>
          </w:tcPr>
          <w:p>
            <w:pPr>
              <w:pStyle w:val="TableContents"/>
              <w:spacing w:before="0" w:after="283"/>
              <w:rPr/>
            </w:pPr>
            <w:r>
              <w:rPr/>
              <w:t xml:space="preserve">  </w:t>
            </w:r>
          </w:p>
        </w:tc>
        <w:tc>
          <w:tcPr>
            <w:tcW w:w="949"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w:t>
            </w:r>
          </w:p>
        </w:tc>
        <w:tc>
          <w:tcPr>
            <w:tcW w:w="2611"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William L. McGrath</w:t>
            </w:r>
          </w:p>
        </w:tc>
      </w:tr>
      <w:tr>
        <w:trPr/>
        <w:tc>
          <w:tcPr>
            <w:tcW w:w="5934" w:type="dxa"/>
            <w:tcBorders/>
            <w:shd w:fill="auto" w:val="clear"/>
          </w:tcPr>
          <w:p>
            <w:pPr>
              <w:pStyle w:val="TableContents"/>
              <w:spacing w:before="0" w:after="283"/>
              <w:rPr/>
            </w:pPr>
            <w:r>
              <w:rPr/>
              <w:t xml:space="preserve">  </w:t>
            </w:r>
          </w:p>
        </w:tc>
        <w:tc>
          <w:tcPr>
            <w:tcW w:w="711" w:type="dxa"/>
            <w:tcBorders/>
            <w:shd w:fill="auto" w:val="clear"/>
          </w:tcPr>
          <w:p>
            <w:pPr>
              <w:pStyle w:val="TableContents"/>
              <w:spacing w:before="0" w:after="283"/>
              <w:rPr/>
            </w:pPr>
            <w:r>
              <w:rPr/>
              <w:t xml:space="preserve">  </w:t>
            </w:r>
          </w:p>
        </w:tc>
        <w:tc>
          <w:tcPr>
            <w:tcW w:w="949"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w:t>
            </w:r>
          </w:p>
        </w:tc>
        <w:tc>
          <w:tcPr>
            <w:tcW w:w="2611"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 and Secretary</w:t>
            </w:r>
          </w:p>
        </w:tc>
      </w:tr>
    </w:tbl>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14" w:name="PGBRK12"/>
      <w:bookmarkStart w:id="115" w:name="PGBRK12"/>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16" w:name="FTR12"/>
      <w:bookmarkStart w:id="117" w:name="FTR12"/>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8" w:name="GLFTR12"/>
      <w:bookmarkEnd w:id="1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9" w:name="PN12"/>
      <w:bookmarkEnd w:id="11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20" w:name="HDR12"/>
      <w:bookmarkStart w:id="121" w:name="HDR12"/>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2" w:name="GLHDR12"/>
      <w:bookmarkEnd w:id="1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SIGNATURES</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720" w:right="0" w:hanging="0"/>
        <w:jc w:val="both"/>
        <w:rPr>
          <w:rFonts w:ascii="Times New Roman;serif" w:hAnsi="Times New Roman;serif"/>
          <w:b w:val="false"/>
          <w:sz w:val="22"/>
        </w:rPr>
      </w:pPr>
      <w:bookmarkStart w:id="123" w:name="TAB14"/>
      <w:bookmarkEnd w:id="123"/>
      <w:r>
        <w:rPr>
          <w:rFonts w:ascii="Times New Roman;serif" w:hAnsi="Times New Roman;serif"/>
          <w:b w:val="false"/>
          <w:sz w:val="22"/>
        </w:rPr>
        <w:t>After reasonable inquiry and to the best of his knowledge and belief, the undersigned certifies that the information set forth in this Statement is true, complete and correct.</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both"/>
        <w:rPr>
          <w:rFonts w:ascii="Times New Roman;serif" w:hAnsi="Times New Roman;serif"/>
          <w:b w:val="false"/>
          <w:sz w:val="22"/>
        </w:rPr>
      </w:pPr>
      <w:r>
        <w:rPr>
          <w:rFonts w:ascii="Times New Roman;serif" w:hAnsi="Times New Roman;serif"/>
          <w:b w:val="false"/>
          <w:sz w:val="22"/>
        </w:rPr>
        <w:t>Date:  August 24, 2011</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tbl>
      <w:tblPr>
        <w:tblW w:w="5000" w:type="pct"/>
        <w:jc w:val="left"/>
        <w:tblInd w:w="0" w:type="dxa"/>
        <w:tblCellMar>
          <w:top w:w="0" w:type="dxa"/>
          <w:left w:w="0" w:type="dxa"/>
          <w:bottom w:w="0" w:type="dxa"/>
          <w:right w:w="0" w:type="dxa"/>
        </w:tblCellMar>
      </w:tblPr>
      <w:tblGrid>
        <w:gridCol w:w="5934"/>
        <w:gridCol w:w="711"/>
        <w:gridCol w:w="949"/>
        <w:gridCol w:w="2611"/>
      </w:tblGrid>
      <w:tr>
        <w:trPr/>
        <w:tc>
          <w:tcPr>
            <w:tcW w:w="5934" w:type="dxa"/>
            <w:tcBorders/>
            <w:shd w:fill="auto" w:val="clear"/>
          </w:tcPr>
          <w:p>
            <w:pPr>
              <w:pStyle w:val="TableContents"/>
              <w:spacing w:before="0" w:after="283"/>
              <w:rPr/>
            </w:pPr>
            <w:r>
              <w:rPr/>
              <w:t xml:space="preserve">  </w:t>
            </w:r>
          </w:p>
        </w:tc>
        <w:tc>
          <w:tcPr>
            <w:tcW w:w="4271"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VULCAN CAPITAL PRIVATE EQUITY II LLC</w:t>
            </w:r>
          </w:p>
        </w:tc>
      </w:tr>
      <w:tr>
        <w:trPr/>
        <w:tc>
          <w:tcPr>
            <w:tcW w:w="5934" w:type="dxa"/>
            <w:tcBorders/>
            <w:shd w:fill="auto" w:val="clear"/>
          </w:tcPr>
          <w:p>
            <w:pPr>
              <w:pStyle w:val="TableContents"/>
              <w:spacing w:before="0" w:after="283"/>
              <w:rPr/>
            </w:pPr>
            <w:r>
              <w:rPr/>
              <w:t xml:space="preserve">  </w:t>
            </w:r>
          </w:p>
        </w:tc>
        <w:tc>
          <w:tcPr>
            <w:tcW w:w="4271" w:type="dxa"/>
            <w:gridSpan w:val="3"/>
            <w:tcBorders/>
            <w:shd w:fill="auto" w:val="clear"/>
          </w:tcPr>
          <w:p>
            <w:pPr>
              <w:pStyle w:val="TableContents"/>
              <w:spacing w:before="0" w:after="283"/>
              <w:rPr/>
            </w:pPr>
            <w:r>
              <w:rPr/>
              <w:t xml:space="preserve">  </w:t>
            </w:r>
          </w:p>
        </w:tc>
      </w:tr>
      <w:tr>
        <w:trPr/>
        <w:tc>
          <w:tcPr>
            <w:tcW w:w="5934" w:type="dxa"/>
            <w:tcBorders/>
            <w:shd w:fill="auto" w:val="clear"/>
          </w:tcPr>
          <w:p>
            <w:pPr>
              <w:pStyle w:val="TableContents"/>
              <w:spacing w:before="0" w:after="283"/>
              <w:rPr/>
            </w:pPr>
            <w:r>
              <w:rPr/>
              <w:t xml:space="preserve">  </w:t>
            </w:r>
          </w:p>
        </w:tc>
        <w:tc>
          <w:tcPr>
            <w:tcW w:w="4271" w:type="dxa"/>
            <w:gridSpan w:val="3"/>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Vulcan Capital Private Equity Inc., its sole member</w:t>
            </w:r>
          </w:p>
        </w:tc>
      </w:tr>
      <w:tr>
        <w:trPr/>
        <w:tc>
          <w:tcPr>
            <w:tcW w:w="5934" w:type="dxa"/>
            <w:tcBorders/>
            <w:shd w:fill="auto" w:val="clear"/>
          </w:tcPr>
          <w:p>
            <w:pPr>
              <w:pStyle w:val="TableContents"/>
              <w:spacing w:before="0" w:after="283"/>
              <w:rPr/>
            </w:pPr>
            <w:r>
              <w:rPr/>
              <w:t xml:space="preserve">  </w:t>
            </w:r>
          </w:p>
        </w:tc>
        <w:tc>
          <w:tcPr>
            <w:tcW w:w="4271" w:type="dxa"/>
            <w:gridSpan w:val="3"/>
            <w:tcBorders/>
            <w:shd w:fill="auto" w:val="clear"/>
          </w:tcPr>
          <w:p>
            <w:pPr>
              <w:pStyle w:val="TableContents"/>
              <w:spacing w:before="0" w:after="283"/>
              <w:rPr/>
            </w:pPr>
            <w:r>
              <w:rPr/>
              <w:t xml:space="preserve">  </w:t>
            </w:r>
          </w:p>
        </w:tc>
      </w:tr>
      <w:tr>
        <w:trPr/>
        <w:tc>
          <w:tcPr>
            <w:tcW w:w="5934" w:type="dxa"/>
            <w:tcBorders/>
            <w:shd w:fill="auto" w:val="clear"/>
          </w:tcPr>
          <w:p>
            <w:pPr>
              <w:pStyle w:val="TableContents"/>
              <w:spacing w:before="0" w:after="283"/>
              <w:rPr/>
            </w:pPr>
            <w:r>
              <w:rPr/>
              <w:t xml:space="preserve">  </w:t>
            </w:r>
          </w:p>
        </w:tc>
        <w:tc>
          <w:tcPr>
            <w:tcW w:w="4271" w:type="dxa"/>
            <w:gridSpan w:val="3"/>
            <w:tcBorders/>
            <w:shd w:fill="auto" w:val="clear"/>
          </w:tcPr>
          <w:p>
            <w:pPr>
              <w:pStyle w:val="TableContents"/>
              <w:spacing w:before="0" w:after="283"/>
              <w:rPr/>
            </w:pPr>
            <w:r>
              <w:rPr/>
              <w:t xml:space="preserve">  </w:t>
            </w:r>
          </w:p>
        </w:tc>
      </w:tr>
      <w:tr>
        <w:trPr/>
        <w:tc>
          <w:tcPr>
            <w:tcW w:w="5934" w:type="dxa"/>
            <w:tcBorders/>
            <w:shd w:fill="auto" w:val="clear"/>
          </w:tcPr>
          <w:p>
            <w:pPr>
              <w:pStyle w:val="TableContents"/>
              <w:spacing w:before="0" w:after="283"/>
              <w:rPr/>
            </w:pPr>
            <w:r>
              <w:rPr/>
              <w:t xml:space="preserve">  </w:t>
            </w:r>
          </w:p>
        </w:tc>
        <w:tc>
          <w:tcPr>
            <w:tcW w:w="711"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3560" w:type="dxa"/>
            <w:gridSpan w:val="2"/>
            <w:tcBorders>
              <w:bottom w:val="single" w:sz="6" w:space="0" w:color="000000"/>
            </w:tcBorders>
            <w:shd w:fill="auto" w:val="clear"/>
            <w:tcMar>
              <w:bottom w:w="28" w:type="dxa"/>
            </w:tcM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/s/ William L. McGrath</w:t>
            </w:r>
          </w:p>
        </w:tc>
      </w:tr>
      <w:tr>
        <w:trPr/>
        <w:tc>
          <w:tcPr>
            <w:tcW w:w="5934" w:type="dxa"/>
            <w:tcBorders/>
            <w:shd w:fill="auto" w:val="clear"/>
          </w:tcPr>
          <w:p>
            <w:pPr>
              <w:pStyle w:val="TableContents"/>
              <w:spacing w:before="0" w:after="283"/>
              <w:rPr/>
            </w:pPr>
            <w:r>
              <w:rPr/>
              <w:t xml:space="preserve">  </w:t>
            </w:r>
          </w:p>
        </w:tc>
        <w:tc>
          <w:tcPr>
            <w:tcW w:w="711" w:type="dxa"/>
            <w:tcBorders/>
            <w:shd w:fill="auto" w:val="clear"/>
          </w:tcPr>
          <w:p>
            <w:pPr>
              <w:pStyle w:val="TableContents"/>
              <w:spacing w:before="0" w:after="283"/>
              <w:rPr/>
            </w:pPr>
            <w:r>
              <w:rPr/>
              <w:t xml:space="preserve">  </w:t>
            </w:r>
          </w:p>
        </w:tc>
        <w:tc>
          <w:tcPr>
            <w:tcW w:w="949"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w:t>
            </w:r>
          </w:p>
        </w:tc>
        <w:tc>
          <w:tcPr>
            <w:tcW w:w="2611"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William L. McGrath</w:t>
            </w:r>
          </w:p>
        </w:tc>
      </w:tr>
      <w:tr>
        <w:trPr/>
        <w:tc>
          <w:tcPr>
            <w:tcW w:w="5934" w:type="dxa"/>
            <w:tcBorders/>
            <w:shd w:fill="auto" w:val="clear"/>
          </w:tcPr>
          <w:p>
            <w:pPr>
              <w:pStyle w:val="TableContents"/>
              <w:spacing w:before="0" w:after="283"/>
              <w:rPr/>
            </w:pPr>
            <w:r>
              <w:rPr/>
              <w:t xml:space="preserve">  </w:t>
            </w:r>
          </w:p>
        </w:tc>
        <w:tc>
          <w:tcPr>
            <w:tcW w:w="711" w:type="dxa"/>
            <w:tcBorders/>
            <w:shd w:fill="auto" w:val="clear"/>
          </w:tcPr>
          <w:p>
            <w:pPr>
              <w:pStyle w:val="TableContents"/>
              <w:spacing w:before="0" w:after="283"/>
              <w:rPr/>
            </w:pPr>
            <w:r>
              <w:rPr/>
              <w:t xml:space="preserve">  </w:t>
            </w:r>
          </w:p>
        </w:tc>
        <w:tc>
          <w:tcPr>
            <w:tcW w:w="949"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w:t>
            </w:r>
          </w:p>
        </w:tc>
        <w:tc>
          <w:tcPr>
            <w:tcW w:w="2611"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 and Secretary</w:t>
            </w:r>
          </w:p>
        </w:tc>
      </w:tr>
    </w:tbl>
    <w:p>
      <w:pPr>
        <w:pStyle w:val="TextBody"/>
        <w:spacing w:before="0" w:after="0"/>
        <w:ind w:left="0" w:right="0" w:hanging="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24" w:name="PGBRK13"/>
      <w:bookmarkStart w:id="125" w:name="PGBRK13"/>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26" w:name="FTR13"/>
      <w:bookmarkStart w:id="127" w:name="FTR13"/>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8" w:name="GLFTR13"/>
      <w:bookmarkEnd w:id="1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9" w:name="PN13"/>
      <w:bookmarkEnd w:id="12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30" w:name="HDR13"/>
      <w:bookmarkStart w:id="131" w:name="HDR13"/>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2" w:name="GLHDR13"/>
      <w:bookmarkEnd w:id="1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SIGNATURES</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br/>
        <w:t> </w:t>
      </w:r>
    </w:p>
    <w:p>
      <w:pPr>
        <w:pStyle w:val="TextBody"/>
        <w:spacing w:before="0" w:after="0"/>
        <w:ind w:left="720" w:right="0" w:hanging="0"/>
        <w:jc w:val="both"/>
        <w:rPr>
          <w:rFonts w:ascii="Times New Roman;serif" w:hAnsi="Times New Roman;serif"/>
          <w:b w:val="false"/>
          <w:sz w:val="22"/>
        </w:rPr>
      </w:pPr>
      <w:bookmarkStart w:id="133" w:name="TAB15"/>
      <w:bookmarkEnd w:id="133"/>
      <w:r>
        <w:rPr>
          <w:rFonts w:ascii="Times New Roman;serif" w:hAnsi="Times New Roman;serif"/>
          <w:b w:val="false"/>
          <w:sz w:val="22"/>
        </w:rPr>
        <w:t>After reasonable inquiry and to the best of his knowledge and belief, the undersigned certifies that the information set forth in this Statement is true, complete and correct.</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both"/>
        <w:rPr>
          <w:rFonts w:ascii="Times New Roman;serif" w:hAnsi="Times New Roman;serif"/>
          <w:b w:val="false"/>
          <w:sz w:val="22"/>
        </w:rPr>
      </w:pPr>
      <w:r>
        <w:rPr>
          <w:rFonts w:ascii="Times New Roman;serif" w:hAnsi="Times New Roman;serif"/>
          <w:b w:val="false"/>
          <w:sz w:val="22"/>
        </w:rPr>
        <w:t>Date:  August 24, 2011</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tbl>
      <w:tblPr>
        <w:tblW w:w="5000" w:type="pct"/>
        <w:jc w:val="left"/>
        <w:tblInd w:w="0" w:type="dxa"/>
        <w:tblCellMar>
          <w:top w:w="0" w:type="dxa"/>
          <w:left w:w="0" w:type="dxa"/>
          <w:bottom w:w="0" w:type="dxa"/>
          <w:right w:w="0" w:type="dxa"/>
        </w:tblCellMar>
      </w:tblPr>
      <w:tblGrid>
        <w:gridCol w:w="5933"/>
        <w:gridCol w:w="712"/>
        <w:gridCol w:w="949"/>
        <w:gridCol w:w="2611"/>
      </w:tblGrid>
      <w:tr>
        <w:trPr/>
        <w:tc>
          <w:tcPr>
            <w:tcW w:w="5933" w:type="dxa"/>
            <w:tcBorders/>
            <w:shd w:fill="auto" w:val="clear"/>
          </w:tcPr>
          <w:p>
            <w:pPr>
              <w:pStyle w:val="TableContents"/>
              <w:spacing w:before="0" w:after="283"/>
              <w:rPr/>
            </w:pPr>
            <w:r>
              <w:rPr/>
              <w:t xml:space="preserve">  </w:t>
            </w:r>
          </w:p>
        </w:tc>
        <w:tc>
          <w:tcPr>
            <w:tcW w:w="4272"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VULCAN ENERGY CORPORATION</w:t>
            </w:r>
          </w:p>
        </w:tc>
      </w:tr>
      <w:tr>
        <w:trPr/>
        <w:tc>
          <w:tcPr>
            <w:tcW w:w="5933" w:type="dxa"/>
            <w:tcBorders/>
            <w:shd w:fill="auto" w:val="clear"/>
          </w:tcPr>
          <w:p>
            <w:pPr>
              <w:pStyle w:val="TableContents"/>
              <w:spacing w:before="0" w:after="283"/>
              <w:rPr/>
            </w:pPr>
            <w:r>
              <w:rPr/>
              <w:t xml:space="preserve">  </w:t>
            </w:r>
          </w:p>
        </w:tc>
        <w:tc>
          <w:tcPr>
            <w:tcW w:w="4272" w:type="dxa"/>
            <w:gridSpan w:val="3"/>
            <w:tcBorders/>
            <w:shd w:fill="auto" w:val="clear"/>
          </w:tcPr>
          <w:p>
            <w:pPr>
              <w:pStyle w:val="TableContents"/>
              <w:spacing w:before="0" w:after="283"/>
              <w:rPr/>
            </w:pPr>
            <w:r>
              <w:rPr/>
              <w:t xml:space="preserve">  </w:t>
            </w:r>
          </w:p>
        </w:tc>
      </w:tr>
      <w:tr>
        <w:trPr/>
        <w:tc>
          <w:tcPr>
            <w:tcW w:w="5933" w:type="dxa"/>
            <w:tcBorders/>
            <w:shd w:fill="auto" w:val="clear"/>
          </w:tcPr>
          <w:p>
            <w:pPr>
              <w:pStyle w:val="TableContents"/>
              <w:spacing w:before="0" w:after="283"/>
              <w:rPr/>
            </w:pPr>
            <w:r>
              <w:rPr/>
              <w:t xml:space="preserve">  </w:t>
            </w:r>
          </w:p>
        </w:tc>
        <w:tc>
          <w:tcPr>
            <w:tcW w:w="4272" w:type="dxa"/>
            <w:gridSpan w:val="3"/>
            <w:tcBorders/>
            <w:shd w:fill="auto" w:val="clear"/>
          </w:tcPr>
          <w:p>
            <w:pPr>
              <w:pStyle w:val="TableContents"/>
              <w:spacing w:before="0" w:after="283"/>
              <w:rPr/>
            </w:pPr>
            <w:r>
              <w:rPr/>
              <w:t xml:space="preserve">  </w:t>
            </w:r>
          </w:p>
        </w:tc>
      </w:tr>
      <w:tr>
        <w:trPr/>
        <w:tc>
          <w:tcPr>
            <w:tcW w:w="593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3560" w:type="dxa"/>
            <w:gridSpan w:val="2"/>
            <w:tcBorders>
              <w:bottom w:val="single" w:sz="6" w:space="0" w:color="000000"/>
            </w:tcBorders>
            <w:shd w:fill="auto" w:val="clear"/>
            <w:tcMar>
              <w:bottom w:w="28" w:type="dxa"/>
            </w:tcM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/s/ T. Geoff McKay</w:t>
            </w:r>
          </w:p>
        </w:tc>
      </w:tr>
      <w:tr>
        <w:trPr/>
        <w:tc>
          <w:tcPr>
            <w:tcW w:w="593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949"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w:t>
            </w:r>
          </w:p>
        </w:tc>
        <w:tc>
          <w:tcPr>
            <w:tcW w:w="2611"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 Geoff McKay</w:t>
            </w:r>
          </w:p>
        </w:tc>
      </w:tr>
      <w:tr>
        <w:trPr/>
        <w:tc>
          <w:tcPr>
            <w:tcW w:w="5933" w:type="dxa"/>
            <w:tcBorders/>
            <w:shd w:fill="auto" w:val="clear"/>
          </w:tcPr>
          <w:p>
            <w:pPr>
              <w:pStyle w:val="TableContents"/>
              <w:spacing w:before="0" w:after="283"/>
              <w:rPr/>
            </w:pPr>
            <w:r>
              <w:rPr/>
              <w:t xml:space="preserve">  </w:t>
            </w:r>
          </w:p>
        </w:tc>
        <w:tc>
          <w:tcPr>
            <w:tcW w:w="712" w:type="dxa"/>
            <w:tcBorders/>
            <w:shd w:fill="auto" w:val="clear"/>
          </w:tcPr>
          <w:p>
            <w:pPr>
              <w:pStyle w:val="TableContents"/>
              <w:spacing w:before="0" w:after="283"/>
              <w:rPr/>
            </w:pPr>
            <w:r>
              <w:rPr/>
              <w:t xml:space="preserve">  </w:t>
            </w:r>
          </w:p>
        </w:tc>
        <w:tc>
          <w:tcPr>
            <w:tcW w:w="949"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w:t>
            </w:r>
          </w:p>
        </w:tc>
        <w:tc>
          <w:tcPr>
            <w:tcW w:w="2611"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Chairman and Vice President</w:t>
            </w:r>
          </w:p>
        </w:tc>
      </w:tr>
    </w:tbl>
    <w:p>
      <w:pPr>
        <w:pStyle w:val="TextBody"/>
        <w:spacing w:before="0" w:after="0"/>
        <w:ind w:left="0" w:right="0" w:hanging="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34" w:name="PGBRK14"/>
      <w:bookmarkStart w:id="135" w:name="PGBRK14"/>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36" w:name="FTR14"/>
      <w:bookmarkStart w:id="137" w:name="FTR14"/>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8" w:name="GLFTR14"/>
      <w:bookmarkEnd w:id="1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9" w:name="PN14"/>
      <w:bookmarkEnd w:id="13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40" w:name="HDR14"/>
      <w:bookmarkStart w:id="141" w:name="HDR14"/>
      <w:bookmarkEnd w:id="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2" w:name="GLHDR14"/>
      <w:bookmarkEnd w:id="1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rFonts w:ascii="times new roman;serif" w:hAnsi="times new roman;serif"/>
          <w:b w:val="false"/>
          <w:sz w:val="22"/>
        </w:rPr>
      </w:pPr>
      <w:r>
        <w:rPr>
          <w:rFonts w:ascii="times new roman;serif" w:hAnsi="times new roman;serif"/>
          <w:b w:val="false"/>
          <w:sz w:val="22"/>
        </w:rPr>
      </w:r>
    </w:p>
    <w:p>
      <w:pPr>
        <w:pStyle w:val="TextBody"/>
        <w:spacing w:before="0" w:after="0"/>
        <w:ind w:left="0" w:right="0" w:hanging="0"/>
        <w:jc w:val="left"/>
        <w:rPr>
          <w:rFonts w:ascii="Times New Roman;serif" w:hAnsi="Times New Roman;serif"/>
          <w:b w:val="false"/>
          <w:sz w:val="22"/>
          <w:u w:val="single"/>
        </w:rPr>
      </w:pPr>
      <w:r>
        <w:rPr>
          <w:rFonts w:ascii="Times New Roman;serif" w:hAnsi="Times New Roman;serif"/>
          <w:b w:val="false"/>
          <w:sz w:val="22"/>
          <w:u w:val="single"/>
        </w:rPr>
        <w:t>Exhibit Index</w:t>
      </w:r>
    </w:p>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tbl>
      <w:tblPr>
        <w:tblW w:w="5000" w:type="pct"/>
        <w:jc w:val="left"/>
        <w:tblInd w:w="0" w:type="dxa"/>
        <w:tblCellMar>
          <w:top w:w="0" w:type="dxa"/>
          <w:left w:w="0" w:type="dxa"/>
          <w:bottom w:w="0" w:type="dxa"/>
          <w:right w:w="0" w:type="dxa"/>
        </w:tblCellMar>
      </w:tblPr>
      <w:tblGrid>
        <w:gridCol w:w="719"/>
        <w:gridCol w:w="1079"/>
        <w:gridCol w:w="8407"/>
      </w:tblGrid>
      <w:tr>
        <w:trPr/>
        <w:tc>
          <w:tcPr>
            <w:tcW w:w="719" w:type="dxa"/>
            <w:tcBorders/>
            <w:shd w:fill="auto" w:val="clear"/>
          </w:tcPr>
          <w:p>
            <w:pPr>
              <w:pStyle w:val="TableContents"/>
              <w:spacing w:before="0" w:after="283"/>
              <w:rPr/>
            </w:pPr>
            <w:r>
              <w:rPr/>
              <w:t xml:space="preserve">  </w:t>
            </w:r>
          </w:p>
        </w:tc>
        <w:tc>
          <w:tcPr>
            <w:tcW w:w="9486" w:type="dxa"/>
            <w:gridSpan w:val="2"/>
            <w:tcBorders/>
            <w:shd w:fill="auto" w:val="clear"/>
          </w:tcPr>
          <w:p>
            <w:pPr>
              <w:pStyle w:val="TableContents"/>
              <w:spacing w:before="0" w:after="0"/>
              <w:ind w:left="0" w:right="0" w:hanging="0"/>
              <w:jc w:val="both"/>
              <w:rPr>
                <w:rFonts w:ascii="times new roman;serif" w:hAnsi="times new roman;serif"/>
                <w:sz w:val="22"/>
                <w:u w:val="single"/>
              </w:rPr>
            </w:pPr>
            <w:r>
              <w:rPr>
                <w:rFonts w:ascii="times new roman;serif" w:hAnsi="times new roman;serif"/>
                <w:sz w:val="22"/>
                <w:u w:val="single"/>
              </w:rPr>
              <w:t>Name of Exhibit</w:t>
            </w:r>
          </w:p>
        </w:tc>
      </w:tr>
      <w:tr>
        <w:trPr/>
        <w:tc>
          <w:tcPr>
            <w:tcW w:w="719" w:type="dxa"/>
            <w:tcBorders/>
            <w:shd w:fill="auto" w:val="clear"/>
          </w:tcPr>
          <w:p>
            <w:pPr>
              <w:pStyle w:val="TableContents"/>
              <w:spacing w:before="0" w:after="283"/>
              <w:rPr/>
            </w:pPr>
            <w:r>
              <w:rPr/>
              <w:t xml:space="preserve">  </w:t>
            </w:r>
          </w:p>
        </w:tc>
        <w:tc>
          <w:tcPr>
            <w:tcW w:w="1079" w:type="dxa"/>
            <w:tcBorders/>
            <w:shd w:fill="auto" w:val="clear"/>
          </w:tcPr>
          <w:p>
            <w:pPr>
              <w:pStyle w:val="TableContents"/>
              <w:spacing w:before="0" w:after="283"/>
              <w:rPr/>
            </w:pPr>
            <w:r>
              <w:rPr/>
              <w:t xml:space="preserve">  </w:t>
            </w:r>
          </w:p>
        </w:tc>
        <w:tc>
          <w:tcPr>
            <w:tcW w:w="8407" w:type="dxa"/>
            <w:tcBorders/>
            <w:shd w:fill="auto" w:val="clear"/>
          </w:tcPr>
          <w:p>
            <w:pPr>
              <w:pStyle w:val="TableContents"/>
              <w:spacing w:before="0" w:after="283"/>
              <w:rPr/>
            </w:pPr>
            <w:r>
              <w:rPr/>
              <w:t xml:space="preserve">  </w:t>
            </w:r>
          </w:p>
        </w:tc>
      </w:tr>
      <w:tr>
        <w:trPr/>
        <w:tc>
          <w:tcPr>
            <w:tcW w:w="719" w:type="dxa"/>
            <w:tcBorders/>
            <w:shd w:fill="auto" w:val="clear"/>
          </w:tcPr>
          <w:p>
            <w:pPr>
              <w:pStyle w:val="TableContents"/>
              <w:spacing w:before="0" w:after="283"/>
              <w:rPr/>
            </w:pPr>
            <w:r>
              <w:rPr/>
              <w:t xml:space="preserve">  </w:t>
            </w:r>
          </w:p>
        </w:tc>
        <w:tc>
          <w:tcPr>
            <w:tcW w:w="1079"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99.1</w:t>
            </w:r>
          </w:p>
        </w:tc>
        <w:tc>
          <w:tcPr>
            <w:tcW w:w="840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Underwriting Agreement, dated August 11, 2011, by and among Plains All American Pipeline, L.P., Vulcan Energy Corporation and Citigroup Global Markets Inc., Barclays Capital Inc., Merrill Lynch, Pierce, Fenner &amp; Smith Incorporated, J.P. Morgan Securities LLC and UBS Securities LLC, as representatives of the several underwriters named therein.</w:t>
            </w:r>
          </w:p>
        </w:tc>
      </w:tr>
      <w:tr>
        <w:trPr/>
        <w:tc>
          <w:tcPr>
            <w:tcW w:w="719" w:type="dxa"/>
            <w:tcBorders/>
            <w:shd w:fill="auto" w:val="clear"/>
          </w:tcPr>
          <w:p>
            <w:pPr>
              <w:pStyle w:val="TableContents"/>
              <w:spacing w:before="0" w:after="283"/>
              <w:rPr/>
            </w:pPr>
            <w:r>
              <w:rPr/>
              <w:t> </w:t>
            </w:r>
          </w:p>
        </w:tc>
        <w:tc>
          <w:tcPr>
            <w:tcW w:w="1079" w:type="dxa"/>
            <w:tcBorders/>
            <w:shd w:fill="auto" w:val="clear"/>
          </w:tcPr>
          <w:p>
            <w:pPr>
              <w:pStyle w:val="TableContents"/>
              <w:spacing w:before="0" w:after="283"/>
              <w:jc w:val="left"/>
              <w:rPr/>
            </w:pPr>
            <w:r>
              <w:rPr/>
              <w:t> </w:t>
            </w:r>
          </w:p>
        </w:tc>
        <w:tc>
          <w:tcPr>
            <w:tcW w:w="8407" w:type="dxa"/>
            <w:tcBorders/>
            <w:shd w:fill="auto" w:val="clear"/>
          </w:tcPr>
          <w:p>
            <w:pPr>
              <w:pStyle w:val="TableContents"/>
              <w:spacing w:before="0" w:after="283"/>
              <w:jc w:val="left"/>
              <w:rPr/>
            </w:pPr>
            <w:r>
              <w:rPr/>
              <w:t> </w:t>
            </w:r>
          </w:p>
        </w:tc>
      </w:tr>
      <w:tr>
        <w:trPr/>
        <w:tc>
          <w:tcPr>
            <w:tcW w:w="719" w:type="dxa"/>
            <w:tcBorders/>
            <w:shd w:fill="auto" w:val="clear"/>
          </w:tcPr>
          <w:p>
            <w:pPr>
              <w:pStyle w:val="TableContents"/>
              <w:spacing w:before="0" w:after="283"/>
              <w:rPr/>
            </w:pPr>
            <w:r>
              <w:rPr/>
              <w:t xml:space="preserve">  </w:t>
            </w:r>
          </w:p>
        </w:tc>
        <w:tc>
          <w:tcPr>
            <w:tcW w:w="1079"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99.2</w:t>
            </w:r>
          </w:p>
        </w:tc>
        <w:tc>
          <w:tcPr>
            <w:tcW w:w="840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Lock-Up Agreement dated August 11, 2011 by Vulcan Capital Private Equity I LLC and Vulcan Capital Private Equity II LLC in favor of Citigroup Global Markets Inc. and the other underwriters named therein</w:t>
            </w:r>
          </w:p>
        </w:tc>
      </w:tr>
      <w:tr>
        <w:trPr/>
        <w:tc>
          <w:tcPr>
            <w:tcW w:w="719" w:type="dxa"/>
            <w:tcBorders/>
            <w:shd w:fill="auto" w:val="clear"/>
          </w:tcPr>
          <w:p>
            <w:pPr>
              <w:pStyle w:val="TableContents"/>
              <w:spacing w:before="0" w:after="283"/>
              <w:rPr/>
            </w:pPr>
            <w:r>
              <w:rPr/>
              <w:t> </w:t>
            </w:r>
          </w:p>
        </w:tc>
        <w:tc>
          <w:tcPr>
            <w:tcW w:w="1079" w:type="dxa"/>
            <w:tcBorders/>
            <w:shd w:fill="auto" w:val="clear"/>
          </w:tcPr>
          <w:p>
            <w:pPr>
              <w:pStyle w:val="TableContents"/>
              <w:spacing w:before="0" w:after="283"/>
              <w:jc w:val="left"/>
              <w:rPr/>
            </w:pPr>
            <w:r>
              <w:rPr/>
              <w:t> </w:t>
            </w:r>
          </w:p>
        </w:tc>
        <w:tc>
          <w:tcPr>
            <w:tcW w:w="8407" w:type="dxa"/>
            <w:tcBorders/>
            <w:shd w:fill="auto" w:val="clear"/>
          </w:tcPr>
          <w:p>
            <w:pPr>
              <w:pStyle w:val="TableContents"/>
              <w:spacing w:before="0" w:after="283"/>
              <w:jc w:val="left"/>
              <w:rPr/>
            </w:pPr>
            <w:r>
              <w:rPr/>
              <w:t> </w:t>
            </w:r>
          </w:p>
        </w:tc>
      </w:tr>
      <w:tr>
        <w:trPr/>
        <w:tc>
          <w:tcPr>
            <w:tcW w:w="719" w:type="dxa"/>
            <w:tcBorders/>
            <w:shd w:fill="auto" w:val="clear"/>
          </w:tcPr>
          <w:p>
            <w:pPr>
              <w:pStyle w:val="TableContents"/>
              <w:spacing w:before="0" w:after="283"/>
              <w:rPr/>
            </w:pPr>
            <w:r>
              <w:rPr/>
              <w:t xml:space="preserve">  </w:t>
            </w:r>
          </w:p>
        </w:tc>
        <w:tc>
          <w:tcPr>
            <w:tcW w:w="1079"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99.3</w:t>
            </w:r>
          </w:p>
        </w:tc>
        <w:tc>
          <w:tcPr>
            <w:tcW w:w="840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Lock-Up Agreement dated August 11, 2011 by Vulcan Energy Corporation in favor of Plains All American Pipeline, L.P.</w:t>
            </w:r>
          </w:p>
        </w:tc>
      </w:tr>
      <w:tr>
        <w:trPr/>
        <w:tc>
          <w:tcPr>
            <w:tcW w:w="719" w:type="dxa"/>
            <w:tcBorders/>
            <w:shd w:fill="auto" w:val="clear"/>
          </w:tcPr>
          <w:p>
            <w:pPr>
              <w:pStyle w:val="TableContents"/>
              <w:spacing w:before="0" w:after="283"/>
              <w:rPr/>
            </w:pPr>
            <w:r>
              <w:rPr/>
              <w:t> </w:t>
            </w:r>
          </w:p>
        </w:tc>
        <w:tc>
          <w:tcPr>
            <w:tcW w:w="1079" w:type="dxa"/>
            <w:tcBorders/>
            <w:shd w:fill="auto" w:val="clear"/>
          </w:tcPr>
          <w:p>
            <w:pPr>
              <w:pStyle w:val="TableContents"/>
              <w:spacing w:before="0" w:after="283"/>
              <w:jc w:val="left"/>
              <w:rPr/>
            </w:pPr>
            <w:r>
              <w:rPr/>
              <w:t> </w:t>
            </w:r>
          </w:p>
        </w:tc>
        <w:tc>
          <w:tcPr>
            <w:tcW w:w="8407" w:type="dxa"/>
            <w:tcBorders/>
            <w:shd w:fill="auto" w:val="clear"/>
          </w:tcPr>
          <w:p>
            <w:pPr>
              <w:pStyle w:val="TableContents"/>
              <w:spacing w:before="0" w:after="283"/>
              <w:jc w:val="left"/>
              <w:rPr/>
            </w:pPr>
            <w:r>
              <w:rPr/>
              <w:t> </w:t>
            </w:r>
          </w:p>
        </w:tc>
      </w:tr>
      <w:tr>
        <w:trPr/>
        <w:tc>
          <w:tcPr>
            <w:tcW w:w="719" w:type="dxa"/>
            <w:tcBorders/>
            <w:shd w:fill="auto" w:val="clear"/>
          </w:tcPr>
          <w:p>
            <w:pPr>
              <w:pStyle w:val="TableContents"/>
              <w:spacing w:before="0" w:after="283"/>
              <w:rPr/>
            </w:pPr>
            <w:r>
              <w:rPr/>
              <w:t xml:space="preserve">  </w:t>
            </w:r>
          </w:p>
        </w:tc>
        <w:tc>
          <w:tcPr>
            <w:tcW w:w="1079"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99.4</w:t>
            </w:r>
          </w:p>
        </w:tc>
        <w:tc>
          <w:tcPr>
            <w:tcW w:w="840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Lock-Up Agreement dated August 11, 2011 by Vulcan Capital Private Equity I LLC in favor of Plains All American Pipeline, L.P.</w:t>
            </w:r>
          </w:p>
        </w:tc>
      </w:tr>
      <w:tr>
        <w:trPr/>
        <w:tc>
          <w:tcPr>
            <w:tcW w:w="719" w:type="dxa"/>
            <w:tcBorders/>
            <w:shd w:fill="auto" w:val="clear"/>
          </w:tcPr>
          <w:p>
            <w:pPr>
              <w:pStyle w:val="TableContents"/>
              <w:spacing w:before="0" w:after="283"/>
              <w:rPr/>
            </w:pPr>
            <w:r>
              <w:rPr/>
              <w:t> </w:t>
            </w:r>
          </w:p>
        </w:tc>
        <w:tc>
          <w:tcPr>
            <w:tcW w:w="1079" w:type="dxa"/>
            <w:tcBorders/>
            <w:shd w:fill="auto" w:val="clear"/>
          </w:tcPr>
          <w:p>
            <w:pPr>
              <w:pStyle w:val="TableContents"/>
              <w:spacing w:before="0" w:after="283"/>
              <w:jc w:val="left"/>
              <w:rPr/>
            </w:pPr>
            <w:r>
              <w:rPr/>
              <w:t> </w:t>
            </w:r>
          </w:p>
        </w:tc>
        <w:tc>
          <w:tcPr>
            <w:tcW w:w="8407" w:type="dxa"/>
            <w:tcBorders/>
            <w:shd w:fill="auto" w:val="clear"/>
          </w:tcPr>
          <w:p>
            <w:pPr>
              <w:pStyle w:val="TableContents"/>
              <w:spacing w:before="0" w:after="283"/>
              <w:jc w:val="left"/>
              <w:rPr/>
            </w:pPr>
            <w:r>
              <w:rPr/>
              <w:t> </w:t>
            </w:r>
          </w:p>
        </w:tc>
      </w:tr>
      <w:tr>
        <w:trPr/>
        <w:tc>
          <w:tcPr>
            <w:tcW w:w="719" w:type="dxa"/>
            <w:tcBorders/>
            <w:shd w:fill="auto" w:val="clear"/>
          </w:tcPr>
          <w:p>
            <w:pPr>
              <w:pStyle w:val="TableContents"/>
              <w:spacing w:before="0" w:after="283"/>
              <w:rPr/>
            </w:pPr>
            <w:r>
              <w:rPr/>
              <w:t xml:space="preserve">  </w:t>
            </w:r>
          </w:p>
        </w:tc>
        <w:tc>
          <w:tcPr>
            <w:tcW w:w="1079"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99.5</w:t>
            </w:r>
          </w:p>
        </w:tc>
        <w:tc>
          <w:tcPr>
            <w:tcW w:w="840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Lock-Up Agreement dated August 11, 2011 by Vulcan Capital Private Equity II LLC in favor of Plains All American Pipeline, L.P.</w:t>
            </w:r>
          </w:p>
        </w:tc>
      </w:tr>
    </w:tbl>
    <w:p>
      <w:pPr>
        <w:pStyle w:val="TextBody"/>
        <w:spacing w:before="0" w:after="0"/>
        <w:ind w:left="0" w:right="0" w:hanging="0"/>
        <w:jc w:val="left"/>
        <w:rPr>
          <w:rFonts w:ascii="times new roman;serif" w:hAnsi="times new roman;serif"/>
          <w:b w:val="false"/>
          <w:sz w:val="22"/>
        </w:rPr>
      </w:pPr>
      <w:r>
        <w:rPr>
          <w:rFonts w:ascii="times new roman;serif" w:hAnsi="times new roman;serif"/>
          <w:b w:val="false"/>
          <w:sz w:val="22"/>
        </w:rPr>
      </w:r>
    </w:p>
    <w:p>
      <w:pPr>
        <w:pStyle w:val="TextBody"/>
        <w:ind w:left="0" w:right="0" w:hanging="0"/>
        <w:jc w:val="left"/>
        <w:rPr>
          <w:rFonts w:ascii="times new roman;serif" w:hAnsi="times new roman;serif"/>
          <w:b w:val="false"/>
          <w:sz w:val="22"/>
        </w:rPr>
      </w:pPr>
      <w:r>
        <w:rPr>
          <w:rFonts w:ascii="times new roman;serif" w:hAnsi="times new roman;serif"/>
          <w:b w:val="false"/>
          <w:sz w:val="22"/>
        </w:rPr>
      </w:r>
      <w:r>
        <w:br w:type="page"/>
      </w:r>
    </w:p>
    <w:p>
      <w:pPr>
        <w:pStyle w:val="TextBody"/>
        <w:spacing w:before="0" w:after="0"/>
        <w:rPr/>
      </w:pPr>
      <w:bookmarkStart w:id="143" w:name="ex99-1.htm"/>
      <w:bookmarkStart w:id="144" w:name="ksex991"/>
      <w:bookmarkEnd w:id="143"/>
      <w:bookmarkEnd w:id="144"/>
      <w:r>
        <w:rPr/>
        <w:t> </w:t>
      </w:r>
    </w:p>
    <w:p>
      <w:pPr>
        <w:pStyle w:val="TextBody"/>
        <w:spacing w:before="0" w:after="0"/>
        <w:ind w:left="180" w:right="0" w:hanging="0"/>
        <w:jc w:val="right"/>
        <w:rPr>
          <w:rFonts w:ascii="Times New Roman;serif" w:hAnsi="Times New Roman;serif"/>
          <w:b/>
          <w:sz w:val="24"/>
        </w:rPr>
      </w:pPr>
      <w:r>
        <w:rPr>
          <w:rFonts w:ascii="Times New Roman;serif" w:hAnsi="Times New Roman;serif"/>
          <w:b/>
          <w:sz w:val="24"/>
        </w:rPr>
        <w:t>EXHIBIT 99.1</w:t>
      </w:r>
    </w:p>
    <w:p>
      <w:pPr>
        <w:pStyle w:val="TextBody"/>
        <w:spacing w:before="0" w:after="0"/>
        <w:ind w:left="180" w:right="0" w:hanging="0"/>
        <w:jc w:val="right"/>
        <w:rPr>
          <w:rFonts w:ascii="Times New Roman;serif" w:hAnsi="Times New Roman;serif"/>
          <w:b/>
          <w:i/>
          <w:sz w:val="24"/>
        </w:rPr>
      </w:pPr>
      <w:r>
        <w:rPr>
          <w:rFonts w:ascii="Times New Roman;serif" w:hAnsi="Times New Roman;serif"/>
          <w:b/>
          <w:i/>
          <w:sz w:val="24"/>
        </w:rPr>
        <w:t>Execution Version</w:t>
      </w:r>
    </w:p>
    <w:p>
      <w:pPr>
        <w:pStyle w:val="TextBody"/>
        <w:spacing w:before="0" w:after="0"/>
        <w:ind w:left="0" w:right="0" w:hanging="0"/>
        <w:jc w:val="center"/>
        <w:rPr>
          <w:rFonts w:ascii="Times New Roman;serif" w:hAnsi="Times New Roman;serif"/>
          <w:b/>
          <w:sz w:val="24"/>
        </w:rPr>
      </w:pPr>
      <w:r>
        <w:rPr>
          <w:rFonts w:ascii="Times New Roman;serif" w:hAnsi="Times New Roman;serif"/>
          <w:b/>
          <w:sz w:val="24"/>
        </w:rPr>
        <w:t>PLAINS ALL AMERICAN PIPELINE, L.P.</w:t>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4"/>
        </w:rPr>
      </w:pPr>
      <w:r>
        <w:rPr>
          <w:rFonts w:ascii="Times New Roman;serif" w:hAnsi="Times New Roman;serif"/>
          <w:b/>
          <w:sz w:val="24"/>
        </w:rPr>
        <w:t>7,500,000 Common Units</w:t>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4"/>
        </w:rPr>
      </w:pPr>
      <w:r>
        <w:rPr>
          <w:rFonts w:ascii="Times New Roman;serif" w:hAnsi="Times New Roman;serif"/>
          <w:b/>
          <w:sz w:val="24"/>
        </w:rPr>
        <w:t>Representing Limited Partner Interests</w:t>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4"/>
        </w:rPr>
      </w:pPr>
      <w:r>
        <w:rPr>
          <w:rFonts w:ascii="Times New Roman;serif" w:hAnsi="Times New Roman;serif"/>
          <w:b/>
          <w:sz w:val="24"/>
        </w:rPr>
        <w:t>UNDERWRITING AGREEMENT</w:t>
      </w:r>
    </w:p>
    <w:p>
      <w:pPr>
        <w:pStyle w:val="TextBody"/>
        <w:spacing w:before="0" w:after="0"/>
        <w:ind w:left="0" w:right="0" w:hanging="0"/>
        <w:jc w:val="both"/>
        <w:rPr/>
      </w:pPr>
      <w:r>
        <w:rPr/>
        <w:t> </w:t>
      </w:r>
    </w:p>
    <w:p>
      <w:pPr>
        <w:pStyle w:val="TextBody"/>
        <w:spacing w:before="0" w:after="0"/>
        <w:ind w:left="0" w:right="0" w:hanging="0"/>
        <w:jc w:val="right"/>
        <w:rPr>
          <w:rFonts w:ascii="Times New Roman;serif" w:hAnsi="Times New Roman;serif"/>
          <w:sz w:val="24"/>
        </w:rPr>
      </w:pPr>
      <w:r>
        <w:rPr>
          <w:rFonts w:ascii="Times New Roman;serif" w:hAnsi="Times New Roman;serif"/>
          <w:sz w:val="24"/>
        </w:rPr>
        <w:t>New York, New York</w:t>
      </w:r>
    </w:p>
    <w:p>
      <w:pPr>
        <w:pStyle w:val="TextBody"/>
        <w:spacing w:before="0" w:after="0"/>
        <w:ind w:left="0" w:right="0" w:hanging="0"/>
        <w:jc w:val="right"/>
        <w:rPr>
          <w:rFonts w:ascii="Times New Roman;serif" w:hAnsi="Times New Roman;serif"/>
          <w:sz w:val="24"/>
        </w:rPr>
      </w:pPr>
      <w:r>
        <w:rPr>
          <w:rFonts w:ascii="Times New Roman;serif" w:hAnsi="Times New Roman;serif"/>
          <w:sz w:val="24"/>
        </w:rPr>
        <w:t>August 11, 2011</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Citigroup Global Markets Inc.</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Barclays Capital Inc.</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Merrill Lynch, Pierce, Fenner &amp; Smith</w:t>
            </w:r>
          </w:p>
          <w:p>
            <w:pPr>
              <w:pStyle w:val="TableContents"/>
              <w:spacing w:before="0" w:after="0"/>
              <w:ind w:left="0" w:right="0" w:hanging="0"/>
              <w:jc w:val="both"/>
              <w:rPr/>
            </w:pPr>
            <w:r>
              <w:rPr/>
              <w:t>                     </w:t>
            </w:r>
            <w:r>
              <w:rPr>
                <w:rFonts w:ascii="times new roman;serif" w:hAnsi="times new roman;serif"/>
                <w:sz w:val="24"/>
              </w:rPr>
              <w:t>Incorporated</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J.P. Morgan Securities LLC</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UBS Securities LLC</w:t>
            </w:r>
          </w:p>
        </w:tc>
      </w:tr>
      <w:tr>
        <w:trPr/>
        <w:tc>
          <w:tcPr>
            <w:tcW w:w="10205" w:type="dxa"/>
            <w:tcBorders/>
            <w:shd w:fill="auto" w:val="clear"/>
          </w:tcPr>
          <w:p>
            <w:pPr>
              <w:pStyle w:val="TableContents"/>
              <w:spacing w:before="0" w:after="283"/>
              <w:rPr/>
            </w:pPr>
            <w:r>
              <w:rPr/>
              <w:t xml:space="preserve">  </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As Representatives of the several Underwriters</w:t>
            </w:r>
          </w:p>
        </w:tc>
      </w:tr>
      <w:tr>
        <w:trPr/>
        <w:tc>
          <w:tcPr>
            <w:tcW w:w="10205" w:type="dxa"/>
            <w:tcBorders/>
            <w:shd w:fill="auto" w:val="clear"/>
          </w:tcPr>
          <w:p>
            <w:pPr>
              <w:pStyle w:val="TableContents"/>
              <w:spacing w:before="0" w:after="283"/>
              <w:rPr/>
            </w:pPr>
            <w:r>
              <w:rPr/>
              <w:t xml:space="preserve">  </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c/o Citigroup Global Markets Inc.</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388 Greenwich St., 34th Floor</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New York, New York  10013</w:t>
            </w:r>
          </w:p>
        </w:tc>
      </w:tr>
      <w:tr>
        <w:trPr/>
        <w:tc>
          <w:tcPr>
            <w:tcW w:w="10205"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Ladies and Gentlemen:</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Vulcan Energy Corporation, a Delaware corporation (the “</w:t>
      </w:r>
      <w:r>
        <w:rPr>
          <w:rFonts w:ascii="Times New Roman;serif" w:hAnsi="Times New Roman;serif"/>
          <w:b/>
          <w:sz w:val="24"/>
        </w:rPr>
        <w:t>Selling Unitholder</w:t>
      </w:r>
      <w:r>
        <w:rPr>
          <w:rFonts w:ascii="Times New Roman;serif" w:hAnsi="Times New Roman;serif"/>
          <w:sz w:val="24"/>
        </w:rPr>
        <w:t>”), proposes to sell 7,500,000 common units (the “</w:t>
      </w:r>
      <w:r>
        <w:rPr>
          <w:rFonts w:ascii="Times New Roman;serif" w:hAnsi="Times New Roman;serif"/>
          <w:b/>
          <w:sz w:val="24"/>
        </w:rPr>
        <w:t>Firm Units</w:t>
      </w:r>
      <w:r>
        <w:rPr>
          <w:rFonts w:ascii="Times New Roman;serif" w:hAnsi="Times New Roman;serif"/>
          <w:sz w:val="24"/>
        </w:rPr>
        <w:t>”) representing limited partner interests (“</w:t>
      </w:r>
      <w:r>
        <w:rPr>
          <w:rFonts w:ascii="Times New Roman;serif" w:hAnsi="Times New Roman;serif"/>
          <w:b/>
          <w:sz w:val="24"/>
        </w:rPr>
        <w:t>Common Units</w:t>
      </w:r>
      <w:r>
        <w:rPr>
          <w:rFonts w:ascii="Times New Roman;serif" w:hAnsi="Times New Roman;serif"/>
          <w:sz w:val="24"/>
        </w:rPr>
        <w:t>”) in Plains All American Pipeline, L.P., a Delaware limited partnership (the “</w:t>
      </w:r>
      <w:r>
        <w:rPr>
          <w:rFonts w:ascii="Times New Roman;serif" w:hAnsi="Times New Roman;serif"/>
          <w:b/>
          <w:sz w:val="24"/>
        </w:rPr>
        <w:t>Partnership</w:t>
      </w:r>
      <w:r>
        <w:rPr>
          <w:rFonts w:ascii="Times New Roman;serif" w:hAnsi="Times New Roman;serif"/>
          <w:sz w:val="24"/>
        </w:rPr>
        <w:t xml:space="preserve">”), to the several underwriters named in </w:t>
      </w:r>
      <w:r>
        <w:rPr>
          <w:rFonts w:ascii="Times New Roman;serif" w:hAnsi="Times New Roman;serif"/>
          <w:sz w:val="24"/>
          <w:u w:val="single"/>
        </w:rPr>
        <w:t>Schedule I</w:t>
      </w:r>
      <w:r>
        <w:rPr>
          <w:rFonts w:ascii="Times New Roman;serif" w:hAnsi="Times New Roman;serif"/>
          <w:sz w:val="24"/>
        </w:rPr>
        <w:t xml:space="preserve"> hereto (the “</w:t>
      </w:r>
      <w:r>
        <w:rPr>
          <w:rFonts w:ascii="Times New Roman;serif" w:hAnsi="Times New Roman;serif"/>
          <w:b/>
          <w:sz w:val="24"/>
        </w:rPr>
        <w:t>Underwriters</w:t>
      </w:r>
      <w:r>
        <w:rPr>
          <w:rFonts w:ascii="Times New Roman;serif" w:hAnsi="Times New Roman;serif"/>
          <w:sz w:val="24"/>
        </w:rPr>
        <w:t>”), for whom Citigroup Global Markets Inc., Barclays Capital Inc., Merrill Lynch, Pierce, Fenner &amp; Smith Incorporated, J.P. Morgan Securities LLC and UBS Securities LLC are acting as representatives (the “</w:t>
      </w:r>
      <w:r>
        <w:rPr>
          <w:rFonts w:ascii="Times New Roman;serif" w:hAnsi="Times New Roman;serif"/>
          <w:b/>
          <w:sz w:val="24"/>
        </w:rPr>
        <w:t>Representatives</w:t>
      </w:r>
      <w:r>
        <w:rPr>
          <w:rFonts w:ascii="Times New Roman;serif" w:hAnsi="Times New Roman;serif"/>
          <w:sz w:val="24"/>
        </w:rPr>
        <w:t>”), upon the terms and conditions set forth in Section 3 hereof.  The Selling Unitholder also proposes to grant to the Underwriters, upon the terms and conditions set forth in Section 3 hereof, an option to purchase up to an additional 1,125,000 Common Units (the “</w:t>
      </w:r>
      <w:r>
        <w:rPr>
          <w:rFonts w:ascii="Times New Roman;serif" w:hAnsi="Times New Roman;serif"/>
          <w:b/>
          <w:sz w:val="24"/>
        </w:rPr>
        <w:t>Option Units</w:t>
      </w:r>
      <w:r>
        <w:rPr>
          <w:rFonts w:ascii="Times New Roman;serif" w:hAnsi="Times New Roman;serif"/>
          <w:sz w:val="24"/>
        </w:rPr>
        <w:t>”).  The Firm Units and the Option Units, if purchased, are hereinafter collectively called the “</w:t>
      </w:r>
      <w:r>
        <w:rPr>
          <w:rFonts w:ascii="Times New Roman;serif" w:hAnsi="Times New Roman;serif"/>
          <w:b/>
          <w:sz w:val="24"/>
        </w:rPr>
        <w:t>Units</w:t>
      </w:r>
      <w:r>
        <w:rPr>
          <w:rFonts w:ascii="Times New Roman;serif" w:hAnsi="Times New Roman;serif"/>
          <w:sz w:val="24"/>
        </w:rPr>
        <w: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PAA GP LLC, a Delaware limited liability company (the “</w:t>
      </w:r>
      <w:r>
        <w:rPr>
          <w:rFonts w:ascii="Times New Roman;serif" w:hAnsi="Times New Roman;serif"/>
          <w:b/>
          <w:sz w:val="24"/>
        </w:rPr>
        <w:t>General Partner</w:t>
      </w:r>
      <w:r>
        <w:rPr>
          <w:rFonts w:ascii="Times New Roman;serif" w:hAnsi="Times New Roman;serif"/>
          <w:sz w:val="24"/>
        </w:rPr>
        <w:t>”), is the general partner of the Partnership.  Plains AAP, L.P., a Delaware limited partnership (“</w:t>
      </w:r>
      <w:r>
        <w:rPr>
          <w:rFonts w:ascii="Times New Roman;serif" w:hAnsi="Times New Roman;serif"/>
          <w:b/>
          <w:sz w:val="24"/>
        </w:rPr>
        <w:t>Plains AAP</w:t>
      </w:r>
      <w:r>
        <w:rPr>
          <w:rFonts w:ascii="Times New Roman;serif" w:hAnsi="Times New Roman;serif"/>
          <w:sz w:val="24"/>
        </w:rPr>
        <w:t>”), owns a 100% membership interest in the General Partner.  Plains All American GP LLC, a Delaware limited liability company (“</w:t>
      </w:r>
      <w:r>
        <w:rPr>
          <w:rFonts w:ascii="Times New Roman;serif" w:hAnsi="Times New Roman;serif"/>
          <w:b/>
          <w:sz w:val="24"/>
        </w:rPr>
        <w:t>GP LLC</w:t>
      </w:r>
      <w:r>
        <w:rPr>
          <w:rFonts w:ascii="Times New Roman;serif" w:hAnsi="Times New Roman;serif"/>
          <w:sz w:val="24"/>
        </w:rPr>
        <w:t>” and, collectively with the General Partner and Plains AAP, the “</w:t>
      </w:r>
      <w:r>
        <w:rPr>
          <w:rFonts w:ascii="Times New Roman;serif" w:hAnsi="Times New Roman;serif"/>
          <w:b/>
          <w:sz w:val="24"/>
        </w:rPr>
        <w:t>GP Entities</w:t>
      </w:r>
      <w:r>
        <w:rPr>
          <w:rFonts w:ascii="Times New Roman;serif" w:hAnsi="Times New Roman;serif"/>
          <w:sz w:val="24"/>
        </w:rPr>
        <w:t>”), is the general partner of Plains AAP.</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5" w:name="PGBRK15"/>
      <w:bookmarkStart w:id="146" w:name="PGBRK15"/>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 w:name="FTR15"/>
      <w:bookmarkStart w:id="148" w:name="FTR15"/>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9" w:name="GLFTR15"/>
      <w:bookmarkEnd w:id="1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0" w:name="PN15"/>
      <w:bookmarkEnd w:id="15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1" w:name="HDR15"/>
      <w:bookmarkStart w:id="152" w:name="HDR15"/>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3" w:name="GLHDR15"/>
      <w:bookmarkEnd w:id="1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 xml:space="preserve">The subsidiaries of the Partnership listed on </w:t>
      </w:r>
      <w:r>
        <w:rPr>
          <w:rFonts w:ascii="Times New Roman;serif" w:hAnsi="Times New Roman;serif"/>
          <w:sz w:val="24"/>
          <w:u w:val="single"/>
        </w:rPr>
        <w:t>Schedule III</w:t>
      </w:r>
      <w:r>
        <w:rPr>
          <w:rFonts w:ascii="Times New Roman;serif" w:hAnsi="Times New Roman;serif"/>
          <w:sz w:val="24"/>
        </w:rPr>
        <w:t xml:space="preserve"> attached hereto are referred to herein as the “</w:t>
      </w:r>
      <w:r>
        <w:rPr>
          <w:rFonts w:ascii="Times New Roman;serif" w:hAnsi="Times New Roman;serif"/>
          <w:b/>
          <w:sz w:val="24"/>
        </w:rPr>
        <w:t>Material Subsidiaries</w:t>
      </w:r>
      <w:r>
        <w:rPr>
          <w:rFonts w:ascii="Times New Roman;serif" w:hAnsi="Times New Roman;serif"/>
          <w:sz w:val="24"/>
        </w:rPr>
        <w:t xml:space="preserve">” and the Material Subsidiaries listed on </w:t>
      </w:r>
      <w:r>
        <w:rPr>
          <w:rFonts w:ascii="Times New Roman;serif" w:hAnsi="Times New Roman;serif"/>
          <w:sz w:val="24"/>
          <w:u w:val="single"/>
        </w:rPr>
        <w:t>Schedule IV</w:t>
      </w:r>
      <w:r>
        <w:rPr>
          <w:rFonts w:ascii="Times New Roman;serif" w:hAnsi="Times New Roman;serif"/>
          <w:sz w:val="24"/>
        </w:rPr>
        <w:t xml:space="preserve"> attached hereto are referred to herein as the “</w:t>
      </w:r>
      <w:r>
        <w:rPr>
          <w:rFonts w:ascii="Times New Roman;serif" w:hAnsi="Times New Roman;serif"/>
          <w:b/>
          <w:sz w:val="24"/>
        </w:rPr>
        <w:t>Domestic Subsidiaries</w:t>
      </w:r>
      <w:r>
        <w:rPr>
          <w:rFonts w:ascii="Times New Roman;serif" w:hAnsi="Times New Roman;serif"/>
          <w:sz w:val="24"/>
        </w:rPr>
        <w: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This is to confirm the agreement among the Partnership, the Selling Unitholder and the Underwriters concerning the several purchases of the Units by the Underwriters.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1.         </w:t>
      </w:r>
      <w:r>
        <w:rPr>
          <w:rFonts w:ascii="Times New Roman;serif" w:hAnsi="Times New Roman;serif"/>
          <w:sz w:val="24"/>
          <w:u w:val="single"/>
        </w:rPr>
        <w:t>Representations and Warranties of the Partnership</w:t>
      </w:r>
      <w:r>
        <w:rPr>
          <w:rFonts w:ascii="Times New Roman;serif" w:hAnsi="Times New Roman;serif"/>
          <w:sz w:val="24"/>
        </w:rPr>
        <w:t>.  The Partnership represents and warrants to the Underwriters that: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(a)        </w:t>
      </w:r>
      <w:r>
        <w:rPr>
          <w:rFonts w:ascii="Times New Roman;serif" w:hAnsi="Times New Roman;serif"/>
          <w:i/>
          <w:sz w:val="24"/>
        </w:rPr>
        <w:t>Registration.</w:t>
      </w:r>
      <w:r>
        <w:rPr>
          <w:rFonts w:ascii="Times New Roman;serif" w:hAnsi="Times New Roman;serif"/>
          <w:sz w:val="24"/>
        </w:rPr>
        <w:t>  A registration statement on Form S-3 relating to the Units (File No. 333-155673) (i) has been prepared by the Partnership in conformity with the requirements of the Securities Act of 1933, as amended (the “</w:t>
      </w:r>
      <w:r>
        <w:rPr>
          <w:rFonts w:ascii="Times New Roman;serif" w:hAnsi="Times New Roman;serif"/>
          <w:b/>
          <w:sz w:val="24"/>
        </w:rPr>
        <w:t>Securities Act</w:t>
      </w:r>
      <w:r>
        <w:rPr>
          <w:rFonts w:ascii="Times New Roman;serif" w:hAnsi="Times New Roman;serif"/>
          <w:sz w:val="24"/>
        </w:rPr>
        <w:t>”), and the rules and regulations (the “</w:t>
      </w:r>
      <w:r>
        <w:rPr>
          <w:rFonts w:ascii="Times New Roman;serif" w:hAnsi="Times New Roman;serif"/>
          <w:b/>
          <w:sz w:val="24"/>
        </w:rPr>
        <w:t>Rules and Regulations</w:t>
      </w:r>
      <w:r>
        <w:rPr>
          <w:rFonts w:ascii="Times New Roman;serif" w:hAnsi="Times New Roman;serif"/>
          <w:sz w:val="24"/>
        </w:rPr>
        <w:t>”) of the Securities and Exchange Commission (the “</w:t>
      </w:r>
      <w:r>
        <w:rPr>
          <w:rFonts w:ascii="Times New Roman;serif" w:hAnsi="Times New Roman;serif"/>
          <w:b/>
          <w:sz w:val="24"/>
        </w:rPr>
        <w:t>Commission</w:t>
      </w:r>
      <w:r>
        <w:rPr>
          <w:rFonts w:ascii="Times New Roman;serif" w:hAnsi="Times New Roman;serif"/>
          <w:sz w:val="24"/>
        </w:rPr>
        <w:t>”) thereunder; (ii) has been filed with the Commission under the Securities Act; and (iii) is effective under the Securities Act.  Copies of such registration statement and any amendment thereto have been delivered by the Partnership to the Representatives.  As used in this Agreement:</w:t>
      </w:r>
    </w:p>
    <w:p>
      <w:pPr>
        <w:pStyle w:val="TextBody"/>
        <w:spacing w:before="0" w:after="0"/>
        <w:ind w:left="0" w:right="0" w:hanging="0"/>
        <w:jc w:val="both"/>
        <w:rPr/>
      </w:pPr>
      <w:r>
        <w:rPr/>
        <w:t> </w:t>
      </w:r>
    </w:p>
    <w:p>
      <w:pPr>
        <w:pStyle w:val="TextBody"/>
        <w:spacing w:before="0" w:after="0"/>
        <w:ind w:left="1440" w:right="0" w:firstLine="720"/>
        <w:jc w:val="both"/>
        <w:rPr>
          <w:rFonts w:ascii="Times New Roman;serif" w:hAnsi="Times New Roman;serif"/>
          <w:sz w:val="24"/>
        </w:rPr>
      </w:pPr>
      <w:r>
        <w:rPr>
          <w:rFonts w:ascii="Times New Roman;serif" w:hAnsi="Times New Roman;serif"/>
          <w:sz w:val="24"/>
        </w:rPr>
        <w:t>(i)           “</w:t>
      </w:r>
      <w:r>
        <w:rPr>
          <w:rFonts w:ascii="Times New Roman;serif" w:hAnsi="Times New Roman;serif"/>
          <w:b/>
          <w:sz w:val="24"/>
        </w:rPr>
        <w:t>Applicable Time</w:t>
      </w:r>
      <w:r>
        <w:rPr>
          <w:rFonts w:ascii="Times New Roman;serif" w:hAnsi="Times New Roman;serif"/>
          <w:sz w:val="24"/>
        </w:rPr>
        <w:t>” means 6:10 p.m., New York City time, on August 11, 2011, which the Underwriters have informed the Partnership and its counsel is a time prior to the first sale of the Units;</w:t>
      </w:r>
    </w:p>
    <w:p>
      <w:pPr>
        <w:pStyle w:val="TextBody"/>
        <w:spacing w:before="0" w:after="0"/>
        <w:ind w:left="0" w:right="0" w:hanging="0"/>
        <w:jc w:val="both"/>
        <w:rPr/>
      </w:pPr>
      <w:r>
        <w:rPr/>
        <w:t> </w:t>
      </w:r>
    </w:p>
    <w:p>
      <w:pPr>
        <w:pStyle w:val="TextBody"/>
        <w:spacing w:before="0" w:after="0"/>
        <w:ind w:left="1440" w:right="0" w:firstLine="720"/>
        <w:jc w:val="both"/>
        <w:rPr>
          <w:rFonts w:ascii="Times New Roman;serif" w:hAnsi="Times New Roman;serif"/>
          <w:sz w:val="24"/>
        </w:rPr>
      </w:pPr>
      <w:r>
        <w:rPr>
          <w:rFonts w:ascii="Times New Roman;serif" w:hAnsi="Times New Roman;serif"/>
          <w:sz w:val="24"/>
        </w:rPr>
        <w:t>(ii)           “</w:t>
      </w:r>
      <w:r>
        <w:rPr>
          <w:rFonts w:ascii="Times New Roman;serif" w:hAnsi="Times New Roman;serif"/>
          <w:b/>
          <w:sz w:val="24"/>
        </w:rPr>
        <w:t>Base Prospectus</w:t>
      </w:r>
      <w:r>
        <w:rPr>
          <w:rFonts w:ascii="Times New Roman;serif" w:hAnsi="Times New Roman;serif"/>
          <w:sz w:val="24"/>
        </w:rPr>
        <w:t>” means the base prospectus included in the Registration Statement at the Applicable Time.</w:t>
      </w:r>
    </w:p>
    <w:p>
      <w:pPr>
        <w:pStyle w:val="TextBody"/>
        <w:spacing w:before="0" w:after="0"/>
        <w:ind w:left="0" w:right="0" w:hanging="0"/>
        <w:jc w:val="both"/>
        <w:rPr/>
      </w:pPr>
      <w:r>
        <w:rPr/>
        <w:t> </w:t>
      </w:r>
    </w:p>
    <w:p>
      <w:pPr>
        <w:pStyle w:val="TextBody"/>
        <w:spacing w:before="0" w:after="0"/>
        <w:ind w:left="1440" w:right="0" w:firstLine="720"/>
        <w:jc w:val="both"/>
        <w:rPr>
          <w:rFonts w:ascii="Times New Roman;serif" w:hAnsi="Times New Roman;serif"/>
          <w:sz w:val="24"/>
        </w:rPr>
      </w:pPr>
      <w:r>
        <w:rPr>
          <w:rFonts w:ascii="Times New Roman;serif" w:hAnsi="Times New Roman;serif"/>
          <w:sz w:val="24"/>
        </w:rPr>
        <w:t>(iii)           “</w:t>
      </w:r>
      <w:r>
        <w:rPr>
          <w:rFonts w:ascii="Times New Roman;serif" w:hAnsi="Times New Roman;serif"/>
          <w:b/>
          <w:sz w:val="24"/>
        </w:rPr>
        <w:t>Effective Date</w:t>
      </w:r>
      <w:r>
        <w:rPr>
          <w:rFonts w:ascii="Times New Roman;serif" w:hAnsi="Times New Roman;serif"/>
          <w:sz w:val="24"/>
        </w:rPr>
        <w:t>” means any date as of which any part of such registration statement relating to the Units became, or is deemed to have become, effective under the Securities Act in accordance with the Rules and Regulations;</w:t>
      </w:r>
    </w:p>
    <w:p>
      <w:pPr>
        <w:pStyle w:val="TextBody"/>
        <w:spacing w:before="0" w:after="0"/>
        <w:ind w:left="0" w:right="0" w:hanging="0"/>
        <w:jc w:val="both"/>
        <w:rPr/>
      </w:pPr>
      <w:r>
        <w:rPr/>
        <w:t> </w:t>
      </w:r>
    </w:p>
    <w:p>
      <w:pPr>
        <w:pStyle w:val="TextBody"/>
        <w:spacing w:before="0" w:after="0"/>
        <w:ind w:left="1440" w:right="0" w:firstLine="720"/>
        <w:jc w:val="both"/>
        <w:rPr>
          <w:rFonts w:ascii="Times New Roman;serif" w:hAnsi="Times New Roman;serif"/>
          <w:sz w:val="24"/>
        </w:rPr>
      </w:pPr>
      <w:r>
        <w:rPr>
          <w:rFonts w:ascii="Times New Roman;serif" w:hAnsi="Times New Roman;serif"/>
          <w:sz w:val="24"/>
        </w:rPr>
        <w:t>(iv)           “</w:t>
      </w:r>
      <w:r>
        <w:rPr>
          <w:rFonts w:ascii="Times New Roman;serif" w:hAnsi="Times New Roman;serif"/>
          <w:b/>
          <w:sz w:val="24"/>
        </w:rPr>
        <w:t>Issuer Free Writing Prospectus</w:t>
      </w:r>
      <w:r>
        <w:rPr>
          <w:rFonts w:ascii="Times New Roman;serif" w:hAnsi="Times New Roman;serif"/>
          <w:sz w:val="24"/>
        </w:rPr>
        <w:t>” means each “free writing prospectus” (as defined in Rule 405 of the Rules and Regulations) or “issuer free writing prospectus” (as defined in Rule 433 of the Rules and Regulations) prepared by or on behalf of the Partnership or used or referred to by the Partnership in connection with the offering of the Units;</w:t>
      </w:r>
    </w:p>
    <w:p>
      <w:pPr>
        <w:pStyle w:val="TextBody"/>
        <w:spacing w:before="0" w:after="0"/>
        <w:ind w:left="0" w:right="0" w:hanging="0"/>
        <w:jc w:val="both"/>
        <w:rPr/>
      </w:pPr>
      <w:r>
        <w:rPr/>
        <w:t> </w:t>
      </w:r>
    </w:p>
    <w:p>
      <w:pPr>
        <w:pStyle w:val="TextBody"/>
        <w:spacing w:before="0" w:after="0"/>
        <w:ind w:left="1440" w:right="0" w:firstLine="720"/>
        <w:jc w:val="both"/>
        <w:rPr>
          <w:rFonts w:ascii="Times New Roman;serif" w:hAnsi="Times New Roman;serif"/>
          <w:sz w:val="24"/>
        </w:rPr>
      </w:pPr>
      <w:r>
        <w:rPr>
          <w:rFonts w:ascii="Times New Roman;serif" w:hAnsi="Times New Roman;serif"/>
          <w:sz w:val="24"/>
        </w:rPr>
        <w:t>(v)           “</w:t>
      </w:r>
      <w:r>
        <w:rPr>
          <w:rFonts w:ascii="Times New Roman;serif" w:hAnsi="Times New Roman;serif"/>
          <w:b/>
          <w:sz w:val="24"/>
        </w:rPr>
        <w:t>Preliminary Prospectus</w:t>
      </w:r>
      <w:r>
        <w:rPr>
          <w:rFonts w:ascii="Times New Roman;serif" w:hAnsi="Times New Roman;serif"/>
          <w:sz w:val="24"/>
        </w:rPr>
        <w:t>” means any preliminary prospectus relating to the Units included in such registration statement or filed with the Commission pursuant to Rule 424(b) of the Rules and Regulations, including the Base Prospectus and any preliminary prospectus supplement thereto relating to the Units;</w:t>
      </w:r>
    </w:p>
    <w:p>
      <w:pPr>
        <w:pStyle w:val="TextBody"/>
        <w:spacing w:before="0" w:after="0"/>
        <w:ind w:left="0" w:right="0" w:hanging="0"/>
        <w:jc w:val="both"/>
        <w:rPr/>
      </w:pPr>
      <w:r>
        <w:rPr/>
        <w:t> </w:t>
      </w:r>
    </w:p>
    <w:p>
      <w:pPr>
        <w:pStyle w:val="TextBody"/>
        <w:spacing w:before="0" w:after="0"/>
        <w:ind w:left="1440" w:right="0" w:firstLine="720"/>
        <w:jc w:val="both"/>
        <w:rPr>
          <w:rFonts w:ascii="Times New Roman;serif" w:hAnsi="Times New Roman;serif"/>
          <w:sz w:val="24"/>
        </w:rPr>
      </w:pPr>
      <w:r>
        <w:rPr>
          <w:rFonts w:ascii="Times New Roman;serif" w:hAnsi="Times New Roman;serif"/>
          <w:sz w:val="24"/>
        </w:rPr>
        <w:t>(vi)           “</w:t>
      </w:r>
      <w:r>
        <w:rPr>
          <w:rFonts w:ascii="Times New Roman;serif" w:hAnsi="Times New Roman;serif"/>
          <w:b/>
          <w:sz w:val="24"/>
        </w:rPr>
        <w:t>Pricing Disclosure Package</w:t>
      </w:r>
      <w:r>
        <w:rPr>
          <w:rFonts w:ascii="Times New Roman;serif" w:hAnsi="Times New Roman;serif"/>
          <w:sz w:val="24"/>
        </w:rPr>
        <w:t xml:space="preserve">” means, as of the Applicable Time, the most recent Preliminary Prospectus together with (A) the pricing information identified in </w:t>
      </w:r>
      <w:r>
        <w:rPr>
          <w:rFonts w:ascii="Times New Roman;serif" w:hAnsi="Times New Roman;serif"/>
          <w:sz w:val="24"/>
          <w:u w:val="single"/>
        </w:rPr>
        <w:t>Schedule II</w:t>
      </w:r>
      <w:r>
        <w:rPr>
          <w:rFonts w:ascii="Times New Roman;serif" w:hAnsi="Times New Roman;serif"/>
          <w:sz w:val="24"/>
        </w:rPr>
        <w:t xml:space="preserve"> hereto and (B) each Issuer Free Writing Prospectus filed or used by the Partnership on or before the Applicable Time, other than a road show that is an Issuer Free Writing Prospectus under Rule 433 of the Rules and Regulations;</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4" w:name="PGBRK16"/>
      <w:bookmarkStart w:id="155" w:name="PGBRK16"/>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6" w:name="FTR16"/>
      <w:bookmarkStart w:id="157" w:name="FTR16"/>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8" w:name="GLFTR16"/>
      <w:bookmarkEnd w:id="1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159" w:name="PN16"/>
      <w:bookmarkEnd w:id="159"/>
      <w:r>
        <w:rPr>
          <w:rFonts w:ascii="Times New Roman;serif" w:hAnsi="Times New Roman;serif"/>
          <w:sz w:val="22"/>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 w:name="HDR16"/>
      <w:bookmarkStart w:id="161" w:name="HDR16"/>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2" w:name="GLHDR16"/>
      <w:bookmarkEnd w:id="1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1440" w:right="0" w:firstLine="720"/>
        <w:jc w:val="both"/>
        <w:rPr>
          <w:rFonts w:ascii="Times New Roman;serif" w:hAnsi="Times New Roman;serif"/>
          <w:sz w:val="24"/>
        </w:rPr>
      </w:pPr>
      <w:r>
        <w:rPr>
          <w:rFonts w:ascii="Times New Roman;serif" w:hAnsi="Times New Roman;serif"/>
          <w:sz w:val="24"/>
        </w:rPr>
        <w:t>(vii)         “</w:t>
      </w:r>
      <w:r>
        <w:rPr>
          <w:rFonts w:ascii="Times New Roman;serif" w:hAnsi="Times New Roman;serif"/>
          <w:b/>
          <w:sz w:val="24"/>
        </w:rPr>
        <w:t>Prospectus</w:t>
      </w:r>
      <w:r>
        <w:rPr>
          <w:rFonts w:ascii="Times New Roman;serif" w:hAnsi="Times New Roman;serif"/>
          <w:sz w:val="24"/>
        </w:rPr>
        <w:t>” means the final prospectus relating to the Units, including the Base Prospectus and any prospectus supplement thereto relating to the Units, as filed with the Commission pursuant to Rule 424(b) of the Rules and Regulations; and</w:t>
      </w:r>
    </w:p>
    <w:p>
      <w:pPr>
        <w:pStyle w:val="TextBody"/>
        <w:spacing w:before="0" w:after="0"/>
        <w:ind w:left="0" w:right="0" w:hanging="0"/>
        <w:jc w:val="both"/>
        <w:rPr/>
      </w:pPr>
      <w:r>
        <w:rPr/>
        <w:t> </w:t>
      </w:r>
    </w:p>
    <w:p>
      <w:pPr>
        <w:pStyle w:val="TextBody"/>
        <w:spacing w:before="0" w:after="0"/>
        <w:ind w:left="1440" w:right="0" w:firstLine="720"/>
        <w:jc w:val="both"/>
        <w:rPr>
          <w:rFonts w:ascii="Times New Roman;serif" w:hAnsi="Times New Roman;serif"/>
          <w:sz w:val="24"/>
        </w:rPr>
      </w:pPr>
      <w:r>
        <w:rPr>
          <w:rFonts w:ascii="Times New Roman;serif" w:hAnsi="Times New Roman;serif"/>
          <w:sz w:val="24"/>
        </w:rPr>
        <w:t>(viii)        “</w:t>
      </w:r>
      <w:r>
        <w:rPr>
          <w:rFonts w:ascii="Times New Roman;serif" w:hAnsi="Times New Roman;serif"/>
          <w:b/>
          <w:sz w:val="24"/>
        </w:rPr>
        <w:t>Registration Statement</w:t>
      </w:r>
      <w:r>
        <w:rPr>
          <w:rFonts w:ascii="Times New Roman;serif" w:hAnsi="Times New Roman;serif"/>
          <w:sz w:val="24"/>
        </w:rPr>
        <w:t>” means the registration statement on Form S-3 (File No. 333-155673), as amended as of the Effective Date, including any Preliminary Prospectus or the Prospectus and all exhibits to such registration statement.</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Any reference to the Registration Statement, any Preliminary Prospectus, the Pricing Disclosure Package or the Prospectus shall be deemed to refer to and include any documents incorporated by reference therein pursuant to Form S-3 under the Securities Act as of the date of such Registration Statement, Preliminary Prospectus or Prospectus, as the case may be, or in the case of the Pricing Disclosure Package, as of the Applicable Time.  Any reference to the “</w:t>
      </w:r>
      <w:r>
        <w:rPr>
          <w:rFonts w:ascii="Times New Roman;serif" w:hAnsi="Times New Roman;serif"/>
          <w:b/>
          <w:sz w:val="24"/>
        </w:rPr>
        <w:t>most recent Preliminary Prospectus</w:t>
      </w:r>
      <w:r>
        <w:rPr>
          <w:rFonts w:ascii="Times New Roman;serif" w:hAnsi="Times New Roman;serif"/>
          <w:sz w:val="24"/>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Times New Roman;serif" w:hAnsi="Times New Roman;serif"/>
          <w:b/>
          <w:sz w:val="24"/>
        </w:rPr>
        <w:t>Exchange Act</w:t>
      </w:r>
      <w:r>
        <w:rPr>
          <w:rFonts w:ascii="Times New Roman;serif" w:hAnsi="Times New Roman;serif"/>
          <w:sz w:val="24"/>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periodic report of the Partnership filed with the Commission pursuant to Section 13(a) or 15(d) of the Exchange Act after the Effective Date that is incorporated by reference in the Registration Statement.  As used herein, the term “</w:t>
      </w:r>
      <w:r>
        <w:rPr>
          <w:rFonts w:ascii="Times New Roman;serif" w:hAnsi="Times New Roman;serif"/>
          <w:b/>
          <w:sz w:val="24"/>
        </w:rPr>
        <w:t>Incorporated Documents</w:t>
      </w:r>
      <w:r>
        <w:rPr>
          <w:rFonts w:ascii="Times New Roman;serif" w:hAnsi="Times New Roman;serif"/>
          <w:sz w:val="24"/>
        </w:rPr>
        <w:t>”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Partnership’s knowledge, threatened by the Commission.  The Commission has not notified the Partnership of any objection to the use of the form of the Registration Statement.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(b)        </w:t>
      </w:r>
      <w:r>
        <w:rPr>
          <w:rFonts w:ascii="Times New Roman;serif" w:hAnsi="Times New Roman;serif"/>
          <w:i/>
          <w:sz w:val="24"/>
        </w:rPr>
        <w:t>Form of Documents</w:t>
      </w:r>
      <w:r>
        <w:rPr>
          <w:rFonts w:ascii="Times New Roman;serif" w:hAnsi="Times New Roman;serif"/>
          <w:sz w:val="24"/>
        </w:rPr>
        <w:t>.  The Registration Statement conformed in all material respects on the Effective Date and on each applicable 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and on each applicable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3" w:name="PGBRK17"/>
      <w:bookmarkStart w:id="164" w:name="PGBRK17"/>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5" w:name="FTR17"/>
      <w:bookmarkStart w:id="166" w:name="FTR17"/>
      <w:bookmarkEnd w:id="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7" w:name="GLFTR17"/>
      <w:bookmarkEnd w:id="1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168" w:name="PN17"/>
      <w:bookmarkEnd w:id="168"/>
      <w:r>
        <w:rPr>
          <w:rFonts w:ascii="Times New Roman;serif" w:hAnsi="Times New Roman;serif"/>
          <w:sz w:val="22"/>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9" w:name="HDR17"/>
      <w:bookmarkStart w:id="170" w:name="HDR17"/>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1" w:name="GLHDR17"/>
      <w:bookmarkEnd w:id="1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(c)        </w:t>
      </w:r>
      <w:r>
        <w:rPr>
          <w:rFonts w:ascii="Times New Roman;serif" w:hAnsi="Times New Roman;serif"/>
          <w:i/>
          <w:sz w:val="24"/>
        </w:rPr>
        <w:t>No Material Misstatements or Omissions in Registration Statement</w:t>
      </w:r>
      <w:r>
        <w:rPr>
          <w:rFonts w:ascii="Times New Roman;serif" w:hAnsi="Times New Roman;serif"/>
          <w:sz w:val="24"/>
        </w:rPr>
        <w:t xml:space="preserve">.  The Registration Statement did not, as of its most recent Effective Date, contain an untrue statement of a material fact or omit to state a material fact required to be stated therein or necessary to make the statements therein not misleading; </w:t>
      </w:r>
      <w:r>
        <w:rPr>
          <w:rFonts w:ascii="Times New Roman;serif" w:hAnsi="Times New Roman;serif"/>
          <w:sz w:val="24"/>
          <w:u w:val="single"/>
        </w:rPr>
        <w:t>provided</w:t>
      </w:r>
      <w:r>
        <w:rPr>
          <w:rFonts w:ascii="Times New Roman;serif" w:hAnsi="Times New Roman;serif"/>
          <w:sz w:val="24"/>
        </w:rPr>
        <w:t xml:space="preserve"> that no representation or warranty is made as to information contained in or omitted from the Registration Statement in reliance upon and in conformity with written information furnished to the Partnership through the Representatives by or on behalf of any Underwriter specifically for inclusion therein, which information is specified in Section 14.</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(d)        </w:t>
      </w:r>
      <w:r>
        <w:rPr>
          <w:rFonts w:ascii="Times New Roman;serif" w:hAnsi="Times New Roman;serif"/>
          <w:i/>
          <w:sz w:val="24"/>
        </w:rPr>
        <w:t>No Material Misstatements or Omissions in Prospectus</w:t>
      </w:r>
      <w:r>
        <w:rPr>
          <w:rFonts w:ascii="Times New Roman;serif" w:hAnsi="Times New Roman;serif"/>
          <w:sz w:val="24"/>
        </w:rPr>
        <w:t xml:space="preserve">.  The Prospectus will not, as of its date and on the applicable Delivery Date, include an untrue statement of a material fact or omit to state a material fact necessary in order to make the statements therein, in the light of the circumstances under which they were made, not misleading; </w:t>
      </w:r>
      <w:r>
        <w:rPr>
          <w:rFonts w:ascii="Times New Roman;serif" w:hAnsi="Times New Roman;serif"/>
          <w:sz w:val="24"/>
          <w:u w:val="single"/>
        </w:rPr>
        <w:t>provided</w:t>
      </w:r>
      <w:r>
        <w:rPr>
          <w:rFonts w:ascii="Times New Roman;serif" w:hAnsi="Times New Roman;serif"/>
          <w:sz w:val="24"/>
        </w:rPr>
        <w:t xml:space="preserve"> that no representation or warranty is made as to information contained in or omitted from the Prospectus in reliance upon and in conformity with written information furnished to the Partnership through the Representatives by or on behalf of any Underwriter specifically for inclusion therein, which information is specified in Section 14.</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(e)        </w:t>
      </w:r>
      <w:r>
        <w:rPr>
          <w:rFonts w:ascii="Times New Roman;serif" w:hAnsi="Times New Roman;serif"/>
          <w:i/>
          <w:sz w:val="24"/>
        </w:rPr>
        <w:t>No Material Misstatements or Omissions in Documents Incorporated by Reference</w:t>
      </w:r>
      <w:r>
        <w:rPr>
          <w:rFonts w:ascii="Times New Roman;serif" w:hAnsi="Times New Roman;serif"/>
          <w:sz w:val="24"/>
        </w:rPr>
        <w:t>.  The Incorporated Documents, when filed with the Commission, did not and will not include an untrue statement of a material fact or omit to state a material fact necessary in order to make the statements therein, in the light of the circumstances under which they were made, not misleading.</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(f)         </w:t>
      </w:r>
      <w:r>
        <w:rPr>
          <w:rFonts w:ascii="Times New Roman;serif" w:hAnsi="Times New Roman;serif"/>
          <w:i/>
          <w:sz w:val="24"/>
        </w:rPr>
        <w:t>No Material Misstatements or Omissions in Pricing Disclosure Package</w:t>
      </w:r>
      <w:r>
        <w:rPr>
          <w:rFonts w:ascii="Times New Roman;serif" w:hAnsi="Times New Roman;serif"/>
          <w:sz w:val="24"/>
        </w:rPr>
        <w:t xml:space="preserve">.  The Pricing Disclosure Package did not, as of the Applicable Time, include an untrue statement of a material fact or omit to state a material fact necessary in order to make the statements therein, in the light of the circumstances under which they were made, not misleading; </w:t>
      </w:r>
      <w:r>
        <w:rPr>
          <w:rFonts w:ascii="Times New Roman;serif" w:hAnsi="Times New Roman;serif"/>
          <w:sz w:val="24"/>
          <w:u w:val="single"/>
        </w:rPr>
        <w:t>provided</w:t>
      </w:r>
      <w:r>
        <w:rPr>
          <w:rFonts w:ascii="Times New Roman;serif" w:hAnsi="Times New Roman;serif"/>
          <w:sz w:val="24"/>
        </w:rPr>
        <w:t xml:space="preserve"> that no representation or warranty is made as to information contained in or omitted from the Pricing Disclosure Package in reliance upon and in conformity with written information furnished to the Partnership through the Representatives by or on behalf of any Underwriter specifically for inclusion therein, which information is specified in Section 14.</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(g)        </w:t>
      </w:r>
      <w:r>
        <w:rPr>
          <w:rFonts w:ascii="Times New Roman;serif" w:hAnsi="Times New Roman;serif"/>
          <w:i/>
          <w:sz w:val="24"/>
        </w:rPr>
        <w:t>No Material Misstatements or Omissions in Issuer Free Writing Prospectus and Pricing Disclosure Package</w:t>
      </w:r>
      <w:r>
        <w:rPr>
          <w:rFonts w:ascii="Times New Roman;serif" w:hAnsi="Times New Roman;serif"/>
          <w:sz w:val="24"/>
        </w:rPr>
        <w:t xml:space="preserve">.  Each Issuer Free Writing Prospectus (including, without limitation, any road show that is a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Times New Roman;serif" w:hAnsi="Times New Roman;serif"/>
          <w:sz w:val="24"/>
          <w:u w:val="single"/>
        </w:rPr>
        <w:t>provided,</w:t>
      </w:r>
      <w:r>
        <w:rPr>
          <w:rFonts w:ascii="Times New Roman;serif" w:hAnsi="Times New Roman;serif"/>
          <w:sz w:val="24"/>
        </w:rPr>
        <w:t xml:space="preserve"> that no representation or warranty is made as to information contained in or omitted from such Issuer Free Writing Prospectus in reliance upon and in conformity with written information furnished to the Partnership through the Representatives by or on behalf of any Underwriter specifically for inclusion therein, which information is specified in Section 14.</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(h)        </w:t>
      </w:r>
      <w:r>
        <w:rPr>
          <w:rFonts w:ascii="Times New Roman;serif" w:hAnsi="Times New Roman;serif"/>
          <w:i/>
          <w:sz w:val="24"/>
        </w:rPr>
        <w:t>Issuer Free Writing Prospectus Conform to the Requirements of the Securities Act</w:t>
      </w:r>
      <w:r>
        <w:rPr>
          <w:rFonts w:ascii="Times New Roman;serif" w:hAnsi="Times New Roman;serif"/>
          <w:sz w:val="24"/>
        </w:rPr>
        <w:t>.  Each Issuer Free Writing Prospectus conformed or will conform in all material</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2" w:name="PGBRK18"/>
      <w:bookmarkStart w:id="173" w:name="PGBRK18"/>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4" w:name="FTR18"/>
      <w:bookmarkStart w:id="175" w:name="FTR18"/>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6" w:name="GLFTR18"/>
      <w:bookmarkEnd w:id="1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177" w:name="PN18"/>
      <w:bookmarkEnd w:id="177"/>
      <w:r>
        <w:rPr>
          <w:rFonts w:ascii="Times New Roman;serif" w:hAnsi="Times New Roman;serif"/>
          <w:sz w:val="22"/>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8" w:name="HDR18"/>
      <w:bookmarkStart w:id="179" w:name="HDR18"/>
      <w:bookmarkEnd w:id="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0" w:name="GLHDR18"/>
      <w:bookmarkEnd w:id="1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respects to the requirements of the Securities Act and the Rules and Regulations on the date of first use, and the Partnership has complied with any filing requirements applicable to such Issuer Free Writing Prospectus pursuant to the Rules and Regulations.  The Partnership has not made any offer relating to the Units that would constitute an Issuer Free Writing Prospectus without the prior written consent of the Representatives.  The Partnership has retained in accordance with the Rules and Regulations all Issuer Free Writing Prospectuses that were not required to be filed pursuant to the Rules and Regulations.  The Partnership has taken all actions necessary so that any road show (as defined in Rule 433 of the Rules and Regulations) in connection with the offering of the Units will not be required to be filed pursuant to the Rules and Regulations.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(i)         </w:t>
      </w:r>
      <w:r>
        <w:rPr>
          <w:rFonts w:ascii="Times New Roman;serif" w:hAnsi="Times New Roman;serif"/>
          <w:i/>
          <w:sz w:val="24"/>
        </w:rPr>
        <w:t>Formation and Qualification of Certain Entities</w:t>
      </w:r>
      <w:r>
        <w:rPr>
          <w:rFonts w:ascii="Times New Roman;serif" w:hAnsi="Times New Roman;serif"/>
          <w:sz w:val="24"/>
        </w:rPr>
        <w:t xml:space="preserve">.  Each of the Partnership, the GP Entities and the Material Subsidiaries has been duly formed or incorporated and is validly existing in good standing as a limited partnership, limited liability company, corporation or unlimited liability company under the laws of its respective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Partnership,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Times New Roman;serif" w:hAnsi="Times New Roman;serif"/>
          <w:sz w:val="24"/>
          <w:u w:val="single"/>
        </w:rPr>
        <w:t>Exhibit A</w:t>
      </w:r>
      <w:r>
        <w:rPr>
          <w:rFonts w:ascii="Times New Roman;serif" w:hAnsi="Times New Roman;serif"/>
          <w:sz w:val="24"/>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or indirect majority owned subsidiaries (collectively, the “</w:t>
      </w:r>
      <w:r>
        <w:rPr>
          <w:rFonts w:ascii="Times New Roman;serif" w:hAnsi="Times New Roman;serif"/>
          <w:b/>
          <w:sz w:val="24"/>
        </w:rPr>
        <w:t>Subsidiaries</w:t>
      </w:r>
      <w:r>
        <w:rPr>
          <w:rFonts w:ascii="Times New Roman;serif" w:hAnsi="Times New Roman;serif"/>
          <w:sz w:val="24"/>
        </w:rPr>
        <w:t>”) and the Partnership (collectively, the “</w:t>
      </w:r>
      <w:r>
        <w:rPr>
          <w:rFonts w:ascii="Times New Roman;serif" w:hAnsi="Times New Roman;serif"/>
          <w:b/>
          <w:sz w:val="24"/>
        </w:rPr>
        <w:t>Plains Entities</w:t>
      </w:r>
      <w:r>
        <w:rPr>
          <w:rFonts w:ascii="Times New Roman;serif" w:hAnsi="Times New Roman;serif"/>
          <w:sz w:val="24"/>
        </w:rPr>
        <w:t>”), taken as a whole (a “</w:t>
      </w:r>
      <w:r>
        <w:rPr>
          <w:rFonts w:ascii="Times New Roman;serif" w:hAnsi="Times New Roman;serif"/>
          <w:b/>
          <w:sz w:val="24"/>
        </w:rPr>
        <w:t>Material Adverse Effect</w:t>
      </w:r>
      <w:r>
        <w:rPr>
          <w:rFonts w:ascii="Times New Roman;serif" w:hAnsi="Times New Roman;serif"/>
          <w:sz w:val="24"/>
        </w:rPr>
        <w:t>”), or (ii) subject the limited partners of the Partnership to any material liability or disability.</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(j)         </w:t>
      </w:r>
      <w:r>
        <w:rPr>
          <w:rFonts w:ascii="Times New Roman;serif" w:hAnsi="Times New Roman;serif"/>
          <w:i/>
          <w:sz w:val="24"/>
        </w:rPr>
        <w:t>General Partners</w:t>
      </w:r>
      <w:r>
        <w:rPr>
          <w:rFonts w:ascii="Times New Roman;serif" w:hAnsi="Times New Roman;serif"/>
          <w:sz w:val="24"/>
        </w:rPr>
        <w:t>.  Each Plains Entity or GP Entity that serves as a general partner of another Plains Entity or GP Entity has full corporate or limited liability company power and authority, as the case may be, to serve as general partner of such Plains Entity or GP Entity, in each case in all material respects, as disclosed in the Pricing Disclosure Package and the Prospectus.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(k)        </w:t>
      </w:r>
      <w:r>
        <w:rPr>
          <w:rFonts w:ascii="Times New Roman;serif" w:hAnsi="Times New Roman;serif"/>
          <w:i/>
          <w:sz w:val="24"/>
        </w:rPr>
        <w:t>Ownership of Interests in the Partnership, the General Partner and Plains AAP</w:t>
      </w:r>
      <w:r>
        <w:rPr>
          <w:rFonts w:ascii="Times New Roman;serif" w:hAnsi="Times New Roman;serif"/>
          <w:sz w:val="24"/>
        </w:rPr>
        <w:t>. 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Limited Liability Company Agreement of the General Partner (as the same may be amended or restated prior to the Delivery Date, such agreement being referred to herein as the “</w:t>
      </w:r>
      <w:r>
        <w:rPr>
          <w:rFonts w:ascii="Times New Roman;serif" w:hAnsi="Times New Roman;serif"/>
          <w:b/>
          <w:sz w:val="24"/>
        </w:rPr>
        <w:t>General Partner LLC Agreement</w:t>
      </w:r>
      <w:r>
        <w:rPr>
          <w:rFonts w:ascii="Times New Roman;serif" w:hAnsi="Times New Roman;serif"/>
          <w:sz w:val="24"/>
        </w:rPr>
        <w:t>”)) and nonassessable (except as such nonassessability may be affected by Sections 18-607 and 18-804 of the Delaware Limited Liability Company Act (the “</w:t>
      </w:r>
      <w:r>
        <w:rPr>
          <w:rFonts w:ascii="Times New Roman;serif" w:hAnsi="Times New Roman;serif"/>
          <w:b/>
          <w:sz w:val="24"/>
        </w:rPr>
        <w:t>Delaware LLC Act</w:t>
      </w:r>
      <w:r>
        <w:rPr>
          <w:rFonts w:ascii="Times New Roman;serif" w:hAnsi="Times New Roman;serif"/>
          <w:sz w:val="24"/>
        </w:rPr>
        <w:t>”)); and such general partner and membership interests held by the GP Entities are owned free and clear of all liens, encumbrances, security interests, equities, charges or claims (“</w:t>
      </w:r>
      <w:r>
        <w:rPr>
          <w:rFonts w:ascii="Times New Roman;serif" w:hAnsi="Times New Roman;serif"/>
          <w:b/>
          <w:sz w:val="24"/>
        </w:rPr>
        <w:t>Liens</w:t>
      </w:r>
      <w:r>
        <w:rPr>
          <w:rFonts w:ascii="Times New Roman;serif" w:hAnsi="Times New Roman;serif"/>
          <w:sz w:val="24"/>
        </w:rPr>
        <w:t>”), except (i) as disclosed in the Pricing Disclosure</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1" w:name="PGBRK19"/>
      <w:bookmarkStart w:id="182" w:name="PGBRK19"/>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3" w:name="FTR19"/>
      <w:bookmarkStart w:id="184" w:name="FTR19"/>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5" w:name="GLFTR19"/>
      <w:bookmarkEnd w:id="1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186" w:name="PN19"/>
      <w:bookmarkEnd w:id="186"/>
      <w:r>
        <w:rPr>
          <w:rFonts w:ascii="Times New Roman;serif" w:hAnsi="Times New Roman;serif"/>
          <w:sz w:val="22"/>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7" w:name="HDR19"/>
      <w:bookmarkStart w:id="188" w:name="HDR19"/>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9" w:name="GLHDR19"/>
      <w:bookmarkEnd w:id="1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Package and the Prospectus or (ii) such as would not reasonably be expected to result in a change of control of the Partnership or reasonably be expected to materially adversely affect the ability of the Plains Entities considered as a whole to conduct their businesses as currently conducted and as contemplated by the Pricing Disclosure Package and the Prospectus to be conducted.</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(l)         </w:t>
      </w:r>
      <w:r>
        <w:rPr>
          <w:rFonts w:ascii="Times New Roman;serif" w:hAnsi="Times New Roman;serif"/>
          <w:i/>
          <w:sz w:val="24"/>
        </w:rPr>
        <w:t>Ownership of the Material Subsidiaries</w:t>
      </w:r>
      <w:r>
        <w:rPr>
          <w:rFonts w:ascii="Times New Roman;serif" w:hAnsi="Times New Roman;serif"/>
          <w:sz w:val="24"/>
        </w:rPr>
        <w:t>.  All of the outstanding shares of capital stock or other equity interests of each Material Subsidiary (a) have 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on the date hereof and as the same may be amended or restated prior to the Delivery Date) (the “</w:t>
      </w:r>
      <w:r>
        <w:rPr>
          <w:rFonts w:ascii="Times New Roman;serif" w:hAnsi="Times New Roman;serif"/>
          <w:b/>
          <w:sz w:val="24"/>
        </w:rPr>
        <w:t>Organizational Documents</w:t>
      </w:r>
      <w:r>
        <w:rPr>
          <w:rFonts w:ascii="Times New Roman;serif" w:hAnsi="Times New Roman;serif"/>
          <w:sz w:val="24"/>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Times New Roman;serif" w:hAnsi="Times New Roman;serif"/>
          <w:b/>
          <w:sz w:val="24"/>
        </w:rPr>
        <w:t>Delaware LP Act</w:t>
      </w:r>
      <w:r>
        <w:rPr>
          <w:rFonts w:ascii="Times New Roman;serif" w:hAnsi="Times New Roman;serif"/>
          <w:sz w:val="24"/>
        </w:rPr>
        <w: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except for the portion of the limited partner interest in PAA Natural Gas Storage, L.P. (“</w:t>
      </w:r>
      <w:r>
        <w:rPr>
          <w:rFonts w:ascii="Times New Roman;serif" w:hAnsi="Times New Roman;serif"/>
          <w:b/>
          <w:sz w:val="24"/>
        </w:rPr>
        <w:t>PNG</w:t>
      </w:r>
      <w:r>
        <w:rPr>
          <w:rFonts w:ascii="Times New Roman;serif" w:hAnsi="Times New Roman;serif"/>
          <w:sz w:val="24"/>
        </w:rPr>
        <w:t>”) held by public or private investors, are owned, directly or indirectly, by the Partnership, free and clear of all Liens.  The Subsidiaries other than the Material Subsidiaries did not, individually or in the aggregate, account for (i) more than 10% of the total assets of the Plains Entities, taken as a whole, as of the most recent fiscal year end or (ii) more than 10% of the net income of the Plains Entities, taken as a whole, for the most recent fiscal year end.</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(m)       </w:t>
      </w:r>
      <w:r>
        <w:rPr>
          <w:rFonts w:ascii="Times New Roman;serif" w:hAnsi="Times New Roman;serif"/>
          <w:i/>
          <w:sz w:val="24"/>
        </w:rPr>
        <w:t>Capitalization</w:t>
      </w:r>
      <w:r>
        <w:rPr>
          <w:rFonts w:ascii="Times New Roman;serif" w:hAnsi="Times New Roman;serif"/>
          <w:sz w:val="24"/>
        </w:rPr>
        <w:t>.  As of the date hereof, the issued and outstanding limited partner interests of the Partnership consist of 149,357,119 Common Units and the Incentive Distribution Rights (as such capitalized term is defined in the Partnership Agreement).  All outstanding Common Units and Incentive Distribution Rights and the limited partner interests represented thereby have been duly authorized and validly issued in accordance with the Partnership Agreement and are fully paid (to the extent required under the Partnership Agreement) and nonassessable (except as such nonassessability may be affected by Sections 17-607 and 17-804 of the Delaware LP Act).  The limited partner interests of the Partnership conform, in all material respects, as to legal matters to the descriptions thereof contained in the Pricing Disclosure Package and the Prospectus.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(n)        </w:t>
      </w:r>
      <w:r>
        <w:rPr>
          <w:rFonts w:ascii="Times New Roman;serif" w:hAnsi="Times New Roman;serif"/>
          <w:i/>
          <w:sz w:val="24"/>
        </w:rPr>
        <w:t>No Preemptive or Other Rights</w:t>
      </w:r>
      <w:r>
        <w:rPr>
          <w:rFonts w:ascii="Times New Roman;serif" w:hAnsi="Times New Roman;serif"/>
          <w:sz w:val="24"/>
        </w:rPr>
        <w:t>. Except as described in the Pricing Disclosure Package and the Prospectus or as provided in the Organizational Documents, there are no preemptive rights or other rights to subscribe for or to purchase, nor any restriction upon the voting or transfer of, any interests in the Partnership pursuant to any agreement or other instrument to which the Partnership is a party or by which the Partnership may be bound.</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0" w:name="PGBRK20"/>
      <w:bookmarkStart w:id="191" w:name="PGBRK20"/>
      <w:bookmarkEnd w:id="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2" w:name="FTR20"/>
      <w:bookmarkStart w:id="193" w:name="FTR20"/>
      <w:bookmarkEnd w:id="1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4" w:name="GLFTR20"/>
      <w:bookmarkEnd w:id="1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195" w:name="PN20"/>
      <w:bookmarkEnd w:id="195"/>
      <w:r>
        <w:rPr>
          <w:rFonts w:ascii="Times New Roman;serif" w:hAnsi="Times New Roman;serif"/>
          <w:sz w:val="22"/>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6" w:name="HDR20"/>
      <w:bookmarkStart w:id="197" w:name="HDR20"/>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8" w:name="GLHDR20"/>
      <w:bookmarkEnd w:id="1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Neither the filing of the Registration Statement nor the offering or sale of the Units as contemplated by this Agreement gives rise to any rights for or relating to the registration of any Units or other securities of the Partnership, except such rights as have been waived or satisfied.  Except as described in the Pricing Disclosure Package and the Prospectus, there are no outstanding options or warrants to purchase any Common Units or other equity interests in the Partnership.</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(o)        </w:t>
      </w:r>
      <w:r>
        <w:rPr>
          <w:rFonts w:ascii="Times New Roman;serif" w:hAnsi="Times New Roman;serif"/>
          <w:i/>
          <w:sz w:val="24"/>
        </w:rPr>
        <w:t>Authority</w:t>
      </w:r>
      <w:r>
        <w:rPr>
          <w:rFonts w:ascii="Times New Roman;serif" w:hAnsi="Times New Roman;serif"/>
          <w:sz w:val="24"/>
        </w:rPr>
        <w:t>.  The Partnership has all requisite power and authority to enter into this Agreement and to consummate the transactions contemplated hereby.  At each Delivery Date, all action required to be taken by the Partnership or its partners for (i) the due and proper authorization, execution and delivery of this Agreement and (ii) the consummation of the transactions contemplated hereby shall have been duly and validly taken.</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(p)        </w:t>
      </w:r>
      <w:r>
        <w:rPr>
          <w:rFonts w:ascii="Times New Roman;serif" w:hAnsi="Times New Roman;serif"/>
          <w:i/>
          <w:sz w:val="24"/>
        </w:rPr>
        <w:t>Authorization, Execution and Delivery of this Agreement</w:t>
      </w:r>
      <w:r>
        <w:rPr>
          <w:rFonts w:ascii="Times New Roman;serif" w:hAnsi="Times New Roman;serif"/>
          <w:sz w:val="24"/>
        </w:rPr>
        <w:t>.  This Agreement has been duly and validly authorized, executed and delivered by or on behalf of the Partnership.</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(q)        </w:t>
      </w:r>
      <w:r>
        <w:rPr>
          <w:rFonts w:ascii="Times New Roman;serif" w:hAnsi="Times New Roman;serif"/>
          <w:i/>
          <w:sz w:val="24"/>
        </w:rPr>
        <w:t>Authorization, Execution and Enforceability of the Operating Agreements</w:t>
      </w:r>
      <w:r>
        <w:rPr>
          <w:rFonts w:ascii="Times New Roman;serif" w:hAnsi="Times New Roman;serif"/>
          <w:sz w:val="24"/>
        </w:rPr>
        <w:t xml:space="preserve">.  The partnership agreement or limited liability company agreement, as applicable, of each of the Partnership, the GP Entities and the Material Subsidiaries has been duly authorized, executed and delivered by the parties thereto and is a valid and legally binding agreement of such parties thereto, enforceable against the parties thereto in accordance with their respective terms; </w:t>
      </w:r>
      <w:r>
        <w:rPr>
          <w:rFonts w:ascii="Times New Roman;serif" w:hAnsi="Times New Roman;serif"/>
          <w:sz w:val="24"/>
          <w:u w:val="single"/>
        </w:rPr>
        <w:t>provided</w:t>
      </w:r>
      <w:r>
        <w:rPr>
          <w:rFonts w:ascii="Times New Roman;serif" w:hAnsi="Times New Roman;serif"/>
          <w:sz w:val="24"/>
        </w:rPr>
        <w:t xml:space="preserve">, </w:t>
      </w:r>
      <w:r>
        <w:rPr>
          <w:rFonts w:ascii="Times New Roman;serif" w:hAnsi="Times New Roman;serif"/>
          <w:sz w:val="24"/>
          <w:u w:val="single"/>
        </w:rPr>
        <w:t>that</w:t>
      </w:r>
      <w:r>
        <w:rPr>
          <w:rFonts w:ascii="Times New Roman;serif" w:hAnsi="Times New Roman;serif"/>
          <w:sz w:val="24"/>
        </w:rPr>
        <w: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(r)         </w:t>
      </w:r>
      <w:r>
        <w:rPr>
          <w:rFonts w:ascii="Times New Roman;serif" w:hAnsi="Times New Roman;serif"/>
          <w:i/>
          <w:sz w:val="24"/>
        </w:rPr>
        <w:t>No Conflicts or Violations</w:t>
      </w:r>
      <w:r>
        <w:rPr>
          <w:rFonts w:ascii="Times New Roman;serif" w:hAnsi="Times New Roman;serif"/>
          <w:sz w:val="24"/>
        </w:rPr>
        <w:t>.  None of the offering and sale by the Selling Unitholder of the Units, the execution, delivery and performance of this Agreement by the Partnership, or the consummation of the transactions contemplated by this Agreement (i) conflicts or will conflict with or constitutes or will constitute a violation of the Organizational Documents of the Partnership, any of the GP Entities or any of the Material Subsidiaries, (ii)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Partnership, any of the GP Entities or any of the Material Subsidiaries is a party or by which any of them or any of their respective properties may be bound, (iii) violates or will violate any statute, law or regulation or any order, judgment, decree or injunction of any court or governmental agency or body directed to the Partnership, any of the GP Entities or any of the Material Subsidiaries or any of their properties in a proceeding to which any of them or their property is a party or (iv) results or will result in the creation or imposition of any Lien upon any property or assets of the Partnership, any of the GP Entities or any of the Material Subsidiaries, which conflicts, breaches, violations, defaults or Liens, in the case of clauses (ii), (iii) or (iv), would reasonably be expected to have a Material Adverse Effect or materially impair the ability of the Partnership to consummate the transactions contemplated by this Agreement.</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9" w:name="PGBRK21"/>
      <w:bookmarkStart w:id="200" w:name="PGBRK21"/>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1" w:name="FTR21"/>
      <w:bookmarkStart w:id="202" w:name="FTR21"/>
      <w:bookmarkEnd w:id="2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3" w:name="GLFTR21"/>
      <w:bookmarkEnd w:id="2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204" w:name="PN21"/>
      <w:bookmarkEnd w:id="204"/>
      <w:r>
        <w:rPr>
          <w:rFonts w:ascii="Times New Roman;serif" w:hAnsi="Times New Roman;serif"/>
          <w:sz w:val="22"/>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 w:name="HDR21"/>
      <w:bookmarkStart w:id="206" w:name="HDR21"/>
      <w:bookmarkEnd w:id="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7" w:name="GLHDR21"/>
      <w:bookmarkEnd w:id="2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(s)         </w:t>
      </w:r>
      <w:r>
        <w:rPr>
          <w:rFonts w:ascii="Times New Roman;serif" w:hAnsi="Times New Roman;serif"/>
          <w:i/>
          <w:sz w:val="24"/>
        </w:rPr>
        <w:t>No Consents</w:t>
      </w:r>
      <w:r>
        <w:rPr>
          <w:rFonts w:ascii="Times New Roman;serif" w:hAnsi="Times New Roman;serif"/>
          <w:sz w:val="24"/>
        </w:rPr>
        <w:t>.  No consent, approval, authorization, filing with or order of any court, governmental agency or body having jurisdiction over any of the Plains Entities or the GP Entities or any of their respective properties is required in connection with the offering and sale by the Selling Unitholder of the Units, the execution, delivery and performance of, or the consummation of the transactions contemplated by this Agreement, except (i) such as have been obtained under the Securities Act, (ii) such as may be required under the blue sky laws of any jurisdiction or the by-laws and rules of the Financial Industry Regulatory Authority, Inc. (“</w:t>
      </w:r>
      <w:r>
        <w:rPr>
          <w:rFonts w:ascii="Times New Roman;serif" w:hAnsi="Times New Roman;serif"/>
          <w:b/>
          <w:sz w:val="24"/>
        </w:rPr>
        <w:t>FINRA</w:t>
      </w:r>
      <w:r>
        <w:rPr>
          <w:rFonts w:ascii="Times New Roman;serif" w:hAnsi="Times New Roman;serif"/>
          <w:sz w:val="24"/>
        </w:rPr>
        <w:t>”) in connection with the purchase and distribution by the Underwriters of the Units in the manner contemplated herein and in the Pricing Disclosure Package and the Prospectus and (iii) such that the failure to obtain or make would not reasonably be expected to have a Material Adverse Effect or materially impair the ability of the Partnership to consummate the transactions contemplated by this Agreement.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(t)         </w:t>
      </w:r>
      <w:r>
        <w:rPr>
          <w:rFonts w:ascii="Times New Roman;serif" w:hAnsi="Times New Roman;serif"/>
          <w:i/>
          <w:sz w:val="24"/>
        </w:rPr>
        <w:t>No Default</w:t>
      </w:r>
      <w:r>
        <w:rPr>
          <w:rFonts w:ascii="Times New Roman;serif" w:hAnsi="Times New Roman;serif"/>
          <w:sz w:val="24"/>
        </w:rPr>
        <w:t>.  (i) None of the Partnership, the GP Entities or the Material Subsidiaries is in violation of its Organizational Documents in any material respect; (ii) none of the Partnership, the GP Entities or the Material Subsidiaries is in violation of any law, statute, ordinance, administrative or governmental rule or regulation applicable to it or of any decree of any court or governmental agency or body having jurisdiction over it and (iii) none of the Partnership,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or (iii) would, if continued, reasonably be expected to have a Material Adverse Effect or materially impair the ability of the Partnership to perform its obligations under this Agreement.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(u)         </w:t>
      </w:r>
      <w:r>
        <w:rPr>
          <w:rFonts w:ascii="Times New Roman;serif" w:hAnsi="Times New Roman;serif"/>
          <w:i/>
          <w:sz w:val="24"/>
        </w:rPr>
        <w:t>Independent Registered Public Accounting Firm</w:t>
      </w:r>
      <w:r>
        <w:rPr>
          <w:rFonts w:ascii="Times New Roman;serif" w:hAnsi="Times New Roman;serif"/>
          <w:sz w:val="24"/>
        </w:rPr>
        <w:t>. PricewaterhouseCoopers LLP, which has certified the audited financial statements included or incorporated by reference in the Registration Statement, the most recent Preliminary Prospectus and the Prospectus (and any amendment or supplement thereto), are an independent registered public accounting firm with respect to the GP Entities and the Partnership and its consolidated subsidiaries as required by the Securities Act and the Rules and Regulations and the Public Company Accounting Oversight Board.</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(v)         </w:t>
      </w:r>
      <w:r>
        <w:rPr>
          <w:rFonts w:ascii="Times New Roman;serif" w:hAnsi="Times New Roman;serif"/>
          <w:i/>
          <w:sz w:val="24"/>
        </w:rPr>
        <w:t>Financial Statements</w:t>
      </w:r>
      <w:r>
        <w:rPr>
          <w:rFonts w:ascii="Times New Roman;serif" w:hAnsi="Times New Roman;serif"/>
          <w:sz w:val="24"/>
        </w:rPr>
        <w:t>.  The financial statements (including the related notes and supporting schedules) and other financial information included or incorporated by reference in the Registration Statement, the most recent Preliminary Prospectus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the most recent Preliminary Prospectus and the Prospectus (and any amendment or supplement thereto) is accurately presented in all material respects and prepared on a basis consistent with the audited and unaudited historical consolidated financial statements from which it has been derived, except</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8" w:name="PGBRK22"/>
      <w:bookmarkStart w:id="209" w:name="PGBRK22"/>
      <w:bookmarkEnd w:id="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0" w:name="FTR22"/>
      <w:bookmarkStart w:id="211" w:name="FTR22"/>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2" w:name="GLFTR22"/>
      <w:bookmarkEnd w:id="2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213" w:name="PN22"/>
      <w:bookmarkEnd w:id="213"/>
      <w:r>
        <w:rPr>
          <w:rFonts w:ascii="Times New Roman;serif" w:hAnsi="Times New Roman;serif"/>
          <w:sz w:val="22"/>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 w:name="HDR22"/>
      <w:bookmarkStart w:id="215" w:name="HDR22"/>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6" w:name="GLHDR22"/>
      <w:bookmarkEnd w:id="2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as described therein.  The pro forma financial statements and other pro forma financial information, if any, included or incorporated by reference in the Registration Statement, the most recent Preliminary Prospectus and the Prospectus (and any amendment or supplement thereto) (i) present fairly 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if any, included or incorporated by reference in the Registration Statement, the most recent Preliminary Prospectus and the Prospectus (and any amendment or supplement thereto) are reasonable, and the adjustments used therein are appropriate to give effect to the transactions or circumstances referred to therein.  No other financial statements or schedules of the Partnership are required by the Securities Act or the Exchange Act to be included in the Registration Statement, the most recent Preliminary Prospectus or the Prospectus.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(w)        </w:t>
      </w:r>
      <w:r>
        <w:rPr>
          <w:rFonts w:ascii="Times New Roman;serif" w:hAnsi="Times New Roman;serif"/>
          <w:i/>
          <w:sz w:val="24"/>
        </w:rPr>
        <w:t>No Material Adverse Change</w:t>
      </w:r>
      <w:r>
        <w:rPr>
          <w:rFonts w:ascii="Times New Roman;serif" w:hAnsi="Times New Roman;serif"/>
          <w:sz w:val="24"/>
        </w:rPr>
        <w:t>.  None of the Plains Entities or the GP Entities has sustained, since the date of the latest audited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declared, paid or made on the security interests of any of the Plains Entities or the GP Entities, in each case other than as set forth in the Registration Statement, the Pricing Disclosure Package and the Prospectus.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(x)        </w:t>
      </w:r>
      <w:r>
        <w:rPr>
          <w:rFonts w:ascii="Times New Roman;serif" w:hAnsi="Times New Roman;serif"/>
          <w:i/>
          <w:sz w:val="24"/>
        </w:rPr>
        <w:t>Required Disclosures and Descriptions</w:t>
      </w:r>
      <w:r>
        <w:rPr>
          <w:rFonts w:ascii="Times New Roman;serif" w:hAnsi="Times New Roman;serif"/>
          <w:sz w:val="24"/>
        </w:rPr>
        <w:t>. There are no legal or governmental proceedings pending or, to the knowledge of the Partnership, threatened, against any of the Plains Entities or the GP Entities, or to which any of the Plains Entities or the GP Entities is a party, or to which any of their respective properties is subject, that are required to be described in the Registration Statement, the Pricing Disclosure Package or the Prospectus but are not described as required, and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(y)        </w:t>
      </w:r>
      <w:r>
        <w:rPr>
          <w:rFonts w:ascii="Times New Roman;serif" w:hAnsi="Times New Roman;serif"/>
          <w:i/>
          <w:sz w:val="24"/>
        </w:rPr>
        <w:t>Title to Properties</w:t>
      </w:r>
      <w:r>
        <w:rPr>
          <w:rFonts w:ascii="Times New Roman;serif" w:hAnsi="Times New Roman;serif"/>
          <w:sz w:val="24"/>
        </w:rPr>
        <w:t>.  The Plains Entities, directly or indirectly, have good and indefeasible title to all real property and good title to all personal property described in the Pricing Disclosure Package and the Prospectus as being owned by them, free and clear of all</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7" w:name="PGBRK23"/>
      <w:bookmarkStart w:id="218" w:name="PGBRK23"/>
      <w:bookmarkEnd w:id="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9" w:name="FTR23"/>
      <w:bookmarkStart w:id="220" w:name="FTR23"/>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1" w:name="GLFTR23"/>
      <w:bookmarkEnd w:id="2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222" w:name="PN23"/>
      <w:bookmarkEnd w:id="222"/>
      <w:r>
        <w:rPr>
          <w:rFonts w:ascii="Times New Roman;serif" w:hAnsi="Times New Roman;serif"/>
          <w:sz w:val="22"/>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3" w:name="HDR23"/>
      <w:bookmarkStart w:id="224" w:name="HDR23"/>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5" w:name="GLHDR23"/>
      <w:bookmarkEnd w:id="2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Liens except (i) as provided in the Second Restated Credit Agreement dated November 6, 2008, as amended (the “</w:t>
      </w:r>
      <w:r>
        <w:rPr>
          <w:rFonts w:ascii="Times New Roman;serif" w:hAnsi="Times New Roman;serif"/>
          <w:b/>
          <w:sz w:val="24"/>
        </w:rPr>
        <w:t>Restated Facility</w:t>
      </w:r>
      <w:r>
        <w:rPr>
          <w:rFonts w:ascii="Times New Roman;serif" w:hAnsi="Times New Roman;serif"/>
          <w:sz w:val="24"/>
        </w:rPr>
        <w:t>”), among Plains Marketing, L.P. (“</w:t>
      </w:r>
      <w:r>
        <w:rPr>
          <w:rFonts w:ascii="Times New Roman;serif" w:hAnsi="Times New Roman;serif"/>
          <w:b/>
          <w:sz w:val="24"/>
        </w:rPr>
        <w:t>Plains Marketing</w:t>
      </w:r>
      <w:r>
        <w:rPr>
          <w:rFonts w:ascii="Times New Roman;serif" w:hAnsi="Times New Roman;serif"/>
          <w:sz w:val="24"/>
        </w:rPr>
        <w:t>”), Bank of America, N.A., as administrative agent thereunder and the lenders from time to time party thereto, described in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Pricing Disclosure Package and the Prospectus.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(z)        </w:t>
      </w:r>
      <w:r>
        <w:rPr>
          <w:rFonts w:ascii="Times New Roman;serif" w:hAnsi="Times New Roman;serif"/>
          <w:i/>
          <w:sz w:val="24"/>
        </w:rPr>
        <w:t>Permits</w:t>
      </w:r>
      <w:r>
        <w:rPr>
          <w:rFonts w:ascii="Times New Roman;serif" w:hAnsi="Times New Roman;serif"/>
          <w:sz w:val="24"/>
        </w:rPr>
        <w:t>.  Each of the Plains Entities, directly or indirectly, has such permits, consents, licenses, franchises, certificates and authorizations of governmental or regulatory authorities (“</w:t>
      </w:r>
      <w:r>
        <w:rPr>
          <w:rFonts w:ascii="Times New Roman;serif" w:hAnsi="Times New Roman;serif"/>
          <w:b/>
          <w:sz w:val="24"/>
        </w:rPr>
        <w:t>Permits</w:t>
      </w:r>
      <w:r>
        <w:rPr>
          <w:rFonts w:ascii="Times New Roman;serif" w:hAnsi="Times New Roman;serif"/>
          <w:sz w:val="24"/>
        </w:rPr>
        <w:t>”) as are necessary to own its properties and to conduct its business in the manner described in the Pricing Disclosure Package and the Prospectus, subject to such qualifications as may be set forth in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Pricing Disclosure Package and the Prospectus.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(aa)       </w:t>
      </w:r>
      <w:r>
        <w:rPr>
          <w:rFonts w:ascii="Times New Roman;serif" w:hAnsi="Times New Roman;serif"/>
          <w:i/>
          <w:sz w:val="24"/>
        </w:rPr>
        <w:t>Rights-of-Way</w:t>
      </w:r>
      <w:r>
        <w:rPr>
          <w:rFonts w:ascii="Times New Roman;serif" w:hAnsi="Times New Roman;serif"/>
          <w:sz w:val="24"/>
        </w:rPr>
        <w:t>.  Each of the Plains Entities, directly or indirectly, has such consents, easements, rights-of-way or licenses from any person (“</w:t>
      </w:r>
      <w:r>
        <w:rPr>
          <w:rFonts w:ascii="Times New Roman;serif" w:hAnsi="Times New Roman;serif"/>
          <w:b/>
          <w:sz w:val="24"/>
        </w:rPr>
        <w:t>rights-of-way</w:t>
      </w:r>
      <w:r>
        <w:rPr>
          <w:rFonts w:ascii="Times New Roman;serif" w:hAnsi="Times New Roman;serif"/>
          <w:sz w:val="24"/>
        </w:rPr>
        <w:t>”) as are necessary to conduct its business in the manner described in the Pricing Disclosure Package and the Prospectus, subject to such qualifications as may be set forth in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Pricing Disclosure Package and the Prospectus.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(bb)       </w:t>
      </w:r>
      <w:r>
        <w:rPr>
          <w:rFonts w:ascii="Times New Roman;serif" w:hAnsi="Times New Roman;serif"/>
          <w:i/>
          <w:sz w:val="24"/>
        </w:rPr>
        <w:t>Investment Company</w:t>
      </w:r>
      <w:r>
        <w:rPr>
          <w:rFonts w:ascii="Times New Roman;serif" w:hAnsi="Times New Roman;serif"/>
          <w:sz w:val="24"/>
        </w:rPr>
        <w:t>.  None of the Plains Entities is now, and after sale of the Units to be sold by the Selling Unitholder hereunder and application 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Times New Roman;serif" w:hAnsi="Times New Roman;serif"/>
          <w:b/>
          <w:sz w:val="24"/>
        </w:rPr>
        <w:t>Investment Company Act</w:t>
      </w:r>
      <w:r>
        <w:rPr>
          <w:rFonts w:ascii="Times New Roman;serif" w:hAnsi="Times New Roman;serif"/>
          <w:sz w:val="24"/>
        </w:rPr>
        <w:t>”),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6" w:name="PGBRK24"/>
      <w:bookmarkStart w:id="227" w:name="PGBRK24"/>
      <w:bookmarkEnd w:id="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8" w:name="FTR24"/>
      <w:bookmarkStart w:id="229" w:name="FTR24"/>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0" w:name="GLFTR24"/>
      <w:bookmarkEnd w:id="2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231" w:name="PN24"/>
      <w:bookmarkEnd w:id="231"/>
      <w:r>
        <w:rPr>
          <w:rFonts w:ascii="Times New Roman;serif" w:hAnsi="Times New Roman;serif"/>
          <w:sz w:val="22"/>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2" w:name="HDR24"/>
      <w:bookmarkStart w:id="233" w:name="HDR24"/>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4" w:name="GLHDR24"/>
      <w:bookmarkEnd w:id="2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(cc)       </w:t>
      </w:r>
      <w:r>
        <w:rPr>
          <w:rFonts w:ascii="Times New Roman;serif" w:hAnsi="Times New Roman;serif"/>
          <w:i/>
          <w:sz w:val="24"/>
        </w:rPr>
        <w:t>Environmental Compliance</w:t>
      </w:r>
      <w:r>
        <w:rPr>
          <w:rFonts w:ascii="Times New Roman;serif" w:hAnsi="Times New Roman;serif"/>
          <w:sz w:val="24"/>
        </w:rPr>
        <w:t>.  Except as described in the Pricing Disclosure Package and the 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Times New Roman;serif" w:hAnsi="Times New Roman;serif"/>
          <w:b/>
          <w:sz w:val="24"/>
        </w:rPr>
        <w:t>Environmental Laws</w:t>
      </w:r>
      <w:r>
        <w:rPr>
          <w:rFonts w:ascii="Times New Roman;serif" w:hAnsi="Times New Roman;serif"/>
          <w:sz w:val="24"/>
        </w:rPr>
        <w:t>”), or lacks any permits, licenses or other approvals required of them under applicable Environmental Laws to own, lease or operate their properties and conduct their business as described in the Pricing Disclosure Package and the Prospectus or is violating any terms and conditions of any such permit, license or approval, which in each case would reasonably be expected to have a Material Adverse Effect.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(dd)      </w:t>
      </w:r>
      <w:r>
        <w:rPr>
          <w:rFonts w:ascii="Times New Roman;serif" w:hAnsi="Times New Roman;serif"/>
          <w:i/>
          <w:sz w:val="24"/>
        </w:rPr>
        <w:t>No Labor Disputes</w:t>
      </w:r>
      <w:r>
        <w:rPr>
          <w:rFonts w:ascii="Times New Roman;serif" w:hAnsi="Times New Roman;serif"/>
          <w:sz w:val="24"/>
        </w:rPr>
        <w:t>.  No labor dispute with the employees of any of the Plains Entities or the GP Entities exists or, to the knowledge of the Partnership, is imminent, that would reasonably be expected to have a Material Adverse Effect.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(ee)       </w:t>
      </w:r>
      <w:r>
        <w:rPr>
          <w:rFonts w:ascii="Times New Roman;serif" w:hAnsi="Times New Roman;serif"/>
          <w:i/>
          <w:sz w:val="24"/>
        </w:rPr>
        <w:t>Insurance</w:t>
      </w:r>
      <w:r>
        <w:rPr>
          <w:rFonts w:ascii="Times New Roman;serif" w:hAnsi="Times New Roman;serif"/>
          <w:sz w:val="24"/>
        </w:rPr>
        <w:t>.  The Partnership maintains or is entitled to the benefits of insurance covering its properties, operations, personnel and 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each applicable Delivery Date.</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(ff)        </w:t>
      </w:r>
      <w:r>
        <w:rPr>
          <w:rFonts w:ascii="Times New Roman;serif" w:hAnsi="Times New Roman;serif"/>
          <w:i/>
          <w:sz w:val="24"/>
        </w:rPr>
        <w:t>No Legal Actions</w:t>
      </w:r>
      <w:r>
        <w:rPr>
          <w:rFonts w:ascii="Times New Roman;serif" w:hAnsi="Times New Roman;serif"/>
          <w:sz w:val="24"/>
        </w:rPr>
        <w:t>.  Except as described in the Pricing Disclosure Package and the Prospectus, there is (i) no action, suit or proceeding before or by any court, arbitrator or governmental agency, body or official, domestic or foreign, now pending or, to the knowledge of the Partnership,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clauses (i) and (ii) above, would reasonably be expected to have, individually or in the aggregate, a Material Adverse Effect or prevent or result in the suspension of the offering of the Units.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(gg)       </w:t>
      </w:r>
      <w:r>
        <w:rPr>
          <w:rFonts w:ascii="Times New Roman;serif" w:hAnsi="Times New Roman;serif"/>
          <w:i/>
          <w:sz w:val="24"/>
        </w:rPr>
        <w:t>Distribution Restrictions</w:t>
      </w:r>
      <w:r>
        <w:rPr>
          <w:rFonts w:ascii="Times New Roman;serif" w:hAnsi="Times New Roman;serif"/>
          <w:sz w:val="24"/>
        </w:rPr>
        <w:t>.  No Subsidiary is currently prohibited, directly or indirectly, from making any distributions to the Partnership or 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Pricing Disclosure Package and the Prospectus (exclusive of any amendment or supplement thereto), (ii) as provided in the Credit Agreement dated April 1, 2010 (the “</w:t>
      </w:r>
      <w:r>
        <w:rPr>
          <w:rFonts w:ascii="Times New Roman;serif" w:hAnsi="Times New Roman;serif"/>
          <w:b/>
          <w:sz w:val="24"/>
        </w:rPr>
        <w:t>PNG Facility</w:t>
      </w:r>
      <w:r>
        <w:rPr>
          <w:rFonts w:ascii="Times New Roman;serif" w:hAnsi="Times New Roman;serif"/>
          <w:sz w:val="24"/>
        </w:rPr>
        <w:t>”) among PNG, Bank of America, N.A., DnB Nor Bank ASA, Wells Fargo Bank, National Association, UBS Loan Finance LLC and Citibank, N.A. and the other lenders from time to time party thereto, (iii) such prohibitions mandated by the laws of each such Subsidiary’s state of formation and the terms of any such Subsidiary’s Organizational Documents and (iv) where such prohibition would not reasonably be expected to have a Material Adverse Effect.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(hh)       </w:t>
      </w:r>
      <w:r>
        <w:rPr>
          <w:rFonts w:ascii="Times New Roman;serif" w:hAnsi="Times New Roman;serif"/>
          <w:i/>
          <w:sz w:val="24"/>
        </w:rPr>
        <w:t>No Distribution of Other Offering Materials</w:t>
      </w:r>
      <w:r>
        <w:rPr>
          <w:rFonts w:ascii="Times New Roman;serif" w:hAnsi="Times New Roman;serif"/>
          <w:sz w:val="24"/>
        </w:rPr>
        <w:t>.  None of the Plains Entities or the GP Entities has distributed and, prior to the later to occur of (i) any Delivery Date and</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5" w:name="PGBRK25"/>
      <w:bookmarkStart w:id="236" w:name="PGBRK25"/>
      <w:bookmarkEnd w:id="2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7" w:name="FTR25"/>
      <w:bookmarkStart w:id="238" w:name="FTR25"/>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9" w:name="GLFTR25"/>
      <w:bookmarkEnd w:id="2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240" w:name="PN25"/>
      <w:bookmarkEnd w:id="240"/>
      <w:r>
        <w:rPr>
          <w:rFonts w:ascii="Times New Roman;serif" w:hAnsi="Times New Roman;serif"/>
          <w:sz w:val="22"/>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1" w:name="HDR25"/>
      <w:bookmarkStart w:id="242" w:name="HDR25"/>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3" w:name="GLHDR25"/>
      <w:bookmarkEnd w:id="2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(ii) completion of the distribution of the Firm Units or Option Units, as the case may be, will not distribute, any prospectus (as defined under the Securities Act) in connection with the offering and sale of the Units other than any Preliminary Prospectus, the Prospectus, any Issuer Free Writing Prospectus, subject to the conditions in Section 1(h) of this Agreement, or other materials, if any, permitted by the Securities Act, including Rule 134 of the Rules and Regulations.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(ii)         </w:t>
      </w:r>
      <w:r>
        <w:rPr>
          <w:rFonts w:ascii="Times New Roman;serif" w:hAnsi="Times New Roman;serif"/>
          <w:i/>
          <w:sz w:val="24"/>
        </w:rPr>
        <w:t>NYSE Listing of Common Units</w:t>
      </w:r>
      <w:r>
        <w:rPr>
          <w:rFonts w:ascii="Times New Roman;serif" w:hAnsi="Times New Roman;serif"/>
          <w:sz w:val="24"/>
        </w:rPr>
        <w:t>.  The Common Units, including the Units, are listed on the New York Stock Exchange (“</w:t>
      </w:r>
      <w:r>
        <w:rPr>
          <w:rFonts w:ascii="Times New Roman;serif" w:hAnsi="Times New Roman;serif"/>
          <w:b/>
          <w:sz w:val="24"/>
        </w:rPr>
        <w:t>NYSE</w:t>
      </w:r>
      <w:r>
        <w:rPr>
          <w:rFonts w:ascii="Times New Roman;serif" w:hAnsi="Times New Roman;serif"/>
          <w:sz w:val="24"/>
        </w:rPr>
        <w: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(jj)         </w:t>
      </w:r>
      <w:r>
        <w:rPr>
          <w:rFonts w:ascii="Times New Roman;serif" w:hAnsi="Times New Roman;serif"/>
          <w:i/>
          <w:sz w:val="24"/>
        </w:rPr>
        <w:t>Books and Records; Accounting Controls</w:t>
      </w:r>
      <w:r>
        <w:rPr>
          <w:rFonts w:ascii="Times New Roman;serif" w:hAnsi="Times New Roman;serif"/>
          <w:sz w:val="24"/>
        </w:rPr>
        <w:t>.  The Partnership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(kk)       </w:t>
      </w:r>
      <w:r>
        <w:rPr>
          <w:rFonts w:ascii="Times New Roman;serif" w:hAnsi="Times New Roman;serif"/>
          <w:i/>
          <w:sz w:val="24"/>
        </w:rPr>
        <w:t>Sarbanes-Oxley Act</w:t>
      </w:r>
      <w:r>
        <w:rPr>
          <w:rFonts w:ascii="Times New Roman;serif" w:hAnsi="Times New Roman;serif"/>
          <w:sz w:val="24"/>
        </w:rPr>
        <w:t>.  The Partnership and, to the knowledge of the Partnership, the directors and officers of GP LLC in their capacities as such, are in compliance in all material respects with all applicable and effective provisions of the Sarbanes-Oxley Act of 2002 and the rules and regulations promulgated thereunder.</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(ll)         </w:t>
      </w:r>
      <w:r>
        <w:rPr>
          <w:rFonts w:ascii="Times New Roman;serif" w:hAnsi="Times New Roman;serif"/>
          <w:i/>
          <w:sz w:val="24"/>
        </w:rPr>
        <w:t>Disclosure Controls</w:t>
      </w:r>
      <w:r>
        <w:rPr>
          <w:rFonts w:ascii="Times New Roman;serif" w:hAnsi="Times New Roman;serif"/>
          <w:sz w:val="24"/>
        </w:rPr>
        <w:t>.  The Partnership maintains disclosure controls and procedures (to the extent required by and as such term is defined in Rules 13a-15 and 15d-15 under the Exchange Act),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(mm)     </w:t>
      </w:r>
      <w:r>
        <w:rPr>
          <w:rFonts w:ascii="Times New Roman;serif" w:hAnsi="Times New Roman;serif"/>
          <w:i/>
          <w:sz w:val="24"/>
        </w:rPr>
        <w:t>No Deficiency in Internal Controls</w:t>
      </w:r>
      <w:r>
        <w:rPr>
          <w:rFonts w:ascii="Times New Roman;serif" w:hAnsi="Times New Roman;serif"/>
          <w:sz w:val="24"/>
        </w:rPr>
        <w:t>.  Based on the evaluation of its disclosure controls and procedures conducted in connection with the preparation and filing of the Partnership’s Annual Report on Form 10-K for the most recent fiscal year end,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(nn)       </w:t>
      </w:r>
      <w:r>
        <w:rPr>
          <w:rFonts w:ascii="Times New Roman;serif" w:hAnsi="Times New Roman;serif"/>
          <w:i/>
          <w:sz w:val="24"/>
        </w:rPr>
        <w:t>FCPA</w:t>
      </w:r>
      <w:r>
        <w:rPr>
          <w:rFonts w:ascii="Times New Roman;serif" w:hAnsi="Times New Roman;serif"/>
          <w:sz w:val="24"/>
        </w:rPr>
        <w:t>.  None of the Plains Entities or the GP Entities nor, to the knowledge of the Partnership, any director, officer, agent or employee of the Plains Entities or the GP Entities (in their capacity as director, officer, agent or employee) is aware of or has taken</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4" w:name="PGBRK26"/>
      <w:bookmarkStart w:id="245" w:name="PGBRK26"/>
      <w:bookmarkEnd w:id="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6" w:name="FTR26"/>
      <w:bookmarkStart w:id="247" w:name="FTR26"/>
      <w:bookmarkEnd w:id="2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8" w:name="GLFTR26"/>
      <w:bookmarkEnd w:id="2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249" w:name="PN26"/>
      <w:bookmarkEnd w:id="249"/>
      <w:r>
        <w:rPr>
          <w:rFonts w:ascii="Times New Roman;serif" w:hAnsi="Times New Roman;serif"/>
          <w:sz w:val="22"/>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0" w:name="HDR26"/>
      <w:bookmarkStart w:id="251" w:name="HDR26"/>
      <w:bookmarkEnd w:id="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2" w:name="GLHDR26"/>
      <w:bookmarkEnd w:id="2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any action, directly or indirectly, that would result in a violation by such persons of the Foreign Corrupt Practices Act of 1977, as amended, and the rules and regulations thereunder.</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(oo)      </w:t>
      </w:r>
      <w:r>
        <w:rPr>
          <w:rFonts w:ascii="Times New Roman;serif" w:hAnsi="Times New Roman;serif"/>
          <w:i/>
          <w:sz w:val="24"/>
        </w:rPr>
        <w:t>Money Laundering Laws</w:t>
      </w:r>
      <w:r>
        <w:rPr>
          <w:rFonts w:ascii="Times New Roman;serif" w:hAnsi="Times New Roman;serif"/>
          <w:sz w:val="24"/>
        </w:rPr>
        <w:t>.  No action, suit or proceeding by or before any court or governmental agency, authority or body or any arbitrator involving the Plains Entities or the GP Entities that involve allegations of money laundering is pending or, to the knowledge of the Partnership, threatened.</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(pp)      </w:t>
      </w:r>
      <w:r>
        <w:rPr>
          <w:rFonts w:ascii="Times New Roman;serif" w:hAnsi="Times New Roman;serif"/>
          <w:i/>
          <w:sz w:val="24"/>
        </w:rPr>
        <w:t>OFAC</w:t>
      </w:r>
      <w:r>
        <w:rPr>
          <w:rFonts w:ascii="Times New Roman;serif" w:hAnsi="Times New Roman;serif"/>
          <w:sz w:val="24"/>
        </w:rPr>
        <w:t>.  None of the Plains Entities or the GP Entities nor, to the knowledge of the Partnership, any director, officer or employee of the Plains Entities or the GP Entities (in their capacity as director, officer or employee) has received notice that it is subject to any sanctions administered by the Office of Foreign Assets Control of the U.S. Treasury Department.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The applicable statements made in the certificate described in Sections 9(j) and 9(m) shall be deemed representations and warranties by the Partnership, as to matters covered thereby, to the Underwriters.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2.          </w:t>
      </w:r>
      <w:r>
        <w:rPr>
          <w:rFonts w:ascii="Times New Roman;serif" w:hAnsi="Times New Roman;serif"/>
          <w:i/>
          <w:sz w:val="24"/>
        </w:rPr>
        <w:t>Representations, Warranties and Agreements of the Selling Unitholder</w:t>
      </w:r>
      <w:r>
        <w:rPr>
          <w:rFonts w:ascii="Times New Roman;serif" w:hAnsi="Times New Roman;serif"/>
          <w:sz w:val="24"/>
        </w:rPr>
        <w:t>.  The Selling Unitholder represents and warrants to, and agrees with, each Underwriter that: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(a)        </w:t>
      </w:r>
      <w:r>
        <w:rPr>
          <w:rFonts w:ascii="Times New Roman;serif" w:hAnsi="Times New Roman;serif"/>
          <w:i/>
          <w:sz w:val="24"/>
        </w:rPr>
        <w:t>Formation of the Selling Unitholder.</w:t>
      </w:r>
      <w:r>
        <w:rPr>
          <w:rFonts w:ascii="Times New Roman;serif" w:hAnsi="Times New Roman;serif"/>
          <w:sz w:val="24"/>
        </w:rPr>
        <w:t>  The Selling Unitholder has been duly incorporated and is validly existing in good standing as a corporation under the laws of Delaware with full power and authority to own or lease its properties and to conduct its business in all material respects.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(b)        </w:t>
      </w:r>
      <w:r>
        <w:rPr>
          <w:rFonts w:ascii="Times New Roman;serif" w:hAnsi="Times New Roman;serif"/>
          <w:i/>
          <w:sz w:val="24"/>
        </w:rPr>
        <w:t>Authority, Authorization, Execution and Delivery</w:t>
      </w:r>
      <w:r>
        <w:rPr>
          <w:rFonts w:ascii="Times New Roman;serif" w:hAnsi="Times New Roman;serif"/>
          <w:sz w:val="24"/>
        </w:rPr>
        <w:t>. The Selling Unitholder has all requisite corporate right, power and authority to execute and deliver this Agreement and to perform its obligations hereunder; and this Agreement has been duly and validly authorized, executed and delivered by or on behalf of the Selling Unitholder.</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(c)        </w:t>
      </w:r>
      <w:r>
        <w:rPr>
          <w:rFonts w:ascii="Times New Roman;serif" w:hAnsi="Times New Roman;serif"/>
          <w:i/>
          <w:sz w:val="24"/>
        </w:rPr>
        <w:t>Ownership and Adverse Claims.  </w:t>
      </w:r>
      <w:r>
        <w:rPr>
          <w:rFonts w:ascii="Times New Roman;serif" w:hAnsi="Times New Roman;serif"/>
          <w:sz w:val="24"/>
        </w:rPr>
        <w:t>The Selling Unitholder is the record and beneficial owner of the Units to be sold by it hereunder free and clear of all liens, encumbrances, equities and claims and has duly endorsed such Units in blank, and has full corporate power and authority to sell its interest in the Units, and, assuming that each Underwriter acquires its interest in the Units it has purchased from the Selling Unitholder without notice of any adverse claim (within the meaning of Section 8-105 of the New York Uniform Commercial Code (“</w:t>
      </w:r>
      <w:r>
        <w:rPr>
          <w:rFonts w:ascii="Times New Roman;serif" w:hAnsi="Times New Roman;serif"/>
          <w:b/>
          <w:sz w:val="24"/>
        </w:rPr>
        <w:t>UCC</w:t>
      </w:r>
      <w:r>
        <w:rPr>
          <w:rFonts w:ascii="Times New Roman;serif" w:hAnsi="Times New Roman;serif"/>
          <w:sz w:val="24"/>
        </w:rPr>
        <w:t>”)), each Underwriter that has purchased such Units delivered on the Closing Date to The Depository Trust Company (“</w:t>
      </w:r>
      <w:r>
        <w:rPr>
          <w:rFonts w:ascii="Times New Roman;serif" w:hAnsi="Times New Roman;serif"/>
          <w:b/>
          <w:sz w:val="24"/>
        </w:rPr>
        <w:t>DTC</w:t>
      </w:r>
      <w:r>
        <w:rPr>
          <w:rFonts w:ascii="Times New Roman;serif" w:hAnsi="Times New Roman;serif"/>
          <w:sz w:val="24"/>
        </w:rPr>
        <w:t>”) or other securities intermediary by making payment therefor as provided herein, and that has had such Units credited to the securities account or accounts of such Underwriters maintained with DTC or such other securities intermediary will have acquired a security entitlement (within the meaning of Section 8-102(a)(17) of the UCC) to such Units purchased by such Underwriter, and no action based on an adverse claim (within the meaning of Section 8-105 of the UCC) may be asserted against such Underwriter with respect to such Units.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(d)        </w:t>
      </w:r>
      <w:r>
        <w:rPr>
          <w:rFonts w:ascii="Times New Roman;serif" w:hAnsi="Times New Roman;serif"/>
          <w:i/>
          <w:sz w:val="24"/>
        </w:rPr>
        <w:t>No Conflicts or Violations</w:t>
      </w:r>
      <w:r>
        <w:rPr>
          <w:rFonts w:ascii="Times New Roman;serif" w:hAnsi="Times New Roman;serif"/>
          <w:sz w:val="24"/>
        </w:rPr>
        <w:t>.  None of the offering and sale of the Units, the execution, delivery and performance of this Agreement by the Selling Unitholder or the consummation of the transactions contemplated hereby (i) conflicts or will conflict with or</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3" w:name="PGBRK27"/>
      <w:bookmarkStart w:id="254" w:name="PGBRK27"/>
      <w:bookmarkEnd w:id="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5" w:name="FTR27"/>
      <w:bookmarkStart w:id="256" w:name="FTR27"/>
      <w:bookmarkEnd w:id="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7" w:name="GLFTR27"/>
      <w:bookmarkEnd w:id="2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258" w:name="PN27"/>
      <w:bookmarkEnd w:id="258"/>
      <w:r>
        <w:rPr>
          <w:rFonts w:ascii="Times New Roman;serif" w:hAnsi="Times New Roman;serif"/>
          <w:sz w:val="22"/>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9" w:name="HDR27"/>
      <w:bookmarkStart w:id="260" w:name="HDR27"/>
      <w:bookmarkEnd w:id="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1" w:name="GLHDR27"/>
      <w:bookmarkEnd w:id="2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constitutes or will constitute a violation of the Organizational Documents of the Selling Unitholder, (ii)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Selling Unitholder or any of its properties may be bound, (iii) violates or will violate any statute, law or regulation or any order, judgment, decree or injunction of any court or governmental agency or body directed to the Selling Unitholder or any of its properties in a proceeding to which the Selling Unitholder or its property is or was a party or (iv) results or will result in the creation or imposition of any Lien upon any property or assets of the Selling Unitholder, which conflicts, breaches, violations, defaults or Liens, in the case of clauses (ii), (iii) or (iv), would, individually or in the aggregate, have a material adverse effect on the Selling Unitholder or would materially impair the ability of the Selling Unitholder to consummate the transactions contemplated by this Agreement.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(e)        </w:t>
      </w:r>
      <w:r>
        <w:rPr>
          <w:rFonts w:ascii="Times New Roman;serif" w:hAnsi="Times New Roman;serif"/>
          <w:i/>
          <w:sz w:val="24"/>
        </w:rPr>
        <w:t>No Consents</w:t>
      </w:r>
      <w:r>
        <w:rPr>
          <w:rFonts w:ascii="Times New Roman;serif" w:hAnsi="Times New Roman;serif"/>
          <w:sz w:val="24"/>
        </w:rPr>
        <w:t>.  No consent, approval, authorization, filing with or order of any court, governmental agency or body having jurisdiction over the Selling Unitholder or the property or assets of the Selling Unitholder is required in connection with the offering and sale of the Units, the execution, delivery and performance of this Agreement by the Selling Unitholder and the consummation of the transactions contemplated hereby, except (i) such as have been obtained under the Securities Act, (ii) such as may be required under the blue sky laws of any jurisdiction or the by-laws and rules of FINRA in connection with the purchase and distribution by the Underwriters of the Units in the manner contemplated herein and in the Pricing Disclosure Package and the Prospectus and (iii) where the failure to obtain such consent, approval, authorization, filing or order, individually or in the aggregate, would not have a material adverse effect on the Selling Unitholder and would not materially impair the ability of the Selling Unitholder to perform its obligations under this Agreement.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(f)         </w:t>
      </w:r>
      <w:r>
        <w:rPr>
          <w:rFonts w:ascii="Times New Roman;serif" w:hAnsi="Times New Roman;serif"/>
          <w:i/>
          <w:sz w:val="24"/>
        </w:rPr>
        <w:t>Basis of Sale.  </w:t>
      </w:r>
      <w:r>
        <w:rPr>
          <w:rFonts w:ascii="Times New Roman;serif" w:hAnsi="Times New Roman;serif"/>
          <w:sz w:val="24"/>
        </w:rPr>
        <w:t>The sale of Units by the Selling Unitholder pursuant hereto is not prompted by any information concerning the Partnership or any of its subsidiaries which is not set forth in the Pricing Disclosure Package and the Prospectus or any amendment or supplement thereto.</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(g)         </w:t>
      </w:r>
      <w:r>
        <w:rPr>
          <w:rFonts w:ascii="Times New Roman;serif" w:hAnsi="Times New Roman;serif"/>
          <w:i/>
          <w:sz w:val="24"/>
        </w:rPr>
        <w:t>Selling Unitholder Information.  </w:t>
      </w:r>
      <w:r>
        <w:rPr>
          <w:rFonts w:ascii="Times New Roman;serif" w:hAnsi="Times New Roman;serif"/>
          <w:sz w:val="24"/>
        </w:rPr>
        <w:t>In respect of any statements in or omissions from the Registration Statement, the Pricing Disclosure Package, the Prospectus or any Issuer Free Writing Prospectus or any amendment or supplement thereto used by the Partnership or any Underwriter, as the case may be, made in reliance upon and in conformity with information furnished in writing to the Partnership or to the Underwriters by the Selling Unitholder specifically for use in connection with the preparation thereof, none of such statements include an untrue statement of a material fact or omit to state a material fact necessary in order to make the statements therein (in the case of any Pricing Disclosure Package or the Prospectus, in the light of the circumstances under which any such statements were made) not misleading.</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(h)         </w:t>
      </w:r>
      <w:r>
        <w:rPr>
          <w:rFonts w:ascii="Times New Roman;serif" w:hAnsi="Times New Roman;serif"/>
          <w:i/>
          <w:sz w:val="24"/>
        </w:rPr>
        <w:t>No Use of Free Writing Prospectus</w:t>
      </w:r>
      <w:r>
        <w:rPr>
          <w:rFonts w:ascii="Times New Roman;serif" w:hAnsi="Times New Roman;serif"/>
          <w:sz w:val="24"/>
        </w:rPr>
        <w:t>.  Neither the Selling Unitholder nor any person acting on behalf of the Selling Unitholder (other than, if applicable, the Partnership and the Underwriters) has used or referred to any “free writing prospectus” (as defined in Rule 405 of the Rules and Regulations) relating to the Units.</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2" w:name="PGBRK28"/>
      <w:bookmarkStart w:id="263" w:name="PGBRK28"/>
      <w:bookmarkEnd w:id="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4" w:name="FTR28"/>
      <w:bookmarkStart w:id="265" w:name="FTR28"/>
      <w:bookmarkEnd w:id="2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6" w:name="GLFTR28"/>
      <w:bookmarkEnd w:id="2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267" w:name="PN28"/>
      <w:bookmarkEnd w:id="267"/>
      <w:r>
        <w:rPr>
          <w:rFonts w:ascii="Times New Roman;serif" w:hAnsi="Times New Roman;serif"/>
          <w:sz w:val="22"/>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8" w:name="HDR28"/>
      <w:bookmarkStart w:id="269" w:name="HDR28"/>
      <w:bookmarkEnd w:id="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0" w:name="GLHDR28"/>
      <w:bookmarkEnd w:id="2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The applicable statements made in the certificates described in Sections 9(n) shall be deemed representations and warranties by the Selling Unitholder, as to matters covered thereby, to the Underwriters.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3.          </w:t>
      </w:r>
      <w:r>
        <w:rPr>
          <w:rFonts w:ascii="Times New Roman;serif" w:hAnsi="Times New Roman;serif"/>
          <w:sz w:val="24"/>
          <w:u w:val="single"/>
        </w:rPr>
        <w:t>Purchase and Sale</w:t>
      </w:r>
      <w:r>
        <w:rPr>
          <w:rFonts w:ascii="Times New Roman;serif" w:hAnsi="Times New Roman;serif"/>
          <w:sz w:val="24"/>
        </w:rPr>
        <w:t xml:space="preserve">.  a) Subject to the terms and conditions and in reliance upon the representations and warranties herein set forth, the Selling Unitholder agrees to sell to each Underwriter, and each Underwriter agrees, severally and not jointly, to purchase from the Selling Unitholder, at a purchase price of $59.30 per Unit, the number of Firm Units set forth opposite such Underwriter’s name on </w:t>
      </w:r>
      <w:r>
        <w:rPr>
          <w:rFonts w:ascii="Times New Roman;serif" w:hAnsi="Times New Roman;serif"/>
          <w:sz w:val="24"/>
          <w:u w:val="single"/>
        </w:rPr>
        <w:t>Schedule I</w:t>
      </w:r>
      <w:r>
        <w:rPr>
          <w:rFonts w:ascii="Times New Roman;serif" w:hAnsi="Times New Roman;serif"/>
          <w:sz w:val="24"/>
        </w:rPr>
        <w:t xml:space="preserve"> hereto, subject to adjustment as set forth in Section 11 hereof.</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 xml:space="preserve">(b)         Subject to the terms and conditions and in reliance upon the representations and warranties herein set forth, the Selling Unitholder hereby grants an option to the several Underwriters to purchase, severally and not jointly, up to 1,125,000 Option Units at the same purchase price per Unit as the Underwriters shall pay for the Firm Units set forth on </w:t>
      </w:r>
      <w:r>
        <w:rPr>
          <w:rFonts w:ascii="Times New Roman;serif" w:hAnsi="Times New Roman;serif"/>
          <w:sz w:val="24"/>
          <w:u w:val="single"/>
        </w:rPr>
        <w:t>Schedule I</w:t>
      </w:r>
      <w:r>
        <w:rPr>
          <w:rFonts w:ascii="Times New Roman;serif" w:hAnsi="Times New Roman;serif"/>
          <w:sz w:val="24"/>
        </w:rPr>
        <w:t xml:space="preserve"> hereto.  Said option may be exercised in whole or in part at any time and from time to time on or before the 30th day after the date of the Prospectus upon written or telegraphic notice by the Representatives to the Selling Unitholder and the Partnership setting forth the number of Option Units as to which the several Underwriters are exercising the option and the settlement date.  The number of Option Units to be purchased by each Underwriter shall be the same percentage of the total number of Option Units to be purchased by the several Underwriters as such Underwriter is purchasing of the Firm Units, subject to (i) such adjustments as the Representatives in their absolute discretion shall make to eliminate any fractional shares and (ii) adjustment as set forth in Section 11 hereof.</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4.          </w:t>
      </w:r>
      <w:r>
        <w:rPr>
          <w:rFonts w:ascii="Times New Roman;serif" w:hAnsi="Times New Roman;serif"/>
          <w:sz w:val="24"/>
          <w:u w:val="single"/>
        </w:rPr>
        <w:t>Delivery and Payment</w:t>
      </w:r>
      <w:r>
        <w:rPr>
          <w:rFonts w:ascii="Times New Roman;serif" w:hAnsi="Times New Roman;serif"/>
          <w:sz w:val="24"/>
        </w:rPr>
        <w:t>.  Delivery of and payment for the Firm Units and the Option Units (if the option provided for in Section 3(b) hereof shall have been exercised on or before the third business day prior to the Initial Delivery Date) shall be made at the office of Vinson &amp; Elkins L.L.P., 1001 Fannin, Houston, Texas 77002 at 9:00 a.m., Houston time, on August 17, 2011, or at such time on such later date not more than three business days after the foregoing date as the Representatives shall designate, which date and time may be postponed by agreement between the Representatives, the Selling Unitholder and the Partnership or as provided in Section 11 hereof (such date and time of delivery and payment for the Units being herein called the “</w:t>
      </w:r>
      <w:r>
        <w:rPr>
          <w:rFonts w:ascii="Times New Roman;serif" w:hAnsi="Times New Roman;serif"/>
          <w:b/>
          <w:sz w:val="24"/>
        </w:rPr>
        <w:t>Initial Delivery Date</w:t>
      </w:r>
      <w:r>
        <w:rPr>
          <w:rFonts w:ascii="Times New Roman;serif" w:hAnsi="Times New Roman;serif"/>
          <w:sz w:val="24"/>
        </w:rPr>
        <w:t>”).  Delivery of the Units shall be made to the Underwriters for the respective accounts of the several Underwriters against payment by the several Underwriters of the purchase price thereof to or upon the order of the Selling Unitholder by wire transfer payable in same-day funds to an account specified by the Selling Unitholder.  Delivery of the Firm Units and the Option Units shall be made through the facilities of DTC unless the Representatives shall otherwise instruct.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If the option provided for in Section 3(b) hereof is exercised after the third business day prior to the Initial Delivery Date, the Selling Unitholder will deliver the Option Units (at the expense of the Partnership) to the Representatives on the date (an “</w:t>
      </w:r>
      <w:r>
        <w:rPr>
          <w:rFonts w:ascii="Times New Roman;serif" w:hAnsi="Times New Roman;serif"/>
          <w:b/>
          <w:sz w:val="24"/>
        </w:rPr>
        <w:t>Option Units Delivery Date</w:t>
      </w:r>
      <w:r>
        <w:rPr>
          <w:rFonts w:ascii="Times New Roman;serif" w:hAnsi="Times New Roman;serif"/>
          <w:sz w:val="24"/>
        </w:rPr>
        <w:t>”) specified by the Underwriters (which shall be within three business days after each exercise of said option), for the respective accounts of the several Underwriters, against payment by the several Underwriters of the purchase price thereof to or upon the order of the Selling Unitholder by wire transfer payable in same-day funds to an account specified by the</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1" w:name="PGBRK29"/>
      <w:bookmarkStart w:id="272" w:name="PGBRK29"/>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3" w:name="FTR29"/>
      <w:bookmarkStart w:id="274" w:name="FTR29"/>
      <w:bookmarkEnd w:id="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5" w:name="GLFTR29"/>
      <w:bookmarkEnd w:id="2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276" w:name="PN29"/>
      <w:bookmarkEnd w:id="276"/>
      <w:r>
        <w:rPr>
          <w:rFonts w:ascii="Times New Roman;serif" w:hAnsi="Times New Roman;serif"/>
          <w:sz w:val="22"/>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7" w:name="HDR29"/>
      <w:bookmarkStart w:id="278" w:name="HDR29"/>
      <w:bookmarkEnd w:id="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9" w:name="GLHDR29"/>
      <w:bookmarkEnd w:id="2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Selling Unitholder.  If settlement for the Option Units occurs after the Initial Delivery Date, the Selling Unitholder will deliver to the Underwriters on the Option Units Delivery Date for the Option Units, and the obligation of the Underwriters to purchase the Option Units shall be conditioned upon receipt of, supplemental opinions, certificates and letters confirming as of such date the opinions, certificates and letters delivered on the Initial Delivery Date pursuant to Section 9 hereof.  The Initial Delivery Date and any Option Units Delivery Date are each sometimes referred to as a “</w:t>
      </w:r>
      <w:r>
        <w:rPr>
          <w:rFonts w:ascii="Times New Roman;serif" w:hAnsi="Times New Roman;serif"/>
          <w:b/>
          <w:sz w:val="24"/>
        </w:rPr>
        <w:t>Delivery Date</w:t>
      </w:r>
      <w:r>
        <w:rPr>
          <w:rFonts w:ascii="Times New Roman;serif" w:hAnsi="Times New Roman;serif"/>
          <w:sz w:val="24"/>
        </w:rPr>
        <w: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5.          </w:t>
      </w:r>
      <w:r>
        <w:rPr>
          <w:rFonts w:ascii="Times New Roman;serif" w:hAnsi="Times New Roman;serif"/>
          <w:sz w:val="24"/>
          <w:u w:val="single"/>
        </w:rPr>
        <w:t>Offering by the Underwriters</w:t>
      </w:r>
      <w:r>
        <w:rPr>
          <w:rFonts w:ascii="Times New Roman;serif" w:hAnsi="Times New Roman;serif"/>
          <w:sz w:val="24"/>
        </w:rPr>
        <w:t>.  It is understood that the several Underwriters propose to offer the Units for sale to the public as set forth in the Prospectus.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6.          </w:t>
      </w:r>
      <w:r>
        <w:rPr>
          <w:rFonts w:ascii="Times New Roman;serif" w:hAnsi="Times New Roman;serif"/>
          <w:sz w:val="24"/>
          <w:u w:val="single"/>
        </w:rPr>
        <w:t>Agreements of the Partnership</w:t>
      </w:r>
      <w:r>
        <w:rPr>
          <w:rFonts w:ascii="Times New Roman;serif" w:hAnsi="Times New Roman;serif"/>
          <w:sz w:val="24"/>
        </w:rPr>
        <w:t>.  The Partnership acknowledges and agrees with the Underwriters that: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(a)         </w:t>
      </w:r>
      <w:r>
        <w:rPr>
          <w:rFonts w:ascii="Times New Roman;serif" w:hAnsi="Times New Roman;serif"/>
          <w:i/>
          <w:sz w:val="24"/>
        </w:rPr>
        <w:t>Post-Effective Amendments</w:t>
      </w:r>
      <w:r>
        <w:rPr>
          <w:rFonts w:ascii="Times New Roman;serif" w:hAnsi="Times New Roman;serif"/>
          <w:sz w:val="24"/>
        </w:rPr>
        <w:t>.  If, at the Applicable Time, it is necessary for a post-effective amendment to the Registration Statement to be declared effective before the offering of the Units may commence, the Partnership will endeavor to cause such post-effective amendment to become effective as soon as possible and will advise the Representatives promptly and, if requested by the Representatives, will confirm such advice in writing when such post-effective amendment has become effective.</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(b)         </w:t>
      </w:r>
      <w:r>
        <w:rPr>
          <w:rFonts w:ascii="Times New Roman;serif" w:hAnsi="Times New Roman;serif"/>
          <w:i/>
          <w:sz w:val="24"/>
        </w:rPr>
        <w:t>Preparation of Prospectus and Registration Statement</w:t>
      </w:r>
      <w:r>
        <w:rPr>
          <w:rFonts w:ascii="Times New Roman;serif" w:hAnsi="Times New Roman;serif"/>
          <w:sz w:val="24"/>
        </w:rPr>
        <w:t>.  The Partnership will advise the Representatives promptly and, if requested by the 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Units for offering or sale in any jurisdiction or the initiation of any proceeding for such purpose; and (iii) within the period of time referred to in paragraph (e) 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(c)         </w:t>
      </w:r>
      <w:r>
        <w:rPr>
          <w:rFonts w:ascii="Times New Roman;serif" w:hAnsi="Times New Roman;serif"/>
          <w:i/>
          <w:sz w:val="24"/>
        </w:rPr>
        <w:t>Copies of Registration Statement</w:t>
      </w:r>
      <w:r>
        <w:rPr>
          <w:rFonts w:ascii="Times New Roman;serif" w:hAnsi="Times New Roman;serif"/>
          <w:sz w:val="24"/>
        </w:rPr>
        <w:t>.  The Partnership will furnish to the Underwriters, without charge, (i) one copy of the manually signed copy of the registration statement corresponding to the Commission’s electronic data gathering, analysis and retrieval</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0" w:name="PGBRK30"/>
      <w:bookmarkStart w:id="281" w:name="PGBRK30"/>
      <w:bookmarkEnd w:id="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2" w:name="FTR30"/>
      <w:bookmarkStart w:id="283" w:name="FTR30"/>
      <w:bookmarkEnd w:id="2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4" w:name="GLFTR30"/>
      <w:bookmarkEnd w:id="2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285" w:name="PN30"/>
      <w:bookmarkEnd w:id="285"/>
      <w:r>
        <w:rPr>
          <w:rFonts w:ascii="Times New Roman;serif" w:hAnsi="Times New Roman;serif"/>
          <w:sz w:val="22"/>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6" w:name="HDR30"/>
      <w:bookmarkStart w:id="287" w:name="HDR30"/>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8" w:name="GLHDR30"/>
      <w:bookmarkEnd w:id="2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system (“</w:t>
      </w:r>
      <w:r>
        <w:rPr>
          <w:rFonts w:ascii="Times New Roman;serif" w:hAnsi="Times New Roman;serif"/>
          <w:b/>
          <w:sz w:val="24"/>
        </w:rPr>
        <w:t>EDGAR</w:t>
      </w:r>
      <w:r>
        <w:rPr>
          <w:rFonts w:ascii="Times New Roman;serif" w:hAnsi="Times New Roman;serif"/>
          <w:sz w:val="24"/>
        </w:rPr>
        <w:t>”) version filed with the Commission and of each amendment thereto, including financial statements and all exhibits to the registration statement, (ii) such number of conformed copies of the registration statement as originally filed and of each amendment thereto, but without exhibits, as the Underwriters or the Underwriters’ counsel may reasonably request, (iii) such number of copies of the Incorporated Documents, without exhibits, as the Underwriters may request and (iv) such number of copies of the exhibits to the Incorporated Documents as the Underwriters may request.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(d)        </w:t>
      </w:r>
      <w:r>
        <w:rPr>
          <w:rFonts w:ascii="Times New Roman;serif" w:hAnsi="Times New Roman;serif"/>
          <w:i/>
          <w:sz w:val="24"/>
        </w:rPr>
        <w:t>Filing of Amendment or Supplement</w:t>
      </w:r>
      <w:r>
        <w:rPr>
          <w:rFonts w:ascii="Times New Roman;serif" w:hAnsi="Times New Roman;serif"/>
          <w:sz w:val="24"/>
        </w:rPr>
        <w:t>.  For such period as in the opinion of counsel for the Underwriters a prospectus is required by the Securities Act to be delivered in connection with sales by any Underwriter or dealer, the Partnership will not file any amendment to the Registration Statement, supplement to the Prospectus (or any other prospectus relating to the Units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Partnership shall have determined based upon the advice of counsel that such amendment, supplement or other filing is required by law; and the Partnership will promptly notify the Representatives after it shall have received notice thereof of the time when any amendment to the Registration Statement becomes effective or when any supplement to the Prospectus has been filed.</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(e)        </w:t>
      </w:r>
      <w:r>
        <w:rPr>
          <w:rFonts w:ascii="Times New Roman;serif" w:hAnsi="Times New Roman;serif"/>
          <w:i/>
          <w:sz w:val="24"/>
        </w:rPr>
        <w:t>Copies of Documents to the Underwriters</w:t>
      </w:r>
      <w:r>
        <w:rPr>
          <w:rFonts w:ascii="Times New Roman;serif" w:hAnsi="Times New Roman;serif"/>
          <w:sz w:val="24"/>
        </w:rPr>
        <w:t>.  As soon after the Applicable Time as possible and thereafter from time to time for such period as in the opinion of counsel for the Underwriters a prospectus is required by the Securities Act to be delivered in connection with sales by any Underwriter or dealer, the Partnership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sale by the Selling Unitholder, upon request and without charge, the Partnership will deliver as many copies of an amended or supplemented Prospectus complying with Section 10(a)(3) of the Securities Act as the Underwriters may reasonably request, provided that a prospectus is required by the Securities Act to be delivered in connection with sales of Units by any Underwriter or dealer.  The Partnership consents to the use of the Prospectus (and of any amendment or supplement thereto) in accordance with the provisions of the Securities Act and with the securities or Blue Sky laws of the jurisdictions in which the Units are offered by the Underwriters and by all dealers to whom Units may be sold, both in connection with the offering and sale of the Units and for such period of time thereafter as the Prospectus is required by the Securities Act to be delivered in connection with sales by any Underwriter or dealer.  If during such period of time any event shall occur that in the judgment of the Partnership or in the opinion of counsel for the Underwriters and the Partnership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Partnership will forthwith prepare and, subject to the provisions of paragraph (e) above, file with the Commission an appropriate supplement or amendment thereto (or to such</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9" w:name="PGBRK31"/>
      <w:bookmarkStart w:id="290" w:name="PGBRK31"/>
      <w:bookmarkEnd w:id="2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1" w:name="FTR31"/>
      <w:bookmarkStart w:id="292" w:name="FTR31"/>
      <w:bookmarkEnd w:id="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3" w:name="GLFTR31"/>
      <w:bookmarkEnd w:id="2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294" w:name="PN31"/>
      <w:bookmarkEnd w:id="294"/>
      <w:r>
        <w:rPr>
          <w:rFonts w:ascii="Times New Roman;serif" w:hAnsi="Times New Roman;serif"/>
          <w:sz w:val="22"/>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5" w:name="HDR31"/>
      <w:bookmarkStart w:id="296" w:name="HDR31"/>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7" w:name="GLHDR31"/>
      <w:bookmarkEnd w:id="2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document), and will expeditiously furnish to the Underwriters and dealers a reasonable number of copies thereof; provided that, if any such event necessitating a supplement or amendment to the Prospectus occurs at any time after nine months after the time of issuance of the Prospectus, such supplement or amendment shall be prepared at the Underwriters’ expense.  In the event that the Partnership and the Representatives agree that the Prospectus should be amended or supplemented, the Partnership, if requested by the Representatives, will promptly issue a press release announcing or disclosing the matters to be covered by the proposed amendment or supplement unless the Partnership shall have determined, based on the advice of counsel, that the issuance of such press release would not be required by law.</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 xml:space="preserve">(f)         </w:t>
      </w:r>
      <w:r>
        <w:rPr>
          <w:rFonts w:ascii="Times New Roman;serif" w:hAnsi="Times New Roman;serif"/>
          <w:i/>
          <w:sz w:val="24"/>
        </w:rPr>
        <w:t>Blue Sky Laws</w:t>
      </w:r>
      <w:r>
        <w:rPr>
          <w:rFonts w:ascii="Times New Roman;serif" w:hAnsi="Times New Roman;serif"/>
          <w:sz w:val="24"/>
        </w:rPr>
        <w:t>.  The Partnership will cooperate with the Representatives and with counsel for the Underwriters in connection with the registration or qualification of the Units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provided that in no event shall any Plains Entity be obligated to qualify to do business in any jurisdiction where it is not now so qualified or to take any action that would subject it to service of process in suits, other than those arising out of the offering or sale of the Units, in any jurisdiction where it is not now so subject.  The Partnership will promptly notify the Representatives of the receipt by the Partnership of any notification with respect to the suspension of the qualification of the Units for sale in any jurisdiction or the initiation or threatening of any proceeding for such purpose.</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(g)        </w:t>
      </w:r>
      <w:r>
        <w:rPr>
          <w:rFonts w:ascii="Times New Roman;serif" w:hAnsi="Times New Roman;serif"/>
          <w:i/>
          <w:sz w:val="24"/>
        </w:rPr>
        <w:t>Reports to Security Holders</w:t>
      </w:r>
      <w:r>
        <w:rPr>
          <w:rFonts w:ascii="Times New Roman;serif" w:hAnsi="Times New Roman;serif"/>
          <w:sz w:val="24"/>
        </w:rPr>
        <w:t>.  In accordance with Section 11(a) of the Securities Act and Rule 158 of the Rules and Regulations, the Partnership will make generally available to its security 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(h)        </w:t>
      </w:r>
      <w:r>
        <w:rPr>
          <w:rFonts w:ascii="Times New Roman;serif" w:hAnsi="Times New Roman;serif"/>
          <w:i/>
          <w:sz w:val="24"/>
        </w:rPr>
        <w:t>Copies of Reports</w:t>
      </w:r>
      <w:r>
        <w:rPr>
          <w:rFonts w:ascii="Times New Roman;serif" w:hAnsi="Times New Roman;serif"/>
          <w:sz w:val="24"/>
        </w:rPr>
        <w:t>.  Unless otherwise available on EDGAR, during the period of two years hereafter, the Partnership will furnish or make available to the Underwriters (i) as soon as publicly available, a copy of each report of the Partnership mailed to unitholders or filed with the Commission or the principal national securities exchange or automated quotation system upon which the Units may be listed, and (ii) from time to time such other information concerning the Partnership as the Underwriters may reasonably request.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(i)         </w:t>
      </w:r>
      <w:r>
        <w:rPr>
          <w:rFonts w:ascii="Times New Roman;serif" w:hAnsi="Times New Roman;serif"/>
          <w:i/>
          <w:sz w:val="24"/>
        </w:rPr>
        <w:t>Termination Expenses</w:t>
      </w:r>
      <w:r>
        <w:rPr>
          <w:rFonts w:ascii="Times New Roman;serif" w:hAnsi="Times New Roman;serif"/>
          <w:sz w:val="24"/>
        </w:rPr>
        <w:t>.  If this Agreement shall terminate or shall be terminated after execution pursuant to any provisions hereof (otherwise than pursuant to Section 11 or Section 12 hereof (except pursuant to the first clause of Section 12(i))) or if this Agreement shall be terminated by the Underwriters because of any failure or refusal on the part of the Selling Unitholder or the Partnership to comply with the terms or fulfill any of the conditions of this Agreement, the Partnership agrees to reimburse the Underwriters for all reasonable out-of-pocket expenses (including reasonable fees and expenses of counsel for the Underwriters) incurred by the Underwriters in connection herewith.</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8" w:name="PGBRK32"/>
      <w:bookmarkStart w:id="299" w:name="PGBRK32"/>
      <w:bookmarkEnd w:id="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0" w:name="FTR32"/>
      <w:bookmarkStart w:id="301" w:name="FTR32"/>
      <w:bookmarkEnd w:id="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2" w:name="GLFTR32"/>
      <w:bookmarkEnd w:id="3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303" w:name="PN32"/>
      <w:bookmarkEnd w:id="303"/>
      <w:r>
        <w:rPr>
          <w:rFonts w:ascii="Times New Roman;serif" w:hAnsi="Times New Roman;serif"/>
          <w:sz w:val="22"/>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4" w:name="HDR32"/>
      <w:bookmarkStart w:id="305" w:name="HDR32"/>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6" w:name="GLHDR32"/>
      <w:bookmarkEnd w:id="3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(j)         </w:t>
      </w:r>
      <w:r>
        <w:rPr>
          <w:rFonts w:ascii="Times New Roman;serif" w:hAnsi="Times New Roman;serif"/>
          <w:i/>
          <w:sz w:val="24"/>
        </w:rPr>
        <w:t>Filing of Prospectus</w:t>
      </w:r>
      <w:r>
        <w:rPr>
          <w:rFonts w:ascii="Times New Roman;serif" w:hAnsi="Times New Roman;serif"/>
          <w:sz w:val="24"/>
        </w:rPr>
        <w:t>.  The Partnership will timely file the Prospectus, and any amendment or supplement thereto, pursuant to Rule 424(b) of the Rules and Regulations and will advise the Underwriters of the time and manner of such filing.</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(k)         </w:t>
      </w:r>
      <w:r>
        <w:rPr>
          <w:rFonts w:ascii="Times New Roman;serif" w:hAnsi="Times New Roman;serif"/>
          <w:i/>
          <w:sz w:val="24"/>
        </w:rPr>
        <w:t>Partnership Lock-Up Period</w:t>
      </w:r>
      <w:r>
        <w:rPr>
          <w:rFonts w:ascii="Times New Roman;serif" w:hAnsi="Times New Roman;serif"/>
          <w:sz w:val="24"/>
        </w:rPr>
        <w:t xml:space="preserve">.  Except as provided in this Agreement, the Partnership will not (i) offer, sell, contract to sell, pledge or otherwise dispose of (or enter into any transaction that is designed to, or might reasonably be expected to, result in the disposition (whether by actual disposition or effective economic disposition due to cash settlement or otherwise) by the Partnership or any of its controlled affiliates or any person in privity with the Partnership or any of its controlled 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Common Units or any securities that are convertible into, or exercisable or exchangeable for, or that represent the right to receive, Common Units or any securities that are senior to or </w:t>
      </w:r>
      <w:r>
        <w:rPr>
          <w:rFonts w:ascii="Times New Roman;serif" w:hAnsi="Times New Roman;serif"/>
          <w:i/>
          <w:sz w:val="24"/>
        </w:rPr>
        <w:t>pari passu</w:t>
      </w:r>
      <w:r>
        <w:rPr>
          <w:rFonts w:ascii="Times New Roman;serif" w:hAnsi="Times New Roman;serif"/>
          <w:sz w:val="24"/>
        </w:rPr>
        <w:t xml:space="preserve"> with Common Units, or publicly announce an intention to effect any such transaction or (ii) grant any options or warrants to purchase Common Units for a period of 45 days after the date of the Prospectus (the “</w:t>
      </w:r>
      <w:r>
        <w:rPr>
          <w:rFonts w:ascii="Times New Roman;serif" w:hAnsi="Times New Roman;serif"/>
          <w:b/>
          <w:sz w:val="24"/>
        </w:rPr>
        <w:t>Lock-Up Period</w:t>
      </w:r>
      <w:r>
        <w:rPr>
          <w:rFonts w:ascii="Times New Roman;serif" w:hAnsi="Times New Roman;serif"/>
          <w:sz w:val="24"/>
        </w:rPr>
        <w:t xml:space="preserve">”) without the prior written consent of Citigroup Global Markets Inc., except that (A) the Partnership may issue Common Units or any securities convertible or exchangeable into Common Units as payment of any part of the purchase price for businesses that are acquired by the Partnership and its affiliates or any third parties, </w:t>
      </w:r>
      <w:r>
        <w:rPr>
          <w:rFonts w:ascii="Times New Roman;serif" w:hAnsi="Times New Roman;serif"/>
          <w:sz w:val="24"/>
          <w:u w:val="single"/>
        </w:rPr>
        <w:t>provided</w:t>
      </w:r>
      <w:r>
        <w:rPr>
          <w:rFonts w:ascii="Times New Roman;serif" w:hAnsi="Times New Roman;serif"/>
          <w:sz w:val="24"/>
        </w:rPr>
        <w:t xml:space="preserve"> that any recipient of such Common Units must agree in writing to be bound by the terms of this Section 6(k) for the remaining term of the Lock-Up Period, (B) the Partnership may issue and sell Common Units or securities convertible into or exchangeable for Common Units pursuant to any existing long-term incentive plan, employee unit option plan, unit ownership plan or dividend reinvestment plan of the Partnership (or adopted by a GP Entity) in effect at the Applicable Time and (C) the Partnership may issue or deliver Common Units issuable upon the conversion, vesting or exercise of securities (including long-term incentive plan awards, options and warrants) outstanding at the Applicable Time.</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(l)          </w:t>
      </w:r>
      <w:r>
        <w:rPr>
          <w:rFonts w:ascii="Times New Roman;serif" w:hAnsi="Times New Roman;serif"/>
          <w:i/>
          <w:sz w:val="24"/>
        </w:rPr>
        <w:t>Stabilization</w:t>
      </w:r>
      <w:r>
        <w:rPr>
          <w:rFonts w:ascii="Times New Roman;serif" w:hAnsi="Times New Roman;serif"/>
          <w:sz w:val="24"/>
        </w:rPr>
        <w:t>.  Except as stated in this Agreement and the Prospectus, the Partnership has not taken, nor will it take, directly or indirectly, any action designed to or that might reasonably be expected to cause or result in stabilization or manipulation of the price of the Common Units to facilitate the sale or resale of the Units.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(m)        </w:t>
      </w:r>
      <w:r>
        <w:rPr>
          <w:rFonts w:ascii="Times New Roman;serif" w:hAnsi="Times New Roman;serif"/>
          <w:i/>
          <w:sz w:val="24"/>
        </w:rPr>
        <w:t>Investment Company</w:t>
      </w:r>
      <w:r>
        <w:rPr>
          <w:rFonts w:ascii="Times New Roman;serif" w:hAnsi="Times New Roman;serif"/>
          <w:sz w:val="24"/>
        </w:rPr>
        <w:t>.  The Partnership will take such steps as shall be necessary to ensure that none of the Plains Entities or the GP Entities shall become an “investment company” within the meaning of such term under the Investment Company Act of 1940, as amended, and the rules and regulations of the Commission thereunder.</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(n)         </w:t>
      </w:r>
      <w:r>
        <w:rPr>
          <w:rFonts w:ascii="Times New Roman;serif" w:hAnsi="Times New Roman;serif"/>
          <w:i/>
          <w:sz w:val="24"/>
        </w:rPr>
        <w:t>Exchange Act Reports</w:t>
      </w:r>
      <w:r>
        <w:rPr>
          <w:rFonts w:ascii="Times New Roman;serif" w:hAnsi="Times New Roman;serif"/>
          <w:sz w:val="24"/>
        </w:rPr>
        <w:t>.  The Partnership, during the period when the Prospectus is required to be delivered under the Securities Act, will file all documents required to be filed with the Commission pursuant to the Exchange Act within the time periods required by the Exchange Act.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(o)         </w:t>
      </w:r>
      <w:r>
        <w:rPr>
          <w:rFonts w:ascii="Times New Roman;serif" w:hAnsi="Times New Roman;serif"/>
          <w:i/>
          <w:sz w:val="24"/>
        </w:rPr>
        <w:t>Free Writing Prospectuses</w:t>
      </w:r>
      <w:r>
        <w:rPr>
          <w:rFonts w:ascii="Times New Roman;serif" w:hAnsi="Times New Roman;serif"/>
          <w:sz w:val="24"/>
        </w:rPr>
        <w:t>.  The Partnership has complied and will comply with the requirements of Rule 433 under the Securities Act applicable to any Issuer Free</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7" w:name="PGBRK33"/>
      <w:bookmarkStart w:id="308" w:name="PGBRK33"/>
      <w:bookmarkEnd w:id="3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9" w:name="FTR33"/>
      <w:bookmarkStart w:id="310" w:name="FTR33"/>
      <w:bookmarkEnd w:id="3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1" w:name="GLFTR33"/>
      <w:bookmarkEnd w:id="3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312" w:name="PN33"/>
      <w:bookmarkEnd w:id="312"/>
      <w:r>
        <w:rPr>
          <w:rFonts w:ascii="Times New Roman;serif" w:hAnsi="Times New Roman;serif"/>
          <w:sz w:val="22"/>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3" w:name="HDR33"/>
      <w:bookmarkStart w:id="314" w:name="HDR33"/>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5" w:name="GLHDR33"/>
      <w:bookmarkEnd w:id="3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 xml:space="preserve">Writing Prospectus, including appropriate legending and timely filing with the Commission or retention where required.  The Partnership represents that it has satisfied and agrees that it will satisfy the conditions under Rule 433 under the Securities Act to avoid a requirement to file with the Commission any electronic road show.  The Partnership agrees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Partnership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Times New Roman;serif" w:hAnsi="Times New Roman;serif"/>
          <w:sz w:val="24"/>
          <w:u w:val="single"/>
        </w:rPr>
        <w:t>provided</w:t>
      </w:r>
      <w:r>
        <w:rPr>
          <w:rFonts w:ascii="Times New Roman;serif" w:hAnsi="Times New Roman;serif"/>
          <w:sz w:val="24"/>
        </w:rPr>
        <w:t xml:space="preserve">, </w:t>
      </w:r>
      <w:r>
        <w:rPr>
          <w:rFonts w:ascii="Times New Roman;serif" w:hAnsi="Times New Roman;serif"/>
          <w:sz w:val="24"/>
          <w:u w:val="single"/>
        </w:rPr>
        <w:t>however</w:t>
      </w:r>
      <w:r>
        <w:rPr>
          <w:rFonts w:ascii="Times New Roman;serif" w:hAnsi="Times New Roman;serif"/>
          <w:sz w:val="24"/>
        </w:rPr>
        <w:t>, that this representation and warranty shall not apply to any statements or omissions in an Issuer Free Writing Prospectus made in reliance upon and in conformity with information furnished in writing to the Partnership by an Underwriter through the Representatives expressly for use therein, which information is specified in Section 14.</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7.          </w:t>
      </w:r>
      <w:r>
        <w:rPr>
          <w:rFonts w:ascii="Times New Roman;serif" w:hAnsi="Times New Roman;serif"/>
          <w:i/>
          <w:sz w:val="24"/>
        </w:rPr>
        <w:t>Agreements of the Selling Unitholder</w:t>
      </w:r>
      <w:r>
        <w:rPr>
          <w:rFonts w:ascii="Times New Roman;serif" w:hAnsi="Times New Roman;serif"/>
          <w:sz w:val="24"/>
        </w:rPr>
        <w:t>.  The Selling Unitholder agrees as follows: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(a)        </w:t>
      </w:r>
      <w:r>
        <w:rPr>
          <w:rFonts w:ascii="Times New Roman;serif" w:hAnsi="Times New Roman;serif"/>
          <w:i/>
          <w:sz w:val="24"/>
        </w:rPr>
        <w:t>Selling Unitholder Lock-Up Period</w:t>
      </w:r>
      <w:r>
        <w:rPr>
          <w:rFonts w:ascii="Times New Roman;serif" w:hAnsi="Times New Roman;serif"/>
          <w:sz w:val="24"/>
        </w:rPr>
        <w:t xml:space="preserve">.  Except as provided in this Agreement, the Selling Unitholder will not offer, sell, contract to sell, pledge or otherwise dispose of (or enter into any transaction that is designed to, or might reasonably be expected to, result in the disposition (whether by actual disposition or effective economic disposition due to cash settlement or otherwise) by the Selling Unitholder or any of its controlled affiliates or any person in privity with the Selling Unitholder or any of its controlled 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Common Units or any securities that are convertible into, or exercisable or exchangeable for, or that represent the right to receive, Common Units or any securities that are senior to or </w:t>
      </w:r>
      <w:r>
        <w:rPr>
          <w:rFonts w:ascii="Times New Roman;serif" w:hAnsi="Times New Roman;serif"/>
          <w:i/>
          <w:sz w:val="24"/>
        </w:rPr>
        <w:t>pari passu</w:t>
      </w:r>
      <w:r>
        <w:rPr>
          <w:rFonts w:ascii="Times New Roman;serif" w:hAnsi="Times New Roman;serif"/>
          <w:sz w:val="24"/>
        </w:rPr>
        <w:t xml:space="preserve"> with Common Units, or publicly announce an intention to effect any such transaction, for a period of 45 days after the date of the Prospectus (the “</w:t>
      </w:r>
      <w:r>
        <w:rPr>
          <w:rFonts w:ascii="Times New Roman;serif" w:hAnsi="Times New Roman;serif"/>
          <w:b/>
          <w:sz w:val="24"/>
        </w:rPr>
        <w:t>Selling Unitholder Lock-Up Period</w:t>
      </w:r>
      <w:r>
        <w:rPr>
          <w:rFonts w:ascii="Times New Roman;serif" w:hAnsi="Times New Roman;serif"/>
          <w:sz w:val="24"/>
        </w:rPr>
        <w:t xml:space="preserve">”) without the prior written consent of Citigroup Global Markets Inc.; </w:t>
      </w:r>
      <w:r>
        <w:rPr>
          <w:rFonts w:ascii="Times New Roman;serif" w:hAnsi="Times New Roman;serif"/>
          <w:sz w:val="24"/>
          <w:u w:val="single"/>
        </w:rPr>
        <w:t>provided</w:t>
      </w:r>
      <w:r>
        <w:rPr>
          <w:rFonts w:ascii="Times New Roman;serif" w:hAnsi="Times New Roman;serif"/>
          <w:sz w:val="24"/>
        </w:rPr>
        <w:t xml:space="preserve">, however, that the restrictions contained in this Section 7(a) shall not apply to or restrict (A) registration of or sale to the Underwriter of any Common Units pursuant to the offering and this Agreement, (B) distributions of Common Units to stockholders of the Selling Unitholder, (C) bona fide gifts, (D) dispositions to any trust, family limited partnership or family limited liability company for the direct or indirect benefit of the Selling Unitholder and/or the immediate family of the affiliates of the Selling Unitholder or (E) the expected sale of Common Units to John T. Raymond and another stockholder of the Selling Unitholder as disclosed in the most recent Preliminary Prospectus under the caption “Selling Unitholder—Ownership”; </w:t>
      </w:r>
      <w:r>
        <w:rPr>
          <w:rFonts w:ascii="Times New Roman;serif" w:hAnsi="Times New Roman;serif"/>
          <w:sz w:val="24"/>
          <w:u w:val="single"/>
        </w:rPr>
        <w:t>provided</w:t>
      </w:r>
      <w:r>
        <w:rPr>
          <w:rFonts w:ascii="Times New Roman;serif" w:hAnsi="Times New Roman;serif"/>
          <w:sz w:val="24"/>
        </w:rPr>
        <w:t xml:space="preserve"> that with respect to clauses (B) — (D) set forth above any recipient of such Common Units pursuant to such clauses must agree in writing to be bound by the terms of this Section 7(a) for the remaining term of the Selling Unitholder Lock-Up Period.</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6" w:name="PGBRK34"/>
      <w:bookmarkStart w:id="317" w:name="PGBRK34"/>
      <w:bookmarkEnd w:id="3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8" w:name="FTR34"/>
      <w:bookmarkStart w:id="319" w:name="FTR34"/>
      <w:bookmarkEnd w:id="3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0" w:name="GLFTR34"/>
      <w:bookmarkEnd w:id="3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321" w:name="PN34"/>
      <w:bookmarkEnd w:id="321"/>
      <w:r>
        <w:rPr>
          <w:rFonts w:ascii="Times New Roman;serif" w:hAnsi="Times New Roman;serif"/>
          <w:sz w:val="22"/>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2" w:name="HDR34"/>
      <w:bookmarkStart w:id="323" w:name="HDR34"/>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4" w:name="GLHDR34"/>
      <w:bookmarkEnd w:id="3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(b)        </w:t>
      </w:r>
      <w:r>
        <w:rPr>
          <w:rFonts w:ascii="Times New Roman;serif" w:hAnsi="Times New Roman;serif"/>
          <w:i/>
          <w:sz w:val="24"/>
        </w:rPr>
        <w:t>Notice of Change.  </w:t>
      </w:r>
      <w:r>
        <w:rPr>
          <w:rFonts w:ascii="Times New Roman;serif" w:hAnsi="Times New Roman;serif"/>
          <w:sz w:val="24"/>
        </w:rPr>
        <w:t>The Selling Unitholder will advise the Representative promptly, and if requested by the Representative, will confirm such advice in writing, so long as delivery of a prospectus relating to the Units by an underwriter or dealer may be required under the Act, of any material change in information in the Registration Statement, the Pricing Disclosure Package, the Prospectus or any Issuer Free Writing Prospectus or any amendment or supplement thereto relating to the Selling Unitholder.</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(c)        </w:t>
      </w:r>
      <w:r>
        <w:rPr>
          <w:rFonts w:ascii="Times New Roman;serif" w:hAnsi="Times New Roman;serif"/>
          <w:i/>
          <w:sz w:val="24"/>
        </w:rPr>
        <w:t>Stabilization</w:t>
      </w:r>
      <w:r>
        <w:rPr>
          <w:rFonts w:ascii="Times New Roman;serif" w:hAnsi="Times New Roman;serif"/>
          <w:sz w:val="24"/>
        </w:rPr>
        <w:t>.  Except as stated in this Agreement and the Prospectus, the Selling Unitholder has not taken, nor will it take, directly or indirectly, any action designed to or that might reasonably be expected to cause or result in stabilization or manipulation of the price of the Common Units to facilitate the sale or resale of the Units.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(d)        </w:t>
      </w:r>
      <w:r>
        <w:rPr>
          <w:rFonts w:ascii="Times New Roman;serif" w:hAnsi="Times New Roman;serif"/>
          <w:i/>
          <w:sz w:val="24"/>
        </w:rPr>
        <w:t>No Use of Free Writing Prospectus</w:t>
      </w:r>
      <w:r>
        <w:rPr>
          <w:rFonts w:ascii="Times New Roman;serif" w:hAnsi="Times New Roman;serif"/>
          <w:sz w:val="24"/>
        </w:rPr>
        <w:t>.  Neither the Selling Unitholder nor any person acting on behalf of the Selling Unitholder (other than, if applicable, the Partnership and the Underwriters) shall use or refer to any “free writing prospectus” (as defined in Rule 405) relating to the Units.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(e)        </w:t>
      </w:r>
      <w:r>
        <w:rPr>
          <w:rFonts w:ascii="Times New Roman;serif" w:hAnsi="Times New Roman;serif"/>
          <w:i/>
          <w:sz w:val="24"/>
        </w:rPr>
        <w:t>Document Delivery</w:t>
      </w:r>
      <w:r>
        <w:rPr>
          <w:rFonts w:ascii="Times New Roman;serif" w:hAnsi="Times New Roman;serif"/>
          <w:sz w:val="24"/>
        </w:rPr>
        <w:t>.  The Selling Unitholder will deliver to the Representatives prior to the Initial Delivery Date a properly completed and executed United States Treasury Department Form W-9 or other applicable form.</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8.          </w:t>
      </w:r>
      <w:r>
        <w:rPr>
          <w:rFonts w:ascii="Times New Roman;serif" w:hAnsi="Times New Roman;serif"/>
          <w:sz w:val="24"/>
          <w:u w:val="single"/>
        </w:rPr>
        <w:t>Indemnification and Contribution</w:t>
      </w:r>
      <w:r>
        <w:rPr>
          <w:rFonts w:ascii="Times New Roman;serif" w:hAnsi="Times New Roman;serif"/>
          <w:sz w:val="24"/>
        </w:rPr>
        <w: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(a)         The Partnership agrees to indemnify and hold harmless each Underwriter, the directors, officers, employees and agents of each Underwriter, each affiliate of any Underwriter who has participated in the distribution of the Units as underwriters, each broker-dealer affiliate of any Underwriter and each other affiliate of any Underwriter within the meaning of Rule 405 of the Rules and Regulations,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Times New Roman;serif" w:hAnsi="Times New Roman;serif"/>
          <w:b/>
          <w:sz w:val="24"/>
        </w:rPr>
        <w:t>Non-Prospectus Road Show</w:t>
      </w:r>
      <w:r>
        <w:rPr>
          <w:rFonts w:ascii="Times New Roman;serif" w:hAnsi="Times New Roman;serif"/>
          <w:sz w:val="24"/>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Times New Roman;serif" w:hAnsi="Times New Roman;serif"/>
          <w:sz w:val="24"/>
          <w:u w:val="single"/>
        </w:rPr>
        <w:t>provided</w:t>
      </w:r>
      <w:r>
        <w:rPr>
          <w:rFonts w:ascii="Times New Roman;serif" w:hAnsi="Times New Roman;serif"/>
          <w:sz w:val="24"/>
        </w:rPr>
        <w:t xml:space="preserve">, </w:t>
      </w:r>
      <w:r>
        <w:rPr>
          <w:rFonts w:ascii="Times New Roman;serif" w:hAnsi="Times New Roman;serif"/>
          <w:sz w:val="24"/>
          <w:u w:val="single"/>
        </w:rPr>
        <w:t>however</w:t>
      </w:r>
      <w:r>
        <w:rPr>
          <w:rFonts w:ascii="Times New Roman;serif" w:hAnsi="Times New Roman;serif"/>
          <w:sz w:val="24"/>
        </w:rPr>
        <w:t>, that the Partnership</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5" w:name="PGBRK35"/>
      <w:bookmarkStart w:id="326" w:name="PGBRK35"/>
      <w:bookmarkEnd w:id="3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7" w:name="FTR35"/>
      <w:bookmarkStart w:id="328" w:name="FTR35"/>
      <w:bookmarkEnd w:id="3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9" w:name="GLFTR35"/>
      <w:bookmarkEnd w:id="3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330" w:name="PN35"/>
      <w:bookmarkEnd w:id="330"/>
      <w:r>
        <w:rPr>
          <w:rFonts w:ascii="Times New Roman;serif" w:hAnsi="Times New Roman;serif"/>
          <w:sz w:val="22"/>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1" w:name="HDR35"/>
      <w:bookmarkStart w:id="332" w:name="HDR35"/>
      <w:bookmarkEnd w:id="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3" w:name="GLHDR35"/>
      <w:bookmarkEnd w:id="3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Partnership through the Representatives by or on behalf of any Underwriter specifically for inclusion therein, which information consists solely of the information specified in Section 14.  The foregoing indemnity agreement is in addition to any liability that the Partnership may otherwise have to any Underwriter or to any director, officer, employee or controlling person of that Underwriter.</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(b)        The Selling Unitholder agrees to indemnify and hold harmless each Underwriter, the directors, officers, employees and agents of each Underwriter, each affiliate of any Underwriter who has participated in the distribution of the Units as underwriters, each broker-dealer affiliate of any Underwriter and each other affiliate of any Underwriter within the meaning of Rule 405 of the Rules and Regulations,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in any Non-Prospectus Road Show or in any “free writing prospectus” (as defined in Rule 405 of the Rules and Regulations), prepared by or on behalf of the Selling Unitholder or used or referred to by the Selling Unitholder in connection with the offering of the Units in violation of Section 7(d) (“</w:t>
      </w:r>
      <w:r>
        <w:rPr>
          <w:rFonts w:ascii="Times New Roman;serif" w:hAnsi="Times New Roman;serif"/>
          <w:b/>
          <w:sz w:val="24"/>
        </w:rPr>
        <w:t>Selling Unitholder Free Writing Prospectus</w:t>
      </w:r>
      <w:r>
        <w:rPr>
          <w:rFonts w:ascii="Times New Roman;serif" w:hAnsi="Times New Roman;serif"/>
          <w:sz w:val="24"/>
        </w:rPr>
        <w:t xml:space="preserve">”), (ii) the omission or alleged omission to state in the Registration Statement, any Preliminary Prospectus, the Prospectus, any Issuer Free Writing Prospectus or in any amendment or supplement thereto, any Non-Prospectus Road Show or any Selling Unitholder Free Writing Prospectus, any material fact required to be stated therein or necessary to make the statements therein (in the case of any Preliminary Prospectus or the Prospectus, in the light of the circumstances under which any such statements were made) not misleading or (iii) any breach of any representation or warranty of the Selling Unitholder in this Agreement or any certificate or other agreement delivered hereto or contemplated hereby,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Times New Roman;serif" w:hAnsi="Times New Roman;serif"/>
          <w:sz w:val="24"/>
          <w:u w:val="single"/>
        </w:rPr>
        <w:t>provided</w:t>
      </w:r>
      <w:r>
        <w:rPr>
          <w:rFonts w:ascii="Times New Roman;serif" w:hAnsi="Times New Roman;serif"/>
          <w:sz w:val="24"/>
        </w:rPr>
        <w:t xml:space="preserve">, </w:t>
      </w:r>
      <w:r>
        <w:rPr>
          <w:rFonts w:ascii="Times New Roman;serif" w:hAnsi="Times New Roman;serif"/>
          <w:sz w:val="24"/>
          <w:u w:val="single"/>
        </w:rPr>
        <w:t>however</w:t>
      </w:r>
      <w:r>
        <w:rPr>
          <w:rFonts w:ascii="Times New Roman;serif" w:hAnsi="Times New Roman;serif"/>
          <w:sz w:val="24"/>
        </w:rPr>
        <w:t>, that the Selling Unitholder shall be liable in any such case of clause (i) and (ii) only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the Selling Unitholder furnished to the Partnership by or on behalf of the Selling Unitholder specifically for inclusion therein, which information consists solely of the information set forth in the Prospectus under the caption</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4" w:name="PGBRK36"/>
      <w:bookmarkStart w:id="335" w:name="PGBRK36"/>
      <w:bookmarkEnd w:id="3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6" w:name="FTR36"/>
      <w:bookmarkStart w:id="337" w:name="FTR36"/>
      <w:bookmarkEnd w:id="3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8" w:name="GLFTR36"/>
      <w:bookmarkEnd w:id="3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339" w:name="PN36"/>
      <w:bookmarkEnd w:id="339"/>
      <w:r>
        <w:rPr>
          <w:rFonts w:ascii="Times New Roman;serif" w:hAnsi="Times New Roman;serif"/>
          <w:sz w:val="22"/>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0" w:name="HDR36"/>
      <w:bookmarkStart w:id="341" w:name="HDR36"/>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2" w:name="GLHDR36"/>
      <w:bookmarkEnd w:id="3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w:t>
      </w:r>
      <w:r>
        <w:rPr>
          <w:rFonts w:ascii="Times New Roman;serif" w:hAnsi="Times New Roman;serif"/>
          <w:sz w:val="24"/>
        </w:rPr>
        <w:t>Selling Unitholder” or arises out of, or is based upon, any untrue statement or alleged untrue statement or omission or alleged omission made in the Selling Unitholder Free Writing Prospectus.  The liability of the Selling Unitholder under the indemnity agreement contained in this paragraph shall be limited to an amount equal to the total net proceeds from the offering of the Units purchased under the Agreement received by the Selling Unitholder.  The foregoing indemnity agreement is in addition to any liability that the Selling Unitholder may otherwise have to any Underwriter or to any director, officer, employee or controlling person of that Underwriter.</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(c)        If any action, suit or proceeding shall be brought against any Underwriter, any director, officer, employee or agent of any Underwriter or any person controlling any Underwriter in respect of which indemnity may be sought against the Partnership or the Selling Unitholder, such Underwriter or such director, officer, employee, agent or controlling person shall promptly notify the indemnifying party in writing, and the indemnifying party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indemnifying party has agreed in writing to pay such fees and expenses, (ii) the indemnifying party has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indemnifying party (in which case the indemnifying party shall not have the right to direct the defense of such action, suit or proceeding on behalf of the indemnified party or parties), in any of which events the indemnifying party shall pay the reasonable fees and expenses of such counsel as such fees and expenses are incurred (it being understood, however, that the indemnifying party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(d)        Each Underwriter agrees, severally and not jointly, to indemnify and hold harmless the Selling Unitholder, the Partnership, GP LLC’s directors and the officers who sign the Registration Statement, and any person who controls the Partnership within the meaning of Section 15 of the Securities Act or Section 20 of the Exchange Act, to the same extent as the foregoing indemnity from the Selling Unitholder and the Partnership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Section 14.  If any action, suit or proceeding shall be brought against the Selling Unitholder, the Partnership, any of such directors and officers or any such controlling</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3" w:name="PGBRK37"/>
      <w:bookmarkStart w:id="344" w:name="PGBRK37"/>
      <w:bookmarkEnd w:id="3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5" w:name="FTR37"/>
      <w:bookmarkStart w:id="346" w:name="FTR37"/>
      <w:bookmarkEnd w:id="3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7" w:name="GLFTR37"/>
      <w:bookmarkEnd w:id="3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348" w:name="PN37"/>
      <w:bookmarkEnd w:id="348"/>
      <w:r>
        <w:rPr>
          <w:rFonts w:ascii="Times New Roman;serif" w:hAnsi="Times New Roman;serif"/>
          <w:sz w:val="22"/>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9" w:name="HDR37"/>
      <w:bookmarkStart w:id="350" w:name="HDR37"/>
      <w:bookmarkEnd w:id="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1" w:name="GLHDR37"/>
      <w:bookmarkEnd w:id="3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paragraph (d), such Underwriter shall have the rights and duties given to the Partnership by paragraph (c) above (except that if the Selling Unitholder or the Partnership shall have assumed the defense thereof such Underwriter shall not be required to do so, but may employ separate counsel therein and participate in (but not control) the defense thereof, but the fees and expenses of such counsel shall be at such Underwriter’s expense), and the Selling Unitholder, the Partnership, any of such directors and officers and any such controlling person shall have the rights and duties given to the Underwriters by paragraph (c) above.  The foregoing indemnity agreement shall be in addition to any liability that the Underwriters may otherwise have.</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(e)        If the indemnification provided for in this Section 8 is unavailable to an indemnified party under paragraph (a), (b) or (d)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Selling Unitholder and the Partnership on the one hand and the Underwriters on the other hand from the offering of the Units, or (ii) if the allocation provided by clause (i) above is not permitted by applicable law, in such proportion as is appropriate to reflect not only the relative benefits referred to in clause (i) above but also the relative fault of the Selling Unitholder and the Partnership on the one hand and the Underwriters on the other in connection with the statements or omissions that resulted in such losses, claims, damages, liabilities or expenses, as well as any other relevant equitable considerations.  The relative benefits received by the Selling Unitholder and the Partnership on the one hand and the Underwriters on the other shall be deemed to be in the same proportion as the total net proceeds from the offering (before deducting expenses) received by the Selling Unitholder bear to the total underwriting discounts and commissions received by the Underwriters, in each case as set forth in the table on the cover page of the Prospectus.  The relative fault of the Selling Unitholder and the Partnership on the one hand and the Underwriters on the other hand shall be determined by reference to, among other things, whether the untrue or alleged untrue statement of a material fact or the omission or alleged omission to state a material fact relates to information supplied by the Selling Unitholder and the Partnership or any affiliate of the Selling Unitholder and the Partnership on the one hand, or by the Underwriters on the other hand, and the parties’ relative intent, knowledge, access to information and opportunity to correct or prevent such statement or omission.</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(f)         The Selling Unitholder, the Partnership and the Underwriters agree that it would not be just and equitable if contribution pursuant to this Section 8 were determined by a pro rata allocation (even if the Underwriters were treated as one entity for such purpose) or by any other method of allocation that does not take account of the equitable considerations referred to in paragraph (e) above.  The amount paid or payable by an indemnified party as a result of the losses, claims, damages, liabilities and expenses referred to in paragraph (e)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8,</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2" w:name="PGBRK38"/>
      <w:bookmarkStart w:id="353" w:name="PGBRK38"/>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4" w:name="FTR38"/>
      <w:bookmarkStart w:id="355" w:name="FTR38"/>
      <w:bookmarkEnd w:id="3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6" w:name="GLFTR38"/>
      <w:bookmarkEnd w:id="3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357" w:name="PN38"/>
      <w:bookmarkEnd w:id="357"/>
      <w:r>
        <w:rPr>
          <w:rFonts w:ascii="Times New Roman;serif" w:hAnsi="Times New Roman;serif"/>
          <w:sz w:val="22"/>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8" w:name="HDR38"/>
      <w:bookmarkStart w:id="359" w:name="HDR38"/>
      <w:bookmarkEnd w:id="3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0" w:name="GLHDR38"/>
      <w:bookmarkEnd w:id="3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no Underwriter shall be required to contribute any amount in excess of the amount by which the total price of the Units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8 are several and not joint.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(g)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(h)        Any losses, claims, damages, liabilities or expenses for which an indemnified party is entitled to indemnification or contribution under this Section 8 shall be paid by the indemnifying party to the indemnified party as such losses, claims, damages, liabilities or expenses are incurred.  The indemnity and contribution agreements contained in this Section 8 and the covenants, representations and warranties of the Selling Unitholder and the Partnership set forth in this Agreement shall remain operative and in full force and effect, regardless of (i) any investigation made by or on behalf of any Underwriter or any person controlling any Underwriter, the Selling Unitholder, the Partnership or any of GP LLC’s directors or officers or any person controlling the Partnership, (ii) acceptance of any Units and payment therefor in accordance with the terms of this Agreement, and (iii) any termination of this Agreement.  A successor to any Underwriter or any person controlling any Underwriter, or to the Selling Unitholder, the Partnership or any of GP LLC’s directors or officers or any person controlling the Partnership shall be entitled to the benefits of the indemnity, contribution and reimbursement agreements contained in this Section 8.</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9.         </w:t>
      </w:r>
      <w:r>
        <w:rPr>
          <w:rFonts w:ascii="Times New Roman;serif" w:hAnsi="Times New Roman;serif"/>
          <w:sz w:val="24"/>
          <w:u w:val="single"/>
        </w:rPr>
        <w:t>Conditions to the Obligations of the Underwriters</w:t>
      </w:r>
      <w:r>
        <w:rPr>
          <w:rFonts w:ascii="Times New Roman;serif" w:hAnsi="Times New Roman;serif"/>
          <w:sz w:val="24"/>
        </w:rPr>
        <w:t>.  The several obligations of the Underwriters to purchase the Firm Units and the Option Units, as the case may be, hereunder are subject to the following conditions: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(a)        All filings required by Rule 424 and Rule 430B of the Rules and Regulations shall have been made.  All material required to be filed by the Partnership pursuant to Rule 433(d) under the Securities Act shall have been filed with the Commission within the applicable time period prescribed for such filing by Rule 433 under the Securities Act.  No stop order (i) suspending the effectiveness of the Registration Statement or (ii) suspending or preventing the use of the most recent Preliminary Prospectus, the Prospectus or any Issuer Free</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1" w:name="PGBRK39"/>
      <w:bookmarkStart w:id="362" w:name="PGBRK39"/>
      <w:bookmarkEnd w:id="3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3" w:name="FTR39"/>
      <w:bookmarkStart w:id="364" w:name="FTR39"/>
      <w:bookmarkEnd w:id="3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5" w:name="GLFTR39"/>
      <w:bookmarkEnd w:id="3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366" w:name="PN39"/>
      <w:bookmarkEnd w:id="366"/>
      <w:r>
        <w:rPr>
          <w:rFonts w:ascii="Times New Roman;serif" w:hAnsi="Times New Roman;serif"/>
          <w:sz w:val="22"/>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7" w:name="HDR39"/>
      <w:bookmarkStart w:id="368" w:name="HDR39"/>
      <w:bookmarkEnd w:id="3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9" w:name="GLHDR39"/>
      <w:bookmarkEnd w:id="3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Writing Prospectus shall have been issued and no proceeding for that purpose shall have been instituted or, to the knowledge of the Partnership or any Underwriter, threatened by the Commission, and any request of the Commission for additional information (to be included in the Registration Statement or the Prospectus or otherwise) shall have been complied with to the reasonable satisfaction of the Representatives.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(b)        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Units, or (ii) any event or development relating to or involving any of the Plains Entities or any executive officer or director of any of such entities that makes any statement made in the Prospectus untrue or which, in the opinion of the Partnership and its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Units.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(c)        The Representatives shall have received on each applicable Delivery Date, an opinion of Vinson &amp; Elkins L.L.P., counsel for the Partnership, dated the applicable Delivery Date and addressed to the Underwriters, to the effect that:</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(i)           Each of the Partnership, the GP Entities and the Domestic Subsidiaries has been duly formed or incorporated and is validly existing in good standing as a limited partnership, limited liability company or corporation under the laws of its respective jurisdiction of formation or incorporation with full corporate, limited partnership or limited liability company power and authority, as the case may be, to own or lease its properties and to conduct its business, in each case in all material respects.</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(ii)           Each Domestic Subsidiary or GP Entity that serves as a general partner of another Domestic Subsidiary or GP Entity has full corporate or limited liability company power and authority, as the case may be, to serve as general partner of such Domestic Subsidiary or GP Entity, in each case in all material respects.</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(iii)           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(iv)           All of the outstanding shares of capital stock or other equity interests (other than general partner interests) of each Domestic Subsidiary (a) have been duly authorized and validly issued (in the case of an interest in a limited partnership or limited liability company, in accordance with the Organizational Documents of such</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0" w:name="PGBRK40"/>
      <w:bookmarkStart w:id="371" w:name="PGBRK40"/>
      <w:bookmarkEnd w:id="3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2" w:name="FTR40"/>
      <w:bookmarkStart w:id="373" w:name="FTR40"/>
      <w:bookmarkEnd w:id="3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4" w:name="GLFTR40"/>
      <w:bookmarkEnd w:id="3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375" w:name="PN40"/>
      <w:bookmarkEnd w:id="375"/>
      <w:r>
        <w:rPr>
          <w:rFonts w:ascii="Times New Roman;serif" w:hAnsi="Times New Roman;serif"/>
          <w:sz w:val="22"/>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6" w:name="HDR40"/>
      <w:bookmarkStart w:id="377" w:name="HDR40"/>
      <w:bookmarkEnd w:id="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8" w:name="GLHDR40"/>
      <w:bookmarkEnd w:id="3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720" w:right="0" w:hanging="0"/>
        <w:jc w:val="both"/>
        <w:rPr>
          <w:rFonts w:ascii="Times New Roman;serif" w:hAnsi="Times New Roman;serif"/>
          <w:sz w:val="24"/>
        </w:rPr>
      </w:pPr>
      <w:r>
        <w:rPr>
          <w:rFonts w:ascii="Times New Roman;serif" w:hAnsi="Times New Roman;serif"/>
          <w:sz w:val="24"/>
        </w:rPr>
        <w:t>Domestic Subsidiary), are fully paid (in the case of an interest in a limited partnership or limited liability company, to the extent required under the Organizational Documents of such Domestic Subsidiary) and nonassessable (except (i) in the case of an interest in a Delaware limited partnership or Delaware limited liability company, as such nonassessability may be affected by Sections 17-607 and 17-804 of the Delaware LP Act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except for the portion of the limited partnership interest in PNG held by public investors, are owned, directly or indirectly, by the Partnership, free and clear of all Liens (A) in respect of which a financing statement under the Uniform Commercial Code of the States of Delaware or Texas naming the Partnership as debtor or, in the case of capital stock or other equity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corporate, limited liability company or partnership laws of the jurisdiction of formation or incorporation of the respective Domestic Subsidiary, as the case may be.</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(v)           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Domestic Subsidiary, as the case may be.</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(vi)          The Firm Units (and/or Options Units, as applicable) to be sold to the Underwriters by the Selling Unitholder pursuant to this Agreement and the limited partner interests represented thereby have been duly authorized by the Partnership Agreement and are validly issued, fully paid (to the extent required under the Partnership Agreement) and nonassessable (except as such nonassessability may be affected by Sections 17-607 and 17-804 of the Delaware LP Act).</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(vii)          Except as have been waived or satisfied, there are no preemptive rights or other rights to subscribe for or to purchase, nor any restriction upon the voting or transfer of, any interests in the Partnership pursuant to the Organizational Documents of the Partnership or any of the Incorporated Documents to which the Partnership is a party or by which the Partnership may be bound.  Neither the filing of the Registration Statement nor the offering or sale of the Units as contemplated by this Agreement gives</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9" w:name="PGBRK41"/>
      <w:bookmarkStart w:id="380" w:name="PGBRK41"/>
      <w:bookmarkEnd w:id="3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1" w:name="FTR41"/>
      <w:bookmarkStart w:id="382" w:name="FTR41"/>
      <w:bookmarkEnd w:id="3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3" w:name="GLFTR41"/>
      <w:bookmarkEnd w:id="3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384" w:name="PN41"/>
      <w:bookmarkEnd w:id="384"/>
      <w:r>
        <w:rPr>
          <w:rFonts w:ascii="Times New Roman;serif" w:hAnsi="Times New Roman;serif"/>
          <w:sz w:val="22"/>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5" w:name="HDR41"/>
      <w:bookmarkStart w:id="386" w:name="HDR41"/>
      <w:bookmarkEnd w:id="3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7" w:name="GLHDR41"/>
      <w:bookmarkEnd w:id="3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720" w:right="0" w:hanging="0"/>
        <w:jc w:val="both"/>
        <w:rPr>
          <w:rFonts w:ascii="Times New Roman;serif" w:hAnsi="Times New Roman;serif"/>
          <w:sz w:val="24"/>
        </w:rPr>
      </w:pPr>
      <w:r>
        <w:rPr>
          <w:rFonts w:ascii="Times New Roman;serif" w:hAnsi="Times New Roman;serif"/>
          <w:sz w:val="24"/>
        </w:rPr>
        <w:t>rise to any rights for or relating to the registration of any Units or other securities of the Partnership pursuant to any of the documents or agreements included as exhibits to any of the Incorporated Documents, except such rights as have been waived or satisfied.</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(viii)         The Partnership has all requisite power and authority to enter into this Agreement and to consummate the transactions contemplated hereby.</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(ix)           This Agreement has been duly authorized and validly executed and delivered by the Partnership.</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(x)           At or before each applicable Delivery Date, the partnership agreement or limited liability company agreement, as applicable, of each of the Partnership, the Domestic Subsidiaries and the GP Entities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(xi)          None of the offering and sale by the Selling Unitholder of the Units, the execution, delivery and performance of this Agreement by the Partnership or the consummation of the transactions contemplated by this Agreement (A) constitutes or will constitute a violation of the Organizational Documents of the Partnership or any of the Domestic Subsidiaries or the GP Entities, (B)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any Incorporated Document, the Credit Agreement dated January 3, 2008 (as amended, the “</w:t>
      </w:r>
      <w:r>
        <w:rPr>
          <w:rFonts w:ascii="Times New Roman;serif" w:hAnsi="Times New Roman;serif"/>
          <w:b/>
          <w:sz w:val="24"/>
        </w:rPr>
        <w:t>Plains AAP Facility</w:t>
      </w:r>
      <w:r>
        <w:rPr>
          <w:rFonts w:ascii="Times New Roman;serif" w:hAnsi="Times New Roman;serif"/>
          <w:sz w:val="24"/>
        </w:rPr>
        <w:t>”), by and among Plains AAP, the lenders party thereto and Citibank, N.A., as Administrative Agent or the PNG Facility, (C) results or will result in any violation of the Delaware LP Act, the Delaware LLC Act, the Delaware General Corporation Law (the “</w:t>
      </w:r>
      <w:r>
        <w:rPr>
          <w:rFonts w:ascii="Times New Roman;serif" w:hAnsi="Times New Roman;serif"/>
          <w:b/>
          <w:sz w:val="24"/>
        </w:rPr>
        <w:t>DGCL</w:t>
      </w:r>
      <w:r>
        <w:rPr>
          <w:rFonts w:ascii="Times New Roman;serif" w:hAnsi="Times New Roman;serif"/>
          <w:sz w:val="24"/>
        </w:rPr>
        <w:t>”), the laws of the State of Texas or federal law, or (D) results or will result in the creation or imposition of any Lien upon any property or assets of any of the Partnership, the Domestic Subsidiaries or the GP Entities, which conflicts, breaches, violations or defaults in the case of clauses (B), (C) or (D) would reasonably be expected to have a Material Adverse Effect or materially impair the ability of the Partnership to consummate the transactions contemplated by this Agreement, it being understood that such counsel need not express an opinion in clause (C) of this paragraph (xi) with respect to any securities or other anti-fraud law.</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(xii)          No consent, approval, authorization, filing with or order of any federal, Delaware or Texas court, governmental agency or body having jurisdiction over the Partnership, the GP Entities the Domestic Subsidiaries or any of their respective</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8" w:name="PGBRK42"/>
      <w:bookmarkStart w:id="389" w:name="PGBRK42"/>
      <w:bookmarkEnd w:id="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0" w:name="FTR42"/>
      <w:bookmarkStart w:id="391" w:name="FTR42"/>
      <w:bookmarkEnd w:id="3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2" w:name="GLFTR42"/>
      <w:bookmarkEnd w:id="3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393" w:name="PN42"/>
      <w:bookmarkEnd w:id="393"/>
      <w:r>
        <w:rPr>
          <w:rFonts w:ascii="Times New Roman;serif" w:hAnsi="Times New Roman;serif"/>
          <w:sz w:val="22"/>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4" w:name="HDR42"/>
      <w:bookmarkStart w:id="395" w:name="HDR42"/>
      <w:bookmarkEnd w:id="3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6" w:name="GLHDR42"/>
      <w:bookmarkEnd w:id="3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720" w:right="0" w:hanging="0"/>
        <w:jc w:val="both"/>
        <w:rPr>
          <w:rFonts w:ascii="Times New Roman;serif" w:hAnsi="Times New Roman;serif"/>
          <w:sz w:val="24"/>
        </w:rPr>
      </w:pPr>
      <w:r>
        <w:rPr>
          <w:rFonts w:ascii="Times New Roman;serif" w:hAnsi="Times New Roman;serif"/>
          <w:sz w:val="24"/>
        </w:rPr>
        <w:t>properties is required in connection with the transactions contemplated by this Agreement, the execution, delivery and performance of this Agreement by the Partnership and the consummation of the transactions contemplated by this Agreement, except (A) such as may be required under the blue sky laws of any jurisdiction or the by-laws and rules of FINRA in connection with the purchase and distribution by the Underwriters of the Units in the manner contemplated herein and in the Pricing Disclosure Package and the Prospectus (as to which such counsel need not express any opinion), (B) such that the failure to obtain would not reasonably be expected to have a Material Adverse Effect or materially impair the ability of the Partnership to consummate the transactions contemplated by this Agreement and (C) such other that have been obtained or taken and are in full force and effect.</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(xiii)         The statements in the Registration Statement, the Pricing Disclosure Package and the Prospectus under the captions “Description of Our Common Units,” “Cash Distribution Policy” and “Description of Our Partnership Agreement,” insofar as they constitute descriptions of agreements or refer to statements of law or legal conclusions, are accurate in all material respects, and the Units, the Common Units and the Incentive Distribution Rights conform in all material respects to the descriptions thereof contained in the Registration Statement, the Pricing Disclosure Package and the Prospectus.</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(xiv)         The opinion of Vinson &amp; Elkins L.L.P. that is filed as Exhibit 8.1 to the Registration Statement is confirmed and the Underwriters may rely upon such opinion as if it were addressed to them.</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(xv)         The Registration Statement was declared effective under the Securities Act on December 11, 2008; to the knowledge of such counsel, no stop order suspending the effectiveness of the Registration Statement has been issued and no proceedings for that purpose have been instituted or threatened by the Commission; and any required filing of the Prospectus pursuant to Rule 424(b) has been made in the manner and within the time period required by such Rule.</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(xvi)         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comply as to form in all material respects with the requirements of the Securities Act and the Exchange Act and the rules and regulations promulgated thereunder.</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(xvii)        None of the Plains Entities is now, and after sale of the Units to be sold by the Selling Unitholder hereunder and application of the net proceeds from such sale as described in the Pricing Disclosure Package and the Prospectus under the caption “Use of Proceeds,” none of the Plains Entities will be, an “investment company” as such term is defined in the Investment Company Act.</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7" w:name="PGBRK43"/>
      <w:bookmarkStart w:id="398" w:name="PGBRK43"/>
      <w:bookmarkEnd w:id="3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9" w:name="FTR43"/>
      <w:bookmarkStart w:id="400" w:name="FTR43"/>
      <w:bookmarkEnd w:id="4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1" w:name="GLFTR43"/>
      <w:bookmarkEnd w:id="4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402" w:name="PN43"/>
      <w:bookmarkEnd w:id="402"/>
      <w:r>
        <w:rPr>
          <w:rFonts w:ascii="Times New Roman;serif" w:hAnsi="Times New Roman;serif"/>
          <w:sz w:val="22"/>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3" w:name="HDR43"/>
      <w:bookmarkStart w:id="404" w:name="HDR43"/>
      <w:bookmarkEnd w:id="4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5" w:name="GLHDR43"/>
      <w:bookmarkEnd w:id="4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In addition, such counsel shall state that they have participated in conferences with officers and other representatives of the Selling Unitholder, GP LLC, the Partnership and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opinion (xiii above)), on the basis of the foregoing, no facts have come to the attention of such counsel that lead them to believe that: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(A)        the Registration Statement, as of the most recent Effective Date, contained an untrue statement of a material fact or omitted to state a material fact required to be stated therein or necessary to make the statements therein not misleading;</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(B)        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(C)        the Prospectus, as of its date and as of each applicable Delivery Date, included or includes an untrue statement of a material fact or omitted or omits to state a material fact necessary in order to make the statements therein, in the light of the circumstances under which they were made, not misleading,</w:t>
      </w:r>
    </w:p>
    <w:p>
      <w:pPr>
        <w:pStyle w:val="TextBody"/>
        <w:spacing w:before="0" w:after="0"/>
        <w:ind w:left="0" w:right="0" w:hanging="0"/>
        <w:jc w:val="both"/>
        <w:rPr/>
      </w:pPr>
      <w:r>
        <w:rPr/>
        <w:t> </w:t>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In rendering such opinion, such counsel may (A) rely in respect of matters of fact upon certificates of officers and employees of GP LLC and the Partnership, to the extent they deem appropriate, and information obtained from public officials, (B) assume that all documents submitted to them as originals are authentic, that all copies submitted to them conform to the originals thereof, and that the signatures on all documents examined by them are genuine, (C) state that their opinion is limited to federal laws, the Delaware LP Act, the Delaware LLC Act, the DGCL and the laws of the State of Texas and (D) state that they express no opinion with respect to (i) any permits to own or operate any real or personal property or (ii) state or local taxes or tax statutes to which any of the limited partners of the Partnership or any of the Plains Entities may be subject.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(d)         The Representatives shall have received on each applicable Delivery Date an opinion of Tim Moore, general counsel for GP LLC, dated the applicable Delivery Date and addressed to the Underwriters, to the effect that:</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6" w:name="PGBRK44"/>
      <w:bookmarkStart w:id="407" w:name="PGBRK44"/>
      <w:bookmarkEnd w:id="4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8" w:name="FTR44"/>
      <w:bookmarkStart w:id="409" w:name="FTR44"/>
      <w:bookmarkEnd w:id="4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10" w:name="GLFTR44"/>
      <w:bookmarkEnd w:id="4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411" w:name="PN44"/>
      <w:bookmarkEnd w:id="411"/>
      <w:r>
        <w:rPr>
          <w:rFonts w:ascii="Times New Roman;serif" w:hAnsi="Times New Roman;serif"/>
          <w:sz w:val="22"/>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2" w:name="HDR44"/>
      <w:bookmarkStart w:id="413" w:name="HDR44"/>
      <w:bookmarkEnd w:id="4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4" w:name="GLHDR44"/>
      <w:bookmarkEnd w:id="4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(i)           None of the offering and sale by the Selling Unitholder of the Units, the execution, delivery and performance by the Partnership of this Agreement, the consummation of the transactions contemplated by this Agreement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the Partnership, any of the GP Entities or any of the Material Subsidiaries is a party or by which any one of them may be bound (other than any other document or agreement filed as an exhibit to the Registration Statement or an Incorporated Document, the Plains AAP Facility or the PNG Facility) or (B) violates or will violate any statute, law or regulation or any order, judgment, decree or injunction known to such counsel of any court or governmental agency or body directed to the Partnership, any of the GP Entities or any of the Material Subsidiaries or any of their respective properties in a proceeding to which any of them is a party, which would, in the case of either (A) or (B), reasonably be expected to have a Material Adverse Effect or materially impair the ability of the Partnership to consummate the transactions contemplated by this Agreement.</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(ii)           To the knowledge of such counsel, there is no legal or governmental proceeding pending or threatened to which the Partnership or any of the Subsidiaries is a party or to which any of their respective properties is subject that is required to be disclosed in the Pricing Disclosure Package or the Prospectus and is not so disclosed.</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(iii)           To the knowledge of such counsel, except as described in the Pricing Disclosure Package and the Prospectus or as have been issued pursuant to compensation plans adopted or administered by the General Partner, there are no outstanding options or warrants to purchase any Common Units or other equity interests in the Partnership.</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(iv)           To the knowledge of such counsel, there are no agreements, contracts or other documents to which the Partnership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In addition, such counsel shall state that he has participated in conferences with officers and other representatives of the Selling Unitholder, GP LLC and the Partnership and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on the basis of the foregoing, no facts have come to the attention of such counsel that lead him to believe that:</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5" w:name="PGBRK45"/>
      <w:bookmarkStart w:id="416" w:name="PGBRK45"/>
      <w:bookmarkEnd w:id="4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7" w:name="FTR45"/>
      <w:bookmarkStart w:id="418" w:name="FTR45"/>
      <w:bookmarkEnd w:id="4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19" w:name="GLFTR45"/>
      <w:bookmarkEnd w:id="4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420" w:name="PN45"/>
      <w:bookmarkEnd w:id="420"/>
      <w:r>
        <w:rPr>
          <w:rFonts w:ascii="Times New Roman;serif" w:hAnsi="Times New Roman;serif"/>
          <w:sz w:val="22"/>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1" w:name="HDR45"/>
      <w:bookmarkStart w:id="422" w:name="HDR45"/>
      <w:bookmarkEnd w:id="4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3" w:name="GLHDR45"/>
      <w:bookmarkEnd w:id="4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(A)        the Registration Statement, as of the most recent Effective Date, contained an untrue statement of a material fact or omitted to state a material fact required to be stated therein or necessary to make the statements therein not misleading;</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(B)        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(C)        the Prospectus, as of its date and as of each applicable Delivery Date, included or includes an untrue statement of a material fact or omitted or omits to state a material fact necessary in order to make the statements therein, in the light of the circumstances under which they were made, not misleading,</w:t>
      </w:r>
    </w:p>
    <w:p>
      <w:pPr>
        <w:pStyle w:val="TextBody"/>
        <w:spacing w:before="0" w:after="0"/>
        <w:ind w:left="0" w:right="0" w:hanging="0"/>
        <w:jc w:val="both"/>
        <w:rPr/>
      </w:pPr>
      <w:r>
        <w:rPr/>
        <w:t> </w:t>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or statistical information included or incorporated by reference in the Registration Statement, the Pricing Disclosure Package and the Prospectus.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In rendering such opinion, such counsel may (A) rely in respect of matters of fact upon certificates of officers and employees of GP LLC and the Partnership, to the extent he deems appropriate, and upon information obtained from public officials, (B) assume that all documents submitted to him as originals are authentic, that all copies submitted to him conform to the originals thereof, and that the signatures on all documents examined by him are genuine, (C) state that such opinions are limited to federal laws and the Delaware LP Act, the Delaware LLC Act, the DGCL and the laws of the State of Texas and (D) state that he expresses no opinion with respect to either federal or state securities laws in clause (B) of paragraph (i) above or state or local taxes or tax statutes.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(e)         The Representatives shall have received on each applicable Delivery Date, an opinion of Bennett Jones LLP with respect to the Province of Alberta and the federal laws of Canada, dated the Closing Date and addressed to the Underwriters, to the effect that:</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(i)           Plains Midstream Canada ULC, an Alberta Limited liability company (“Plains Midstream Canada”) has been duly amalgamated and is validly existing in good standing as an unlimited liability company under the laws of Alberta, with all necessary corporate power and authority to own or lease its properties, in all material respects as described in the Pricing Disclosure Package and the Prospectus, and to conduct its business as currently conducted and as proposed in the Pricing Disclosure Package and the Prospectus to be conducted.  Plains Midstream Canada is duly registered extraprovincially for the transaction of business and is in good standing under the laws of the province of British Columbia, Manitoba, Quebec, New Brunswick, Nova Scotia, Ontario and Saskatchewan.</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4" w:name="PGBRK46"/>
      <w:bookmarkStart w:id="425" w:name="PGBRK46"/>
      <w:bookmarkEnd w:id="4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6" w:name="FTR46"/>
      <w:bookmarkStart w:id="427" w:name="FTR46"/>
      <w:bookmarkEnd w:id="4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8" w:name="GLFTR46"/>
      <w:bookmarkEnd w:id="4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429" w:name="PN46"/>
      <w:bookmarkEnd w:id="429"/>
      <w:r>
        <w:rPr>
          <w:rFonts w:ascii="Times New Roman;serif" w:hAnsi="Times New Roman;serif"/>
          <w:sz w:val="22"/>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0" w:name="HDR46"/>
      <w:bookmarkStart w:id="431" w:name="HDR46"/>
      <w:bookmarkEnd w:id="4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2" w:name="GLHDR46"/>
      <w:bookmarkEnd w:id="4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(ii)           Plains Midstream Canada is the registered holder of 100% of the issued and outstanding capital stock of Aurora Pipeline Company Ltd., a corporation incorporated under the laws of Canada (“Aurora”); such share capital has been duly authorized and validly issued in accordance with the Aurora Memorandum and Articles of Association, as fully paid and nonassessable shares (except as such nonassessability may be affected by the laws of the Province of Alberta).</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(iii)          Plains Marketing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Alberta).</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(iv)          No permit, consent, approval, authorization, order, registration, filing or qualification of or with any court, governmental agency or body of the federal government of Canada or the Province of Alberta is required for the offering and sale by the Selling Unitholder of the Units.</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(v)           None of the offering and sale by the Selling Unitholder of the Units, the execution, delivery and performance of this Agreement by the Partnership or the consummation of the transactions contemplated hereby constitutes or will constitute a violation of the certificate or Articles of Amalgamation, bylaws or other organizational documents of Plains Midstream Canada, or any statute, law or regulation of Canada or the Province of Alberta or, to the knowledge of such counsel, any order, judgment, decree or injunction of any court or governmental agency or body of Canada or the Province of Alberta directed to Plains Midstream Canada or its properties in a proceeding to which Plains Midstream Canada or its property is a party.</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(vi)          To the knowledge of such counsel, Plains Midstream Canada has such Permits issued by the appropriate federal, provincial or regulatory authorities as are necessary to own or lease its properties and to conduct its business as currently conducted and as proposed in the Pricing Disclosure Package and the Prospectus to be conducted, subject to such qualifications as may be set forth in the Pricing Disclosure Package and the Prospectus, and except for such Permits which, if not obtained would not reasonably be expected to, individually or in the aggregate, materially adversely affect the operations conducted by Plains Midstream Canada.</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In rendering such opinion, such counsel may (A) rely in respect of matters of fact upon certificates of officers and employees of GP LLC and the Partnership, to the extent they deem proper, and upon information obtained from public officials,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Alberta, excepting therefrom municipal and local ordinances and regulations and (D) state that</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3" w:name="PGBRK47"/>
      <w:bookmarkStart w:id="434" w:name="PGBRK47"/>
      <w:bookmarkEnd w:id="4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5" w:name="FTR47"/>
      <w:bookmarkStart w:id="436" w:name="FTR47"/>
      <w:bookmarkEnd w:id="4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37" w:name="GLFTR47"/>
      <w:bookmarkEnd w:id="4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438" w:name="PN47"/>
      <w:bookmarkEnd w:id="438"/>
      <w:r>
        <w:rPr>
          <w:rFonts w:ascii="Times New Roman;serif" w:hAnsi="Times New Roman;serif"/>
          <w:sz w:val="22"/>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9" w:name="HDR47"/>
      <w:bookmarkStart w:id="440" w:name="HDR47"/>
      <w:bookmarkEnd w:id="4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41" w:name="GLHDR47"/>
      <w:bookmarkEnd w:id="4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they express no opinion with respect to state or local taxes or tax statutes to which any of the limited partners of the Partnership or the Plains Entities may be subject.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(f)          The Representatives shall have received on each applicable Delivery Date, an opinion of Skadden, Arps, Slate, Meagher &amp; Flom LLP, counsel for the Selling Unitholder, date the applicable Delivery Date and addressed to the Underwriters, to the effect that:</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(i)           Based solely on such counsel’s review of the certificate of incorporation of the Selling Unitholder as filed with the Secretary of State of the State of Delaware, the Selling Unitholder is duly incorporated and is validly existing and in good standing under the DGCL.</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(ii)           The Selling Unitholder has the corporate power and authority to execute, deliver and perform all its obligations under the Underwriting Agreement under the DGCL.</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(iii)           The Underwriting Agreement has been duly authorized, executed and delivered by all requisite corporation action on the part of the Selling Unitholder under the DGCL.</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(iv)           Neither the execution and delivery by the Selling Unitholder of the Underwriting Agreement nor the consummation by the Selling Unitholder of the transactions contemplated thereby, including the sale of the Securities: (A) conflicts with the Organizational Documents of the Selling Unitholder, (B) contravenes any Scheduled Order, (C) constitutes a violation of, or a default under, any Scheduled Contract, (D) violates any law, rule or regulation of the State of New York or the United States of America or (E) requires the consent, approval, licensing or authorization of, or any filing, recording or registration with, any governmental authority under any law, rule or regulation of the State of New York or the United States of America except for those consents, approvals, licenses and authorizations already obtained and those filings, recordings and registrations already made.</w:t>
      </w:r>
    </w:p>
    <w:p>
      <w:pPr>
        <w:pStyle w:val="TextBody"/>
        <w:spacing w:before="0" w:after="0"/>
        <w:ind w:left="0" w:right="0" w:hanging="0"/>
        <w:jc w:val="both"/>
        <w:rPr/>
      </w:pPr>
      <w:r>
        <w:rPr/>
        <w:t> </w:t>
      </w:r>
    </w:p>
    <w:p>
      <w:pPr>
        <w:pStyle w:val="TextBody"/>
        <w:spacing w:before="0" w:after="0"/>
        <w:ind w:left="720" w:right="0" w:firstLine="1440"/>
        <w:jc w:val="both"/>
        <w:rPr>
          <w:rFonts w:ascii="Times New Roman;serif" w:hAnsi="Times New Roman;serif"/>
          <w:sz w:val="24"/>
        </w:rPr>
      </w:pPr>
      <w:r>
        <w:rPr>
          <w:rFonts w:ascii="Times New Roman;serif" w:hAnsi="Times New Roman;serif"/>
          <w:sz w:val="24"/>
        </w:rPr>
        <w:t>(v)           An action based on an adverse claim to the financial assets consisting of the Units held by DTC, whether such action is framed in conversion, replevin, constructive trust, equitable lien, or other theory, may not be successfully asserted against Citigroup Global Markets Inc., assuming that Citigroup Global Markets Inc. acquires security entitlements with respect to such Units from DTC and neither  Citigroup Global Markets Inc. nor any other Underwriter has notice of any adverse claims with respect to such financial assets.</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2" w:name="PGBRK48"/>
      <w:bookmarkStart w:id="443" w:name="PGBRK48"/>
      <w:bookmarkEnd w:id="4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4" w:name="FTR48"/>
      <w:bookmarkStart w:id="445" w:name="FTR48"/>
      <w:bookmarkEnd w:id="4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46" w:name="GLFTR48"/>
      <w:bookmarkEnd w:id="4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447" w:name="PN48"/>
      <w:bookmarkEnd w:id="447"/>
      <w:r>
        <w:rPr>
          <w:rFonts w:ascii="Times New Roman;serif" w:hAnsi="Times New Roman;serif"/>
          <w:sz w:val="22"/>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8" w:name="HDR48"/>
      <w:bookmarkStart w:id="449" w:name="HDR48"/>
      <w:bookmarkEnd w:id="4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50" w:name="GLHDR48"/>
      <w:bookmarkEnd w:id="4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In rendering such opinion, such counsel may among such other assumptions and limitations as may be agreed (A) rely in respect of matters of fact upon certificates of officers and employees of the Selling Unitholder, to the extent they deem appropriate, and information obtained from public officials, (B) assume that all documents submitted to them as originals are authentic, that all copies submitted to them conform to the originals thereof, and that the signatures on all documents examined by them are genuine and (C) state that their opinion is limited to federal laws, the DGCL and the laws of the State of New York.</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(g)         The Representatives shall have received on each applicable Delivery Date an opinion of Baker Botts L.L.P., counsel for the Underwriters, dated the applicable Delivery Date and addressed to the Underwriters, with respect to the offering, issuance and sale of the Units, the Registration Statement, the Pricing Disclosure Package, the Prospectus (together with any amendment or supplement thereto) and other related matters the Underwriters may reasonably require.</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(h)         At the time of the execution of this Agreement, the Representatives shall have received from PricewaterhouseCoopers LLP, independent public accountants, letters dated such date, in form and substance satisfactory to the Representatives, together with signed or reproduced copies of such letters for each of the other Underwriters, containing statements and information of the type ordinarily included in accountants’ “comfort letters” to underwriters with respect to the financial statements and certain financial information contained in the Registration Statement, the Pricing Disclosure Package and the Prospectus; provided that the cut-off date for the procedures performed by such accountants and described in such letters shall be a date not more than five days prior to the date of such letter.</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(i)          On each applicable the Delivery Date, the Representatives shall have received from PricewaterhouseCoopers LLP a letter, dated as of each such Delivery Date, to the effect that they reaffirm the statements made in the letter furnished pursuant to paragraph (h) of this Section 9, except that the date referred to in the proviso in Section 9(h) hereof shall be a date not more than three business days prior to each such Delivery Date.</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(j)          The Partnership shall have furnished to the Representatives at each applicable Delivery Date a certificate of the Partnership, signed on behalf of the Partnership by the President or any Vice President and the Chief Financial Officer of GP LLC, dated the applicable Delivery Date, to the effect that the signers of such certificate have examined the Registration Statement, the Pricing Disclosure Package, the Prospectus and any amendment or supplement thereto, and this Agreement and that:</w:t>
      </w:r>
    </w:p>
    <w:p>
      <w:pPr>
        <w:pStyle w:val="TextBody"/>
        <w:spacing w:before="0" w:after="0"/>
        <w:ind w:left="0" w:right="0" w:hanging="0"/>
        <w:jc w:val="both"/>
        <w:rPr/>
      </w:pPr>
      <w:r>
        <w:rPr/>
        <w:t> </w:t>
      </w:r>
    </w:p>
    <w:p>
      <w:pPr>
        <w:pStyle w:val="TextBody"/>
        <w:spacing w:before="0" w:after="0"/>
        <w:ind w:left="1440" w:right="0" w:hanging="0"/>
        <w:jc w:val="both"/>
        <w:rPr>
          <w:rFonts w:ascii="Times New Roman;serif" w:hAnsi="Times New Roman;serif"/>
          <w:sz w:val="24"/>
        </w:rPr>
      </w:pPr>
      <w:r>
        <w:rPr>
          <w:rFonts w:ascii="Times New Roman;serif" w:hAnsi="Times New Roman;serif"/>
          <w:sz w:val="24"/>
        </w:rPr>
        <w:t>(A)        the representations and warranties of the Partnership in this Agreement are true and correct on and as of the applicable Delivery Date with the same effect as if made on the applicable Delivery Date and the Partnership has complied in all material respects with all the agreements and satisfied all the conditions on its part to be performed or satisfied at or prior to the applicable Delivery Date;</w:t>
      </w:r>
    </w:p>
    <w:p>
      <w:pPr>
        <w:pStyle w:val="TextBody"/>
        <w:spacing w:before="0" w:after="0"/>
        <w:ind w:left="0" w:right="0" w:hanging="0"/>
        <w:jc w:val="both"/>
        <w:rPr/>
      </w:pPr>
      <w:r>
        <w:rPr/>
        <w:t> </w:t>
      </w:r>
    </w:p>
    <w:p>
      <w:pPr>
        <w:pStyle w:val="TextBody"/>
        <w:spacing w:before="0" w:after="0"/>
        <w:ind w:left="1440" w:right="0" w:hanging="0"/>
        <w:jc w:val="both"/>
        <w:rPr>
          <w:rFonts w:ascii="Times New Roman;serif" w:hAnsi="Times New Roman;serif"/>
          <w:sz w:val="24"/>
        </w:rPr>
      </w:pPr>
      <w:r>
        <w:rPr>
          <w:rFonts w:ascii="Times New Roman;serif" w:hAnsi="Times New Roman;serif"/>
          <w:sz w:val="24"/>
        </w:rPr>
        <w:t>(B)        no stop order suspending the effectiveness of the Registration Statement or any notice objecting to its use has been issued and no proceedings for that purpose have been instituted or, to the Partnership’s knowledge, threatened; and</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1" w:name="PGBRK49"/>
      <w:bookmarkStart w:id="452" w:name="PGBRK49"/>
      <w:bookmarkEnd w:id="4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3" w:name="FTR49"/>
      <w:bookmarkStart w:id="454" w:name="FTR49"/>
      <w:bookmarkEnd w:id="4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5" w:name="GLFTR49"/>
      <w:bookmarkEnd w:id="4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456" w:name="PN49"/>
      <w:bookmarkEnd w:id="456"/>
      <w:r>
        <w:rPr>
          <w:rFonts w:ascii="Times New Roman;serif" w:hAnsi="Times New Roman;serif"/>
          <w:sz w:val="22"/>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7" w:name="HDR49"/>
      <w:bookmarkStart w:id="458" w:name="HDR49"/>
      <w:bookmarkEnd w:id="4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59" w:name="GLHDR49"/>
      <w:bookmarkEnd w:id="4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1440" w:right="0" w:hanging="0"/>
        <w:jc w:val="both"/>
        <w:rPr>
          <w:rFonts w:ascii="Times New Roman;serif" w:hAnsi="Times New Roman;serif"/>
          <w:sz w:val="24"/>
        </w:rPr>
      </w:pPr>
      <w:r>
        <w:rPr>
          <w:rFonts w:ascii="Times New Roman;serif" w:hAnsi="Times New Roman;serif"/>
          <w:sz w:val="24"/>
        </w:rPr>
        <w:t>(C)        (i) the Registration Statement, as of the Effective Date, (ii) the Prospectus, as of its date and on the applicable Delivery Date, and (iii)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 xml:space="preserve">(k)        On or prior to the date hereof, the Partnership shall have furnished to the Underwriters a letter substantially in the form of </w:t>
      </w:r>
      <w:r>
        <w:rPr>
          <w:rFonts w:ascii="Times New Roman;serif" w:hAnsi="Times New Roman;serif"/>
          <w:sz w:val="24"/>
          <w:u w:val="single"/>
        </w:rPr>
        <w:t>Exhibit B</w:t>
      </w:r>
      <w:r>
        <w:rPr>
          <w:rFonts w:ascii="Times New Roman;serif" w:hAnsi="Times New Roman;serif"/>
          <w:sz w:val="24"/>
        </w:rPr>
        <w:t xml:space="preserve"> hereto from (i) each officer (as defined in Rule 16a-1(f) of the rules and regulations under the Exchange Act) of GP LLC and (ii) each director of GP LLC.</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 xml:space="preserve">(l)          At the time of the execution of this Agreement, the Representatives shall have received from the Partnership a certificate substantially in the form of </w:t>
      </w:r>
      <w:r>
        <w:rPr>
          <w:rFonts w:ascii="Times New Roman;serif" w:hAnsi="Times New Roman;serif"/>
          <w:sz w:val="24"/>
          <w:u w:val="single"/>
        </w:rPr>
        <w:t>Exhibit C</w:t>
      </w:r>
      <w:r>
        <w:rPr>
          <w:rFonts w:ascii="Times New Roman;serif" w:hAnsi="Times New Roman;serif"/>
          <w:sz w:val="24"/>
        </w:rPr>
        <w:t xml:space="preserve"> hereto and signed by the chief financial officer of the General Partner.</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(m)        The Selling Unitholder shall have furnished to the Representatives a certificate, signed by or on behalf of the Selling Unitholder, dated the Closing Date, to the effect that the signers of such certificate have examined the Registration Statement, the Pricing Disclosure Package, the Prospectus, any Issuer Free Writing Prospectus and any supplements or amendments thereto and this Agreement, and that the representations and warranties of the Selling Unitholder in this Agreement are true and correct in all material respects on and as of the Closing Date to the same effect as if made on the Closing Date.</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 xml:space="preserve">(n)         On or prior to the date hereof, the Selling Unitholder shall have furnished to the Underwriters a letter substantially in the form of </w:t>
      </w:r>
      <w:r>
        <w:rPr>
          <w:rFonts w:ascii="Times New Roman;serif" w:hAnsi="Times New Roman;serif"/>
          <w:sz w:val="24"/>
          <w:u w:val="single"/>
        </w:rPr>
        <w:t>Exhibit D</w:t>
      </w:r>
      <w:r>
        <w:rPr>
          <w:rFonts w:ascii="Times New Roman;serif" w:hAnsi="Times New Roman;serif"/>
          <w:sz w:val="24"/>
        </w:rPr>
        <w:t xml:space="preserve"> hereto from Vulcan Capital Private Equity I LLC and Vulcan Capital Private Equity II LLC.</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All such opinions, certificates, letters and other documents referred to in this Section 9 will be in compliance with the provisions hereof only if they are reasonably satisfactory in form and substance to the Representatives and counsel for the Underwriters.  The Selling Unitholder and the Partnership, as applicable, shall furnish to the Underwriters conformed copies of such opinions, certificates, letters and other documents in such number as they shall reasonably request.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The several obligations of the Underwriters to purchase Option Units hereunder are subject to the satisfaction on and as of any Option Units Delivery Date of the conditions set forth in this Section 9, except that, if any Option Units Delivery Date is other than the Initial Delivery Date, (i) the certificates, opinions and letters referred to in paragraphs (c) through (g), (i), (j) and (m) shall be dated the Option Units Delivery Date in question, (ii) the opinions called for by paragraphs (c) through (g), as applicable, shall be revised to reflect the sale of Option Units and (iii) any references in Section 9 to the Initial Delivery Date shall be deemed to be such Option Units Delivery Date.</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If any of the conditions specified in this Section 9 shall not have been fulfilled in all material respects when and as provided in this Agreement, or if any of the opinions and</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0" w:name="PGBRK50"/>
      <w:bookmarkStart w:id="461" w:name="PGBRK50"/>
      <w:bookmarkEnd w:id="4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2" w:name="FTR50"/>
      <w:bookmarkStart w:id="463" w:name="FTR50"/>
      <w:bookmarkEnd w:id="4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4" w:name="GLFTR50"/>
      <w:bookmarkEnd w:id="4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465" w:name="PN50"/>
      <w:bookmarkEnd w:id="465"/>
      <w:r>
        <w:rPr>
          <w:rFonts w:ascii="Times New Roman;serif" w:hAnsi="Times New Roman;serif"/>
          <w:sz w:val="22"/>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6" w:name="HDR50"/>
      <w:bookmarkStart w:id="467" w:name="HDR50"/>
      <w:bookmarkEnd w:id="4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8" w:name="GLHDR50"/>
      <w:bookmarkEnd w:id="4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applicable Delivery Date by the Underwriters.  Notice of such cancellation shall be given to the Partnership in writing or by telephone or facsimile confirmed in writing.</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10.        </w:t>
      </w:r>
      <w:r>
        <w:rPr>
          <w:rFonts w:ascii="Times New Roman;serif" w:hAnsi="Times New Roman;serif"/>
          <w:sz w:val="24"/>
          <w:u w:val="single"/>
        </w:rPr>
        <w:t>Expenses</w:t>
      </w:r>
      <w:r>
        <w:rPr>
          <w:rFonts w:ascii="Times New Roman;serif" w:hAnsi="Times New Roman;serif"/>
          <w:sz w:val="24"/>
        </w:rPr>
        <w: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(a)         </w:t>
      </w:r>
      <w:r>
        <w:rPr>
          <w:rFonts w:ascii="Times New Roman;serif" w:hAnsi="Times New Roman;serif"/>
          <w:i/>
          <w:sz w:val="24"/>
        </w:rPr>
        <w:t>Partnership Expenses.  </w:t>
      </w:r>
      <w:r>
        <w:rPr>
          <w:rFonts w:ascii="Times New Roman;serif" w:hAnsi="Times New Roman;serif"/>
          <w:sz w:val="24"/>
        </w:rPr>
        <w:t>The Partnership agrees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Units; (iii) the preparation, printing, authentication, issuance and delivery of certificates for the Units, including any stamp taxes in connection with the original issuance and sale of the Units; (iv) the printing (or reproduction) and delivery of this Agreement, the preliminary and supplemental Blue Sky Memoranda, and all other agreements or documents printed (or reproduced) and delivered in connection with the offering of the Units; (v) the registration of the Common Units under the Exchange Act and any applicable listing or other similar fees; (vi) the registration or qualification of the Units for offer and sale under the securities or Blue Sky laws of the several states as provided in Section 6(f) hereof (including the reasonable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or the Partnership in connection with presentations to prospective purchasers of the Units; and (ix) the fees and expenses of the Partnership’s accountants and the fees and expenses of counsel (including local and special counsel) for the Partnership.</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(b)         </w:t>
      </w:r>
      <w:r>
        <w:rPr>
          <w:rFonts w:ascii="Times New Roman;serif" w:hAnsi="Times New Roman;serif"/>
          <w:i/>
          <w:sz w:val="24"/>
        </w:rPr>
        <w:t>Selling Unitholder Expenses.</w:t>
      </w:r>
      <w:r>
        <w:rPr>
          <w:rFonts w:ascii="Times New Roman;serif" w:hAnsi="Times New Roman;serif"/>
          <w:sz w:val="24"/>
        </w:rPr>
        <w:t>  It is understood, however, that except as otherwise provided in this Agreement, the Selling Unitholder will pay all of its own costs and expenses, including the fees of its counsel.</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(c)         </w:t>
      </w:r>
      <w:r>
        <w:rPr>
          <w:rFonts w:ascii="Times New Roman;serif" w:hAnsi="Times New Roman;serif"/>
          <w:i/>
          <w:sz w:val="24"/>
        </w:rPr>
        <w:t>Underwriter Expenses.  </w:t>
      </w:r>
      <w:r>
        <w:rPr>
          <w:rFonts w:ascii="Times New Roman;serif" w:hAnsi="Times New Roman;serif"/>
          <w:sz w:val="24"/>
        </w:rPr>
        <w:t>It is understood, however, that except as otherwise provided in this Section 10 or Section 6(i) hereof, the Underwriters will pay all of their own costs and expenses, including the fees of their counsel, transfer taxes on any resale of the Units by any Underwriter, any advertising expenses connected with any offers they may make and the transportation and other expenses incurred by the Underwriters on their own behalf in connection with presentations to prospective purchasers of the Units.</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9" w:name="PGBRK51"/>
      <w:bookmarkStart w:id="470" w:name="PGBRK51"/>
      <w:bookmarkEnd w:id="4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1" w:name="FTR51"/>
      <w:bookmarkStart w:id="472" w:name="FTR51"/>
      <w:bookmarkEnd w:id="4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3" w:name="GLFTR51"/>
      <w:bookmarkEnd w:id="4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474" w:name="PN51"/>
      <w:bookmarkEnd w:id="474"/>
      <w:r>
        <w:rPr>
          <w:rFonts w:ascii="Times New Roman;serif" w:hAnsi="Times New Roman;serif"/>
          <w:sz w:val="22"/>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5" w:name="HDR51"/>
      <w:bookmarkStart w:id="476" w:name="HDR51"/>
      <w:bookmarkEnd w:id="4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7" w:name="GLHDR51"/>
      <w:bookmarkEnd w:id="4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11.        </w:t>
      </w:r>
      <w:r>
        <w:rPr>
          <w:rFonts w:ascii="Times New Roman;serif" w:hAnsi="Times New Roman;serif"/>
          <w:sz w:val="24"/>
          <w:u w:val="single"/>
        </w:rPr>
        <w:t>Default by an Underwriter</w:t>
      </w:r>
      <w:r>
        <w:rPr>
          <w:rFonts w:ascii="Times New Roman;serif" w:hAnsi="Times New Roman;serif"/>
          <w:sz w:val="24"/>
        </w:rPr>
        <w:t xml:space="preserve">.  If any one or more of the Underwriters shall fail or refuse to purchase Units that it or they are obligated to purchase hereunder on the Initial Delivery Date, and the aggregate number of Units that such defaulting Underwriter or Underwriters are obligated but fail or refuse to purchase is not more than one-tenth of the aggregate number of the Units that the Underwriters are obligated to purchase on the Initial Delivery Date, each non-defaulting Underwriter shall be obligated, severally, in the proportion that the number of Firm Units set forth opposite its name in </w:t>
      </w:r>
      <w:r>
        <w:rPr>
          <w:rFonts w:ascii="Times New Roman;serif" w:hAnsi="Times New Roman;serif"/>
          <w:sz w:val="24"/>
          <w:u w:val="single"/>
        </w:rPr>
        <w:t>Schedule I</w:t>
      </w:r>
      <w:r>
        <w:rPr>
          <w:rFonts w:ascii="Times New Roman;serif" w:hAnsi="Times New Roman;serif"/>
          <w:sz w:val="24"/>
        </w:rPr>
        <w:t xml:space="preserve"> hereto bears to the aggregate number of Firm Units set forth opposite the names of all non-defaulting Underwriters or in such other proportion as the Representatives may specify in accordance with the Agreement Among Underwriters of Citigroup Global Markets Inc. to purchase the Units that such defaulting Underwriter or Underwriters are obligated, but fail or refuse, to purchase.  If any one or more of the Underwriters shall fail or refuse to purchase Units that it or they are obligated to purchase on the Initial Delivery Date and the aggregate number of Units with respect to which such default occurs is more than one-tenth of the aggregate number of Units that the Underwriters are obligated to purchase on the Initial Delivery Date and arrangements satisfactory to the Representatives, the Selling Unitholder and the Partnership for the purchase of such Units by one or more non-defaulting Underwriters or other party or parties approved by the Representatives, the Selling Unitholder and the Partnership are not made within five business days after such default, this Agreement will terminate without liability on the part of any party hereto (other than the defaulting Underwriter).  In any such case that does not result in termination of this Agreement, any of the Representatives, the Selling Unitholder or the Partnership shall have the right to postpone the Initial Delivery Date, but in no event for longer than seven days, in order that the required changes, if any, in the Registration Statement and the Prospectus or any other documents or arrangements may be effected.  If any one or more of the Underwriters shall fail or refuse to purchase Option Units that it or they are obligated to purchase hereunder on the Option Units Delivery Date, each non-defaulting Underwriter shall be obligated, severally, in the proportion that the number of Firm Units set forth opposite its name in </w:t>
      </w:r>
      <w:r>
        <w:rPr>
          <w:rFonts w:ascii="Times New Roman;serif" w:hAnsi="Times New Roman;serif"/>
          <w:sz w:val="24"/>
          <w:u w:val="single"/>
        </w:rPr>
        <w:t>Schedule I</w:t>
      </w:r>
      <w:r>
        <w:rPr>
          <w:rFonts w:ascii="Times New Roman;serif" w:hAnsi="Times New Roman;serif"/>
          <w:sz w:val="24"/>
        </w:rPr>
        <w:t xml:space="preserve"> hereto bears to the aggregate number of Firm Units set forth opposite the names of all non-defaulting Underwriters or in such other proportion as the Representatives may specify in accordance with the Agreement Among Underwriters of Citigroup Global Markets Inc., to purchase the Option Units that such defaulting Underwriter or Underwriters are obligated, but fail or refuse, to purchase.  Any action taken under this paragraph shall not relieve any defaulting Underwriter from liability in respect of any such default of any such Underwriter under this Agreement.  The term “Underwriter” as used in this Agreement includes, for all purposes of this Agreement, any party not listed in </w:t>
      </w:r>
      <w:r>
        <w:rPr>
          <w:rFonts w:ascii="Times New Roman;serif" w:hAnsi="Times New Roman;serif"/>
          <w:sz w:val="24"/>
          <w:u w:val="single"/>
        </w:rPr>
        <w:t>Schedule I</w:t>
      </w:r>
      <w:r>
        <w:rPr>
          <w:rFonts w:ascii="Times New Roman;serif" w:hAnsi="Times New Roman;serif"/>
          <w:sz w:val="24"/>
        </w:rPr>
        <w:t xml:space="preserve"> hereto who, with the Representatives’ approval and the approval of the Selling Unitholder and the Partnership, purchases Units that a defaulting Underwriter is obligated, but fails or refuses, to purchase.</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Any notice under this Section 11 may be given by telegram, telecopy or telephone but shall be subsequently confirmed by letter.</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12.        </w:t>
      </w:r>
      <w:r>
        <w:rPr>
          <w:rFonts w:ascii="Times New Roman;serif" w:hAnsi="Times New Roman;serif"/>
          <w:sz w:val="24"/>
          <w:u w:val="single"/>
        </w:rPr>
        <w:t>Termination of Agreement</w:t>
      </w:r>
      <w:r>
        <w:rPr>
          <w:rFonts w:ascii="Times New Roman;serif" w:hAnsi="Times New Roman;serif"/>
          <w:sz w:val="24"/>
        </w:rPr>
        <w:t>.  This Agreement shall be subject to termination in the Representatives’ absolute discretion, without liability on the part of any Underwriters to the Selling Unitholder or the Partnership, by notice to the Selling Unitholder and the Partnership, if prior to the Initial Delivery Date or any Option Units Delivery Date (if different from the Initial Delivery Date and then only as to the Option Units), as the case may be, (i) trading in the Common Units shall have been suspended by the Commission or the NYSE or</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8" w:name="PGBRK52"/>
      <w:bookmarkStart w:id="479" w:name="PGBRK52"/>
      <w:bookmarkEnd w:id="4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0" w:name="FTR52"/>
      <w:bookmarkStart w:id="481" w:name="FTR52"/>
      <w:bookmarkEnd w:id="4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2" w:name="GLFTR52"/>
      <w:bookmarkEnd w:id="4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483" w:name="PN52"/>
      <w:bookmarkEnd w:id="483"/>
      <w:r>
        <w:rPr>
          <w:rFonts w:ascii="Times New Roman;serif" w:hAnsi="Times New Roman;serif"/>
          <w:sz w:val="22"/>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4" w:name="HDR52"/>
      <w:bookmarkStart w:id="485" w:name="HDR52"/>
      <w:bookmarkEnd w:id="4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6" w:name="GLHDR52"/>
      <w:bookmarkEnd w:id="4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trading in securities generally on the New York Stock Exchange, the American Stock Exchange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Units as contemplated by the Prospectus (exclusive of any amendment or supplement thereto).  Notice of such termination may be given to the Partnership by telegram, telecopy or telephone and shall be subsequently confirmed by letter.</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13.        </w:t>
      </w:r>
      <w:r>
        <w:rPr>
          <w:rFonts w:ascii="Times New Roman;serif" w:hAnsi="Times New Roman;serif"/>
          <w:sz w:val="24"/>
          <w:u w:val="single"/>
        </w:rPr>
        <w:t>Notice; Successors</w:t>
      </w:r>
      <w:r>
        <w:rPr>
          <w:rFonts w:ascii="Times New Roman;serif" w:hAnsi="Times New Roman;serif"/>
          <w:sz w:val="24"/>
        </w:rPr>
        <w:t>.  Except as otherwise provided in Sections 6, 11 and 12 hereof, all communications hereunder will be in writing and effective only on receipt, and, if sent to the Underwriters, will be mailed, delivered or telefaxed as follows: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(a)         if to the Representatives:</w:t>
      </w:r>
    </w:p>
    <w:p>
      <w:pPr>
        <w:pStyle w:val="TextBody"/>
        <w:spacing w:before="0" w:after="0"/>
        <w:ind w:left="0" w:right="0" w:hanging="0"/>
        <w:jc w:val="both"/>
        <w:rPr/>
      </w:pPr>
      <w:r>
        <w:rPr/>
        <w:t> </w:t>
      </w:r>
    </w:p>
    <w:p>
      <w:pPr>
        <w:pStyle w:val="TextBody"/>
        <w:spacing w:before="0" w:after="0"/>
        <w:ind w:left="2880" w:right="0" w:hanging="0"/>
        <w:jc w:val="both"/>
        <w:rPr>
          <w:rFonts w:ascii="Times New Roman;serif" w:hAnsi="Times New Roman;serif"/>
          <w:sz w:val="24"/>
        </w:rPr>
      </w:pPr>
      <w:r>
        <w:rPr>
          <w:rFonts w:ascii="Times New Roman;serif" w:hAnsi="Times New Roman;serif"/>
          <w:sz w:val="24"/>
        </w:rPr>
        <w:t>c/o Citigroup Global Markets Inc.</w:t>
      </w:r>
    </w:p>
    <w:p>
      <w:pPr>
        <w:pStyle w:val="TextBody"/>
        <w:spacing w:before="0" w:after="0"/>
        <w:ind w:left="2880" w:right="0" w:hanging="0"/>
        <w:jc w:val="both"/>
        <w:rPr>
          <w:rFonts w:ascii="Times New Roman;serif" w:hAnsi="Times New Roman;serif"/>
          <w:sz w:val="24"/>
        </w:rPr>
      </w:pPr>
      <w:r>
        <w:rPr>
          <w:rFonts w:ascii="Times New Roman;serif" w:hAnsi="Times New Roman;serif"/>
          <w:sz w:val="24"/>
        </w:rPr>
        <w:t>388 Greenwich Street</w:t>
      </w:r>
    </w:p>
    <w:p>
      <w:pPr>
        <w:pStyle w:val="TextBody"/>
        <w:spacing w:before="0" w:after="0"/>
        <w:ind w:left="2880" w:right="0" w:hanging="0"/>
        <w:jc w:val="both"/>
        <w:rPr>
          <w:rFonts w:ascii="Times New Roman;serif" w:hAnsi="Times New Roman;serif"/>
          <w:sz w:val="24"/>
        </w:rPr>
      </w:pPr>
      <w:r>
        <w:rPr>
          <w:rFonts w:ascii="Times New Roman;serif" w:hAnsi="Times New Roman;serif"/>
          <w:sz w:val="24"/>
        </w:rPr>
        <w:t>New York, New York 10013</w:t>
      </w:r>
    </w:p>
    <w:p>
      <w:pPr>
        <w:pStyle w:val="TextBody"/>
        <w:spacing w:before="0" w:after="0"/>
        <w:ind w:left="2880" w:right="0" w:hanging="0"/>
        <w:jc w:val="both"/>
        <w:rPr>
          <w:rFonts w:ascii="Times New Roman;serif" w:hAnsi="Times New Roman;serif"/>
          <w:sz w:val="24"/>
        </w:rPr>
      </w:pPr>
      <w:r>
        <w:rPr>
          <w:rFonts w:ascii="Times New Roman;serif" w:hAnsi="Times New Roman;serif"/>
          <w:sz w:val="24"/>
        </w:rPr>
        <w:t>Attention: General Counsel</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(b)         if to the Partnership:</w:t>
      </w:r>
    </w:p>
    <w:p>
      <w:pPr>
        <w:pStyle w:val="TextBody"/>
        <w:spacing w:before="0" w:after="0"/>
        <w:ind w:left="0" w:right="0" w:hanging="0"/>
        <w:jc w:val="both"/>
        <w:rPr/>
      </w:pPr>
      <w:r>
        <w:rPr/>
        <w:t> </w:t>
      </w:r>
    </w:p>
    <w:p>
      <w:pPr>
        <w:pStyle w:val="TextBody"/>
        <w:spacing w:before="0" w:after="0"/>
        <w:ind w:left="2880" w:right="0" w:hanging="0"/>
        <w:jc w:val="both"/>
        <w:rPr>
          <w:rFonts w:ascii="Times New Roman;serif" w:hAnsi="Times New Roman;serif"/>
          <w:sz w:val="24"/>
        </w:rPr>
      </w:pPr>
      <w:r>
        <w:rPr>
          <w:rFonts w:ascii="Times New Roman;serif" w:hAnsi="Times New Roman;serif"/>
          <w:sz w:val="24"/>
        </w:rPr>
        <w:t>Plains All American Pipeline, L.P.</w:t>
      </w:r>
    </w:p>
    <w:p>
      <w:pPr>
        <w:pStyle w:val="TextBody"/>
        <w:spacing w:before="0" w:after="0"/>
        <w:ind w:left="2880" w:right="0" w:hanging="0"/>
        <w:jc w:val="both"/>
        <w:rPr>
          <w:rFonts w:ascii="Times New Roman;serif" w:hAnsi="Times New Roman;serif"/>
          <w:sz w:val="24"/>
        </w:rPr>
      </w:pPr>
      <w:r>
        <w:rPr>
          <w:rFonts w:ascii="Times New Roman;serif" w:hAnsi="Times New Roman;serif"/>
          <w:sz w:val="24"/>
        </w:rPr>
        <w:t>333 Clay St., Suite 1600</w:t>
      </w:r>
    </w:p>
    <w:p>
      <w:pPr>
        <w:pStyle w:val="TextBody"/>
        <w:spacing w:before="0" w:after="0"/>
        <w:ind w:left="2880" w:right="0" w:hanging="0"/>
        <w:jc w:val="both"/>
        <w:rPr>
          <w:rFonts w:ascii="Times New Roman;serif" w:hAnsi="Times New Roman;serif"/>
          <w:sz w:val="24"/>
        </w:rPr>
      </w:pPr>
      <w:r>
        <w:rPr>
          <w:rFonts w:ascii="Times New Roman;serif" w:hAnsi="Times New Roman;serif"/>
          <w:sz w:val="24"/>
        </w:rPr>
        <w:t>Houston, Texas 77002</w:t>
      </w:r>
    </w:p>
    <w:p>
      <w:pPr>
        <w:pStyle w:val="TextBody"/>
        <w:spacing w:before="0" w:after="0"/>
        <w:ind w:left="2880" w:right="0" w:hanging="0"/>
        <w:jc w:val="both"/>
        <w:rPr>
          <w:rFonts w:ascii="Times New Roman;serif" w:hAnsi="Times New Roman;serif"/>
          <w:sz w:val="24"/>
        </w:rPr>
      </w:pPr>
      <w:r>
        <w:rPr>
          <w:rFonts w:ascii="Times New Roman;serif" w:hAnsi="Times New Roman;serif"/>
          <w:sz w:val="24"/>
        </w:rPr>
        <w:t>Attention: Tim Moore</w:t>
      </w:r>
    </w:p>
    <w:p>
      <w:pPr>
        <w:pStyle w:val="TextBody"/>
        <w:spacing w:before="0" w:after="0"/>
        <w:ind w:left="2880" w:right="0" w:hanging="0"/>
        <w:jc w:val="both"/>
        <w:rPr>
          <w:rFonts w:ascii="Times New Roman;serif" w:hAnsi="Times New Roman;serif"/>
          <w:sz w:val="24"/>
        </w:rPr>
      </w:pPr>
      <w:r>
        <w:rPr>
          <w:rFonts w:ascii="Times New Roman;serif" w:hAnsi="Times New Roman;serif"/>
          <w:sz w:val="24"/>
        </w:rPr>
        <w:t>Fax: (713) 646-4313</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(c)         if to the Selling Unitholder:</w:t>
      </w:r>
    </w:p>
    <w:p>
      <w:pPr>
        <w:pStyle w:val="TextBody"/>
        <w:spacing w:before="0" w:after="0"/>
        <w:ind w:left="0" w:right="0" w:hanging="0"/>
        <w:jc w:val="both"/>
        <w:rPr/>
      </w:pPr>
      <w:r>
        <w:rPr/>
        <w:t> </w:t>
      </w:r>
    </w:p>
    <w:p>
      <w:pPr>
        <w:pStyle w:val="TextBody"/>
        <w:spacing w:before="0" w:after="0"/>
        <w:ind w:left="2880" w:right="0" w:hanging="0"/>
        <w:jc w:val="both"/>
        <w:rPr>
          <w:rFonts w:ascii="Times New Roman;serif" w:hAnsi="Times New Roman;serif"/>
          <w:sz w:val="24"/>
        </w:rPr>
      </w:pPr>
      <w:r>
        <w:rPr>
          <w:rFonts w:ascii="Times New Roman;serif" w:hAnsi="Times New Roman;serif"/>
          <w:sz w:val="24"/>
        </w:rPr>
        <w:t>Vulcan Energy Corporation</w:t>
      </w:r>
    </w:p>
    <w:p>
      <w:pPr>
        <w:pStyle w:val="TextBody"/>
        <w:spacing w:before="0" w:after="0"/>
        <w:ind w:left="2880" w:right="0" w:hanging="0"/>
        <w:jc w:val="both"/>
        <w:rPr>
          <w:rFonts w:ascii="Times New Roman;serif" w:hAnsi="Times New Roman;serif"/>
          <w:sz w:val="24"/>
        </w:rPr>
      </w:pPr>
      <w:r>
        <w:rPr>
          <w:rFonts w:ascii="Times New Roman;serif" w:hAnsi="Times New Roman;serif"/>
          <w:sz w:val="24"/>
        </w:rPr>
        <w:t>505 5th Avenue S., Ninth Floor</w:t>
      </w:r>
    </w:p>
    <w:p>
      <w:pPr>
        <w:pStyle w:val="TextBody"/>
        <w:spacing w:before="0" w:after="0"/>
        <w:ind w:left="2880" w:right="0" w:hanging="0"/>
        <w:jc w:val="both"/>
        <w:rPr>
          <w:rFonts w:ascii="Times New Roman;serif" w:hAnsi="Times New Roman;serif"/>
          <w:sz w:val="24"/>
        </w:rPr>
      </w:pPr>
      <w:r>
        <w:rPr>
          <w:rFonts w:ascii="Times New Roman;serif" w:hAnsi="Times New Roman;serif"/>
          <w:sz w:val="24"/>
        </w:rPr>
        <w:t>Seattle, WA  98104</w:t>
      </w:r>
    </w:p>
    <w:p>
      <w:pPr>
        <w:pStyle w:val="TextBody"/>
        <w:spacing w:before="0" w:after="0"/>
        <w:ind w:left="2880" w:right="0" w:hanging="0"/>
        <w:jc w:val="both"/>
        <w:rPr>
          <w:rFonts w:ascii="Times New Roman;serif" w:hAnsi="Times New Roman;serif"/>
          <w:sz w:val="24"/>
        </w:rPr>
      </w:pPr>
      <w:r>
        <w:rPr>
          <w:rFonts w:ascii="Times New Roman;serif" w:hAnsi="Times New Roman;serif"/>
          <w:sz w:val="24"/>
        </w:rPr>
        <w:t>Attention: Geoff McKay</w:t>
      </w:r>
    </w:p>
    <w:p>
      <w:pPr>
        <w:pStyle w:val="TextBody"/>
        <w:spacing w:before="0" w:after="0"/>
        <w:ind w:left="2880" w:right="0" w:hanging="0"/>
        <w:jc w:val="both"/>
        <w:rPr>
          <w:rFonts w:ascii="Times New Roman;serif" w:hAnsi="Times New Roman;serif"/>
          <w:sz w:val="24"/>
        </w:rPr>
      </w:pPr>
      <w:r>
        <w:rPr>
          <w:rFonts w:ascii="Times New Roman;serif" w:hAnsi="Times New Roman;serif"/>
          <w:sz w:val="24"/>
        </w:rPr>
        <w:t>Fax: (206) 342-3000.</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This Agreement has been and is made solely for the benefit of the several Underwriters and their directors, officers, employees, agents and other controlling persons referred to in Section 8 hereof, the Selling Unitholder, and the Partnership and its directors, officers, and the other controlling persons referred to in Section 8 hereof, and their respective successors and assigns, to the extent provided herein, and no other person shall acquire or have any right under or by virtue of this Agreement.  Neither the term “successor” nor the term</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7" w:name="PGBRK53"/>
      <w:bookmarkStart w:id="488" w:name="PGBRK53"/>
      <w:bookmarkEnd w:id="4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9" w:name="FTR53"/>
      <w:bookmarkStart w:id="490" w:name="FTR53"/>
      <w:bookmarkEnd w:id="4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1" w:name="GLFTR53"/>
      <w:bookmarkEnd w:id="4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492" w:name="PN53"/>
      <w:bookmarkEnd w:id="492"/>
      <w:r>
        <w:rPr>
          <w:rFonts w:ascii="Times New Roman;serif" w:hAnsi="Times New Roman;serif"/>
          <w:sz w:val="22"/>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3" w:name="HDR53"/>
      <w:bookmarkStart w:id="494" w:name="HDR53"/>
      <w:bookmarkEnd w:id="4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5" w:name="GLHDR53"/>
      <w:bookmarkEnd w:id="4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w:t>
      </w:r>
      <w:r>
        <w:rPr>
          <w:rFonts w:ascii="Times New Roman;serif" w:hAnsi="Times New Roman;serif"/>
          <w:sz w:val="24"/>
        </w:rPr>
        <w:t>successors and assigns” as used in this Agreement shall include a purchaser from any Underwriter of any of the Units in his status as such purchaser.</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14.        </w:t>
      </w:r>
      <w:r>
        <w:rPr>
          <w:rFonts w:ascii="Times New Roman;serif" w:hAnsi="Times New Roman;serif"/>
          <w:sz w:val="24"/>
          <w:u w:val="single"/>
        </w:rPr>
        <w:t>Information Furnished by the Underwriters</w:t>
      </w:r>
      <w:r>
        <w:rPr>
          <w:rFonts w:ascii="Times New Roman;serif" w:hAnsi="Times New Roman;serif"/>
          <w:sz w:val="24"/>
        </w:rPr>
        <w:t>.  The Partnership acknowledges that the following statements set forth in the most recent Preliminary Prospectus and the Prospectus constitute the only information furnished by or on behalf of the Underwriters through the Representatives as such information is referred to in Sections 1(c), 1(d), 1(f), 1(g), 6(o), 8(a) and 8(c) hereof: (A) the names of the Underwriters, (B) the table under the first paragraph under the heading “Underwriting,” (C) the third paragraph under the heading “Underwriting” and (D) the paragraphs under the heading “Underwriting—Price Stabilizations, Short Positions and Penalty Bids.”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15.        </w:t>
      </w:r>
      <w:r>
        <w:rPr>
          <w:rFonts w:ascii="Times New Roman;serif" w:hAnsi="Times New Roman;serif"/>
          <w:sz w:val="24"/>
          <w:u w:val="single"/>
        </w:rPr>
        <w:t>Research Analyst Independence</w:t>
      </w:r>
      <w:r>
        <w:rPr>
          <w:rFonts w:ascii="Times New Roman;serif" w:hAnsi="Times New Roman;serif"/>
          <w:sz w:val="24"/>
        </w:rPr>
        <w:t>.  The Selling Unitholder and the Partnership acknowledge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Partnership and/or the offering that differ from the views of their respective investment banking divisions.  The Selling Unitholder and the Partnership hereby waive and release, to the fullest extent permitted by law, any claims that the Selling Unitholder or the Partnership may have against the Underwriters with respect to any conflict of interest that may arise from the fact that the views expressed by their independent research analysts and research departments may be different from or inconsistent with the views or advice communicated to the Selling Unitholder or the Partnership by such Underwriters’ investment banking divisions.  The Selling Unitholder and the Partnership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16.        </w:t>
      </w:r>
      <w:r>
        <w:rPr>
          <w:rFonts w:ascii="Times New Roman;serif" w:hAnsi="Times New Roman;serif"/>
          <w:sz w:val="24"/>
          <w:u w:val="single"/>
        </w:rPr>
        <w:t>Integration</w:t>
      </w:r>
      <w:r>
        <w:rPr>
          <w:rFonts w:ascii="Times New Roman;serif" w:hAnsi="Times New Roman;serif"/>
          <w:sz w:val="24"/>
        </w:rPr>
        <w:t>.  This Agreement supersedes all prior agreements and understandings (whether written or oral) between the Selling Unitholder, the Partnership and the Underwriters, or any of them, with respect to the subject matter hereof.</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17.        </w:t>
      </w:r>
      <w:r>
        <w:rPr>
          <w:rFonts w:ascii="Times New Roman;serif" w:hAnsi="Times New Roman;serif"/>
          <w:sz w:val="24"/>
          <w:u w:val="single"/>
        </w:rPr>
        <w:t>Headings</w:t>
      </w:r>
      <w:r>
        <w:rPr>
          <w:rFonts w:ascii="Times New Roman;serif" w:hAnsi="Times New Roman;serif"/>
          <w:sz w:val="24"/>
        </w:rPr>
        <w:t>.  The Section headings used herein are for convenience only and shall not affect the construction hereof.</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18.        </w:t>
      </w:r>
      <w:r>
        <w:rPr>
          <w:rFonts w:ascii="Times New Roman;serif" w:hAnsi="Times New Roman;serif"/>
          <w:sz w:val="24"/>
          <w:u w:val="single"/>
        </w:rPr>
        <w:t>Effective Date of Agreement</w:t>
      </w:r>
      <w:r>
        <w:rPr>
          <w:rFonts w:ascii="Times New Roman;serif" w:hAnsi="Times New Roman;serif"/>
          <w:sz w:val="24"/>
        </w:rPr>
        <w:t>.  This Agreement shall become effective upon the execution and delivery hereof by the parties hereto.</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19.        </w:t>
      </w:r>
      <w:r>
        <w:rPr>
          <w:rFonts w:ascii="Times New Roman;serif" w:hAnsi="Times New Roman;serif"/>
          <w:sz w:val="24"/>
          <w:u w:val="single"/>
        </w:rPr>
        <w:t>No Fiduciary Duty</w:t>
      </w:r>
      <w:r>
        <w:rPr>
          <w:rFonts w:ascii="Times New Roman;serif" w:hAnsi="Times New Roman;serif"/>
          <w:sz w:val="24"/>
        </w:rPr>
        <w:t>.  The Selling Unitholder and the Partnership acknowledge and agree that in connection with this offering and sale of the Units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Selling Unitholder, the Partnership and any other person, on the one hand, and the Underwriters, on the other hand, exists; (ii) the Underwriters are not acting as</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6" w:name="PGBRK54"/>
      <w:bookmarkStart w:id="497" w:name="PGBRK54"/>
      <w:bookmarkEnd w:id="4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8" w:name="FTR54"/>
      <w:bookmarkStart w:id="499" w:name="FTR54"/>
      <w:bookmarkEnd w:id="4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0" w:name="GLFTR54"/>
      <w:bookmarkEnd w:id="5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501" w:name="PN54"/>
      <w:bookmarkEnd w:id="501"/>
      <w:r>
        <w:rPr>
          <w:rFonts w:ascii="Times New Roman;serif" w:hAnsi="Times New Roman;serif"/>
          <w:sz w:val="22"/>
        </w:rPr>
        <w:t>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2" w:name="HDR54"/>
      <w:bookmarkStart w:id="503" w:name="HDR54"/>
      <w:bookmarkEnd w:id="5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4" w:name="GLHDR54"/>
      <w:bookmarkEnd w:id="5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advisors, expert or otherwise, to the Selling Unitholder or the Partnership, including, without limitation, with respect to the determination of the public offering price of the Units, and such relationship between the Selling Unitholder and the Partnership, on the one hand, and the Underwriters, on the other, is entirely and solely commercial, based on arms-length negotiations; (iii) any duties and obligations that the Underwriters may have to the Selling Unitholder and the Partnership shall be limited to those duties and obligations specifically stated herein; and (iv) the Underwriters and their respective affiliates may have interests that differ from those of the Selling Unitholder and the Partnership.  The Selling Unitholder and the Partnership hereby waive any claims that they may have against the Underwriters with respect to any breach of fiduciary duty in connection with this offering.</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20.        </w:t>
      </w:r>
      <w:r>
        <w:rPr>
          <w:rFonts w:ascii="Times New Roman;serif" w:hAnsi="Times New Roman;serif"/>
          <w:sz w:val="24"/>
          <w:u w:val="single"/>
        </w:rPr>
        <w:t>Applicable Law; Counterparts</w:t>
      </w:r>
      <w:r>
        <w:rPr>
          <w:rFonts w:ascii="Times New Roman;serif" w:hAnsi="Times New Roman;serif"/>
          <w:sz w:val="24"/>
        </w:rPr>
        <w:t>.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w:t>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sz w:val="24"/>
        </w:rPr>
      </w:pPr>
      <w:r>
        <w:rPr>
          <w:rFonts w:ascii="Times New Roman;serif" w:hAnsi="Times New Roman;serif"/>
          <w:sz w:val="24"/>
        </w:rPr>
        <w:t>[</w:t>
      </w:r>
      <w:r>
        <w:rPr>
          <w:rFonts w:ascii="Times New Roman;serif" w:hAnsi="Times New Roman;serif"/>
          <w:i/>
          <w:sz w:val="24"/>
        </w:rPr>
        <w:t>Signature Pages Follow</w:t>
      </w:r>
      <w:r>
        <w:rPr>
          <w:rFonts w:ascii="Times New Roman;serif" w:hAnsi="Times New Roman;serif"/>
          <w:sz w:val="24"/>
        </w:rPr>
        <w:t>]</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5" w:name="PGBRK55"/>
      <w:bookmarkStart w:id="506" w:name="PGBRK55"/>
      <w:bookmarkEnd w:id="5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7" w:name="FTR55"/>
      <w:bookmarkStart w:id="508" w:name="FTR55"/>
      <w:bookmarkEnd w:id="5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9" w:name="GLFTR55"/>
      <w:bookmarkEnd w:id="5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2"/>
        </w:rPr>
      </w:pPr>
      <w:bookmarkStart w:id="510" w:name="PN55"/>
      <w:bookmarkEnd w:id="510"/>
      <w:r>
        <w:rPr>
          <w:rFonts w:ascii="Times New Roman;serif" w:hAnsi="Times New Roman;serif"/>
          <w:sz w:val="22"/>
        </w:rPr>
        <w:t>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1" w:name="HDR55"/>
      <w:bookmarkStart w:id="512" w:name="HDR55"/>
      <w:bookmarkEnd w:id="5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3" w:name="GLHDR55"/>
      <w:bookmarkEnd w:id="5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Please confirm that the foregoing correctly sets forth the agreement among the Partnership, the Selling Unitholder and the Underwriters.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715"/>
        <w:gridCol w:w="612"/>
        <w:gridCol w:w="613"/>
        <w:gridCol w:w="713"/>
        <w:gridCol w:w="2552"/>
      </w:tblGrid>
      <w:tr>
        <w:trPr/>
        <w:tc>
          <w:tcPr>
            <w:tcW w:w="5715" w:type="dxa"/>
            <w:tcBorders/>
            <w:shd w:fill="auto" w:val="clear"/>
          </w:tcPr>
          <w:p>
            <w:pPr>
              <w:pStyle w:val="TableContents"/>
              <w:spacing w:before="0" w:after="283"/>
              <w:rPr/>
            </w:pPr>
            <w:r>
              <w:rPr/>
              <w:t xml:space="preserve">  </w:t>
            </w:r>
          </w:p>
        </w:tc>
        <w:tc>
          <w:tcPr>
            <w:tcW w:w="4490" w:type="dxa"/>
            <w:gridSpan w:val="4"/>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Very truly yours,</w:t>
            </w:r>
          </w:p>
        </w:tc>
      </w:tr>
      <w:tr>
        <w:trPr/>
        <w:tc>
          <w:tcPr>
            <w:tcW w:w="5715" w:type="dxa"/>
            <w:tcBorders/>
            <w:shd w:fill="auto" w:val="clear"/>
          </w:tcPr>
          <w:p>
            <w:pPr>
              <w:pStyle w:val="TableContents"/>
              <w:spacing w:before="0" w:after="283"/>
              <w:rPr/>
            </w:pPr>
            <w:r>
              <w:rPr/>
              <w:t> </w:t>
            </w:r>
          </w:p>
        </w:tc>
        <w:tc>
          <w:tcPr>
            <w:tcW w:w="4490" w:type="dxa"/>
            <w:gridSpan w:val="4"/>
            <w:tcBorders/>
            <w:shd w:fill="auto" w:val="clear"/>
          </w:tcPr>
          <w:p>
            <w:pPr>
              <w:pStyle w:val="TableContents"/>
              <w:spacing w:before="0" w:after="283"/>
              <w:rPr/>
            </w:pPr>
            <w:r>
              <w:rPr/>
              <w:t> </w:t>
            </w:r>
          </w:p>
        </w:tc>
      </w:tr>
      <w:tr>
        <w:trPr/>
        <w:tc>
          <w:tcPr>
            <w:tcW w:w="5715" w:type="dxa"/>
            <w:tcBorders/>
            <w:shd w:fill="auto" w:val="clear"/>
          </w:tcPr>
          <w:p>
            <w:pPr>
              <w:pStyle w:val="TableContents"/>
              <w:spacing w:before="0" w:after="283"/>
              <w:rPr/>
            </w:pPr>
            <w:r>
              <w:rPr/>
              <w:t xml:space="preserve">  </w:t>
            </w:r>
          </w:p>
        </w:tc>
        <w:tc>
          <w:tcPr>
            <w:tcW w:w="4490" w:type="dxa"/>
            <w:gridSpan w:val="4"/>
            <w:tcBorders/>
            <w:shd w:fill="auto" w:val="clear"/>
          </w:tcPr>
          <w:p>
            <w:pPr>
              <w:pStyle w:val="TableContents"/>
              <w:spacing w:before="0" w:after="0"/>
              <w:ind w:left="0" w:right="0" w:hanging="0"/>
              <w:jc w:val="both"/>
              <w:rPr>
                <w:rFonts w:ascii="times new roman;serif" w:hAnsi="times new roman;serif"/>
                <w:b/>
                <w:sz w:val="24"/>
              </w:rPr>
            </w:pPr>
            <w:r>
              <w:rPr>
                <w:rFonts w:ascii="times new roman;serif" w:hAnsi="times new roman;serif"/>
                <w:b/>
                <w:sz w:val="24"/>
              </w:rPr>
              <w:t>PLAINS ALL AMERICAN PIPELINE, L.P.</w:t>
            </w:r>
          </w:p>
        </w:tc>
      </w:tr>
      <w:tr>
        <w:trPr/>
        <w:tc>
          <w:tcPr>
            <w:tcW w:w="5715" w:type="dxa"/>
            <w:tcBorders/>
            <w:shd w:fill="auto" w:val="clear"/>
          </w:tcPr>
          <w:p>
            <w:pPr>
              <w:pStyle w:val="TableContents"/>
              <w:spacing w:before="0" w:after="283"/>
              <w:rPr/>
            </w:pPr>
            <w:r>
              <w:rPr/>
              <w:t> </w:t>
            </w:r>
          </w:p>
        </w:tc>
        <w:tc>
          <w:tcPr>
            <w:tcW w:w="4490" w:type="dxa"/>
            <w:gridSpan w:val="4"/>
            <w:tcBorders/>
            <w:shd w:fill="auto" w:val="clear"/>
          </w:tcPr>
          <w:p>
            <w:pPr>
              <w:pStyle w:val="TableContents"/>
              <w:spacing w:before="0" w:after="283"/>
              <w:rPr/>
            </w:pPr>
            <w:r>
              <w:rPr/>
              <w:t> </w:t>
            </w:r>
          </w:p>
        </w:tc>
      </w:tr>
      <w:tr>
        <w:trPr/>
        <w:tc>
          <w:tcPr>
            <w:tcW w:w="5715"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3878"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PAA GP LLC,</w:t>
            </w:r>
          </w:p>
        </w:tc>
      </w:tr>
      <w:tr>
        <w:trPr/>
        <w:tc>
          <w:tcPr>
            <w:tcW w:w="5715"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283"/>
              <w:rPr/>
            </w:pPr>
            <w:r>
              <w:rPr/>
              <w:t xml:space="preserve">  </w:t>
            </w:r>
          </w:p>
        </w:tc>
        <w:tc>
          <w:tcPr>
            <w:tcW w:w="3878"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its General Partner</w:t>
            </w:r>
          </w:p>
        </w:tc>
      </w:tr>
      <w:tr>
        <w:trPr/>
        <w:tc>
          <w:tcPr>
            <w:tcW w:w="5715"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878" w:type="dxa"/>
            <w:gridSpan w:val="3"/>
            <w:tcBorders/>
            <w:shd w:fill="auto" w:val="clear"/>
          </w:tcPr>
          <w:p>
            <w:pPr>
              <w:pStyle w:val="TableContents"/>
              <w:spacing w:before="0" w:after="283"/>
              <w:rPr/>
            </w:pPr>
            <w:r>
              <w:rPr/>
              <w:t> </w:t>
            </w:r>
          </w:p>
        </w:tc>
      </w:tr>
      <w:tr>
        <w:trPr/>
        <w:tc>
          <w:tcPr>
            <w:tcW w:w="5715"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3878"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PLAINS AAP, L.P.,</w:t>
            </w:r>
          </w:p>
        </w:tc>
      </w:tr>
      <w:tr>
        <w:trPr/>
        <w:tc>
          <w:tcPr>
            <w:tcW w:w="5715"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283"/>
              <w:rPr/>
            </w:pPr>
            <w:r>
              <w:rPr/>
              <w:t xml:space="preserve">  </w:t>
            </w:r>
          </w:p>
        </w:tc>
        <w:tc>
          <w:tcPr>
            <w:tcW w:w="3878"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its Sole Member</w:t>
            </w:r>
          </w:p>
        </w:tc>
      </w:tr>
      <w:tr>
        <w:trPr/>
        <w:tc>
          <w:tcPr>
            <w:tcW w:w="5715"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878" w:type="dxa"/>
            <w:gridSpan w:val="3"/>
            <w:tcBorders/>
            <w:shd w:fill="auto" w:val="clear"/>
          </w:tcPr>
          <w:p>
            <w:pPr>
              <w:pStyle w:val="TableContents"/>
              <w:spacing w:before="0" w:after="283"/>
              <w:rPr/>
            </w:pPr>
            <w:r>
              <w:rPr/>
              <w:t> </w:t>
            </w:r>
          </w:p>
        </w:tc>
      </w:tr>
      <w:tr>
        <w:trPr/>
        <w:tc>
          <w:tcPr>
            <w:tcW w:w="5715"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3878"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PLAINS ALL AMERICAN GP LLC,</w:t>
            </w:r>
          </w:p>
        </w:tc>
      </w:tr>
      <w:tr>
        <w:trPr/>
        <w:tc>
          <w:tcPr>
            <w:tcW w:w="5715"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283"/>
              <w:rPr/>
            </w:pPr>
            <w:r>
              <w:rPr/>
              <w:t xml:space="preserve">  </w:t>
            </w:r>
          </w:p>
        </w:tc>
        <w:tc>
          <w:tcPr>
            <w:tcW w:w="3878" w:type="dxa"/>
            <w:gridSpan w:val="3"/>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its General Partner</w:t>
            </w:r>
          </w:p>
        </w:tc>
      </w:tr>
      <w:tr>
        <w:trPr/>
        <w:tc>
          <w:tcPr>
            <w:tcW w:w="5715"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878" w:type="dxa"/>
            <w:gridSpan w:val="3"/>
            <w:tcBorders/>
            <w:shd w:fill="auto" w:val="clear"/>
          </w:tcPr>
          <w:p>
            <w:pPr>
              <w:pStyle w:val="TableContents"/>
              <w:spacing w:before="0" w:after="283"/>
              <w:rPr/>
            </w:pPr>
            <w:r>
              <w:rPr/>
              <w:t> </w:t>
            </w:r>
          </w:p>
        </w:tc>
      </w:tr>
      <w:tr>
        <w:trPr/>
        <w:tc>
          <w:tcPr>
            <w:tcW w:w="5715"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878" w:type="dxa"/>
            <w:gridSpan w:val="3"/>
            <w:tcBorders/>
            <w:shd w:fill="auto" w:val="clear"/>
          </w:tcPr>
          <w:p>
            <w:pPr>
              <w:pStyle w:val="TableContents"/>
              <w:spacing w:before="0" w:after="283"/>
              <w:rPr/>
            </w:pPr>
            <w:r>
              <w:rPr/>
              <w:t> </w:t>
            </w:r>
          </w:p>
        </w:tc>
      </w:tr>
      <w:tr>
        <w:trPr/>
        <w:tc>
          <w:tcPr>
            <w:tcW w:w="5715"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283"/>
              <w:rPr/>
            </w:pPr>
            <w:r>
              <w:rPr/>
              <w:t xml:space="preserve">  </w:t>
            </w:r>
          </w:p>
        </w:tc>
        <w:tc>
          <w:tcPr>
            <w:tcW w:w="613"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By:</w:t>
            </w:r>
          </w:p>
        </w:tc>
        <w:tc>
          <w:tcPr>
            <w:tcW w:w="3265" w:type="dxa"/>
            <w:gridSpan w:val="2"/>
            <w:tcBorders>
              <w:bottom w:val="single" w:sz="4" w:space="0" w:color="000000"/>
            </w:tcBorders>
            <w:shd w:fill="auto" w:val="clear"/>
            <w:tcMar>
              <w:bottom w:w="28" w:type="dxa"/>
            </w:tcM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 A. Patrick Diamond</w:t>
            </w:r>
          </w:p>
        </w:tc>
      </w:tr>
      <w:tr>
        <w:trPr/>
        <w:tc>
          <w:tcPr>
            <w:tcW w:w="5715"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283"/>
              <w:rPr/>
            </w:pPr>
            <w:r>
              <w:rPr/>
              <w:t xml:space="preserve">  </w:t>
            </w:r>
          </w:p>
        </w:tc>
        <w:tc>
          <w:tcPr>
            <w:tcW w:w="61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Name:</w:t>
            </w:r>
          </w:p>
        </w:tc>
        <w:tc>
          <w:tcPr>
            <w:tcW w:w="2552"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A. Patrick Diamond</w:t>
            </w:r>
          </w:p>
        </w:tc>
      </w:tr>
      <w:tr>
        <w:trPr/>
        <w:tc>
          <w:tcPr>
            <w:tcW w:w="5715"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283"/>
              <w:rPr/>
            </w:pPr>
            <w:r>
              <w:rPr/>
              <w:t xml:space="preserve">  </w:t>
            </w:r>
          </w:p>
        </w:tc>
        <w:tc>
          <w:tcPr>
            <w:tcW w:w="613" w:type="dxa"/>
            <w:tcBorders/>
            <w:shd w:fill="auto" w:val="clear"/>
          </w:tcPr>
          <w:p>
            <w:pPr>
              <w:pStyle w:val="TableContents"/>
              <w:spacing w:before="0" w:after="283"/>
              <w:rPr/>
            </w:pPr>
            <w:r>
              <w:rPr/>
              <w:t xml:space="preserve">  </w:t>
            </w:r>
          </w:p>
        </w:tc>
        <w:tc>
          <w:tcPr>
            <w:tcW w:w="713"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Title:</w:t>
            </w:r>
          </w:p>
        </w:tc>
        <w:tc>
          <w:tcPr>
            <w:tcW w:w="2552"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Vice President</w:t>
            </w:r>
          </w:p>
        </w:tc>
      </w:tr>
      <w:tr>
        <w:trPr/>
        <w:tc>
          <w:tcPr>
            <w:tcW w:w="5715"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613" w:type="dxa"/>
            <w:tcBorders/>
            <w:shd w:fill="auto" w:val="clear"/>
          </w:tcPr>
          <w:p>
            <w:pPr>
              <w:pStyle w:val="TableContents"/>
              <w:spacing w:before="0" w:after="283"/>
              <w:rPr/>
            </w:pPr>
            <w:r>
              <w:rPr/>
              <w:t> </w:t>
            </w:r>
          </w:p>
        </w:tc>
        <w:tc>
          <w:tcPr>
            <w:tcW w:w="713" w:type="dxa"/>
            <w:tcBorders/>
            <w:shd w:fill="auto" w:val="clear"/>
          </w:tcPr>
          <w:p>
            <w:pPr>
              <w:pStyle w:val="TableContents"/>
              <w:spacing w:before="0" w:after="283"/>
              <w:rPr/>
            </w:pPr>
            <w:r>
              <w:rPr/>
              <w:t> </w:t>
            </w:r>
          </w:p>
        </w:tc>
        <w:tc>
          <w:tcPr>
            <w:tcW w:w="2552" w:type="dxa"/>
            <w:tcBorders/>
            <w:shd w:fill="auto" w:val="clear"/>
          </w:tcPr>
          <w:p>
            <w:pPr>
              <w:pStyle w:val="TableContents"/>
              <w:spacing w:before="0" w:after="283"/>
              <w:rPr/>
            </w:pPr>
            <w:r>
              <w:rPr/>
              <w:t> </w:t>
            </w:r>
          </w:p>
        </w:tc>
      </w:tr>
      <w:tr>
        <w:trPr/>
        <w:tc>
          <w:tcPr>
            <w:tcW w:w="5715"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613" w:type="dxa"/>
            <w:tcBorders/>
            <w:shd w:fill="auto" w:val="clear"/>
          </w:tcPr>
          <w:p>
            <w:pPr>
              <w:pStyle w:val="TableContents"/>
              <w:spacing w:before="0" w:after="283"/>
              <w:rPr/>
            </w:pPr>
            <w:r>
              <w:rPr/>
              <w:t> </w:t>
            </w:r>
          </w:p>
        </w:tc>
        <w:tc>
          <w:tcPr>
            <w:tcW w:w="713" w:type="dxa"/>
            <w:tcBorders/>
            <w:shd w:fill="auto" w:val="clear"/>
          </w:tcPr>
          <w:p>
            <w:pPr>
              <w:pStyle w:val="TableContents"/>
              <w:spacing w:before="0" w:after="283"/>
              <w:rPr/>
            </w:pPr>
            <w:r>
              <w:rPr/>
              <w:t> </w:t>
            </w:r>
          </w:p>
        </w:tc>
        <w:tc>
          <w:tcPr>
            <w:tcW w:w="2552" w:type="dxa"/>
            <w:tcBorders/>
            <w:shd w:fill="auto" w:val="clear"/>
          </w:tcPr>
          <w:p>
            <w:pPr>
              <w:pStyle w:val="TableContents"/>
              <w:spacing w:before="0" w:after="283"/>
              <w:rPr/>
            </w:pPr>
            <w:r>
              <w:rPr/>
              <w:t> </w:t>
            </w:r>
          </w:p>
        </w:tc>
      </w:tr>
      <w:tr>
        <w:trPr/>
        <w:tc>
          <w:tcPr>
            <w:tcW w:w="5715"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613" w:type="dxa"/>
            <w:tcBorders/>
            <w:shd w:fill="auto" w:val="clear"/>
          </w:tcPr>
          <w:p>
            <w:pPr>
              <w:pStyle w:val="TableContents"/>
              <w:spacing w:before="0" w:after="283"/>
              <w:rPr/>
            </w:pPr>
            <w:r>
              <w:rPr/>
              <w:t> </w:t>
            </w:r>
          </w:p>
        </w:tc>
        <w:tc>
          <w:tcPr>
            <w:tcW w:w="713" w:type="dxa"/>
            <w:tcBorders/>
            <w:shd w:fill="auto" w:val="clear"/>
          </w:tcPr>
          <w:p>
            <w:pPr>
              <w:pStyle w:val="TableContents"/>
              <w:spacing w:before="0" w:after="283"/>
              <w:rPr/>
            </w:pPr>
            <w:r>
              <w:rPr/>
              <w:t> </w:t>
            </w:r>
          </w:p>
        </w:tc>
        <w:tc>
          <w:tcPr>
            <w:tcW w:w="2552" w:type="dxa"/>
            <w:tcBorders/>
            <w:shd w:fill="auto" w:val="clear"/>
          </w:tcPr>
          <w:p>
            <w:pPr>
              <w:pStyle w:val="TableContents"/>
              <w:spacing w:before="0" w:after="283"/>
              <w:rPr/>
            </w:pPr>
            <w:r>
              <w:rPr/>
              <w:t> </w:t>
            </w:r>
          </w:p>
        </w:tc>
      </w:tr>
      <w:tr>
        <w:trPr/>
        <w:tc>
          <w:tcPr>
            <w:tcW w:w="5715" w:type="dxa"/>
            <w:tcBorders/>
            <w:shd w:fill="auto" w:val="clear"/>
          </w:tcPr>
          <w:p>
            <w:pPr>
              <w:pStyle w:val="TableContents"/>
              <w:spacing w:before="0" w:after="283"/>
              <w:rPr/>
            </w:pPr>
            <w:r>
              <w:rPr/>
              <w:t xml:space="preserve">  </w:t>
            </w:r>
          </w:p>
        </w:tc>
        <w:tc>
          <w:tcPr>
            <w:tcW w:w="4490" w:type="dxa"/>
            <w:gridSpan w:val="4"/>
            <w:tcBorders/>
            <w:shd w:fill="auto" w:val="clear"/>
          </w:tcPr>
          <w:p>
            <w:pPr>
              <w:pStyle w:val="TableContents"/>
              <w:spacing w:before="0" w:after="0"/>
              <w:ind w:left="0" w:right="90" w:hanging="0"/>
              <w:jc w:val="both"/>
              <w:rPr>
                <w:rFonts w:ascii="times new roman;serif" w:hAnsi="times new roman;serif"/>
                <w:b/>
                <w:sz w:val="24"/>
              </w:rPr>
            </w:pPr>
            <w:r>
              <w:rPr>
                <w:rFonts w:ascii="times new roman;serif" w:hAnsi="times new roman;serif"/>
                <w:b/>
                <w:sz w:val="24"/>
              </w:rPr>
              <w:t>VULCAN ENERGY CORPORATION</w:t>
            </w:r>
          </w:p>
        </w:tc>
      </w:tr>
      <w:tr>
        <w:trPr/>
        <w:tc>
          <w:tcPr>
            <w:tcW w:w="5715" w:type="dxa"/>
            <w:tcBorders/>
            <w:shd w:fill="auto" w:val="clear"/>
          </w:tcPr>
          <w:p>
            <w:pPr>
              <w:pStyle w:val="TableContents"/>
              <w:spacing w:before="0" w:after="283"/>
              <w:rPr/>
            </w:pPr>
            <w:r>
              <w:rPr/>
              <w:t> </w:t>
            </w:r>
          </w:p>
        </w:tc>
        <w:tc>
          <w:tcPr>
            <w:tcW w:w="4490" w:type="dxa"/>
            <w:gridSpan w:val="4"/>
            <w:tcBorders/>
            <w:shd w:fill="auto" w:val="clear"/>
          </w:tcPr>
          <w:p>
            <w:pPr>
              <w:pStyle w:val="TableContents"/>
              <w:spacing w:before="0" w:after="283"/>
              <w:rPr/>
            </w:pPr>
            <w:r>
              <w:rPr/>
              <w:t> </w:t>
            </w:r>
          </w:p>
        </w:tc>
      </w:tr>
      <w:tr>
        <w:trPr/>
        <w:tc>
          <w:tcPr>
            <w:tcW w:w="5715"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0"/>
              <w:ind w:left="0" w:right="90" w:hanging="0"/>
              <w:jc w:val="both"/>
              <w:rPr>
                <w:rFonts w:ascii="times new roman;serif" w:hAnsi="times new roman;serif"/>
                <w:sz w:val="24"/>
              </w:rPr>
            </w:pPr>
            <w:r>
              <w:rPr>
                <w:rFonts w:ascii="times new roman;serif" w:hAnsi="times new roman;serif"/>
                <w:sz w:val="24"/>
              </w:rPr>
              <w:t>By:</w:t>
            </w:r>
          </w:p>
        </w:tc>
        <w:tc>
          <w:tcPr>
            <w:tcW w:w="3878" w:type="dxa"/>
            <w:gridSpan w:val="3"/>
            <w:tcBorders>
              <w:bottom w:val="single" w:sz="4" w:space="0" w:color="000000"/>
            </w:tcBorders>
            <w:shd w:fill="auto" w:val="clear"/>
            <w:tcMar>
              <w:bottom w:w="28" w:type="dxa"/>
            </w:tcMar>
          </w:tcPr>
          <w:p>
            <w:pPr>
              <w:pStyle w:val="TableContents"/>
              <w:spacing w:before="0" w:after="0"/>
              <w:ind w:left="0" w:right="90" w:hanging="0"/>
              <w:jc w:val="both"/>
              <w:rPr>
                <w:rFonts w:ascii="times new roman;serif" w:hAnsi="times new roman;serif"/>
                <w:sz w:val="24"/>
              </w:rPr>
            </w:pPr>
            <w:r>
              <w:rPr>
                <w:rFonts w:ascii="times new roman;serif" w:hAnsi="times new roman;serif"/>
                <w:sz w:val="24"/>
              </w:rPr>
              <w:t>/s/ Paul Ghaffar</w:t>
            </w:r>
          </w:p>
        </w:tc>
      </w:tr>
      <w:tr>
        <w:trPr/>
        <w:tc>
          <w:tcPr>
            <w:tcW w:w="5715"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283"/>
              <w:rPr/>
            </w:pPr>
            <w:r>
              <w:rPr/>
              <w:t xml:space="preserve">  </w:t>
            </w:r>
          </w:p>
        </w:tc>
        <w:tc>
          <w:tcPr>
            <w:tcW w:w="613"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Name:</w:t>
            </w:r>
          </w:p>
        </w:tc>
        <w:tc>
          <w:tcPr>
            <w:tcW w:w="3265" w:type="dxa"/>
            <w:gridSpan w:val="2"/>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Paul Ghaffar</w:t>
            </w:r>
          </w:p>
        </w:tc>
      </w:tr>
      <w:tr>
        <w:trPr/>
        <w:tc>
          <w:tcPr>
            <w:tcW w:w="5715"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283"/>
              <w:rPr/>
            </w:pPr>
            <w:r>
              <w:rPr/>
              <w:t xml:space="preserve">  </w:t>
            </w:r>
          </w:p>
        </w:tc>
        <w:tc>
          <w:tcPr>
            <w:tcW w:w="613"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Title:</w:t>
            </w:r>
          </w:p>
        </w:tc>
        <w:tc>
          <w:tcPr>
            <w:tcW w:w="3265" w:type="dxa"/>
            <w:gridSpan w:val="2"/>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President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514" w:name="PGBRK56"/>
      <w:bookmarkStart w:id="515" w:name="PGBRK56"/>
      <w:bookmarkEnd w:id="5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16" w:name="FTR56"/>
      <w:bookmarkStart w:id="517" w:name="FTR56"/>
      <w:bookmarkEnd w:id="5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rFonts w:ascii="Times New Roman" w:hAnsi="Times New Roman"/>
          <w:i/>
          <w:sz w:val="22"/>
        </w:rPr>
      </w:pPr>
      <w:r>
        <w:rPr>
          <w:rFonts w:ascii="Times New Roman" w:hAnsi="Times New Roman"/>
          <w:i/>
          <w:sz w:val="22"/>
        </w:rPr>
        <w:t>Signature Page to Underwriting Agreement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518" w:name="GLFTR56"/>
      <w:bookmarkEnd w:id="5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19" w:name="PN56"/>
      <w:bookmarkEnd w:id="51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20" w:name="HDR56"/>
      <w:bookmarkStart w:id="521" w:name="HDR56"/>
      <w:bookmarkEnd w:id="5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522" w:name="GLHDR56"/>
      <w:bookmarkEnd w:id="5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3780" w:hanging="0"/>
        <w:jc w:val="both"/>
        <w:rPr>
          <w:rFonts w:ascii="Times New Roman;serif" w:hAnsi="Times New Roman;serif"/>
          <w:sz w:val="24"/>
        </w:rPr>
      </w:pPr>
      <w:r>
        <w:rPr>
          <w:rFonts w:ascii="Times New Roman;serif" w:hAnsi="Times New Roman;serif"/>
          <w:sz w:val="24"/>
        </w:rPr>
        <w:t>The foregoing Agreement is hereby confirmed and accepted as of the date first above written.</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Citigroup Global Markets Inc.</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Barclays Capital Inc.</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Merrill Lynch, Pierce, Fenner &amp; Smith</w:t>
            </w:r>
          </w:p>
          <w:p>
            <w:pPr>
              <w:pStyle w:val="TableContents"/>
              <w:spacing w:before="0" w:after="0"/>
              <w:ind w:left="0" w:right="0" w:hanging="0"/>
              <w:jc w:val="both"/>
              <w:rPr/>
            </w:pPr>
            <w:r>
              <w:rPr/>
              <w:t>                     </w:t>
            </w:r>
            <w:r>
              <w:rPr>
                <w:rFonts w:ascii="times new roman;serif" w:hAnsi="times new roman;serif"/>
                <w:sz w:val="24"/>
              </w:rPr>
              <w:t>Incorporated</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J.P. Morgan Securities LLC</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UBS Securities LLC</w:t>
            </w:r>
          </w:p>
        </w:tc>
      </w:tr>
      <w:tr>
        <w:trPr/>
        <w:tc>
          <w:tcPr>
            <w:tcW w:w="10205" w:type="dxa"/>
            <w:tcBorders/>
            <w:shd w:fill="auto" w:val="clear"/>
          </w:tcPr>
          <w:p>
            <w:pPr>
              <w:pStyle w:val="TableContents"/>
              <w:spacing w:before="0" w:after="283"/>
              <w:rPr/>
            </w:pPr>
            <w:r>
              <w:rPr/>
              <w:t xml:space="preserve">  </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For themselves and as Representatives of the several Underwriters</w:t>
            </w:r>
          </w:p>
        </w:tc>
      </w:tr>
      <w:tr>
        <w:trPr/>
        <w:tc>
          <w:tcPr>
            <w:tcW w:w="10205" w:type="dxa"/>
            <w:tcBorders/>
            <w:shd w:fill="auto" w:val="clear"/>
          </w:tcPr>
          <w:p>
            <w:pPr>
              <w:pStyle w:val="TableContents"/>
              <w:spacing w:before="0" w:after="283"/>
              <w:rPr/>
            </w:pPr>
            <w:r>
              <w:rPr/>
              <w:t xml:space="preserve">  </w:t>
            </w:r>
          </w:p>
        </w:tc>
      </w:tr>
      <w:tr>
        <w:trPr/>
        <w:tc>
          <w:tcPr>
            <w:tcW w:w="10205"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6"/>
        <w:gridCol w:w="5459"/>
      </w:tblGrid>
      <w:tr>
        <w:trPr/>
        <w:tc>
          <w:tcPr>
            <w:tcW w:w="4746"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       </w:t>
            </w:r>
            <w:r>
              <w:rPr>
                <w:rFonts w:ascii="times new roman;serif" w:hAnsi="times new roman;serif"/>
                <w:b/>
                <w:sz w:val="24"/>
              </w:rPr>
              <w:t>Citigroup Global Markets Inc.</w:t>
            </w:r>
          </w:p>
          <w:p>
            <w:pPr>
              <w:pStyle w:val="TableContents"/>
              <w:spacing w:before="0" w:after="0"/>
              <w:ind w:left="0" w:right="0" w:hanging="0"/>
              <w:jc w:val="left"/>
              <w:rPr/>
            </w:pPr>
            <w:r>
              <w:rPr/>
              <w:t> </w:t>
            </w:r>
          </w:p>
          <w:p>
            <w:pPr>
              <w:pStyle w:val="TableContents"/>
              <w:spacing w:before="0" w:after="0"/>
              <w:ind w:left="720" w:right="0" w:hanging="0"/>
              <w:jc w:val="left"/>
              <w:rPr>
                <w:rFonts w:ascii="times new roman;serif" w:hAnsi="times new roman;serif"/>
                <w:sz w:val="24"/>
              </w:rPr>
            </w:pPr>
            <w:r>
              <w:rPr>
                <w:rFonts w:ascii="times new roman;serif" w:hAnsi="times new roman;serif"/>
                <w:sz w:val="24"/>
              </w:rPr>
              <w:t>By:       </w:t>
            </w:r>
            <w:r>
              <w:rPr>
                <w:rFonts w:ascii="times new roman;serif" w:hAnsi="times new roman;serif"/>
                <w:sz w:val="24"/>
                <w:u w:val="single"/>
              </w:rPr>
              <w:t>/s/ Amit Jhunjhunwala                               </w:t>
            </w:r>
            <w:r>
              <w:rPr>
                <w:rFonts w:ascii="times new roman;serif" w:hAnsi="times new roman;serif"/>
                <w:sz w:val="24"/>
              </w:rPr>
              <w:t>  </w:t>
            </w:r>
          </w:p>
          <w:p>
            <w:pPr>
              <w:pStyle w:val="TableContents"/>
              <w:spacing w:before="0" w:after="0"/>
              <w:ind w:left="720" w:right="0" w:firstLine="720"/>
              <w:jc w:val="left"/>
              <w:rPr>
                <w:rFonts w:ascii="times new roman;serif" w:hAnsi="times new roman;serif"/>
                <w:sz w:val="24"/>
              </w:rPr>
            </w:pPr>
            <w:r>
              <w:rPr>
                <w:rFonts w:ascii="times new roman;serif" w:hAnsi="times new roman;serif"/>
                <w:sz w:val="24"/>
              </w:rPr>
              <w:t>Name:  Amit Jhunjhunwala</w:t>
            </w:r>
          </w:p>
          <w:p>
            <w:pPr>
              <w:pStyle w:val="TableContents"/>
              <w:spacing w:before="0" w:after="0"/>
              <w:ind w:left="0" w:right="0" w:firstLine="1440"/>
              <w:jc w:val="left"/>
              <w:rPr>
                <w:rFonts w:ascii="times new roman;serif" w:hAnsi="times new roman;serif"/>
                <w:sz w:val="24"/>
              </w:rPr>
            </w:pPr>
            <w:r>
              <w:rPr>
                <w:rFonts w:ascii="times new roman;serif" w:hAnsi="times new roman;serif"/>
                <w:sz w:val="24"/>
              </w:rPr>
              <w:t>Title:     President</w:t>
            </w:r>
          </w:p>
          <w:p>
            <w:pPr>
              <w:pStyle w:val="TableContents"/>
              <w:spacing w:before="0" w:after="0"/>
              <w:ind w:left="0" w:right="0" w:hanging="0"/>
              <w:jc w:val="left"/>
              <w:rPr/>
            </w:pPr>
            <w:r>
              <w:rPr/>
              <w:t> </w:t>
            </w:r>
          </w:p>
        </w:tc>
        <w:tc>
          <w:tcPr>
            <w:tcW w:w="5459"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       </w:t>
            </w:r>
            <w:r>
              <w:rPr>
                <w:rFonts w:ascii="times new roman;serif" w:hAnsi="times new roman;serif"/>
                <w:b/>
                <w:sz w:val="24"/>
              </w:rPr>
              <w:t>Barclays Capital Inc.</w:t>
            </w:r>
          </w:p>
          <w:p>
            <w:pPr>
              <w:pStyle w:val="TableContents"/>
              <w:spacing w:before="0" w:after="0"/>
              <w:ind w:left="0" w:right="0" w:hanging="0"/>
              <w:jc w:val="left"/>
              <w:rPr/>
            </w:pPr>
            <w:r>
              <w:rPr/>
              <w:t> </w:t>
            </w:r>
          </w:p>
          <w:p>
            <w:pPr>
              <w:pStyle w:val="TableContents"/>
              <w:spacing w:before="0" w:after="0"/>
              <w:ind w:left="720" w:right="0" w:hanging="0"/>
              <w:jc w:val="left"/>
              <w:rPr>
                <w:rFonts w:ascii="times new roman;serif" w:hAnsi="times new roman;serif"/>
                <w:sz w:val="24"/>
              </w:rPr>
            </w:pPr>
            <w:r>
              <w:rPr>
                <w:rFonts w:ascii="times new roman;serif" w:hAnsi="times new roman;serif"/>
                <w:sz w:val="24"/>
              </w:rPr>
              <w:t>By:       </w:t>
            </w:r>
            <w:r>
              <w:rPr>
                <w:rFonts w:ascii="times new roman;serif" w:hAnsi="times new roman;serif"/>
                <w:sz w:val="24"/>
                <w:u w:val="single"/>
              </w:rPr>
              <w:t>/s/ Matt Johnson                                    </w:t>
            </w:r>
          </w:p>
          <w:p>
            <w:pPr>
              <w:pStyle w:val="TableContents"/>
              <w:spacing w:before="0" w:after="0"/>
              <w:ind w:left="720" w:right="0" w:firstLine="720"/>
              <w:jc w:val="left"/>
              <w:rPr>
                <w:rFonts w:ascii="times new roman;serif" w:hAnsi="times new roman;serif"/>
                <w:sz w:val="24"/>
              </w:rPr>
            </w:pPr>
            <w:r>
              <w:rPr>
                <w:rFonts w:ascii="times new roman;serif" w:hAnsi="times new roman;serif"/>
                <w:sz w:val="24"/>
              </w:rPr>
              <w:t>Name:  Matt Johnson</w:t>
            </w:r>
          </w:p>
          <w:p>
            <w:pPr>
              <w:pStyle w:val="TableContents"/>
              <w:spacing w:before="0" w:after="0"/>
              <w:ind w:left="0" w:right="0" w:firstLine="1440"/>
              <w:jc w:val="left"/>
              <w:rPr>
                <w:rFonts w:ascii="times new roman;serif" w:hAnsi="times new roman;serif"/>
                <w:sz w:val="24"/>
              </w:rPr>
            </w:pPr>
            <w:r>
              <w:rPr>
                <w:rFonts w:ascii="times new roman;serif" w:hAnsi="times new roman;serif"/>
                <w:sz w:val="24"/>
              </w:rPr>
              <w:t>Title:     Managing Director</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4746"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       </w:t>
            </w:r>
            <w:r>
              <w:rPr>
                <w:rFonts w:ascii="times new roman;serif" w:hAnsi="times new roman;serif"/>
                <w:b/>
                <w:sz w:val="24"/>
              </w:rPr>
              <w:t>J.P. Morgan Securities LLC</w:t>
            </w:r>
          </w:p>
          <w:p>
            <w:pPr>
              <w:pStyle w:val="TableContents"/>
              <w:spacing w:before="0" w:after="0"/>
              <w:ind w:left="0" w:right="0" w:hanging="0"/>
              <w:jc w:val="left"/>
              <w:rPr/>
            </w:pPr>
            <w:r>
              <w:rPr/>
              <w:t> </w:t>
            </w:r>
          </w:p>
          <w:p>
            <w:pPr>
              <w:pStyle w:val="TableContents"/>
              <w:spacing w:before="0" w:after="0"/>
              <w:ind w:left="720" w:right="0" w:hanging="0"/>
              <w:jc w:val="left"/>
              <w:rPr/>
            </w:pPr>
            <w:r>
              <w:rPr/>
              <w:t> </w:t>
            </w:r>
          </w:p>
          <w:p>
            <w:pPr>
              <w:pStyle w:val="TableContents"/>
              <w:spacing w:before="0" w:after="0"/>
              <w:ind w:left="720" w:right="0" w:hanging="0"/>
              <w:jc w:val="left"/>
              <w:rPr>
                <w:rFonts w:ascii="times new roman;serif" w:hAnsi="times new roman;serif"/>
                <w:sz w:val="24"/>
              </w:rPr>
            </w:pPr>
            <w:r>
              <w:rPr>
                <w:rFonts w:ascii="times new roman;serif" w:hAnsi="times new roman;serif"/>
                <w:sz w:val="24"/>
              </w:rPr>
              <w:t>By:       </w:t>
            </w:r>
            <w:r>
              <w:rPr>
                <w:rFonts w:ascii="times new roman;serif" w:hAnsi="times new roman;serif"/>
                <w:sz w:val="24"/>
                <w:u w:val="single"/>
              </w:rPr>
              <w:t>/s/ Stephen Clark                                     </w:t>
            </w:r>
            <w:r>
              <w:rPr>
                <w:rFonts w:ascii="times new roman;serif" w:hAnsi="times new roman;serif"/>
                <w:sz w:val="24"/>
              </w:rPr>
              <w:t>  </w:t>
            </w:r>
          </w:p>
          <w:p>
            <w:pPr>
              <w:pStyle w:val="TableContents"/>
              <w:spacing w:before="0" w:after="0"/>
              <w:ind w:left="720" w:right="0" w:firstLine="720"/>
              <w:jc w:val="left"/>
              <w:rPr>
                <w:rFonts w:ascii="times new roman;serif" w:hAnsi="times new roman;serif"/>
                <w:sz w:val="24"/>
              </w:rPr>
            </w:pPr>
            <w:r>
              <w:rPr>
                <w:rFonts w:ascii="times new roman;serif" w:hAnsi="times new roman;serif"/>
                <w:sz w:val="24"/>
              </w:rPr>
              <w:t>Name:  Stephen Clark</w:t>
            </w:r>
          </w:p>
          <w:p>
            <w:pPr>
              <w:pStyle w:val="TableContents"/>
              <w:spacing w:before="0" w:after="0"/>
              <w:ind w:left="0" w:right="0" w:firstLine="1440"/>
              <w:jc w:val="left"/>
              <w:rPr>
                <w:rFonts w:ascii="times new roman;serif" w:hAnsi="times new roman;serif"/>
                <w:sz w:val="24"/>
              </w:rPr>
            </w:pPr>
            <w:r>
              <w:rPr>
                <w:rFonts w:ascii="times new roman;serif" w:hAnsi="times new roman;serif"/>
                <w:sz w:val="24"/>
              </w:rPr>
              <w:t>Title:     Managing Director</w:t>
            </w:r>
          </w:p>
          <w:p>
            <w:pPr>
              <w:pStyle w:val="TableContents"/>
              <w:spacing w:before="0" w:after="0"/>
              <w:ind w:left="0" w:right="0" w:hanging="0"/>
              <w:jc w:val="left"/>
              <w:rPr/>
            </w:pPr>
            <w:r>
              <w:rPr/>
              <w:t> </w:t>
            </w:r>
          </w:p>
        </w:tc>
        <w:tc>
          <w:tcPr>
            <w:tcW w:w="5459"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       </w:t>
            </w:r>
            <w:r>
              <w:rPr>
                <w:rFonts w:ascii="times new roman;serif" w:hAnsi="times new roman;serif"/>
                <w:b/>
                <w:sz w:val="24"/>
              </w:rPr>
              <w:t>Merrill Lynch, Pierce, Fenner &amp; Smith</w:t>
            </w:r>
          </w:p>
          <w:p>
            <w:pPr>
              <w:pStyle w:val="TableContents"/>
              <w:spacing w:before="0" w:after="0"/>
              <w:ind w:left="2070" w:right="0" w:hanging="0"/>
              <w:jc w:val="left"/>
              <w:rPr>
                <w:rFonts w:ascii="times new roman;serif" w:hAnsi="times new roman;serif"/>
                <w:b/>
                <w:sz w:val="24"/>
              </w:rPr>
            </w:pPr>
            <w:bookmarkStart w:id="523" w:name="TAB16"/>
            <w:bookmarkEnd w:id="523"/>
            <w:r>
              <w:rPr>
                <w:rFonts w:ascii="times new roman;serif" w:hAnsi="times new roman;serif"/>
                <w:b/>
                <w:sz w:val="24"/>
              </w:rPr>
              <w:t>Incorporated</w:t>
            </w:r>
          </w:p>
          <w:p>
            <w:pPr>
              <w:pStyle w:val="TableContents"/>
              <w:spacing w:before="0" w:after="0"/>
              <w:ind w:left="0" w:right="0" w:hanging="0"/>
              <w:jc w:val="left"/>
              <w:rPr/>
            </w:pPr>
            <w:r>
              <w:rPr/>
              <w:t> </w:t>
            </w:r>
          </w:p>
          <w:p>
            <w:pPr>
              <w:pStyle w:val="TableContents"/>
              <w:spacing w:before="0" w:after="0"/>
              <w:ind w:left="720" w:right="0" w:hanging="0"/>
              <w:jc w:val="left"/>
              <w:rPr>
                <w:rFonts w:ascii="times new roman;serif" w:hAnsi="times new roman;serif"/>
                <w:sz w:val="24"/>
              </w:rPr>
            </w:pPr>
            <w:r>
              <w:rPr>
                <w:rFonts w:ascii="times new roman;serif" w:hAnsi="times new roman;serif"/>
                <w:sz w:val="24"/>
              </w:rPr>
              <w:t>By:       </w:t>
            </w:r>
            <w:r>
              <w:rPr>
                <w:rFonts w:ascii="times new roman;serif" w:hAnsi="times new roman;serif"/>
                <w:sz w:val="24"/>
                <w:u w:val="single"/>
              </w:rPr>
              <w:t>/s/ Mark Sooby                                     </w:t>
            </w:r>
          </w:p>
          <w:p>
            <w:pPr>
              <w:pStyle w:val="TableContents"/>
              <w:spacing w:before="0" w:after="0"/>
              <w:ind w:left="720" w:right="0" w:firstLine="720"/>
              <w:jc w:val="left"/>
              <w:rPr>
                <w:rFonts w:ascii="times new roman;serif" w:hAnsi="times new roman;serif"/>
                <w:sz w:val="24"/>
              </w:rPr>
            </w:pPr>
            <w:r>
              <w:rPr>
                <w:rFonts w:ascii="times new roman;serif" w:hAnsi="times new roman;serif"/>
                <w:sz w:val="24"/>
              </w:rPr>
              <w:t>Name:  Mark Sooby</w:t>
            </w:r>
          </w:p>
          <w:p>
            <w:pPr>
              <w:pStyle w:val="TableContents"/>
              <w:spacing w:before="0" w:after="0"/>
              <w:ind w:left="0" w:right="0" w:firstLine="1440"/>
              <w:jc w:val="left"/>
              <w:rPr>
                <w:rFonts w:ascii="times new roman;serif" w:hAnsi="times new roman;serif"/>
                <w:sz w:val="24"/>
              </w:rPr>
            </w:pPr>
            <w:r>
              <w:rPr>
                <w:rFonts w:ascii="times new roman;serif" w:hAnsi="times new roman;serif"/>
                <w:sz w:val="24"/>
              </w:rPr>
              <w:t>Title:</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4746"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       </w:t>
            </w:r>
            <w:r>
              <w:rPr>
                <w:rFonts w:ascii="times new roman;serif" w:hAnsi="times new roman;serif"/>
                <w:b/>
                <w:sz w:val="24"/>
              </w:rPr>
              <w:t>UBS Securities LLC</w:t>
            </w:r>
          </w:p>
          <w:p>
            <w:pPr>
              <w:pStyle w:val="TableContents"/>
              <w:spacing w:before="0" w:after="0"/>
              <w:ind w:left="0" w:right="0" w:hanging="0"/>
              <w:jc w:val="left"/>
              <w:rPr/>
            </w:pPr>
            <w:r>
              <w:rPr/>
              <w:t> </w:t>
            </w:r>
          </w:p>
          <w:p>
            <w:pPr>
              <w:pStyle w:val="TableContents"/>
              <w:spacing w:before="0" w:after="0"/>
              <w:ind w:left="720" w:right="0" w:hanging="0"/>
              <w:jc w:val="left"/>
              <w:rPr>
                <w:rFonts w:ascii="times new roman;serif" w:hAnsi="times new roman;serif"/>
                <w:sz w:val="24"/>
              </w:rPr>
            </w:pPr>
            <w:r>
              <w:rPr>
                <w:rFonts w:ascii="times new roman;serif" w:hAnsi="times new roman;serif"/>
                <w:sz w:val="24"/>
              </w:rPr>
              <w:t>By:       </w:t>
            </w:r>
            <w:r>
              <w:rPr>
                <w:rFonts w:ascii="times new roman;serif" w:hAnsi="times new roman;serif"/>
                <w:sz w:val="24"/>
                <w:u w:val="single"/>
              </w:rPr>
              <w:t>/s/ Michael Buckingham                            </w:t>
            </w:r>
          </w:p>
          <w:p>
            <w:pPr>
              <w:pStyle w:val="TableContents"/>
              <w:spacing w:before="0" w:after="0"/>
              <w:ind w:left="720" w:right="0" w:firstLine="720"/>
              <w:jc w:val="left"/>
              <w:rPr>
                <w:rFonts w:ascii="times new roman;serif" w:hAnsi="times new roman;serif"/>
                <w:sz w:val="24"/>
              </w:rPr>
            </w:pPr>
            <w:r>
              <w:rPr>
                <w:rFonts w:ascii="times new roman;serif" w:hAnsi="times new roman;serif"/>
                <w:sz w:val="24"/>
              </w:rPr>
              <w:t>Name:  Michael Buckingham</w:t>
            </w:r>
          </w:p>
          <w:p>
            <w:pPr>
              <w:pStyle w:val="TableContents"/>
              <w:spacing w:before="0" w:after="0"/>
              <w:ind w:left="0" w:right="0" w:firstLine="1440"/>
              <w:jc w:val="left"/>
              <w:rPr>
                <w:rFonts w:ascii="times new roman;serif" w:hAnsi="times new roman;serif"/>
                <w:sz w:val="24"/>
              </w:rPr>
            </w:pPr>
            <w:r>
              <w:rPr>
                <w:rFonts w:ascii="times new roman;serif" w:hAnsi="times new roman;serif"/>
                <w:sz w:val="24"/>
              </w:rPr>
              <w:t>Title:     Executive Director</w:t>
            </w:r>
          </w:p>
          <w:p>
            <w:pPr>
              <w:pStyle w:val="TableContents"/>
              <w:spacing w:before="0" w:after="0"/>
              <w:ind w:left="0" w:right="0" w:hanging="0"/>
              <w:jc w:val="left"/>
              <w:rPr/>
            </w:pPr>
            <w:r>
              <w:rPr/>
              <w:t> </w:t>
            </w:r>
          </w:p>
          <w:p>
            <w:pPr>
              <w:pStyle w:val="TableContents"/>
              <w:spacing w:before="0" w:after="0"/>
              <w:ind w:left="720" w:right="0" w:hanging="0"/>
              <w:jc w:val="left"/>
              <w:rPr>
                <w:rFonts w:ascii="times new roman;serif" w:hAnsi="times new roman;serif"/>
                <w:sz w:val="24"/>
              </w:rPr>
            </w:pPr>
            <w:r>
              <w:rPr>
                <w:rFonts w:ascii="times new roman;serif" w:hAnsi="times new roman;serif"/>
                <w:sz w:val="24"/>
              </w:rPr>
              <w:t>By:       </w:t>
            </w:r>
            <w:r>
              <w:rPr>
                <w:rFonts w:ascii="times new roman;serif" w:hAnsi="times new roman;serif"/>
                <w:sz w:val="24"/>
                <w:u w:val="single"/>
              </w:rPr>
              <w:t>/s/ Bimal Amin                                          </w:t>
            </w:r>
          </w:p>
          <w:p>
            <w:pPr>
              <w:pStyle w:val="TableContents"/>
              <w:spacing w:before="0" w:after="0"/>
              <w:ind w:left="720" w:right="0" w:firstLine="720"/>
              <w:jc w:val="left"/>
              <w:rPr>
                <w:rFonts w:ascii="times new roman;serif" w:hAnsi="times new roman;serif"/>
                <w:sz w:val="24"/>
              </w:rPr>
            </w:pPr>
            <w:r>
              <w:rPr>
                <w:rFonts w:ascii="times new roman;serif" w:hAnsi="times new roman;serif"/>
                <w:sz w:val="24"/>
              </w:rPr>
              <w:t>Name:  Bimal Amin</w:t>
            </w:r>
          </w:p>
          <w:p>
            <w:pPr>
              <w:pStyle w:val="TableContents"/>
              <w:spacing w:before="0" w:after="0"/>
              <w:ind w:left="0" w:right="0" w:firstLine="1440"/>
              <w:jc w:val="left"/>
              <w:rPr>
                <w:rFonts w:ascii="times new roman;serif" w:hAnsi="times new roman;serif"/>
                <w:sz w:val="24"/>
              </w:rPr>
            </w:pPr>
            <w:r>
              <w:rPr>
                <w:rFonts w:ascii="times new roman;serif" w:hAnsi="times new roman;serif"/>
                <w:sz w:val="24"/>
              </w:rPr>
              <w:t>Title:     Associate Director</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5459" w:type="dxa"/>
            <w:tcBorders/>
            <w:shd w:fill="auto" w:val="clear"/>
          </w:tcPr>
          <w:p>
            <w:pPr>
              <w:pStyle w:val="TableContents"/>
              <w:spacing w:before="0" w:after="283"/>
              <w:rPr/>
            </w:pPr>
            <w:r>
              <w:rPr/>
              <w:t xml:space="preserve">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524" w:name="PGBRK57"/>
      <w:bookmarkStart w:id="525" w:name="PGBRK57"/>
      <w:bookmarkEnd w:id="5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26" w:name="FTR57"/>
      <w:bookmarkStart w:id="527" w:name="FTR57"/>
      <w:bookmarkEnd w:id="5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rFonts w:ascii="Times New Roman" w:hAnsi="Times New Roman"/>
          <w:i/>
          <w:sz w:val="22"/>
        </w:rPr>
      </w:pPr>
      <w:bookmarkStart w:id="528" w:name="FTR_DIV"/>
      <w:bookmarkEnd w:id="528"/>
      <w:r>
        <w:rPr>
          <w:rFonts w:ascii="Times New Roman" w:hAnsi="Times New Roman"/>
          <w:i/>
          <w:sz w:val="22"/>
        </w:rPr>
        <w:t>Signature Page to Underwriting Agreement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529" w:name="GLFTR57"/>
      <w:bookmarkEnd w:id="5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30" w:name="PN57"/>
      <w:bookmarkEnd w:id="53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31" w:name="HDR57"/>
      <w:bookmarkStart w:id="532" w:name="HDR57"/>
      <w:bookmarkEnd w:id="5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533" w:name="GLHDR57"/>
      <w:bookmarkEnd w:id="5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4"/>
        </w:rPr>
      </w:pPr>
      <w:r>
        <w:rPr>
          <w:rFonts w:ascii="Times New Roman;serif" w:hAnsi="Times New Roman;serif"/>
          <w:b/>
          <w:sz w:val="24"/>
        </w:rPr>
        <w:t>SCHEDULE I</w:t>
      </w:r>
    </w:p>
    <w:tbl>
      <w:tblPr>
        <w:tblW w:w="5000" w:type="pct"/>
        <w:jc w:val="left"/>
        <w:tblInd w:w="0" w:type="dxa"/>
        <w:tblCellMar>
          <w:top w:w="0" w:type="dxa"/>
          <w:left w:w="0" w:type="dxa"/>
          <w:bottom w:w="0" w:type="dxa"/>
          <w:right w:w="0" w:type="dxa"/>
        </w:tblCellMar>
      </w:tblPr>
      <w:tblGrid>
        <w:gridCol w:w="8890"/>
        <w:gridCol w:w="104"/>
        <w:gridCol w:w="104"/>
        <w:gridCol w:w="997"/>
        <w:gridCol w:w="110"/>
      </w:tblGrid>
      <w:tr>
        <w:trPr/>
        <w:tc>
          <w:tcPr>
            <w:tcW w:w="8890" w:type="dxa"/>
            <w:tcBorders/>
            <w:shd w:fill="auto" w:val="clear"/>
            <w:vAlign w:val="bottom"/>
          </w:tcPr>
          <w:p>
            <w:pPr>
              <w:pStyle w:val="TableContents"/>
              <w:spacing w:before="0" w:after="0"/>
              <w:ind w:left="0" w:right="0" w:hanging="0"/>
              <w:rPr/>
            </w:pPr>
            <w:r>
              <w:rPr/>
              <w:t> </w:t>
            </w:r>
          </w:p>
          <w:p>
            <w:pPr>
              <w:pStyle w:val="TableContents"/>
              <w:spacing w:before="0" w:after="0"/>
              <w:ind w:left="0" w:right="0" w:hanging="0"/>
              <w:jc w:val="center"/>
              <w:rPr>
                <w:rFonts w:ascii="times new roman;serif" w:hAnsi="times new roman;serif"/>
                <w:sz w:val="24"/>
                <w:u w:val="single"/>
              </w:rPr>
            </w:pPr>
            <w:r>
              <w:rPr>
                <w:rFonts w:ascii="times new roman;serif" w:hAnsi="times new roman;serif"/>
                <w:sz w:val="24"/>
                <w:u w:val="single"/>
              </w:rPr>
              <w:t>Underwriter</w:t>
            </w:r>
          </w:p>
        </w:tc>
        <w:tc>
          <w:tcPr>
            <w:tcW w:w="104" w:type="dxa"/>
            <w:tcBorders/>
            <w:shd w:fill="auto" w:val="clear"/>
            <w:vAlign w:val="bottom"/>
          </w:tcPr>
          <w:p>
            <w:pPr>
              <w:pStyle w:val="TableContents"/>
              <w:spacing w:before="0" w:after="283"/>
              <w:rPr/>
            </w:pPr>
            <w:r>
              <w:rPr/>
              <w:t> </w:t>
            </w:r>
          </w:p>
        </w:tc>
        <w:tc>
          <w:tcPr>
            <w:tcW w:w="1101" w:type="dxa"/>
            <w:gridSpan w:val="2"/>
            <w:tcBorders/>
            <w:shd w:fill="auto" w:val="clear"/>
            <w:vAlign w:val="bottom"/>
          </w:tcPr>
          <w:p>
            <w:pPr>
              <w:pStyle w:val="TableContents"/>
              <w:spacing w:before="0" w:after="0"/>
              <w:ind w:left="0" w:right="0" w:hanging="0"/>
              <w:jc w:val="center"/>
              <w:rPr>
                <w:rFonts w:ascii="times new roman;serif" w:hAnsi="times new roman;serif"/>
                <w:sz w:val="24"/>
              </w:rPr>
            </w:pPr>
            <w:r>
              <w:rPr>
                <w:rFonts w:ascii="times new roman;serif" w:hAnsi="times new roman;serif"/>
                <w:sz w:val="24"/>
              </w:rPr>
              <w:t>Number of Firm Units</w:t>
            </w:r>
          </w:p>
          <w:p>
            <w:pPr>
              <w:pStyle w:val="TableContents"/>
              <w:spacing w:before="0" w:after="0"/>
              <w:ind w:left="0" w:right="0" w:hanging="0"/>
              <w:jc w:val="center"/>
              <w:rPr>
                <w:rFonts w:ascii="times new roman;serif" w:hAnsi="times new roman;serif"/>
                <w:sz w:val="24"/>
                <w:u w:val="single"/>
              </w:rPr>
            </w:pPr>
            <w:r>
              <w:rPr>
                <w:rFonts w:ascii="times new roman;serif" w:hAnsi="times new roman;serif"/>
                <w:sz w:val="24"/>
                <w:u w:val="single"/>
              </w:rPr>
              <w:t>to be Purchased</w:t>
            </w:r>
          </w:p>
        </w:tc>
        <w:tc>
          <w:tcPr>
            <w:tcW w:w="110" w:type="dxa"/>
            <w:tcBorders/>
            <w:shd w:fill="auto" w:val="clear"/>
            <w:vAlign w:val="bottom"/>
          </w:tcPr>
          <w:p>
            <w:pPr>
              <w:pStyle w:val="TableContents"/>
              <w:spacing w:before="0" w:after="283"/>
              <w:jc w:val="left"/>
              <w:rPr/>
            </w:pPr>
            <w:r>
              <w:rPr/>
              <w:t> </w:t>
            </w:r>
          </w:p>
        </w:tc>
      </w:tr>
      <w:tr>
        <w:trPr/>
        <w:tc>
          <w:tcPr>
            <w:tcW w:w="8890" w:type="dxa"/>
            <w:tcBorders/>
            <w:shd w:fill="CCEEFF" w:val="clear"/>
            <w:vAlign w:val="bottom"/>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Citigroup Global Markets Inc.</w:t>
            </w:r>
          </w:p>
        </w:tc>
        <w:tc>
          <w:tcPr>
            <w:tcW w:w="104"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7" w:type="dxa"/>
            <w:tcBorders/>
            <w:shd w:fill="CCEEFF" w:val="clear"/>
            <w:vAlign w:val="bottom"/>
          </w:tcPr>
          <w:p>
            <w:pPr>
              <w:pStyle w:val="TableContents"/>
              <w:spacing w:before="0" w:after="283"/>
              <w:jc w:val="right"/>
              <w:rPr>
                <w:rFonts w:ascii="times new roman;serif" w:hAnsi="times new roman;serif"/>
                <w:sz w:val="24"/>
              </w:rPr>
            </w:pPr>
            <w:r>
              <w:rPr>
                <w:rFonts w:ascii="times new roman;serif" w:hAnsi="times new roman;serif"/>
                <w:sz w:val="24"/>
              </w:rPr>
              <w:t>1,650,000</w:t>
            </w:r>
          </w:p>
        </w:tc>
        <w:tc>
          <w:tcPr>
            <w:tcW w:w="110" w:type="dxa"/>
            <w:tcBorders/>
            <w:shd w:fill="CCEEFF" w:val="clear"/>
            <w:vAlign w:val="bottom"/>
          </w:tcPr>
          <w:p>
            <w:pPr>
              <w:pStyle w:val="TableContents"/>
              <w:spacing w:before="0" w:after="283"/>
              <w:jc w:val="left"/>
              <w:rPr/>
            </w:pPr>
            <w:r>
              <w:rPr/>
              <w:t> </w:t>
            </w:r>
          </w:p>
        </w:tc>
      </w:tr>
      <w:tr>
        <w:trPr/>
        <w:tc>
          <w:tcPr>
            <w:tcW w:w="8890" w:type="dxa"/>
            <w:tcBorders/>
            <w:shd w:fill="FFFFFF" w:val="clear"/>
            <w:vAlign w:val="bottom"/>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Barclays Capital Inc.</w:t>
            </w:r>
          </w:p>
        </w:tc>
        <w:tc>
          <w:tcPr>
            <w:tcW w:w="104"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97" w:type="dxa"/>
            <w:tcBorders/>
            <w:shd w:fill="FFFFFF" w:val="clear"/>
            <w:vAlign w:val="bottom"/>
          </w:tcPr>
          <w:p>
            <w:pPr>
              <w:pStyle w:val="TableContents"/>
              <w:spacing w:before="0" w:after="283"/>
              <w:jc w:val="right"/>
              <w:rPr>
                <w:rFonts w:ascii="times new roman;serif" w:hAnsi="times new roman;serif"/>
                <w:sz w:val="24"/>
              </w:rPr>
            </w:pPr>
            <w:r>
              <w:rPr>
                <w:rFonts w:ascii="times new roman;serif" w:hAnsi="times new roman;serif"/>
                <w:sz w:val="24"/>
              </w:rPr>
              <w:t>1,200,000</w:t>
            </w:r>
          </w:p>
        </w:tc>
        <w:tc>
          <w:tcPr>
            <w:tcW w:w="110" w:type="dxa"/>
            <w:tcBorders/>
            <w:shd w:fill="FFFFFF" w:val="clear"/>
            <w:vAlign w:val="bottom"/>
          </w:tcPr>
          <w:p>
            <w:pPr>
              <w:pStyle w:val="TableContents"/>
              <w:spacing w:before="0" w:after="283"/>
              <w:jc w:val="left"/>
              <w:rPr/>
            </w:pPr>
            <w:r>
              <w:rPr/>
              <w:t> </w:t>
            </w:r>
          </w:p>
        </w:tc>
      </w:tr>
      <w:tr>
        <w:trPr/>
        <w:tc>
          <w:tcPr>
            <w:tcW w:w="8890" w:type="dxa"/>
            <w:tcBorders/>
            <w:shd w:fill="CCEEFF" w:val="clear"/>
            <w:vAlign w:val="bottom"/>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Merrill Lynch, Pierce, Fenner &amp; Smith</w:t>
            </w:r>
          </w:p>
          <w:p>
            <w:pPr>
              <w:pStyle w:val="TableContents"/>
              <w:spacing w:before="0" w:after="0"/>
              <w:ind w:left="0" w:right="0" w:hanging="0"/>
              <w:jc w:val="both"/>
              <w:rPr/>
            </w:pPr>
            <w:r>
              <w:rPr/>
              <w:t>                     </w:t>
            </w:r>
            <w:r>
              <w:rPr>
                <w:rFonts w:ascii="times new roman;serif" w:hAnsi="times new roman;serif"/>
                <w:sz w:val="24"/>
              </w:rPr>
              <w:t>Incorporated</w:t>
            </w:r>
          </w:p>
        </w:tc>
        <w:tc>
          <w:tcPr>
            <w:tcW w:w="104"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7" w:type="dxa"/>
            <w:tcBorders/>
            <w:shd w:fill="CCEEFF" w:val="clear"/>
            <w:vAlign w:val="bottom"/>
          </w:tcPr>
          <w:p>
            <w:pPr>
              <w:pStyle w:val="TableContents"/>
              <w:spacing w:before="0" w:after="283"/>
              <w:jc w:val="right"/>
              <w:rPr>
                <w:rFonts w:ascii="times new roman;serif" w:hAnsi="times new roman;serif"/>
                <w:sz w:val="24"/>
              </w:rPr>
            </w:pPr>
            <w:r>
              <w:rPr>
                <w:rFonts w:ascii="times new roman;serif" w:hAnsi="times new roman;serif"/>
                <w:sz w:val="24"/>
              </w:rPr>
              <w:t>1,012,500</w:t>
            </w:r>
          </w:p>
        </w:tc>
        <w:tc>
          <w:tcPr>
            <w:tcW w:w="110" w:type="dxa"/>
            <w:tcBorders/>
            <w:shd w:fill="CCEEFF" w:val="clear"/>
            <w:vAlign w:val="bottom"/>
          </w:tcPr>
          <w:p>
            <w:pPr>
              <w:pStyle w:val="TableContents"/>
              <w:spacing w:before="0" w:after="283"/>
              <w:jc w:val="left"/>
              <w:rPr/>
            </w:pPr>
            <w:r>
              <w:rPr/>
              <w:t> </w:t>
            </w:r>
          </w:p>
        </w:tc>
      </w:tr>
      <w:tr>
        <w:trPr/>
        <w:tc>
          <w:tcPr>
            <w:tcW w:w="8890" w:type="dxa"/>
            <w:tcBorders/>
            <w:shd w:fill="FFFFFF" w:val="clear"/>
            <w:vAlign w:val="bottom"/>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J.P. Morgan Securities LLC</w:t>
            </w:r>
          </w:p>
        </w:tc>
        <w:tc>
          <w:tcPr>
            <w:tcW w:w="104"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97" w:type="dxa"/>
            <w:tcBorders/>
            <w:shd w:fill="FFFFFF" w:val="clear"/>
            <w:vAlign w:val="bottom"/>
          </w:tcPr>
          <w:p>
            <w:pPr>
              <w:pStyle w:val="TableContents"/>
              <w:spacing w:before="0" w:after="283"/>
              <w:jc w:val="right"/>
              <w:rPr>
                <w:rFonts w:ascii="times new roman;serif" w:hAnsi="times new roman;serif"/>
                <w:sz w:val="24"/>
              </w:rPr>
            </w:pPr>
            <w:r>
              <w:rPr>
                <w:rFonts w:ascii="times new roman;serif" w:hAnsi="times new roman;serif"/>
                <w:sz w:val="24"/>
              </w:rPr>
              <w:t>1,200,000</w:t>
            </w:r>
          </w:p>
        </w:tc>
        <w:tc>
          <w:tcPr>
            <w:tcW w:w="110" w:type="dxa"/>
            <w:tcBorders/>
            <w:shd w:fill="FFFFFF" w:val="clear"/>
            <w:vAlign w:val="bottom"/>
          </w:tcPr>
          <w:p>
            <w:pPr>
              <w:pStyle w:val="TableContents"/>
              <w:spacing w:before="0" w:after="283"/>
              <w:jc w:val="left"/>
              <w:rPr/>
            </w:pPr>
            <w:r>
              <w:rPr/>
              <w:t> </w:t>
            </w:r>
          </w:p>
        </w:tc>
      </w:tr>
      <w:tr>
        <w:trPr/>
        <w:tc>
          <w:tcPr>
            <w:tcW w:w="8890" w:type="dxa"/>
            <w:tcBorders/>
            <w:shd w:fill="CCEEFF" w:val="clear"/>
            <w:vAlign w:val="bottom"/>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UBS Securities LLC</w:t>
            </w:r>
          </w:p>
        </w:tc>
        <w:tc>
          <w:tcPr>
            <w:tcW w:w="104"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7" w:type="dxa"/>
            <w:tcBorders/>
            <w:shd w:fill="CCEEFF" w:val="clear"/>
            <w:vAlign w:val="bottom"/>
          </w:tcPr>
          <w:p>
            <w:pPr>
              <w:pStyle w:val="TableContents"/>
              <w:spacing w:before="0" w:after="283"/>
              <w:jc w:val="right"/>
              <w:rPr>
                <w:rFonts w:ascii="times new roman;serif" w:hAnsi="times new roman;serif"/>
                <w:sz w:val="24"/>
              </w:rPr>
            </w:pPr>
            <w:r>
              <w:rPr>
                <w:rFonts w:ascii="times new roman;serif" w:hAnsi="times new roman;serif"/>
                <w:sz w:val="24"/>
              </w:rPr>
              <w:t>1,200,000</w:t>
            </w:r>
          </w:p>
        </w:tc>
        <w:tc>
          <w:tcPr>
            <w:tcW w:w="110" w:type="dxa"/>
            <w:tcBorders/>
            <w:shd w:fill="CCEEFF" w:val="clear"/>
            <w:vAlign w:val="bottom"/>
          </w:tcPr>
          <w:p>
            <w:pPr>
              <w:pStyle w:val="TableContents"/>
              <w:spacing w:before="0" w:after="283"/>
              <w:jc w:val="left"/>
              <w:rPr/>
            </w:pPr>
            <w:r>
              <w:rPr/>
              <w:t> </w:t>
            </w:r>
          </w:p>
        </w:tc>
      </w:tr>
      <w:tr>
        <w:trPr/>
        <w:tc>
          <w:tcPr>
            <w:tcW w:w="8890" w:type="dxa"/>
            <w:tcBorders/>
            <w:shd w:fill="FFFFFF" w:val="clear"/>
            <w:vAlign w:val="bottom"/>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Raymond James &amp; Associates, Inc.</w:t>
            </w:r>
          </w:p>
        </w:tc>
        <w:tc>
          <w:tcPr>
            <w:tcW w:w="104"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97" w:type="dxa"/>
            <w:tcBorders/>
            <w:shd w:fill="FFFFFF" w:val="clear"/>
            <w:vAlign w:val="bottom"/>
          </w:tcPr>
          <w:p>
            <w:pPr>
              <w:pStyle w:val="TableContents"/>
              <w:spacing w:before="0" w:after="283"/>
              <w:jc w:val="right"/>
              <w:rPr>
                <w:rFonts w:ascii="times new roman;serif" w:hAnsi="times new roman;serif"/>
                <w:sz w:val="24"/>
              </w:rPr>
            </w:pPr>
            <w:r>
              <w:rPr>
                <w:rFonts w:ascii="times new roman;serif" w:hAnsi="times new roman;serif"/>
                <w:sz w:val="24"/>
              </w:rPr>
              <w:t>487,500</w:t>
            </w:r>
          </w:p>
        </w:tc>
        <w:tc>
          <w:tcPr>
            <w:tcW w:w="110" w:type="dxa"/>
            <w:tcBorders/>
            <w:shd w:fill="FFFFFF" w:val="clear"/>
            <w:vAlign w:val="bottom"/>
          </w:tcPr>
          <w:p>
            <w:pPr>
              <w:pStyle w:val="TableContents"/>
              <w:spacing w:before="0" w:after="283"/>
              <w:jc w:val="left"/>
              <w:rPr/>
            </w:pPr>
            <w:r>
              <w:rPr/>
              <w:t> </w:t>
            </w:r>
          </w:p>
        </w:tc>
      </w:tr>
      <w:tr>
        <w:trPr/>
        <w:tc>
          <w:tcPr>
            <w:tcW w:w="8890" w:type="dxa"/>
            <w:tcBorders/>
            <w:shd w:fill="CCEEFF" w:val="clear"/>
            <w:vAlign w:val="bottom"/>
          </w:tcPr>
          <w:p>
            <w:pPr>
              <w:pStyle w:val="TableContents"/>
              <w:spacing w:before="0" w:after="0"/>
              <w:ind w:left="720" w:right="0" w:hanging="720"/>
              <w:jc w:val="both"/>
              <w:rPr>
                <w:rFonts w:ascii="times new roman;serif" w:hAnsi="times new roman;serif"/>
                <w:sz w:val="24"/>
              </w:rPr>
            </w:pPr>
            <w:r>
              <w:rPr>
                <w:rFonts w:ascii="times new roman;serif" w:hAnsi="times new roman;serif"/>
                <w:sz w:val="24"/>
              </w:rPr>
              <w:t>RBC Capital Markets LLC</w:t>
            </w:r>
          </w:p>
        </w:tc>
        <w:tc>
          <w:tcPr>
            <w:tcW w:w="104"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7" w:type="dxa"/>
            <w:tcBorders/>
            <w:shd w:fill="CCEEFF" w:val="clear"/>
            <w:vAlign w:val="bottom"/>
          </w:tcPr>
          <w:p>
            <w:pPr>
              <w:pStyle w:val="TableContents"/>
              <w:spacing w:before="0" w:after="283"/>
              <w:jc w:val="right"/>
              <w:rPr>
                <w:rFonts w:ascii="times new roman;serif" w:hAnsi="times new roman;serif"/>
                <w:sz w:val="24"/>
              </w:rPr>
            </w:pPr>
            <w:r>
              <w:rPr>
                <w:rFonts w:ascii="times new roman;serif" w:hAnsi="times new roman;serif"/>
                <w:sz w:val="24"/>
              </w:rPr>
              <w:t>187,500</w:t>
            </w:r>
          </w:p>
        </w:tc>
        <w:tc>
          <w:tcPr>
            <w:tcW w:w="110" w:type="dxa"/>
            <w:tcBorders/>
            <w:shd w:fill="CCEEFF" w:val="clear"/>
            <w:vAlign w:val="bottom"/>
          </w:tcPr>
          <w:p>
            <w:pPr>
              <w:pStyle w:val="TableContents"/>
              <w:spacing w:before="0" w:after="283"/>
              <w:jc w:val="left"/>
              <w:rPr/>
            </w:pPr>
            <w:r>
              <w:rPr/>
              <w:t> </w:t>
            </w:r>
          </w:p>
        </w:tc>
      </w:tr>
      <w:tr>
        <w:trPr/>
        <w:tc>
          <w:tcPr>
            <w:tcW w:w="8890" w:type="dxa"/>
            <w:tcBorders/>
            <w:shd w:fill="FFFFFF" w:val="clear"/>
            <w:vAlign w:val="bottom"/>
          </w:tcPr>
          <w:p>
            <w:pPr>
              <w:pStyle w:val="TableContents"/>
              <w:spacing w:before="0" w:after="0"/>
              <w:ind w:left="720" w:right="0" w:hanging="720"/>
              <w:jc w:val="both"/>
              <w:rPr>
                <w:rFonts w:ascii="times new roman;serif" w:hAnsi="times new roman;serif"/>
                <w:sz w:val="24"/>
              </w:rPr>
            </w:pPr>
            <w:r>
              <w:rPr>
                <w:rFonts w:ascii="times new roman;serif" w:hAnsi="times new roman;serif"/>
                <w:sz w:val="24"/>
              </w:rPr>
              <w:t>Sanders Morris Harris Inc.</w:t>
            </w:r>
          </w:p>
        </w:tc>
        <w:tc>
          <w:tcPr>
            <w:tcW w:w="104"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97" w:type="dxa"/>
            <w:tcBorders/>
            <w:shd w:fill="FFFFFF" w:val="clear"/>
            <w:vAlign w:val="bottom"/>
          </w:tcPr>
          <w:p>
            <w:pPr>
              <w:pStyle w:val="TableContents"/>
              <w:spacing w:before="0" w:after="283"/>
              <w:jc w:val="right"/>
              <w:rPr>
                <w:rFonts w:ascii="times new roman;serif" w:hAnsi="times new roman;serif"/>
                <w:sz w:val="24"/>
              </w:rPr>
            </w:pPr>
            <w:r>
              <w:rPr>
                <w:rFonts w:ascii="times new roman;serif" w:hAnsi="times new roman;serif"/>
                <w:sz w:val="24"/>
              </w:rPr>
              <w:t>187,500</w:t>
            </w:r>
          </w:p>
        </w:tc>
        <w:tc>
          <w:tcPr>
            <w:tcW w:w="110" w:type="dxa"/>
            <w:tcBorders/>
            <w:shd w:fill="FFFFFF" w:val="clear"/>
            <w:vAlign w:val="bottom"/>
          </w:tcPr>
          <w:p>
            <w:pPr>
              <w:pStyle w:val="TableContents"/>
              <w:spacing w:before="0" w:after="283"/>
              <w:jc w:val="left"/>
              <w:rPr/>
            </w:pPr>
            <w:r>
              <w:rPr/>
              <w:t> </w:t>
            </w:r>
          </w:p>
        </w:tc>
      </w:tr>
      <w:tr>
        <w:trPr/>
        <w:tc>
          <w:tcPr>
            <w:tcW w:w="8890" w:type="dxa"/>
            <w:tcBorders/>
            <w:shd w:fill="CCEEFF" w:val="clear"/>
            <w:vAlign w:val="bottom"/>
          </w:tcPr>
          <w:p>
            <w:pPr>
              <w:pStyle w:val="TableContents"/>
              <w:spacing w:before="0" w:after="0"/>
              <w:ind w:left="720" w:right="0" w:hanging="720"/>
              <w:jc w:val="both"/>
              <w:rPr>
                <w:rFonts w:ascii="times new roman;serif" w:hAnsi="times new roman;serif"/>
                <w:sz w:val="24"/>
              </w:rPr>
            </w:pPr>
            <w:r>
              <w:rPr>
                <w:rFonts w:ascii="times new roman;serif" w:hAnsi="times new roman;serif"/>
                <w:sz w:val="24"/>
              </w:rPr>
              <w:t>Tudor, Pickering, Holt &amp; Co. Securities, Inc.</w:t>
            </w:r>
          </w:p>
        </w:tc>
        <w:tc>
          <w:tcPr>
            <w:tcW w:w="104"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7" w:type="dxa"/>
            <w:tcBorders/>
            <w:shd w:fill="CCEEFF" w:val="clear"/>
            <w:vAlign w:val="bottom"/>
          </w:tcPr>
          <w:p>
            <w:pPr>
              <w:pStyle w:val="TableContents"/>
              <w:spacing w:before="0" w:after="283"/>
              <w:jc w:val="right"/>
              <w:rPr>
                <w:rFonts w:ascii="times new roman;serif" w:hAnsi="times new roman;serif"/>
                <w:sz w:val="24"/>
              </w:rPr>
            </w:pPr>
            <w:r>
              <w:rPr>
                <w:rFonts w:ascii="times new roman;serif" w:hAnsi="times new roman;serif"/>
                <w:sz w:val="24"/>
              </w:rPr>
              <w:t>187,500</w:t>
            </w:r>
          </w:p>
        </w:tc>
        <w:tc>
          <w:tcPr>
            <w:tcW w:w="110" w:type="dxa"/>
            <w:tcBorders/>
            <w:shd w:fill="CCEEFF" w:val="clear"/>
            <w:vAlign w:val="bottom"/>
          </w:tcPr>
          <w:p>
            <w:pPr>
              <w:pStyle w:val="TableContents"/>
              <w:spacing w:before="0" w:after="283"/>
              <w:jc w:val="left"/>
              <w:rPr/>
            </w:pPr>
            <w:r>
              <w:rPr/>
              <w:t> </w:t>
            </w:r>
          </w:p>
        </w:tc>
      </w:tr>
      <w:tr>
        <w:trPr/>
        <w:tc>
          <w:tcPr>
            <w:tcW w:w="8890" w:type="dxa"/>
            <w:tcBorders/>
            <w:shd w:fill="FFFFFF" w:val="clear"/>
            <w:vAlign w:val="bottom"/>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BMO Capital Markets Corp.</w:t>
            </w:r>
          </w:p>
        </w:tc>
        <w:tc>
          <w:tcPr>
            <w:tcW w:w="104"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97" w:type="dxa"/>
            <w:tcBorders/>
            <w:shd w:fill="FFFFFF" w:val="clear"/>
            <w:vAlign w:val="bottom"/>
          </w:tcPr>
          <w:p>
            <w:pPr>
              <w:pStyle w:val="TableContents"/>
              <w:spacing w:before="0" w:after="283"/>
              <w:jc w:val="right"/>
              <w:rPr>
                <w:rFonts w:ascii="times new roman;serif" w:hAnsi="times new roman;serif"/>
                <w:sz w:val="24"/>
              </w:rPr>
            </w:pPr>
            <w:r>
              <w:rPr>
                <w:rFonts w:ascii="times new roman;serif" w:hAnsi="times new roman;serif"/>
                <w:sz w:val="24"/>
              </w:rPr>
              <w:t>140,625</w:t>
            </w:r>
          </w:p>
        </w:tc>
        <w:tc>
          <w:tcPr>
            <w:tcW w:w="110" w:type="dxa"/>
            <w:tcBorders/>
            <w:shd w:fill="FFFFFF" w:val="clear"/>
            <w:vAlign w:val="bottom"/>
          </w:tcPr>
          <w:p>
            <w:pPr>
              <w:pStyle w:val="TableContents"/>
              <w:spacing w:before="0" w:after="283"/>
              <w:jc w:val="left"/>
              <w:rPr/>
            </w:pPr>
            <w:r>
              <w:rPr/>
              <w:t> </w:t>
            </w:r>
          </w:p>
        </w:tc>
      </w:tr>
      <w:tr>
        <w:trPr/>
        <w:tc>
          <w:tcPr>
            <w:tcW w:w="8890" w:type="dxa"/>
            <w:tcBorders/>
            <w:shd w:fill="CCEEFF" w:val="clear"/>
            <w:vAlign w:val="bottom"/>
          </w:tcPr>
          <w:p>
            <w:pPr>
              <w:pStyle w:val="TableContents"/>
              <w:spacing w:before="0" w:after="0"/>
              <w:ind w:left="720" w:right="0" w:hanging="720"/>
              <w:jc w:val="both"/>
              <w:rPr>
                <w:rFonts w:ascii="times new roman;serif" w:hAnsi="times new roman;serif"/>
                <w:sz w:val="24"/>
              </w:rPr>
            </w:pPr>
            <w:r>
              <w:rPr>
                <w:rFonts w:ascii="times new roman;serif" w:hAnsi="times new roman;serif"/>
                <w:sz w:val="24"/>
              </w:rPr>
              <w:t>Janney Montgomery Scott LLC</w:t>
            </w:r>
          </w:p>
        </w:tc>
        <w:tc>
          <w:tcPr>
            <w:tcW w:w="104" w:type="dxa"/>
            <w:tcBorders/>
            <w:shd w:fill="CCEEFF" w:val="clear"/>
            <w:vAlign w:val="bottom"/>
          </w:tcPr>
          <w:p>
            <w:pPr>
              <w:pStyle w:val="TableContents"/>
              <w:spacing w:before="0" w:after="283"/>
              <w:jc w:val="right"/>
              <w:rPr/>
            </w:pPr>
            <w:r>
              <w:rPr/>
              <w:t> </w:t>
            </w:r>
          </w:p>
        </w:tc>
        <w:tc>
          <w:tcPr>
            <w:tcW w:w="10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7" w:type="dxa"/>
            <w:tcBorders>
              <w:bottom w:val="single" w:sz="12" w:space="0" w:color="000000"/>
            </w:tcBorders>
            <w:shd w:fill="CCEEFF" w:val="clear"/>
            <w:tcMar>
              <w:bottom w:w="28" w:type="dxa"/>
            </w:tcMar>
            <w:vAlign w:val="bottom"/>
          </w:tcPr>
          <w:p>
            <w:pPr>
              <w:pStyle w:val="TableContents"/>
              <w:spacing w:before="0" w:after="283"/>
              <w:jc w:val="right"/>
              <w:rPr>
                <w:rFonts w:ascii="times new roman;serif" w:hAnsi="times new roman;serif"/>
                <w:sz w:val="24"/>
              </w:rPr>
            </w:pPr>
            <w:r>
              <w:rPr>
                <w:rFonts w:ascii="times new roman;serif" w:hAnsi="times new roman;serif"/>
                <w:sz w:val="24"/>
              </w:rPr>
              <w:t>46,875</w:t>
            </w:r>
          </w:p>
        </w:tc>
        <w:tc>
          <w:tcPr>
            <w:tcW w:w="110" w:type="dxa"/>
            <w:tcBorders>
              <w:bottom w:val="single" w:sz="12" w:space="0" w:color="000000"/>
            </w:tcBorders>
            <w:shd w:fill="CCEEFF" w:val="clear"/>
            <w:tcMar>
              <w:bottom w:w="28" w:type="dxa"/>
            </w:tcMar>
            <w:vAlign w:val="bottom"/>
          </w:tcPr>
          <w:p>
            <w:pPr>
              <w:pStyle w:val="TableContents"/>
              <w:spacing w:before="0" w:after="283"/>
              <w:jc w:val="left"/>
              <w:rPr/>
            </w:pPr>
            <w:r>
              <w:rPr/>
              <w:t> </w:t>
            </w:r>
          </w:p>
        </w:tc>
      </w:tr>
      <w:tr>
        <w:trPr/>
        <w:tc>
          <w:tcPr>
            <w:tcW w:w="8890" w:type="dxa"/>
            <w:tcBorders/>
            <w:shd w:fill="FFFFFF" w:val="clear"/>
            <w:vAlign w:val="bottom"/>
          </w:tcPr>
          <w:p>
            <w:pPr>
              <w:pStyle w:val="TableContents"/>
              <w:spacing w:before="0" w:after="0"/>
              <w:ind w:left="0" w:right="54" w:hanging="0"/>
              <w:jc w:val="both"/>
              <w:rPr>
                <w:rFonts w:ascii="times new roman;serif" w:hAnsi="times new roman;serif"/>
                <w:b/>
                <w:sz w:val="24"/>
              </w:rPr>
            </w:pPr>
            <w:r>
              <w:rPr>
                <w:rFonts w:ascii="times new roman;serif" w:hAnsi="times new roman;serif"/>
                <w:b/>
                <w:sz w:val="24"/>
              </w:rPr>
              <w:t>Total</w:t>
            </w:r>
          </w:p>
        </w:tc>
        <w:tc>
          <w:tcPr>
            <w:tcW w:w="104" w:type="dxa"/>
            <w:tcBorders/>
            <w:shd w:fill="FFFFFF" w:val="clear"/>
            <w:vAlign w:val="bottom"/>
          </w:tcPr>
          <w:p>
            <w:pPr>
              <w:pStyle w:val="TableContents"/>
              <w:spacing w:before="0" w:after="283"/>
              <w:rPr/>
            </w:pPr>
            <w:r>
              <w:rPr/>
              <w:t> </w:t>
            </w:r>
          </w:p>
        </w:tc>
        <w:tc>
          <w:tcPr>
            <w:tcW w:w="10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97" w:type="dxa"/>
            <w:tcBorders>
              <w:bottom w:val="double" w:sz="8" w:space="0" w:color="000000"/>
            </w:tcBorders>
            <w:shd w:fill="FFFFFF" w:val="clear"/>
            <w:tcMar>
              <w:bottom w:w="28" w:type="dxa"/>
            </w:tcMar>
            <w:vAlign w:val="bottom"/>
          </w:tcPr>
          <w:p>
            <w:pPr>
              <w:pStyle w:val="TableContents"/>
              <w:spacing w:before="0" w:after="283"/>
              <w:jc w:val="right"/>
              <w:rPr>
                <w:rFonts w:ascii="times new roman;serif" w:hAnsi="times new roman;serif"/>
                <w:sz w:val="24"/>
              </w:rPr>
            </w:pPr>
            <w:r>
              <w:rPr>
                <w:rFonts w:ascii="times new roman;serif" w:hAnsi="times new roman;serif"/>
                <w:sz w:val="24"/>
              </w:rPr>
              <w:t>7,500,000</w:t>
            </w:r>
          </w:p>
        </w:tc>
        <w:tc>
          <w:tcPr>
            <w:tcW w:w="110" w:type="dxa"/>
            <w:tcBorders>
              <w:bottom w:val="double" w:sz="8" w:space="0" w:color="000000"/>
            </w:tcBorders>
            <w:shd w:fill="FFFFFF" w:val="clear"/>
            <w:tcMar>
              <w:bottom w:w="28"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4" w:name="PGBRK58"/>
      <w:bookmarkStart w:id="535" w:name="PGBRK58"/>
      <w:bookmarkEnd w:id="5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6" w:name="FTR58"/>
      <w:bookmarkStart w:id="537" w:name="FTR58"/>
      <w:bookmarkEnd w:id="5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i/>
          <w:sz w:val="22"/>
        </w:rPr>
      </w:pPr>
      <w:bookmarkStart w:id="538" w:name="FTR_DIV1"/>
      <w:bookmarkEnd w:id="538"/>
      <w:r>
        <w:rPr>
          <w:rFonts w:ascii="Times New Roman" w:hAnsi="Times New Roman"/>
          <w:i/>
          <w:sz w:val="22"/>
        </w:rPr>
        <w:t>Schedule I to Underwriting Agreement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9" w:name="GLFTR58"/>
      <w:bookmarkEnd w:id="5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40" w:name="PN58"/>
      <w:bookmarkEnd w:id="54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1" w:name="HDR58"/>
      <w:bookmarkStart w:id="542" w:name="HDR58"/>
      <w:bookmarkEnd w:id="5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43" w:name="GLHDR58"/>
      <w:bookmarkEnd w:id="5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4"/>
        </w:rPr>
      </w:pPr>
      <w:r>
        <w:rPr>
          <w:rFonts w:ascii="Times New Roman;serif" w:hAnsi="Times New Roman;serif"/>
          <w:b/>
          <w:sz w:val="24"/>
        </w:rPr>
        <w:t>SCHEDULE II</w:t>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4"/>
        </w:rPr>
      </w:pPr>
      <w:r>
        <w:rPr>
          <w:rFonts w:ascii="Times New Roman;serif" w:hAnsi="Times New Roman;serif"/>
          <w:b/>
          <w:sz w:val="24"/>
        </w:rPr>
        <w:t>Additional Pricing Disclosure Package</w:t>
      </w:r>
    </w:p>
    <w:p>
      <w:pPr>
        <w:pStyle w:val="TextBody"/>
        <w:spacing w:before="0" w:after="0"/>
        <w:ind w:left="0" w:right="0" w:hanging="0"/>
        <w:jc w:val="center"/>
        <w:rPr/>
      </w:pPr>
      <w:r>
        <w:rPr/>
        <w:t> </w:t>
      </w:r>
    </w:p>
    <w:p>
      <w:pPr>
        <w:pStyle w:val="Normal"/>
        <w:spacing w:before="0" w:after="0"/>
        <w:ind w:left="0" w:right="0" w:hanging="0"/>
        <w:rPr>
          <w:sz w:val="4"/>
          <w:szCs w:val="4"/>
        </w:rPr>
      </w:pPr>
      <w:r>
        <w:rPr>
          <w:sz w:val="4"/>
          <w:szCs w:val="4"/>
        </w:rPr>
      </w:r>
      <w:bookmarkStart w:id="544" w:name="hangingindent"/>
      <w:bookmarkStart w:id="545" w:name="hangingindent"/>
      <w:bookmarkEnd w:id="545"/>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both"/>
              <w:rPr>
                <w:rFonts w:ascii="Times New Roman;serif" w:hAnsi="Times New Roman;serif"/>
                <w:b/>
                <w:sz w:val="24"/>
              </w:rPr>
            </w:pPr>
            <w:r>
              <w:rPr>
                <w:rFonts w:ascii="Times New Roman;serif" w:hAnsi="Times New Roman;serif"/>
                <w:b/>
                <w:sz w:val="24"/>
              </w:rPr>
              <w:t>Pricing Information:</w:t>
            </w:r>
          </w:p>
        </w:tc>
      </w:tr>
    </w:tbl>
    <w:p>
      <w:pPr>
        <w:pStyle w:val="TextBody"/>
        <w:spacing w:before="0" w:after="0"/>
        <w:ind w:left="0" w:right="0" w:hanging="0"/>
        <w:jc w:val="both"/>
        <w:rPr/>
      </w:pPr>
      <w:bookmarkStart w:id="546" w:name="hangingindent1"/>
      <w:bookmarkEnd w:id="546"/>
      <w:r>
        <w:rPr/>
        <w:t> </w:t>
      </w:r>
    </w:p>
    <w:tbl>
      <w:tblPr>
        <w:tblW w:w="5000" w:type="pct"/>
        <w:jc w:val="left"/>
        <w:tblInd w:w="0" w:type="dxa"/>
        <w:tblCellMar>
          <w:top w:w="0" w:type="dxa"/>
          <w:left w:w="0" w:type="dxa"/>
          <w:bottom w:w="0" w:type="dxa"/>
          <w:right w:w="0" w:type="dxa"/>
        </w:tblCellMar>
      </w:tblPr>
      <w:tblGrid>
        <w:gridCol w:w="2550"/>
        <w:gridCol w:w="7655"/>
      </w:tblGrid>
      <w:tr>
        <w:trPr/>
        <w:tc>
          <w:tcPr>
            <w:tcW w:w="2550"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Number of Units:</w:t>
            </w:r>
          </w:p>
        </w:tc>
        <w:tc>
          <w:tcPr>
            <w:tcW w:w="765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7,500,000 Firm Units or, if the Underwriters exercise in full their option to purchase additional Units granted in Section 3 hereof, 8,625,000 Units</w:t>
            </w:r>
          </w:p>
        </w:tc>
      </w:tr>
      <w:tr>
        <w:trPr/>
        <w:tc>
          <w:tcPr>
            <w:tcW w:w="2550" w:type="dxa"/>
            <w:tcBorders/>
            <w:shd w:fill="auto" w:val="clear"/>
          </w:tcPr>
          <w:p>
            <w:pPr>
              <w:pStyle w:val="TableContents"/>
              <w:spacing w:before="0" w:after="283"/>
              <w:rPr/>
            </w:pPr>
            <w:r>
              <w:rPr/>
              <w:t xml:space="preserve">  </w:t>
            </w:r>
          </w:p>
        </w:tc>
        <w:tc>
          <w:tcPr>
            <w:tcW w:w="7655" w:type="dxa"/>
            <w:tcBorders/>
            <w:shd w:fill="auto" w:val="clear"/>
          </w:tcPr>
          <w:p>
            <w:pPr>
              <w:pStyle w:val="TableContents"/>
              <w:spacing w:before="0" w:after="283"/>
              <w:rPr/>
            </w:pPr>
            <w:r>
              <w:rPr/>
              <w:t xml:space="preserve">  </w:t>
            </w:r>
          </w:p>
        </w:tc>
      </w:tr>
      <w:tr>
        <w:trPr/>
        <w:tc>
          <w:tcPr>
            <w:tcW w:w="2550"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Public offering price</w:t>
            </w:r>
          </w:p>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for the Units:</w:t>
            </w:r>
          </w:p>
        </w:tc>
        <w:tc>
          <w:tcPr>
            <w:tcW w:w="7655" w:type="dxa"/>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$61.10 per unit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547" w:name="PGBRK59"/>
      <w:bookmarkStart w:id="548" w:name="PGBRK59"/>
      <w:bookmarkEnd w:id="5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49" w:name="FTR59"/>
      <w:bookmarkStart w:id="550" w:name="FTR59"/>
      <w:bookmarkEnd w:id="5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rFonts w:ascii="Times New Roman" w:hAnsi="Times New Roman"/>
          <w:i/>
          <w:sz w:val="22"/>
        </w:rPr>
      </w:pPr>
      <w:bookmarkStart w:id="551" w:name="FTR_DIV2"/>
      <w:bookmarkEnd w:id="551"/>
      <w:r>
        <w:rPr>
          <w:rFonts w:ascii="Times New Roman" w:hAnsi="Times New Roman"/>
          <w:i/>
          <w:sz w:val="22"/>
        </w:rPr>
        <w:t>Schedule II to Underwriting Agreement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552" w:name="GLFTR59"/>
      <w:bookmarkEnd w:id="5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53" w:name="PN59"/>
      <w:bookmarkEnd w:id="55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54" w:name="HDR59"/>
      <w:bookmarkStart w:id="555" w:name="HDR59"/>
      <w:bookmarkEnd w:id="5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556" w:name="GLHDR59"/>
      <w:bookmarkEnd w:id="5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4"/>
        </w:rPr>
      </w:pPr>
      <w:r>
        <w:rPr>
          <w:rFonts w:ascii="Times New Roman;serif" w:hAnsi="Times New Roman;serif"/>
          <w:b/>
          <w:sz w:val="24"/>
        </w:rPr>
        <w:t>SCHEDULE III</w:t>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4"/>
        </w:rPr>
      </w:pPr>
      <w:r>
        <w:rPr>
          <w:rFonts w:ascii="Times New Roman;serif" w:hAnsi="Times New Roman;serif"/>
          <w:b/>
          <w:sz w:val="24"/>
        </w:rPr>
        <w:t>Material Subsidiaries</w:t>
      </w:r>
    </w:p>
    <w:p>
      <w:pPr>
        <w:pStyle w:val="TextBody"/>
        <w:spacing w:before="0" w:after="0"/>
        <w:ind w:left="0" w:right="0" w:hanging="0"/>
        <w:jc w:val="center"/>
        <w:rPr/>
      </w:pPr>
      <w:r>
        <w:rPr/>
        <w:t> </w:t>
      </w:r>
    </w:p>
    <w:p>
      <w:pPr>
        <w:pStyle w:val="Normal"/>
        <w:spacing w:before="0" w:after="0"/>
        <w:ind w:left="0" w:right="0" w:hanging="0"/>
        <w:rPr>
          <w:sz w:val="4"/>
          <w:szCs w:val="4"/>
        </w:rPr>
      </w:pPr>
      <w:r>
        <w:rPr>
          <w:sz w:val="4"/>
          <w:szCs w:val="4"/>
        </w:rPr>
      </w:r>
      <w:bookmarkStart w:id="557" w:name="hangingindent2"/>
      <w:bookmarkStart w:id="558" w:name="hangingindent2"/>
      <w:bookmarkEnd w:id="558"/>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both"/>
              <w:rPr>
                <w:rFonts w:ascii="Times New Roman;serif" w:hAnsi="Times New Roman;serif"/>
                <w:sz w:val="24"/>
              </w:rPr>
            </w:pPr>
            <w:r>
              <w:rPr>
                <w:rFonts w:ascii="Times New Roman;serif" w:hAnsi="Times New Roman;serif"/>
                <w:sz w:val="24"/>
              </w:rPr>
              <w:t>Plains Marketing, L.P.</w:t>
            </w:r>
          </w:p>
        </w:tc>
      </w:tr>
    </w:tbl>
    <w:p>
      <w:pPr>
        <w:pStyle w:val="TextBody"/>
        <w:spacing w:before="0" w:after="0"/>
        <w:ind w:left="0" w:right="0" w:hanging="0"/>
        <w:jc w:val="both"/>
        <w:rPr/>
      </w:pPr>
      <w:bookmarkStart w:id="559" w:name="hangingindent3"/>
      <w:bookmarkEnd w:id="559"/>
      <w:r>
        <w:rPr/>
        <w:t> </w:t>
      </w:r>
    </w:p>
    <w:p>
      <w:pPr>
        <w:pStyle w:val="Normal"/>
        <w:spacing w:before="0" w:after="0"/>
        <w:ind w:left="0" w:right="0" w:hanging="0"/>
        <w:rPr>
          <w:sz w:val="4"/>
          <w:szCs w:val="4"/>
        </w:rPr>
      </w:pPr>
      <w:r>
        <w:rPr>
          <w:sz w:val="4"/>
          <w:szCs w:val="4"/>
        </w:rPr>
      </w:r>
      <w:bookmarkStart w:id="560" w:name="hangingindent4"/>
      <w:bookmarkStart w:id="561" w:name="hangingindent4"/>
      <w:bookmarkEnd w:id="561"/>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both"/>
              <w:rPr>
                <w:rFonts w:ascii="Times New Roman;serif" w:hAnsi="Times New Roman;serif"/>
                <w:sz w:val="24"/>
              </w:rPr>
            </w:pPr>
            <w:r>
              <w:rPr>
                <w:rFonts w:ascii="Times New Roman;serif" w:hAnsi="Times New Roman;serif"/>
                <w:sz w:val="24"/>
              </w:rPr>
              <w:t>Plains Pipeline, L.P.</w:t>
            </w:r>
          </w:p>
        </w:tc>
      </w:tr>
    </w:tbl>
    <w:p>
      <w:pPr>
        <w:pStyle w:val="TextBody"/>
        <w:spacing w:before="0" w:after="0"/>
        <w:ind w:left="0" w:right="0" w:hanging="0"/>
        <w:jc w:val="both"/>
        <w:rPr/>
      </w:pPr>
      <w:bookmarkStart w:id="562" w:name="hangingindent5"/>
      <w:bookmarkEnd w:id="562"/>
      <w:r>
        <w:rPr/>
        <w:t> </w:t>
      </w:r>
    </w:p>
    <w:p>
      <w:pPr>
        <w:pStyle w:val="Normal"/>
        <w:spacing w:before="0" w:after="0"/>
        <w:ind w:left="0" w:right="0" w:hanging="0"/>
        <w:rPr>
          <w:sz w:val="4"/>
          <w:szCs w:val="4"/>
        </w:rPr>
      </w:pPr>
      <w:r>
        <w:rPr>
          <w:sz w:val="4"/>
          <w:szCs w:val="4"/>
        </w:rPr>
      </w:r>
      <w:bookmarkStart w:id="563" w:name="hangingindent6"/>
      <w:bookmarkStart w:id="564" w:name="hangingindent6"/>
      <w:bookmarkEnd w:id="564"/>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both"/>
              <w:rPr>
                <w:rFonts w:ascii="Times New Roman;serif" w:hAnsi="Times New Roman;serif"/>
                <w:sz w:val="24"/>
              </w:rPr>
            </w:pPr>
            <w:r>
              <w:rPr>
                <w:rFonts w:ascii="Times New Roman;serif" w:hAnsi="Times New Roman;serif"/>
                <w:sz w:val="24"/>
              </w:rPr>
              <w:t>Pacific Pipeline System LLC</w:t>
            </w:r>
          </w:p>
        </w:tc>
      </w:tr>
    </w:tbl>
    <w:p>
      <w:pPr>
        <w:pStyle w:val="TextBody"/>
        <w:spacing w:before="0" w:after="0"/>
        <w:ind w:left="0" w:right="0" w:hanging="0"/>
        <w:jc w:val="both"/>
        <w:rPr/>
      </w:pPr>
      <w:bookmarkStart w:id="565" w:name="hangingindent7"/>
      <w:bookmarkEnd w:id="565"/>
      <w:r>
        <w:rPr/>
        <w:t> </w:t>
      </w:r>
    </w:p>
    <w:p>
      <w:pPr>
        <w:pStyle w:val="Normal"/>
        <w:spacing w:before="0" w:after="0"/>
        <w:ind w:left="0" w:right="0" w:hanging="0"/>
        <w:rPr>
          <w:sz w:val="4"/>
          <w:szCs w:val="4"/>
        </w:rPr>
      </w:pPr>
      <w:r>
        <w:rPr>
          <w:sz w:val="4"/>
          <w:szCs w:val="4"/>
        </w:rPr>
      </w:r>
      <w:bookmarkStart w:id="566" w:name="hangingindent8"/>
      <w:bookmarkStart w:id="567" w:name="hangingindent8"/>
      <w:bookmarkEnd w:id="567"/>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both"/>
              <w:rPr>
                <w:rFonts w:ascii="Times New Roman;serif" w:hAnsi="Times New Roman;serif"/>
                <w:sz w:val="24"/>
              </w:rPr>
            </w:pPr>
            <w:r>
              <w:rPr>
                <w:rFonts w:ascii="Times New Roman;serif" w:hAnsi="Times New Roman;serif"/>
                <w:sz w:val="24"/>
              </w:rPr>
              <w:t>Plains Products Terminals LLC</w:t>
            </w:r>
          </w:p>
        </w:tc>
      </w:tr>
    </w:tbl>
    <w:p>
      <w:pPr>
        <w:pStyle w:val="TextBody"/>
        <w:spacing w:before="0" w:after="0"/>
        <w:ind w:left="0" w:right="0" w:hanging="0"/>
        <w:jc w:val="both"/>
        <w:rPr/>
      </w:pPr>
      <w:bookmarkStart w:id="568" w:name="hangingindent9"/>
      <w:bookmarkEnd w:id="568"/>
      <w:r>
        <w:rPr/>
        <w:t> </w:t>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Plains Midstream Canada ULC</w:t>
      </w:r>
    </w:p>
    <w:p>
      <w:pPr>
        <w:pStyle w:val="TextBody"/>
        <w:spacing w:before="0" w:after="0"/>
        <w:ind w:left="0" w:right="0" w:hanging="0"/>
        <w:jc w:val="both"/>
        <w:rPr/>
      </w:pPr>
      <w:r>
        <w:rPr/>
        <w:t> </w:t>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Plains West Coast Terminals LLC</w:t>
      </w:r>
    </w:p>
    <w:p>
      <w:pPr>
        <w:pStyle w:val="TextBody"/>
        <w:spacing w:before="0" w:after="0"/>
        <w:ind w:left="0" w:right="0" w:hanging="0"/>
        <w:jc w:val="both"/>
        <w:rPr/>
      </w:pPr>
      <w:r>
        <w:rPr/>
        <w:t> </w:t>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Rocky Mountain Pipeline System LLC</w:t>
      </w:r>
    </w:p>
    <w:p>
      <w:pPr>
        <w:pStyle w:val="TextBody"/>
        <w:spacing w:before="0" w:after="0"/>
        <w:ind w:left="0" w:right="0" w:hanging="0"/>
        <w:jc w:val="both"/>
        <w:rPr/>
      </w:pPr>
      <w:r>
        <w:rPr/>
        <w:t> </w:t>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Pine Prairie Energy Center, LLC</w:t>
      </w:r>
    </w:p>
    <w:p>
      <w:pPr>
        <w:pStyle w:val="TextBody"/>
        <w:spacing w:before="0" w:after="0"/>
        <w:ind w:left="0" w:right="0" w:hanging="0"/>
        <w:jc w:val="both"/>
        <w:rPr/>
      </w:pPr>
      <w:r>
        <w:rPr/>
        <w:t> </w:t>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SG Resources Mississippi LLC</w:t>
      </w:r>
    </w:p>
    <w:p>
      <w:pPr>
        <w:pStyle w:val="TextBody"/>
        <w:spacing w:before="0" w:after="0"/>
        <w:ind w:left="0" w:right="0" w:hanging="0"/>
        <w:jc w:val="both"/>
        <w:rPr/>
      </w:pPr>
      <w:r>
        <w:rPr/>
        <w:t> </w:t>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Plains LPG Services LP</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69" w:name="PGBRK60"/>
      <w:bookmarkStart w:id="570" w:name="PGBRK60"/>
      <w:bookmarkEnd w:id="5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1" w:name="FTR60"/>
      <w:bookmarkStart w:id="572" w:name="FTR60"/>
      <w:bookmarkEnd w:id="5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i/>
          <w:sz w:val="22"/>
        </w:rPr>
      </w:pPr>
      <w:bookmarkStart w:id="573" w:name="FTR_DIV3"/>
      <w:bookmarkEnd w:id="573"/>
      <w:r>
        <w:rPr>
          <w:rFonts w:ascii="Times New Roman" w:hAnsi="Times New Roman"/>
          <w:i/>
          <w:sz w:val="22"/>
        </w:rPr>
        <w:t>Schedule III to Underwriting Agreement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74" w:name="GLFTR60"/>
      <w:bookmarkEnd w:id="5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75" w:name="PN60"/>
      <w:bookmarkEnd w:id="57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6" w:name="HDR60"/>
      <w:bookmarkStart w:id="577" w:name="HDR60"/>
      <w:bookmarkEnd w:id="5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78" w:name="GLHDR60"/>
      <w:bookmarkEnd w:id="5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4"/>
        </w:rPr>
      </w:pPr>
      <w:r>
        <w:rPr>
          <w:rFonts w:ascii="Times New Roman;serif" w:hAnsi="Times New Roman;serif"/>
          <w:b/>
          <w:sz w:val="24"/>
        </w:rPr>
        <w:t>SCHEDULE IV</w:t>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4"/>
        </w:rPr>
      </w:pPr>
      <w:r>
        <w:rPr>
          <w:rFonts w:ascii="Times New Roman;serif" w:hAnsi="Times New Roman;serif"/>
          <w:b/>
          <w:sz w:val="24"/>
        </w:rPr>
        <w:t>Domestic Subsidiaries</w:t>
      </w:r>
    </w:p>
    <w:p>
      <w:pPr>
        <w:pStyle w:val="TextBody"/>
        <w:spacing w:before="0" w:after="0"/>
        <w:ind w:left="0" w:right="0" w:hanging="0"/>
        <w:jc w:val="center"/>
        <w:rPr/>
      </w:pPr>
      <w:r>
        <w:rPr/>
        <w:t> </w:t>
      </w:r>
    </w:p>
    <w:p>
      <w:pPr>
        <w:pStyle w:val="Normal"/>
        <w:spacing w:before="0" w:after="0"/>
        <w:ind w:left="0" w:right="0" w:hanging="0"/>
        <w:rPr>
          <w:sz w:val="4"/>
          <w:szCs w:val="4"/>
        </w:rPr>
      </w:pPr>
      <w:r>
        <w:rPr>
          <w:sz w:val="4"/>
          <w:szCs w:val="4"/>
        </w:rPr>
      </w:r>
      <w:bookmarkStart w:id="579" w:name="hangingindent10"/>
      <w:bookmarkStart w:id="580" w:name="hangingindent10"/>
      <w:bookmarkEnd w:id="580"/>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both"/>
              <w:rPr>
                <w:rFonts w:ascii="Times New Roman;serif" w:hAnsi="Times New Roman;serif"/>
                <w:sz w:val="24"/>
              </w:rPr>
            </w:pPr>
            <w:r>
              <w:rPr>
                <w:rFonts w:ascii="Times New Roman;serif" w:hAnsi="Times New Roman;serif"/>
                <w:sz w:val="24"/>
              </w:rPr>
              <w:t>Plains Marketing, L.P.</w:t>
            </w:r>
          </w:p>
        </w:tc>
      </w:tr>
    </w:tbl>
    <w:p>
      <w:pPr>
        <w:pStyle w:val="TextBody"/>
        <w:spacing w:before="0" w:after="0"/>
        <w:ind w:left="0" w:right="0" w:hanging="0"/>
        <w:jc w:val="both"/>
        <w:rPr/>
      </w:pPr>
      <w:bookmarkStart w:id="581" w:name="hangingindent11"/>
      <w:bookmarkEnd w:id="581"/>
      <w:r>
        <w:rPr/>
        <w:t> </w:t>
      </w:r>
    </w:p>
    <w:p>
      <w:pPr>
        <w:pStyle w:val="Normal"/>
        <w:spacing w:before="0" w:after="0"/>
        <w:ind w:left="0" w:right="0" w:hanging="0"/>
        <w:rPr>
          <w:sz w:val="4"/>
          <w:szCs w:val="4"/>
        </w:rPr>
      </w:pPr>
      <w:r>
        <w:rPr>
          <w:sz w:val="4"/>
          <w:szCs w:val="4"/>
        </w:rPr>
      </w:r>
      <w:bookmarkStart w:id="582" w:name="hangingindent12"/>
      <w:bookmarkStart w:id="583" w:name="hangingindent12"/>
      <w:bookmarkEnd w:id="583"/>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both"/>
              <w:rPr>
                <w:rFonts w:ascii="Times New Roman;serif" w:hAnsi="Times New Roman;serif"/>
                <w:sz w:val="24"/>
              </w:rPr>
            </w:pPr>
            <w:r>
              <w:rPr>
                <w:rFonts w:ascii="Times New Roman;serif" w:hAnsi="Times New Roman;serif"/>
                <w:sz w:val="24"/>
              </w:rPr>
              <w:t>Plains Pipeline, L.P.</w:t>
            </w:r>
          </w:p>
        </w:tc>
      </w:tr>
    </w:tbl>
    <w:p>
      <w:pPr>
        <w:pStyle w:val="TextBody"/>
        <w:spacing w:before="0" w:after="0"/>
        <w:ind w:left="0" w:right="0" w:hanging="0"/>
        <w:jc w:val="both"/>
        <w:rPr/>
      </w:pPr>
      <w:bookmarkStart w:id="584" w:name="hangingindent13"/>
      <w:bookmarkEnd w:id="584"/>
      <w:r>
        <w:rPr/>
        <w:t> </w:t>
      </w:r>
    </w:p>
    <w:p>
      <w:pPr>
        <w:pStyle w:val="Normal"/>
        <w:spacing w:before="0" w:after="0"/>
        <w:ind w:left="0" w:right="0" w:hanging="0"/>
        <w:rPr>
          <w:sz w:val="4"/>
          <w:szCs w:val="4"/>
        </w:rPr>
      </w:pPr>
      <w:r>
        <w:rPr>
          <w:sz w:val="4"/>
          <w:szCs w:val="4"/>
        </w:rPr>
      </w:r>
      <w:bookmarkStart w:id="585" w:name="hangingindent14"/>
      <w:bookmarkStart w:id="586" w:name="hangingindent14"/>
      <w:bookmarkEnd w:id="586"/>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both"/>
              <w:rPr>
                <w:rFonts w:ascii="Times New Roman;serif" w:hAnsi="Times New Roman;serif"/>
                <w:sz w:val="24"/>
              </w:rPr>
            </w:pPr>
            <w:r>
              <w:rPr>
                <w:rFonts w:ascii="Times New Roman;serif" w:hAnsi="Times New Roman;serif"/>
                <w:sz w:val="24"/>
              </w:rPr>
              <w:t>Pacific Pipeline System LLC</w:t>
            </w:r>
          </w:p>
        </w:tc>
      </w:tr>
    </w:tbl>
    <w:p>
      <w:pPr>
        <w:pStyle w:val="TextBody"/>
        <w:spacing w:before="0" w:after="0"/>
        <w:ind w:left="0" w:right="0" w:hanging="0"/>
        <w:jc w:val="both"/>
        <w:rPr/>
      </w:pPr>
      <w:bookmarkStart w:id="587" w:name="hangingindent15"/>
      <w:bookmarkEnd w:id="587"/>
      <w:r>
        <w:rPr/>
        <w:t> </w:t>
      </w:r>
    </w:p>
    <w:p>
      <w:pPr>
        <w:pStyle w:val="Normal"/>
        <w:spacing w:before="0" w:after="0"/>
        <w:ind w:left="0" w:right="0" w:hanging="0"/>
        <w:rPr>
          <w:sz w:val="4"/>
          <w:szCs w:val="4"/>
        </w:rPr>
      </w:pPr>
      <w:r>
        <w:rPr>
          <w:sz w:val="4"/>
          <w:szCs w:val="4"/>
        </w:rPr>
      </w:r>
      <w:bookmarkStart w:id="588" w:name="hangingindent16"/>
      <w:bookmarkStart w:id="589" w:name="hangingindent16"/>
      <w:bookmarkEnd w:id="589"/>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both"/>
              <w:rPr>
                <w:rFonts w:ascii="Times New Roman;serif" w:hAnsi="Times New Roman;serif"/>
                <w:sz w:val="24"/>
              </w:rPr>
            </w:pPr>
            <w:r>
              <w:rPr>
                <w:rFonts w:ascii="Times New Roman;serif" w:hAnsi="Times New Roman;serif"/>
                <w:sz w:val="24"/>
              </w:rPr>
              <w:t>Plains Products Terminals LLC</w:t>
            </w:r>
          </w:p>
        </w:tc>
      </w:tr>
    </w:tbl>
    <w:p>
      <w:pPr>
        <w:pStyle w:val="TextBody"/>
        <w:spacing w:before="0" w:after="0"/>
        <w:ind w:left="0" w:right="0" w:hanging="0"/>
        <w:jc w:val="both"/>
        <w:rPr/>
      </w:pPr>
      <w:bookmarkStart w:id="590" w:name="hangingindent17"/>
      <w:bookmarkEnd w:id="590"/>
      <w:r>
        <w:rPr/>
        <w:t> </w:t>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Plains West Coast Terminals LLC</w:t>
      </w:r>
    </w:p>
    <w:p>
      <w:pPr>
        <w:pStyle w:val="TextBody"/>
        <w:spacing w:before="0" w:after="0"/>
        <w:ind w:left="0" w:right="0" w:hanging="0"/>
        <w:jc w:val="both"/>
        <w:rPr/>
      </w:pPr>
      <w:r>
        <w:rPr/>
        <w:t> </w:t>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Rocky Mountain Pipeline System LLC</w:t>
      </w:r>
    </w:p>
    <w:p>
      <w:pPr>
        <w:pStyle w:val="TextBody"/>
        <w:spacing w:before="0" w:after="0"/>
        <w:ind w:left="0" w:right="0" w:hanging="0"/>
        <w:jc w:val="both"/>
        <w:rPr/>
      </w:pPr>
      <w:r>
        <w:rPr/>
        <w:t> </w:t>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Pine Prairie Energy Center, LLC</w:t>
      </w:r>
    </w:p>
    <w:p>
      <w:pPr>
        <w:pStyle w:val="TextBody"/>
        <w:spacing w:before="0" w:after="0"/>
        <w:ind w:left="0" w:right="0" w:hanging="0"/>
        <w:jc w:val="both"/>
        <w:rPr/>
      </w:pPr>
      <w:r>
        <w:rPr/>
        <w:t> </w:t>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SG Resources Mississippi LLC</w:t>
      </w:r>
    </w:p>
    <w:p>
      <w:pPr>
        <w:pStyle w:val="TextBody"/>
        <w:spacing w:before="0" w:after="0"/>
        <w:ind w:left="0" w:right="0" w:hanging="0"/>
        <w:jc w:val="both"/>
        <w:rPr/>
      </w:pPr>
      <w:r>
        <w:rPr/>
        <w:t> </w:t>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Plains LPG Services LP</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1" w:name="PGBRK61"/>
      <w:bookmarkStart w:id="592" w:name="PGBRK61"/>
      <w:bookmarkEnd w:id="5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3" w:name="FTR61"/>
      <w:bookmarkStart w:id="594" w:name="FTR61"/>
      <w:bookmarkEnd w:id="5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i/>
          <w:sz w:val="22"/>
        </w:rPr>
      </w:pPr>
      <w:bookmarkStart w:id="595" w:name="FTR_DIV4"/>
      <w:bookmarkEnd w:id="595"/>
      <w:r>
        <w:rPr>
          <w:rFonts w:ascii="Times New Roman" w:hAnsi="Times New Roman"/>
          <w:i/>
          <w:sz w:val="22"/>
        </w:rPr>
        <w:t>Schedule IV to Underwriting Agreement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96" w:name="GLFTR61"/>
      <w:bookmarkEnd w:id="5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97" w:name="PN61"/>
      <w:bookmarkEnd w:id="59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8" w:name="HDR61"/>
      <w:bookmarkStart w:id="599" w:name="HDR61"/>
      <w:bookmarkEnd w:id="5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00" w:name="GLHDR61"/>
      <w:bookmarkEnd w:id="6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4"/>
        </w:rPr>
      </w:pPr>
      <w:r>
        <w:rPr>
          <w:rFonts w:ascii="Times New Roman;serif" w:hAnsi="Times New Roman;serif"/>
          <w:b/>
          <w:sz w:val="24"/>
        </w:rPr>
        <w:t>EXHIBIT A</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both"/>
              <w:rPr>
                <w:rFonts w:ascii="times new roman;serif" w:hAnsi="times new roman;serif"/>
                <w:sz w:val="24"/>
                <w:u w:val="single"/>
              </w:rPr>
            </w:pPr>
            <w:r>
              <w:rPr>
                <w:rFonts w:ascii="times new roman;serif" w:hAnsi="times new roman;serif"/>
                <w:sz w:val="24"/>
                <w:u w:val="single"/>
              </w:rPr>
              <w:t>Entity</w:t>
            </w:r>
          </w:p>
        </w:tc>
        <w:tc>
          <w:tcPr>
            <w:tcW w:w="5103" w:type="dxa"/>
            <w:tcBorders/>
            <w:shd w:fill="auto" w:val="clear"/>
          </w:tcPr>
          <w:p>
            <w:pPr>
              <w:pStyle w:val="TableContents"/>
              <w:spacing w:before="0" w:after="0"/>
              <w:ind w:left="0" w:right="0" w:hanging="0"/>
              <w:jc w:val="both"/>
              <w:rPr>
                <w:rFonts w:ascii="times new roman;serif" w:hAnsi="times new roman;serif"/>
                <w:sz w:val="24"/>
                <w:u w:val="single"/>
              </w:rPr>
            </w:pPr>
            <w:r>
              <w:rPr>
                <w:rFonts w:ascii="times new roman;serif" w:hAnsi="times new roman;serif"/>
                <w:sz w:val="24"/>
                <w:u w:val="single"/>
              </w:rPr>
              <w:t>Jurisdiction in which registered or qualified</w:t>
            </w:r>
          </w:p>
        </w:tc>
      </w:tr>
      <w:tr>
        <w:trPr/>
        <w:tc>
          <w:tcPr>
            <w:tcW w:w="5102" w:type="dxa"/>
            <w:tcBorders/>
            <w:shd w:fill="auto" w:val="clear"/>
          </w:tcPr>
          <w:p>
            <w:pPr>
              <w:pStyle w:val="TableContents"/>
              <w:spacing w:before="0" w:after="283"/>
              <w:rPr/>
            </w:pPr>
            <w:r>
              <w:rPr/>
              <w:t> </w:t>
            </w:r>
          </w:p>
        </w:tc>
        <w:tc>
          <w:tcPr>
            <w:tcW w:w="5103"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Plains All American Pipeline, L.P.</w:t>
            </w:r>
          </w:p>
        </w:tc>
        <w:tc>
          <w:tcPr>
            <w:tcW w:w="5103"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Texas</w:t>
            </w:r>
          </w:p>
        </w:tc>
      </w:tr>
      <w:tr>
        <w:trPr/>
        <w:tc>
          <w:tcPr>
            <w:tcW w:w="5102" w:type="dxa"/>
            <w:tcBorders/>
            <w:shd w:fill="auto" w:val="clear"/>
          </w:tcPr>
          <w:p>
            <w:pPr>
              <w:pStyle w:val="TableContents"/>
              <w:spacing w:before="0" w:after="283"/>
              <w:jc w:val="left"/>
              <w:rPr/>
            </w:pPr>
            <w:r>
              <w:rPr/>
              <w:t> </w:t>
            </w:r>
          </w:p>
        </w:tc>
        <w:tc>
          <w:tcPr>
            <w:tcW w:w="5103" w:type="dxa"/>
            <w:tcBorders/>
            <w:shd w:fill="auto" w:val="clear"/>
          </w:tcPr>
          <w:p>
            <w:pPr>
              <w:pStyle w:val="TableContents"/>
              <w:spacing w:before="0" w:after="283"/>
              <w:jc w:val="left"/>
              <w:rPr/>
            </w:pPr>
            <w:r>
              <w:rPr/>
              <w:t> </w:t>
            </w:r>
          </w:p>
        </w:tc>
      </w:tr>
      <w:tr>
        <w:trPr/>
        <w:tc>
          <w:tcPr>
            <w:tcW w:w="510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PAA GP LLC</w:t>
            </w:r>
          </w:p>
        </w:tc>
        <w:tc>
          <w:tcPr>
            <w:tcW w:w="5103"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Texas</w:t>
            </w:r>
          </w:p>
        </w:tc>
      </w:tr>
      <w:tr>
        <w:trPr/>
        <w:tc>
          <w:tcPr>
            <w:tcW w:w="5102" w:type="dxa"/>
            <w:tcBorders/>
            <w:shd w:fill="auto" w:val="clear"/>
          </w:tcPr>
          <w:p>
            <w:pPr>
              <w:pStyle w:val="TableContents"/>
              <w:spacing w:before="0" w:after="283"/>
              <w:jc w:val="left"/>
              <w:rPr/>
            </w:pPr>
            <w:r>
              <w:rPr/>
              <w:t> </w:t>
            </w:r>
          </w:p>
        </w:tc>
        <w:tc>
          <w:tcPr>
            <w:tcW w:w="5103" w:type="dxa"/>
            <w:tcBorders/>
            <w:shd w:fill="auto" w:val="clear"/>
          </w:tcPr>
          <w:p>
            <w:pPr>
              <w:pStyle w:val="TableContents"/>
              <w:spacing w:before="0" w:after="283"/>
              <w:jc w:val="left"/>
              <w:rPr/>
            </w:pPr>
            <w:r>
              <w:rPr/>
              <w:t> </w:t>
            </w:r>
          </w:p>
        </w:tc>
      </w:tr>
      <w:tr>
        <w:trPr/>
        <w:tc>
          <w:tcPr>
            <w:tcW w:w="510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Plains AAP, L.P.</w:t>
            </w:r>
          </w:p>
        </w:tc>
        <w:tc>
          <w:tcPr>
            <w:tcW w:w="5103"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Texas</w:t>
            </w:r>
          </w:p>
        </w:tc>
      </w:tr>
      <w:tr>
        <w:trPr/>
        <w:tc>
          <w:tcPr>
            <w:tcW w:w="5102" w:type="dxa"/>
            <w:tcBorders/>
            <w:shd w:fill="auto" w:val="clear"/>
          </w:tcPr>
          <w:p>
            <w:pPr>
              <w:pStyle w:val="TableContents"/>
              <w:spacing w:before="0" w:after="283"/>
              <w:jc w:val="left"/>
              <w:rPr/>
            </w:pPr>
            <w:r>
              <w:rPr/>
              <w:t> </w:t>
            </w:r>
          </w:p>
        </w:tc>
        <w:tc>
          <w:tcPr>
            <w:tcW w:w="5103" w:type="dxa"/>
            <w:tcBorders/>
            <w:shd w:fill="auto" w:val="clear"/>
          </w:tcPr>
          <w:p>
            <w:pPr>
              <w:pStyle w:val="TableContents"/>
              <w:spacing w:before="0" w:after="283"/>
              <w:jc w:val="left"/>
              <w:rPr/>
            </w:pPr>
            <w:r>
              <w:rPr/>
              <w:t> </w:t>
            </w:r>
          </w:p>
        </w:tc>
      </w:tr>
      <w:tr>
        <w:trPr/>
        <w:tc>
          <w:tcPr>
            <w:tcW w:w="510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Plains All American GP LLC</w:t>
            </w:r>
          </w:p>
        </w:tc>
        <w:tc>
          <w:tcPr>
            <w:tcW w:w="5103"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California, Illinois, Louisiana, Oklahoma,</w:t>
            </w:r>
          </w:p>
        </w:tc>
      </w:tr>
      <w:tr>
        <w:trPr/>
        <w:tc>
          <w:tcPr>
            <w:tcW w:w="5102" w:type="dxa"/>
            <w:tcBorders/>
            <w:shd w:fill="auto" w:val="clear"/>
          </w:tcPr>
          <w:p>
            <w:pPr>
              <w:pStyle w:val="TableContents"/>
              <w:spacing w:before="0" w:after="283"/>
              <w:jc w:val="left"/>
              <w:rPr/>
            </w:pPr>
            <w:r>
              <w:rPr/>
              <w:t> </w:t>
            </w:r>
          </w:p>
        </w:tc>
        <w:tc>
          <w:tcPr>
            <w:tcW w:w="5103" w:type="dxa"/>
            <w:tcBorders/>
            <w:shd w:fill="auto" w:val="clear"/>
          </w:tcPr>
          <w:p>
            <w:pPr>
              <w:pStyle w:val="TableContents"/>
              <w:spacing w:before="0" w:after="283"/>
              <w:jc w:val="left"/>
              <w:rPr/>
            </w:pPr>
            <w:r>
              <w:rPr/>
              <w:t> </w:t>
            </w:r>
          </w:p>
        </w:tc>
      </w:tr>
      <w:tr>
        <w:trPr/>
        <w:tc>
          <w:tcPr>
            <w:tcW w:w="5102" w:type="dxa"/>
            <w:tcBorders/>
            <w:shd w:fill="auto" w:val="clear"/>
          </w:tcPr>
          <w:p>
            <w:pPr>
              <w:pStyle w:val="TableContents"/>
              <w:spacing w:before="0" w:after="283"/>
              <w:jc w:val="left"/>
              <w:rPr/>
            </w:pPr>
            <w:r>
              <w:rPr/>
              <w:t> </w:t>
            </w:r>
          </w:p>
        </w:tc>
        <w:tc>
          <w:tcPr>
            <w:tcW w:w="5103" w:type="dxa"/>
            <w:tcBorders/>
            <w:shd w:fill="auto" w:val="clear"/>
          </w:tcPr>
          <w:p>
            <w:pPr>
              <w:pStyle w:val="TableContents"/>
              <w:spacing w:before="0" w:after="283"/>
              <w:rPr>
                <w:rFonts w:ascii="times new roman;serif" w:hAnsi="times new roman;serif"/>
                <w:sz w:val="24"/>
              </w:rPr>
            </w:pPr>
            <w:r>
              <w:rPr>
                <w:rFonts w:ascii="times new roman;serif" w:hAnsi="times new roman;serif"/>
                <w:sz w:val="24"/>
              </w:rPr>
              <w:t>Texas</w:t>
            </w:r>
          </w:p>
        </w:tc>
      </w:tr>
      <w:tr>
        <w:trPr/>
        <w:tc>
          <w:tcPr>
            <w:tcW w:w="5102" w:type="dxa"/>
            <w:tcBorders/>
            <w:shd w:fill="auto" w:val="clear"/>
          </w:tcPr>
          <w:p>
            <w:pPr>
              <w:pStyle w:val="TableContents"/>
              <w:spacing w:before="0" w:after="283"/>
              <w:jc w:val="left"/>
              <w:rPr/>
            </w:pPr>
            <w:r>
              <w:rPr/>
              <w:t> </w:t>
            </w:r>
          </w:p>
        </w:tc>
        <w:tc>
          <w:tcPr>
            <w:tcW w:w="5103"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Plains Marketing, L.P.</w:t>
            </w:r>
          </w:p>
        </w:tc>
        <w:tc>
          <w:tcPr>
            <w:tcW w:w="5103"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California, Illinois, Louisiana, Oklahoma</w:t>
            </w:r>
          </w:p>
        </w:tc>
      </w:tr>
      <w:tr>
        <w:trPr/>
        <w:tc>
          <w:tcPr>
            <w:tcW w:w="5102" w:type="dxa"/>
            <w:tcBorders/>
            <w:shd w:fill="auto" w:val="clear"/>
          </w:tcPr>
          <w:p>
            <w:pPr>
              <w:pStyle w:val="TableContents"/>
              <w:spacing w:before="0" w:after="283"/>
              <w:jc w:val="left"/>
              <w:rPr/>
            </w:pPr>
            <w:r>
              <w:rPr/>
              <w:t> </w:t>
            </w:r>
          </w:p>
        </w:tc>
        <w:tc>
          <w:tcPr>
            <w:tcW w:w="5103" w:type="dxa"/>
            <w:tcBorders/>
            <w:shd w:fill="auto" w:val="clear"/>
          </w:tcPr>
          <w:p>
            <w:pPr>
              <w:pStyle w:val="TableContents"/>
              <w:spacing w:before="0" w:after="283"/>
              <w:jc w:val="left"/>
              <w:rPr/>
            </w:pPr>
            <w:r>
              <w:rPr/>
              <w:t> </w:t>
            </w:r>
          </w:p>
        </w:tc>
      </w:tr>
      <w:tr>
        <w:trPr/>
        <w:tc>
          <w:tcPr>
            <w:tcW w:w="510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Plains Pipeline, L.P.</w:t>
            </w:r>
          </w:p>
        </w:tc>
        <w:tc>
          <w:tcPr>
            <w:tcW w:w="5103"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California, Illinois, Louisiana, Oklahoma</w:t>
            </w:r>
          </w:p>
        </w:tc>
      </w:tr>
      <w:tr>
        <w:trPr/>
        <w:tc>
          <w:tcPr>
            <w:tcW w:w="5102" w:type="dxa"/>
            <w:tcBorders/>
            <w:shd w:fill="auto" w:val="clear"/>
          </w:tcPr>
          <w:p>
            <w:pPr>
              <w:pStyle w:val="TableContents"/>
              <w:spacing w:before="0" w:after="283"/>
              <w:jc w:val="left"/>
              <w:rPr/>
            </w:pPr>
            <w:r>
              <w:rPr/>
              <w:t> </w:t>
            </w:r>
          </w:p>
        </w:tc>
        <w:tc>
          <w:tcPr>
            <w:tcW w:w="5103" w:type="dxa"/>
            <w:tcBorders/>
            <w:shd w:fill="auto" w:val="clear"/>
          </w:tcPr>
          <w:p>
            <w:pPr>
              <w:pStyle w:val="TableContents"/>
              <w:spacing w:before="0" w:after="283"/>
              <w:jc w:val="left"/>
              <w:rPr/>
            </w:pPr>
            <w:r>
              <w:rPr/>
              <w:t> </w:t>
            </w:r>
          </w:p>
        </w:tc>
      </w:tr>
      <w:tr>
        <w:trPr/>
        <w:tc>
          <w:tcPr>
            <w:tcW w:w="510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Plains Products Terminals LLC</w:t>
            </w:r>
          </w:p>
        </w:tc>
        <w:tc>
          <w:tcPr>
            <w:tcW w:w="5103"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California</w:t>
            </w:r>
          </w:p>
        </w:tc>
      </w:tr>
      <w:tr>
        <w:trPr/>
        <w:tc>
          <w:tcPr>
            <w:tcW w:w="5102" w:type="dxa"/>
            <w:tcBorders/>
            <w:shd w:fill="auto" w:val="clear"/>
          </w:tcPr>
          <w:p>
            <w:pPr>
              <w:pStyle w:val="TableContents"/>
              <w:spacing w:before="0" w:after="283"/>
              <w:jc w:val="left"/>
              <w:rPr/>
            </w:pPr>
            <w:r>
              <w:rPr/>
              <w:t> </w:t>
            </w:r>
          </w:p>
        </w:tc>
        <w:tc>
          <w:tcPr>
            <w:tcW w:w="5103" w:type="dxa"/>
            <w:tcBorders/>
            <w:shd w:fill="auto" w:val="clear"/>
          </w:tcPr>
          <w:p>
            <w:pPr>
              <w:pStyle w:val="TableContents"/>
              <w:spacing w:before="0" w:after="283"/>
              <w:jc w:val="left"/>
              <w:rPr/>
            </w:pPr>
            <w:r>
              <w:rPr/>
              <w:t> </w:t>
            </w:r>
          </w:p>
        </w:tc>
      </w:tr>
      <w:tr>
        <w:trPr/>
        <w:tc>
          <w:tcPr>
            <w:tcW w:w="510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Plains Midstream Canada ULC</w:t>
            </w:r>
          </w:p>
        </w:tc>
        <w:tc>
          <w:tcPr>
            <w:tcW w:w="5103"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British Columbia, Manitoba, Quebec, New Brunswick, Nova Scotia, Ontario and Saskatchewan</w:t>
            </w:r>
          </w:p>
        </w:tc>
      </w:tr>
      <w:tr>
        <w:trPr/>
        <w:tc>
          <w:tcPr>
            <w:tcW w:w="5102" w:type="dxa"/>
            <w:tcBorders/>
            <w:shd w:fill="auto" w:val="clear"/>
          </w:tcPr>
          <w:p>
            <w:pPr>
              <w:pStyle w:val="TableContents"/>
              <w:spacing w:before="0" w:after="283"/>
              <w:jc w:val="left"/>
              <w:rPr/>
            </w:pPr>
            <w:r>
              <w:rPr/>
              <w:t> </w:t>
            </w:r>
          </w:p>
        </w:tc>
        <w:tc>
          <w:tcPr>
            <w:tcW w:w="5103" w:type="dxa"/>
            <w:tcBorders/>
            <w:shd w:fill="auto" w:val="clear"/>
          </w:tcPr>
          <w:p>
            <w:pPr>
              <w:pStyle w:val="TableContents"/>
              <w:spacing w:before="0" w:after="283"/>
              <w:jc w:val="left"/>
              <w:rPr/>
            </w:pPr>
            <w:r>
              <w:rPr/>
              <w:t> </w:t>
            </w:r>
          </w:p>
        </w:tc>
      </w:tr>
      <w:tr>
        <w:trPr/>
        <w:tc>
          <w:tcPr>
            <w:tcW w:w="510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Pacific Pipeline System LLC</w:t>
            </w:r>
          </w:p>
        </w:tc>
        <w:tc>
          <w:tcPr>
            <w:tcW w:w="5103"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California</w:t>
            </w:r>
          </w:p>
        </w:tc>
      </w:tr>
      <w:tr>
        <w:trPr/>
        <w:tc>
          <w:tcPr>
            <w:tcW w:w="5102" w:type="dxa"/>
            <w:tcBorders/>
            <w:shd w:fill="auto" w:val="clear"/>
          </w:tcPr>
          <w:p>
            <w:pPr>
              <w:pStyle w:val="TableContents"/>
              <w:spacing w:before="0" w:after="283"/>
              <w:jc w:val="left"/>
              <w:rPr/>
            </w:pPr>
            <w:r>
              <w:rPr/>
              <w:t> </w:t>
            </w:r>
          </w:p>
        </w:tc>
        <w:tc>
          <w:tcPr>
            <w:tcW w:w="5103" w:type="dxa"/>
            <w:tcBorders/>
            <w:shd w:fill="auto" w:val="clear"/>
          </w:tcPr>
          <w:p>
            <w:pPr>
              <w:pStyle w:val="TableContents"/>
              <w:spacing w:before="0" w:after="283"/>
              <w:jc w:val="left"/>
              <w:rPr/>
            </w:pPr>
            <w:r>
              <w:rPr/>
              <w:t> </w:t>
            </w:r>
          </w:p>
        </w:tc>
      </w:tr>
      <w:tr>
        <w:trPr/>
        <w:tc>
          <w:tcPr>
            <w:tcW w:w="510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Plains West Coast Terminals LLC</w:t>
            </w:r>
          </w:p>
        </w:tc>
        <w:tc>
          <w:tcPr>
            <w:tcW w:w="5103"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California</w:t>
            </w:r>
          </w:p>
        </w:tc>
      </w:tr>
      <w:tr>
        <w:trPr/>
        <w:tc>
          <w:tcPr>
            <w:tcW w:w="5102" w:type="dxa"/>
            <w:tcBorders/>
            <w:shd w:fill="auto" w:val="clear"/>
          </w:tcPr>
          <w:p>
            <w:pPr>
              <w:pStyle w:val="TableContents"/>
              <w:spacing w:before="0" w:after="283"/>
              <w:jc w:val="left"/>
              <w:rPr/>
            </w:pPr>
            <w:r>
              <w:rPr/>
              <w:t> </w:t>
            </w:r>
          </w:p>
        </w:tc>
        <w:tc>
          <w:tcPr>
            <w:tcW w:w="5103" w:type="dxa"/>
            <w:tcBorders/>
            <w:shd w:fill="auto" w:val="clear"/>
          </w:tcPr>
          <w:p>
            <w:pPr>
              <w:pStyle w:val="TableContents"/>
              <w:spacing w:before="0" w:after="283"/>
              <w:jc w:val="left"/>
              <w:rPr/>
            </w:pPr>
            <w:r>
              <w:rPr/>
              <w:t> </w:t>
            </w:r>
          </w:p>
        </w:tc>
      </w:tr>
      <w:tr>
        <w:trPr/>
        <w:tc>
          <w:tcPr>
            <w:tcW w:w="5102"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Rocky Mountain Pipeline System LLC</w:t>
            </w:r>
          </w:p>
        </w:tc>
        <w:tc>
          <w:tcPr>
            <w:tcW w:w="5103"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Utah</w:t>
            </w:r>
          </w:p>
        </w:tc>
      </w:tr>
      <w:tr>
        <w:trPr/>
        <w:tc>
          <w:tcPr>
            <w:tcW w:w="5102" w:type="dxa"/>
            <w:tcBorders/>
            <w:shd w:fill="auto" w:val="clear"/>
          </w:tcPr>
          <w:p>
            <w:pPr>
              <w:pStyle w:val="TableContents"/>
              <w:spacing w:before="0" w:after="283"/>
              <w:rPr/>
            </w:pPr>
            <w:r>
              <w:rPr/>
              <w:t> </w:t>
            </w:r>
          </w:p>
        </w:tc>
        <w:tc>
          <w:tcPr>
            <w:tcW w:w="5103"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Pine Prairie Energy Center, LLC</w:t>
            </w:r>
          </w:p>
        </w:tc>
        <w:tc>
          <w:tcPr>
            <w:tcW w:w="5103"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Louisiana</w:t>
            </w:r>
          </w:p>
        </w:tc>
      </w:tr>
      <w:tr>
        <w:trPr/>
        <w:tc>
          <w:tcPr>
            <w:tcW w:w="5102" w:type="dxa"/>
            <w:tcBorders/>
            <w:shd w:fill="auto" w:val="clear"/>
          </w:tcPr>
          <w:p>
            <w:pPr>
              <w:pStyle w:val="TableContents"/>
              <w:spacing w:before="0" w:after="283"/>
              <w:jc w:val="left"/>
              <w:rPr/>
            </w:pPr>
            <w:r>
              <w:rPr/>
              <w:t> </w:t>
            </w:r>
          </w:p>
        </w:tc>
        <w:tc>
          <w:tcPr>
            <w:tcW w:w="5103" w:type="dxa"/>
            <w:tcBorders/>
            <w:shd w:fill="auto" w:val="clear"/>
          </w:tcPr>
          <w:p>
            <w:pPr>
              <w:pStyle w:val="TableContents"/>
              <w:spacing w:before="0" w:after="283"/>
              <w:jc w:val="left"/>
              <w:rPr/>
            </w:pPr>
            <w:r>
              <w:rPr/>
              <w:t> </w:t>
            </w:r>
          </w:p>
        </w:tc>
      </w:tr>
      <w:tr>
        <w:trPr/>
        <w:tc>
          <w:tcPr>
            <w:tcW w:w="5102"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SG Resources Mississippi LLC</w:t>
            </w:r>
          </w:p>
        </w:tc>
        <w:tc>
          <w:tcPr>
            <w:tcW w:w="5103"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Mississippi</w:t>
            </w:r>
          </w:p>
        </w:tc>
      </w:tr>
      <w:tr>
        <w:trPr/>
        <w:tc>
          <w:tcPr>
            <w:tcW w:w="5102" w:type="dxa"/>
            <w:tcBorders/>
            <w:shd w:fill="auto" w:val="clear"/>
          </w:tcPr>
          <w:p>
            <w:pPr>
              <w:pStyle w:val="TableContents"/>
              <w:spacing w:before="0" w:after="283"/>
              <w:rPr/>
            </w:pPr>
            <w:r>
              <w:rPr/>
              <w:t> </w:t>
            </w:r>
          </w:p>
        </w:tc>
        <w:tc>
          <w:tcPr>
            <w:tcW w:w="5103"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Plains LPG Services LP</w:t>
            </w:r>
          </w:p>
        </w:tc>
        <w:tc>
          <w:tcPr>
            <w:tcW w:w="5103"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California, Illinois, Oklahoma, Texas</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601" w:name="PGBRK62"/>
      <w:bookmarkStart w:id="602" w:name="PGBRK62"/>
      <w:bookmarkEnd w:id="6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03" w:name="FTR62"/>
      <w:bookmarkStart w:id="604" w:name="FTR62"/>
      <w:bookmarkEnd w:id="6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rFonts w:ascii="Times New Roman" w:hAnsi="Times New Roman"/>
          <w:i/>
          <w:sz w:val="22"/>
        </w:rPr>
      </w:pPr>
      <w:bookmarkStart w:id="605" w:name="FTR_DIV5"/>
      <w:bookmarkEnd w:id="605"/>
      <w:r>
        <w:rPr>
          <w:rFonts w:ascii="Times New Roman" w:hAnsi="Times New Roman"/>
          <w:i/>
          <w:sz w:val="22"/>
        </w:rPr>
        <w:t>Exhibit A</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606" w:name="GLFTR62"/>
      <w:bookmarkEnd w:id="6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07" w:name="PN62"/>
      <w:bookmarkEnd w:id="60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08" w:name="HDR62"/>
      <w:bookmarkStart w:id="609" w:name="HDR62"/>
      <w:bookmarkEnd w:id="6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610" w:name="GLHDR62"/>
      <w:bookmarkEnd w:id="6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4"/>
          <w:u w:val="single"/>
        </w:rPr>
      </w:pPr>
      <w:r>
        <w:rPr>
          <w:rFonts w:ascii="Times New Roman;serif" w:hAnsi="Times New Roman;serif"/>
          <w:b/>
          <w:sz w:val="24"/>
          <w:u w:val="single"/>
        </w:rPr>
        <w:t>EXHIBIT B</w:t>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sz w:val="24"/>
        </w:rPr>
      </w:pPr>
      <w:r>
        <w:rPr>
          <w:rFonts w:ascii="Times New Roman;serif" w:hAnsi="Times New Roman;serif"/>
          <w:sz w:val="24"/>
        </w:rPr>
        <w:t>August 11, 2011</w:t>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sz w:val="24"/>
        </w:rPr>
      </w:pPr>
      <w:r>
        <w:rPr>
          <w:rFonts w:ascii="Times New Roman;serif" w:hAnsi="Times New Roman;serif"/>
          <w:sz w:val="24"/>
        </w:rPr>
        <w:t>Plains All American Pipeline, L.P.</w:t>
      </w:r>
    </w:p>
    <w:p>
      <w:pPr>
        <w:pStyle w:val="TextBody"/>
        <w:spacing w:before="0" w:after="0"/>
        <w:ind w:left="0" w:right="0" w:hanging="0"/>
        <w:jc w:val="center"/>
        <w:rPr>
          <w:rFonts w:ascii="Times New Roman;serif" w:hAnsi="Times New Roman;serif"/>
          <w:sz w:val="24"/>
          <w:u w:val="single"/>
        </w:rPr>
      </w:pPr>
      <w:r>
        <w:rPr>
          <w:rFonts w:ascii="Times New Roman;serif" w:hAnsi="Times New Roman;serif"/>
          <w:sz w:val="24"/>
          <w:u w:val="single"/>
        </w:rPr>
        <w:t>Public Offering of Common Units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Citigroup Global Markets Inc.</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Barclays Capital Inc.</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Merrill Lynch, Pierce, Fenner &amp; Smith</w:t>
            </w:r>
          </w:p>
          <w:p>
            <w:pPr>
              <w:pStyle w:val="TableContents"/>
              <w:spacing w:before="0" w:after="0"/>
              <w:ind w:left="0" w:right="0" w:hanging="0"/>
              <w:jc w:val="both"/>
              <w:rPr/>
            </w:pPr>
            <w:r>
              <w:rPr/>
              <w:t>                     </w:t>
            </w:r>
            <w:r>
              <w:rPr>
                <w:rFonts w:ascii="times new roman;serif" w:hAnsi="times new roman;serif"/>
                <w:sz w:val="24"/>
              </w:rPr>
              <w:t>Incorporated</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J.P. Morgan Securities LLC</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UBS Securities LLC</w:t>
            </w:r>
          </w:p>
        </w:tc>
      </w:tr>
      <w:tr>
        <w:trPr/>
        <w:tc>
          <w:tcPr>
            <w:tcW w:w="10205" w:type="dxa"/>
            <w:tcBorders/>
            <w:shd w:fill="auto" w:val="clear"/>
          </w:tcPr>
          <w:p>
            <w:pPr>
              <w:pStyle w:val="TableContents"/>
              <w:spacing w:before="0" w:after="283"/>
              <w:rPr/>
            </w:pPr>
            <w:r>
              <w:rPr/>
              <w:t xml:space="preserve">  </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As Representatives of the several Underwriters</w:t>
            </w:r>
          </w:p>
        </w:tc>
      </w:tr>
      <w:tr>
        <w:trPr/>
        <w:tc>
          <w:tcPr>
            <w:tcW w:w="10205" w:type="dxa"/>
            <w:tcBorders/>
            <w:shd w:fill="auto" w:val="clear"/>
          </w:tcPr>
          <w:p>
            <w:pPr>
              <w:pStyle w:val="TableContents"/>
              <w:spacing w:before="0" w:after="283"/>
              <w:rPr/>
            </w:pPr>
            <w:r>
              <w:rPr/>
              <w:t xml:space="preserve">  </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c/o Citigroup Global Markets Inc.</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388 Greenwich St., 34th Floor</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New York, New York  10013</w:t>
            </w:r>
          </w:p>
        </w:tc>
      </w:tr>
      <w:tr>
        <w:trPr/>
        <w:tc>
          <w:tcPr>
            <w:tcW w:w="10205"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Ladies and Gentlemen:</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This letter is being delivered to you in connection with the proposed Underwriting Agreement (the “</w:t>
      </w:r>
      <w:r>
        <w:rPr>
          <w:rFonts w:ascii="Times New Roman;serif" w:hAnsi="Times New Roman;serif"/>
          <w:b/>
          <w:sz w:val="24"/>
        </w:rPr>
        <w:t>Underwriting Agreement</w:t>
      </w:r>
      <w:r>
        <w:rPr>
          <w:rFonts w:ascii="Times New Roman;serif" w:hAnsi="Times New Roman;serif"/>
          <w:sz w:val="24"/>
        </w:rPr>
        <w:t>”) among Vulcan Energy Corporation, a Delaware corporation, Plains All American Pipeline, L.P., a Delaware limited partnership (the “</w:t>
      </w:r>
      <w:r>
        <w:rPr>
          <w:rFonts w:ascii="Times New Roman;serif" w:hAnsi="Times New Roman;serif"/>
          <w:b/>
          <w:sz w:val="24"/>
        </w:rPr>
        <w:t>Partnership</w:t>
      </w:r>
      <w:r>
        <w:rPr>
          <w:rFonts w:ascii="Times New Roman;serif" w:hAnsi="Times New Roman;serif"/>
          <w:sz w:val="24"/>
        </w:rPr>
        <w:t>”), Citigroup Global Markets Inc., Barclays Capital Inc., Merrill Lynch, Pierce, Fenner &amp; Smith Incorporated, J.P. Morgan Securities LLC and UBS Securities LLC and any other party thereto named therein as an underwriter (the “</w:t>
      </w:r>
      <w:r>
        <w:rPr>
          <w:rFonts w:ascii="Times New Roman;serif" w:hAnsi="Times New Roman;serif"/>
          <w:b/>
          <w:sz w:val="24"/>
        </w:rPr>
        <w:t>Underwriters</w:t>
      </w:r>
      <w:r>
        <w:rPr>
          <w:rFonts w:ascii="Times New Roman;serif" w:hAnsi="Times New Roman;serif"/>
          <w:sz w:val="24"/>
        </w:rPr>
        <w:t>”) relating to an underwritten public offering of common units representing limited partner interests of the Partnership.</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 xml:space="preserve">To induce you and the other underwriters to enter into the Underwriting Agreement, the undersigned agrees that, except for transfers of Common Units (as defined in the Underwriting Agreement) in connection with sales to pay tax liabilities associated with the vesting of Restricted Unit or Phantom Unit awards under the Plains All American GP LLC 1998, 2005 or PPX Successor Long-Term Incentive Plans, the undersigned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w:t>
      </w:r>
      <w:r>
        <w:rPr>
          <w:rFonts w:ascii="Times New Roman;serif" w:hAnsi="Times New Roman;serif"/>
          <w:b/>
          <w:sz w:val="24"/>
        </w:rPr>
        <w:t>[</w:t>
      </w:r>
      <w:r>
        <w:rPr>
          <w:rFonts w:ascii="Times New Roman;serif" w:hAnsi="Times New Roman;serif"/>
          <w:i/>
          <w:sz w:val="24"/>
        </w:rPr>
        <w:t>for Robert V. Sinnott’s lock-up letter only:</w:t>
      </w:r>
      <w:r>
        <w:rPr>
          <w:rFonts w:ascii="Times New Roman;serif" w:hAnsi="Times New Roman;serif"/>
          <w:sz w:val="24"/>
        </w:rPr>
        <w:t>  other than Kayne Anderson Capital Income Partners (Q.P.), L.P., Kayne Anderson Non-Traditional Investments, L.P., Kayne Anderson Income Partners, L.P., Kayne Anderson Midstream Institutional Fund, L.P., Kayne Anderson MLP Fund, L.P., Kayne Anderson Real Assets Fund, L.P., Kayne Anderson Energy Total Return Fund, Kayne Anderson MLP Investment Company, Energy Infrastructure Fund, L.P., CF Kettering Inc. (separate account), Cornell University (separate account), Kayne Anderson Energy Development Company, Kayne Anderson Midstream/Energy Fund Inc., First</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1" w:name="PGBRK63"/>
      <w:bookmarkStart w:id="612" w:name="PGBRK63"/>
      <w:bookmarkEnd w:id="6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3" w:name="FTR63"/>
      <w:bookmarkStart w:id="614" w:name="FTR63"/>
      <w:bookmarkEnd w:id="6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15" w:name="GLFTR63"/>
      <w:bookmarkEnd w:id="6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i/>
          <w:sz w:val="22"/>
        </w:rPr>
      </w:pPr>
      <w:bookmarkStart w:id="616" w:name="PN63"/>
      <w:bookmarkEnd w:id="616"/>
      <w:r>
        <w:rPr>
          <w:rFonts w:ascii="times new roman;serif" w:hAnsi="times new roman;serif"/>
          <w:i/>
          <w:sz w:val="22"/>
        </w:rPr>
        <w:t>Exhibit B-1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7" w:name="HDR63"/>
      <w:bookmarkStart w:id="618" w:name="HDR63"/>
      <w:bookmarkEnd w:id="6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19" w:name="GLHDR63"/>
      <w:bookmarkEnd w:id="6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Energy Corporation (four separate accounts) and Kayne Midstream Specialty Fund, L.P.</w:t>
      </w:r>
      <w:r>
        <w:rPr>
          <w:rFonts w:ascii="Times New Roman;serif" w:hAnsi="Times New Roman;serif"/>
          <w:b/>
          <w:sz w:val="24"/>
        </w:rPr>
        <w:t xml:space="preserve">] </w:t>
      </w:r>
      <w:r>
        <w:rPr>
          <w:rFonts w:ascii="Times New Roman;serif" w:hAnsi="Times New Roman;serif"/>
          <w:sz w:val="24"/>
        </w:rPr>
        <w:t xml:space="preserve">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Common Units or any securities that are convertible into, or exercisable or exchangeable for, or that represent the right to receive, Common Units or any securities that are senior to or </w:t>
      </w:r>
      <w:r>
        <w:rPr>
          <w:rFonts w:ascii="Times New Roman;serif" w:hAnsi="Times New Roman;serif"/>
          <w:i/>
          <w:sz w:val="24"/>
        </w:rPr>
        <w:t>pari passu</w:t>
      </w:r>
      <w:r>
        <w:rPr>
          <w:rFonts w:ascii="Times New Roman;serif" w:hAnsi="Times New Roman;serif"/>
          <w:sz w:val="24"/>
        </w:rPr>
        <w:t xml:space="preserve"> with Common Units, or publicly announce an intention to effect any such transaction, for a period of 45 days after the date of the Prospectus (as defined in the Underwriting Agreement) (the “</w:t>
      </w:r>
      <w:r>
        <w:rPr>
          <w:rFonts w:ascii="Times New Roman;serif" w:hAnsi="Times New Roman;serif"/>
          <w:b/>
          <w:sz w:val="24"/>
        </w:rPr>
        <w:t>Lock-Up Period</w:t>
      </w:r>
      <w:r>
        <w:rPr>
          <w:rFonts w:ascii="Times New Roman;serif" w:hAnsi="Times New Roman;serif"/>
          <w:sz w:val="24"/>
        </w:rPr>
        <w:t>”) without the prior written consent of Citigroup Global Markets Inc.</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If for any reason the Underwriting Agreement is terminated before the applicable Delivery Date (as defined in the Underwriting Agreement), the agreement set forth above shall likewise be terminated.</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917"/>
        <w:gridCol w:w="842"/>
        <w:gridCol w:w="2446"/>
      </w:tblGrid>
      <w:tr>
        <w:trPr/>
        <w:tc>
          <w:tcPr>
            <w:tcW w:w="6917" w:type="dxa"/>
            <w:tcBorders/>
            <w:shd w:fill="auto" w:val="clear"/>
          </w:tcPr>
          <w:p>
            <w:pPr>
              <w:pStyle w:val="TableContents"/>
              <w:spacing w:before="0" w:after="283"/>
              <w:rPr/>
            </w:pPr>
            <w:r>
              <w:rPr/>
              <w:t xml:space="preserve">  </w:t>
            </w:r>
          </w:p>
        </w:tc>
        <w:tc>
          <w:tcPr>
            <w:tcW w:w="3288" w:type="dxa"/>
            <w:gridSpan w:val="2"/>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Yours very truly,</w:t>
            </w:r>
          </w:p>
        </w:tc>
      </w:tr>
      <w:tr>
        <w:trPr/>
        <w:tc>
          <w:tcPr>
            <w:tcW w:w="6917" w:type="dxa"/>
            <w:tcBorders/>
            <w:shd w:fill="auto" w:val="clear"/>
          </w:tcPr>
          <w:p>
            <w:pPr>
              <w:pStyle w:val="TableContents"/>
              <w:spacing w:before="0" w:after="283"/>
              <w:rPr/>
            </w:pPr>
            <w:r>
              <w:rPr/>
              <w:t xml:space="preserve">  </w:t>
            </w:r>
          </w:p>
        </w:tc>
        <w:tc>
          <w:tcPr>
            <w:tcW w:w="3288" w:type="dxa"/>
            <w:gridSpan w:val="2"/>
            <w:tcBorders>
              <w:bottom w:val="single" w:sz="4" w:space="0" w:color="000000"/>
            </w:tcBorders>
            <w:shd w:fill="auto" w:val="clear"/>
            <w:tcMar>
              <w:bottom w:w="28" w:type="dxa"/>
            </w:tcMar>
          </w:tcPr>
          <w:p>
            <w:pPr>
              <w:pStyle w:val="TableContents"/>
              <w:spacing w:before="0" w:after="283"/>
              <w:rPr/>
            </w:pPr>
            <w:r>
              <w:rPr/>
              <w:t xml:space="preserve">  </w:t>
            </w:r>
          </w:p>
        </w:tc>
      </w:tr>
      <w:tr>
        <w:trPr/>
        <w:tc>
          <w:tcPr>
            <w:tcW w:w="6917" w:type="dxa"/>
            <w:tcBorders/>
            <w:shd w:fill="auto" w:val="clear"/>
          </w:tcPr>
          <w:p>
            <w:pPr>
              <w:pStyle w:val="TableContents"/>
              <w:spacing w:before="0" w:after="283"/>
              <w:rPr/>
            </w:pPr>
            <w:r>
              <w:rPr/>
              <w:t xml:space="preserve">  </w:t>
            </w:r>
          </w:p>
        </w:tc>
        <w:tc>
          <w:tcPr>
            <w:tcW w:w="84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Name:</w:t>
            </w:r>
          </w:p>
        </w:tc>
        <w:tc>
          <w:tcPr>
            <w:tcW w:w="2446" w:type="dxa"/>
            <w:tcBorders/>
            <w:shd w:fill="auto" w:val="clear"/>
          </w:tcPr>
          <w:p>
            <w:pPr>
              <w:pStyle w:val="TableContents"/>
              <w:spacing w:before="0" w:after="283"/>
              <w:rPr/>
            </w:pPr>
            <w:r>
              <w:rPr/>
              <w:t xml:space="preserve">  </w:t>
            </w:r>
          </w:p>
        </w:tc>
      </w:tr>
      <w:tr>
        <w:trPr/>
        <w:tc>
          <w:tcPr>
            <w:tcW w:w="6917" w:type="dxa"/>
            <w:tcBorders/>
            <w:shd w:fill="auto" w:val="clear"/>
          </w:tcPr>
          <w:p>
            <w:pPr>
              <w:pStyle w:val="TableContents"/>
              <w:spacing w:before="0" w:after="283"/>
              <w:rPr/>
            </w:pPr>
            <w:r>
              <w:rPr/>
              <w:t xml:space="preserve">  </w:t>
            </w:r>
          </w:p>
        </w:tc>
        <w:tc>
          <w:tcPr>
            <w:tcW w:w="84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w:t>
            </w:r>
          </w:p>
        </w:tc>
        <w:tc>
          <w:tcPr>
            <w:tcW w:w="2446" w:type="dxa"/>
            <w:tcBorders/>
            <w:shd w:fill="auto" w:val="clear"/>
          </w:tcPr>
          <w:p>
            <w:pPr>
              <w:pStyle w:val="TableContents"/>
              <w:spacing w:before="0" w:after="283"/>
              <w:rPr/>
            </w:pPr>
            <w:r>
              <w:rPr/>
              <w:t xml:space="preserve">  </w:t>
            </w:r>
          </w:p>
        </w:tc>
      </w:tr>
      <w:tr>
        <w:trPr/>
        <w:tc>
          <w:tcPr>
            <w:tcW w:w="6917" w:type="dxa"/>
            <w:tcBorders/>
            <w:shd w:fill="auto" w:val="clear"/>
          </w:tcPr>
          <w:p>
            <w:pPr>
              <w:pStyle w:val="TableContents"/>
              <w:spacing w:before="0" w:after="283"/>
              <w:rPr/>
            </w:pPr>
            <w:r>
              <w:rPr/>
              <w:t xml:space="preserve">  </w:t>
            </w:r>
          </w:p>
        </w:tc>
        <w:tc>
          <w:tcPr>
            <w:tcW w:w="84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Address:</w:t>
            </w:r>
          </w:p>
        </w:tc>
        <w:tc>
          <w:tcPr>
            <w:tcW w:w="2446" w:type="dxa"/>
            <w:tcBorders/>
            <w:shd w:fill="auto" w:val="clear"/>
          </w:tcPr>
          <w:p>
            <w:pPr>
              <w:pStyle w:val="TableContents"/>
              <w:spacing w:before="0" w:after="283"/>
              <w:rPr/>
            </w:pPr>
            <w:r>
              <w:rPr/>
              <w:t xml:space="preserve">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620" w:name="PGBRK64"/>
      <w:bookmarkStart w:id="621" w:name="PGBRK64"/>
      <w:bookmarkEnd w:id="6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22" w:name="FTR64"/>
      <w:bookmarkStart w:id="623" w:name="FTR64"/>
      <w:bookmarkEnd w:id="6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624" w:name="GLFTR64"/>
      <w:bookmarkEnd w:id="6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i/>
          <w:sz w:val="22"/>
        </w:rPr>
      </w:pPr>
      <w:bookmarkStart w:id="625" w:name="PN64"/>
      <w:bookmarkEnd w:id="625"/>
      <w:r>
        <w:rPr>
          <w:rFonts w:ascii="times new roman;serif" w:hAnsi="times new roman;serif"/>
          <w:i/>
          <w:sz w:val="22"/>
        </w:rPr>
        <w:t>Exhibit B-2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26" w:name="HDR64"/>
      <w:bookmarkStart w:id="627" w:name="HDR64"/>
      <w:bookmarkEnd w:id="6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628" w:name="GLHDR64"/>
      <w:bookmarkEnd w:id="6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4"/>
          <w:u w:val="single"/>
        </w:rPr>
      </w:pPr>
      <w:r>
        <w:rPr>
          <w:rFonts w:ascii="Times New Roman;serif" w:hAnsi="Times New Roman;serif"/>
          <w:b/>
          <w:sz w:val="24"/>
          <w:u w:val="single"/>
        </w:rPr>
        <w:t>EXHIBIT C</w:t>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4"/>
        </w:rPr>
      </w:pPr>
      <w:r>
        <w:rPr>
          <w:rFonts w:ascii="Times New Roman;serif" w:hAnsi="Times New Roman;serif"/>
          <w:b/>
          <w:sz w:val="24"/>
        </w:rPr>
        <w:t>CHIEF FINANCIAL OFFICER’S CERTIFICATE</w:t>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sz w:val="24"/>
        </w:rPr>
      </w:pPr>
      <w:r>
        <w:rPr>
          <w:rFonts w:ascii="Times New Roman;serif" w:hAnsi="Times New Roman;serif"/>
          <w:sz w:val="24"/>
        </w:rPr>
        <w:t>August 11, 2011</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The undersigned, in his capacity as the Chief Financial Officer of PAA GP LLC, a Delaware limited liability company and the general partner of Plains All American Pipeline, L.P., a Delaware limited partnership (the “</w:t>
      </w:r>
      <w:r>
        <w:rPr>
          <w:rFonts w:ascii="Times New Roman;serif" w:hAnsi="Times New Roman;serif"/>
          <w:b/>
          <w:sz w:val="24"/>
        </w:rPr>
        <w:t>Partnership</w:t>
      </w:r>
      <w:r>
        <w:rPr>
          <w:rFonts w:ascii="Times New Roman;serif" w:hAnsi="Times New Roman;serif"/>
          <w:sz w:val="24"/>
        </w:rPr>
        <w:t>”),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June 30, 2011.  In addition as of the date of this certificate, the total debt of the Partnership is approximately $5.4 billion.</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Capitalized terms used but not defined herein have the meanings assigned to them in the Underwriting Agreement dated as of the date hereof by and among the Partnership, Vulcan Energy Corporation and Citigroup Global Markets Inc., Barclays Capital Inc., Merrill Lynch, Pierce, Fenner &amp; Smith Incorporated, J.P. Morgan Securities LLC and UBS Securities LLC as the representatives of the Underwriters.</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This certificate is to assist the Underwriters in conducting and documenting their investigation of the affairs of the Partnership in connection with the offering of the Units covered by the Registration Statement, the Pricing Disclosure Package and the Prospectus.</w:t>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sz w:val="24"/>
        </w:rPr>
      </w:pPr>
      <w:r>
        <w:rPr>
          <w:rFonts w:ascii="Times New Roman;serif" w:hAnsi="Times New Roman;serif"/>
          <w:sz w:val="24"/>
        </w:rPr>
        <w:t>[Signature Page Follows]</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9" w:name="PGBRK65"/>
      <w:bookmarkStart w:id="630" w:name="PGBRK65"/>
      <w:bookmarkEnd w:id="6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1" w:name="FTR65"/>
      <w:bookmarkStart w:id="632" w:name="FTR65"/>
      <w:bookmarkEnd w:id="6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33" w:name="GLFTR65"/>
      <w:bookmarkEnd w:id="6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i/>
          <w:sz w:val="22"/>
        </w:rPr>
      </w:pPr>
      <w:bookmarkStart w:id="634" w:name="PN65"/>
      <w:bookmarkEnd w:id="634"/>
      <w:r>
        <w:rPr>
          <w:rFonts w:ascii="Times New Roman;serif" w:hAnsi="Times New Roman;serif"/>
          <w:i/>
          <w:sz w:val="22"/>
        </w:rPr>
        <w:t>Exhibit C-1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5" w:name="HDR65"/>
      <w:bookmarkStart w:id="636" w:name="HDR65"/>
      <w:bookmarkEnd w:id="6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37" w:name="GLHDR65"/>
      <w:bookmarkEnd w:id="6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IN WITNESS WHEREOF, the undersigned has hereunto affixed his signature as of the date first written above.</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941"/>
        <w:gridCol w:w="3264"/>
      </w:tblGrid>
      <w:tr>
        <w:trPr/>
        <w:tc>
          <w:tcPr>
            <w:tcW w:w="6941" w:type="dxa"/>
            <w:tcBorders/>
            <w:shd w:fill="auto" w:val="clear"/>
          </w:tcPr>
          <w:p>
            <w:pPr>
              <w:pStyle w:val="TableContents"/>
              <w:spacing w:before="0" w:after="283"/>
              <w:rPr/>
            </w:pPr>
            <w:r>
              <w:rPr/>
              <w:t xml:space="preserve">  </w:t>
            </w:r>
          </w:p>
        </w:tc>
        <w:tc>
          <w:tcPr>
            <w:tcW w:w="3264" w:type="dxa"/>
            <w:tcBorders>
              <w:bottom w:val="single" w:sz="4" w:space="0" w:color="000000"/>
            </w:tcBorders>
            <w:shd w:fill="auto" w:val="clear"/>
            <w:tcMar>
              <w:bottom w:w="28" w:type="dxa"/>
            </w:tcMar>
          </w:tcPr>
          <w:p>
            <w:pPr>
              <w:pStyle w:val="TableContents"/>
              <w:spacing w:before="0" w:after="283"/>
              <w:rPr/>
            </w:pPr>
            <w:r>
              <w:rPr/>
              <w:t xml:space="preserve">  </w:t>
            </w:r>
          </w:p>
        </w:tc>
      </w:tr>
      <w:tr>
        <w:trPr/>
        <w:tc>
          <w:tcPr>
            <w:tcW w:w="6941" w:type="dxa"/>
            <w:tcBorders/>
            <w:shd w:fill="auto" w:val="clear"/>
          </w:tcPr>
          <w:p>
            <w:pPr>
              <w:pStyle w:val="TableContents"/>
              <w:spacing w:before="0" w:after="283"/>
              <w:rPr/>
            </w:pPr>
            <w:r>
              <w:rPr/>
              <w:t xml:space="preserve">  </w:t>
            </w:r>
          </w:p>
        </w:tc>
        <w:tc>
          <w:tcPr>
            <w:tcW w:w="3264"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Al Swanson</w:t>
            </w:r>
          </w:p>
        </w:tc>
      </w:tr>
      <w:tr>
        <w:trPr/>
        <w:tc>
          <w:tcPr>
            <w:tcW w:w="6941" w:type="dxa"/>
            <w:tcBorders/>
            <w:shd w:fill="auto" w:val="clear"/>
          </w:tcPr>
          <w:p>
            <w:pPr>
              <w:pStyle w:val="TableContents"/>
              <w:spacing w:before="0" w:after="283"/>
              <w:rPr/>
            </w:pPr>
            <w:r>
              <w:rPr/>
              <w:t xml:space="preserve">  </w:t>
            </w:r>
          </w:p>
        </w:tc>
        <w:tc>
          <w:tcPr>
            <w:tcW w:w="3264" w:type="dxa"/>
            <w:tcBorders/>
            <w:shd w:fill="auto" w:val="clear"/>
          </w:tcPr>
          <w:p>
            <w:pPr>
              <w:pStyle w:val="TableContents"/>
              <w:spacing w:before="0" w:after="0"/>
              <w:ind w:left="0" w:right="0" w:hanging="0"/>
              <w:jc w:val="left"/>
              <w:rPr>
                <w:rFonts w:ascii="times new roman;serif" w:hAnsi="times new roman;serif"/>
                <w:i/>
                <w:sz w:val="24"/>
              </w:rPr>
            </w:pPr>
            <w:r>
              <w:rPr>
                <w:rFonts w:ascii="times new roman;serif" w:hAnsi="times new roman;serif"/>
                <w:i/>
                <w:sz w:val="24"/>
              </w:rPr>
              <w:t>Executive Vice President and</w:t>
            </w:r>
          </w:p>
        </w:tc>
      </w:tr>
      <w:tr>
        <w:trPr/>
        <w:tc>
          <w:tcPr>
            <w:tcW w:w="6941" w:type="dxa"/>
            <w:tcBorders/>
            <w:shd w:fill="auto" w:val="clear"/>
          </w:tcPr>
          <w:p>
            <w:pPr>
              <w:pStyle w:val="TableContents"/>
              <w:spacing w:before="0" w:after="283"/>
              <w:rPr/>
            </w:pPr>
            <w:r>
              <w:rPr/>
              <w:t xml:space="preserve">  </w:t>
            </w:r>
          </w:p>
        </w:tc>
        <w:tc>
          <w:tcPr>
            <w:tcW w:w="3264" w:type="dxa"/>
            <w:tcBorders/>
            <w:shd w:fill="auto" w:val="clear"/>
          </w:tcPr>
          <w:p>
            <w:pPr>
              <w:pStyle w:val="TableContents"/>
              <w:spacing w:before="0" w:after="0"/>
              <w:ind w:left="0" w:right="0" w:hanging="0"/>
              <w:jc w:val="left"/>
              <w:rPr>
                <w:rFonts w:ascii="times new roman;serif" w:hAnsi="times new roman;serif"/>
                <w:i/>
                <w:sz w:val="24"/>
              </w:rPr>
            </w:pPr>
            <w:r>
              <w:rPr>
                <w:rFonts w:ascii="times new roman;serif" w:hAnsi="times new roman;serif"/>
                <w:i/>
                <w:sz w:val="24"/>
              </w:rPr>
              <w:t>Chief Financial Officer</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38" w:name="PGBRK66"/>
      <w:bookmarkStart w:id="639" w:name="PGBRK66"/>
      <w:bookmarkEnd w:id="6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0" w:name="FTR66"/>
      <w:bookmarkStart w:id="641" w:name="FTR66"/>
      <w:bookmarkEnd w:id="6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2" w:name="GLFTR66"/>
      <w:bookmarkEnd w:id="6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i/>
          <w:sz w:val="22"/>
        </w:rPr>
      </w:pPr>
      <w:bookmarkStart w:id="643" w:name="PN66"/>
      <w:bookmarkEnd w:id="643"/>
      <w:r>
        <w:rPr>
          <w:rFonts w:ascii="Times New Roman;serif" w:hAnsi="Times New Roman;serif"/>
          <w:i/>
          <w:sz w:val="22"/>
        </w:rPr>
        <w:t>Exhibit C-2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4" w:name="HDR66"/>
      <w:bookmarkStart w:id="645" w:name="HDR66"/>
      <w:bookmarkEnd w:id="6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46" w:name="GLHDR66"/>
      <w:bookmarkEnd w:id="6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4"/>
          <w:u w:val="single"/>
        </w:rPr>
      </w:pPr>
      <w:r>
        <w:rPr>
          <w:rFonts w:ascii="Times New Roman;serif" w:hAnsi="Times New Roman;serif"/>
          <w:b/>
          <w:sz w:val="24"/>
          <w:u w:val="single"/>
        </w:rPr>
        <w:t>EXHIBIT D</w:t>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sz w:val="24"/>
        </w:rPr>
      </w:pPr>
      <w:r>
        <w:rPr>
          <w:rFonts w:ascii="Times New Roman;serif" w:hAnsi="Times New Roman;serif"/>
          <w:sz w:val="24"/>
        </w:rPr>
        <w:t>August 11, 2011</w:t>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sz w:val="24"/>
        </w:rPr>
      </w:pPr>
      <w:r>
        <w:rPr>
          <w:rFonts w:ascii="Times New Roman;serif" w:hAnsi="Times New Roman;serif"/>
          <w:sz w:val="24"/>
        </w:rPr>
        <w:t>Plains All American Pipeline, L.P.</w:t>
      </w:r>
    </w:p>
    <w:p>
      <w:pPr>
        <w:pStyle w:val="TextBody"/>
        <w:spacing w:before="0" w:after="0"/>
        <w:ind w:left="0" w:right="0" w:hanging="0"/>
        <w:jc w:val="center"/>
        <w:rPr>
          <w:rFonts w:ascii="Times New Roman;serif" w:hAnsi="Times New Roman;serif"/>
          <w:sz w:val="24"/>
          <w:u w:val="single"/>
        </w:rPr>
      </w:pPr>
      <w:r>
        <w:rPr>
          <w:rFonts w:ascii="Times New Roman;serif" w:hAnsi="Times New Roman;serif"/>
          <w:sz w:val="24"/>
          <w:u w:val="single"/>
        </w:rPr>
        <w:t>Public Offering of Common Units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Citigroup Global Markets Inc.</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Barclays Capital Inc.</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Merrill Lynch, Pierce, Fenner &amp; Smith</w:t>
            </w:r>
          </w:p>
          <w:p>
            <w:pPr>
              <w:pStyle w:val="TableContents"/>
              <w:spacing w:before="0" w:after="0"/>
              <w:ind w:left="0" w:right="0" w:hanging="0"/>
              <w:jc w:val="both"/>
              <w:rPr/>
            </w:pPr>
            <w:r>
              <w:rPr/>
              <w:t>                     </w:t>
            </w:r>
            <w:r>
              <w:rPr>
                <w:rFonts w:ascii="times new roman;serif" w:hAnsi="times new roman;serif"/>
                <w:sz w:val="24"/>
              </w:rPr>
              <w:t>Incorporated</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J.P. Morgan Securities LLC</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UBS Securities LLC</w:t>
            </w:r>
          </w:p>
        </w:tc>
      </w:tr>
      <w:tr>
        <w:trPr/>
        <w:tc>
          <w:tcPr>
            <w:tcW w:w="10205" w:type="dxa"/>
            <w:tcBorders/>
            <w:shd w:fill="auto" w:val="clear"/>
          </w:tcPr>
          <w:p>
            <w:pPr>
              <w:pStyle w:val="TableContents"/>
              <w:spacing w:before="0" w:after="283"/>
              <w:rPr/>
            </w:pPr>
            <w:r>
              <w:rPr/>
              <w:t xml:space="preserve">  </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As Representatives of the several Underwriters</w:t>
            </w:r>
          </w:p>
        </w:tc>
      </w:tr>
      <w:tr>
        <w:trPr/>
        <w:tc>
          <w:tcPr>
            <w:tcW w:w="10205" w:type="dxa"/>
            <w:tcBorders/>
            <w:shd w:fill="auto" w:val="clear"/>
          </w:tcPr>
          <w:p>
            <w:pPr>
              <w:pStyle w:val="TableContents"/>
              <w:spacing w:before="0" w:after="283"/>
              <w:rPr/>
            </w:pPr>
            <w:r>
              <w:rPr/>
              <w:t xml:space="preserve">  </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c/o Citigroup Global Markets Inc.</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388 Greenwich St., 34th Floor</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New York, New York  10013</w:t>
            </w:r>
          </w:p>
        </w:tc>
      </w:tr>
      <w:tr>
        <w:trPr/>
        <w:tc>
          <w:tcPr>
            <w:tcW w:w="10205"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Ladies and Gentlemen:</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This letter is being delivered to you in connection with the proposed Underwriting Agreement (the “</w:t>
      </w:r>
      <w:r>
        <w:rPr>
          <w:rFonts w:ascii="Times New Roman;serif" w:hAnsi="Times New Roman;serif"/>
          <w:b/>
          <w:sz w:val="24"/>
        </w:rPr>
        <w:t>Underwriting Agreement</w:t>
      </w:r>
      <w:r>
        <w:rPr>
          <w:rFonts w:ascii="Times New Roman;serif" w:hAnsi="Times New Roman;serif"/>
          <w:sz w:val="24"/>
        </w:rPr>
        <w:t>”) among Vulcan Energy Corporation, a Delaware corporation (the “</w:t>
      </w:r>
      <w:r>
        <w:rPr>
          <w:rFonts w:ascii="Times New Roman;serif" w:hAnsi="Times New Roman;serif"/>
          <w:b/>
          <w:sz w:val="24"/>
        </w:rPr>
        <w:t>Selling Unitholder</w:t>
      </w:r>
      <w:r>
        <w:rPr>
          <w:rFonts w:ascii="Times New Roman;serif" w:hAnsi="Times New Roman;serif"/>
          <w:sz w:val="24"/>
        </w:rPr>
        <w:t>”), Plains All American Pipeline, L.P., a Delaware limited partnership (the “</w:t>
      </w:r>
      <w:r>
        <w:rPr>
          <w:rFonts w:ascii="Times New Roman;serif" w:hAnsi="Times New Roman;serif"/>
          <w:b/>
          <w:sz w:val="24"/>
        </w:rPr>
        <w:t>Partnership</w:t>
      </w:r>
      <w:r>
        <w:rPr>
          <w:rFonts w:ascii="Times New Roman;serif" w:hAnsi="Times New Roman;serif"/>
          <w:sz w:val="24"/>
        </w:rPr>
        <w:t>”), Citigroup Global Markets Inc., Barclays Capital Inc., Merrill Lynch, Pierce, Fenner &amp; Smith Incorporated, J.P. Morgan Securities LLC and UBS Securities LLC and any other party thereto named therein as an underwriter (the “</w:t>
      </w:r>
      <w:r>
        <w:rPr>
          <w:rFonts w:ascii="Times New Roman;serif" w:hAnsi="Times New Roman;serif"/>
          <w:b/>
          <w:sz w:val="24"/>
        </w:rPr>
        <w:t>Underwriters</w:t>
      </w:r>
      <w:r>
        <w:rPr>
          <w:rFonts w:ascii="Times New Roman;serif" w:hAnsi="Times New Roman;serif"/>
          <w:sz w:val="24"/>
        </w:rPr>
        <w:t>”) relating to an underwritten public offering of common units representing limited partner interests of the Partnership.  Capitalized terms used herein have the meanings given them in the Underwriting Agreement.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 xml:space="preserve">To induce you and the other underwriters to enter into the Underwriting Agreement, the undersigned agrees that, except for (a) distributions of Common Units to members of the undersigned, (b) bona fide gifts, (c) dispositions to any trust, family limited partnership or family limited liability company for the direct or indirect benefit of the Selling Unitholder and/or the immediate family of the affiliates of the undersigned or (d) the expected sale of Common Units to John T. Raymond and another stockholder of the Selling Unitholder as disclosed in the most recent Preliminary Prospectus under the caption “Selling Unitholder—Ownership”; </w:t>
      </w:r>
      <w:r>
        <w:rPr>
          <w:rFonts w:ascii="Times New Roman;serif" w:hAnsi="Times New Roman;serif"/>
          <w:sz w:val="24"/>
          <w:u w:val="single"/>
        </w:rPr>
        <w:t>provided</w:t>
      </w:r>
      <w:r>
        <w:rPr>
          <w:rFonts w:ascii="Times New Roman;serif" w:hAnsi="Times New Roman;serif"/>
          <w:sz w:val="24"/>
        </w:rPr>
        <w:t xml:space="preserve"> that with respect to clauses (a)-(c) set forth above any recipient of such Common Units pursuant to such clauses must agree in writing to be bound by the terms of this lock-up letter for the remaining term of the Selling Unitholder Lock-Up Period (as defined below), the undersigned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47" w:name="PGBRK67"/>
      <w:bookmarkStart w:id="648" w:name="PGBRK67"/>
      <w:bookmarkEnd w:id="6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9" w:name="FTR67"/>
      <w:bookmarkStart w:id="650" w:name="FTR67"/>
      <w:bookmarkEnd w:id="6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i/>
          <w:sz w:val="22"/>
        </w:rPr>
      </w:pPr>
      <w:bookmarkStart w:id="651" w:name="FTR_DIV6"/>
      <w:bookmarkEnd w:id="651"/>
      <w:r>
        <w:rPr>
          <w:rFonts w:ascii="Times New Roman" w:hAnsi="Times New Roman"/>
          <w:i/>
          <w:sz w:val="22"/>
        </w:rPr>
        <w:t>Exhibit D-1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52" w:name="GLFTR67"/>
      <w:bookmarkEnd w:id="6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53" w:name="PN67"/>
      <w:bookmarkEnd w:id="65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4" w:name="HDR67"/>
      <w:bookmarkStart w:id="655" w:name="HDR67"/>
      <w:bookmarkEnd w:id="6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56" w:name="GLHDR67"/>
      <w:bookmarkEnd w:id="6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 xml:space="preserve">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Common Units or any securities that are convertible into, or exercisable or exchangeable for, or that represent the right to receive, Common Units or any securities that are senior to or </w:t>
      </w:r>
      <w:r>
        <w:rPr>
          <w:rFonts w:ascii="Times New Roman;serif" w:hAnsi="Times New Roman;serif"/>
          <w:i/>
          <w:sz w:val="24"/>
        </w:rPr>
        <w:t>pari passu</w:t>
      </w:r>
      <w:r>
        <w:rPr>
          <w:rFonts w:ascii="Times New Roman;serif" w:hAnsi="Times New Roman;serif"/>
          <w:sz w:val="24"/>
        </w:rPr>
        <w:t xml:space="preserve"> with Common Units, or publicly announce an intention to effect any such transaction, for a period of 45 days after the date of the Prospectus (as defined in the Underwriting Agreement) (the “</w:t>
      </w:r>
      <w:r>
        <w:rPr>
          <w:rFonts w:ascii="Times New Roman;serif" w:hAnsi="Times New Roman;serif"/>
          <w:b/>
          <w:sz w:val="24"/>
        </w:rPr>
        <w:t>Selling Unitholder Lock-Up Period</w:t>
      </w:r>
      <w:r>
        <w:rPr>
          <w:rFonts w:ascii="Times New Roman;serif" w:hAnsi="Times New Roman;serif"/>
          <w:sz w:val="24"/>
        </w:rPr>
        <w:t>”) without the prior written consent of Citigroup Global Markets Inc.</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If for any reason the Underwriting Agreement is terminated before the applicable Delivery Date (as defined in the Underwriting Agreement), the agreement set forth above shall likewise be terminated.</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225"/>
        <w:gridCol w:w="714"/>
        <w:gridCol w:w="3266"/>
      </w:tblGrid>
      <w:tr>
        <w:trPr/>
        <w:tc>
          <w:tcPr>
            <w:tcW w:w="6225" w:type="dxa"/>
            <w:tcBorders/>
            <w:shd w:fill="auto" w:val="clear"/>
          </w:tcPr>
          <w:p>
            <w:pPr>
              <w:pStyle w:val="TableContents"/>
              <w:spacing w:before="0" w:after="283"/>
              <w:rPr/>
            </w:pPr>
            <w:r>
              <w:rPr/>
              <w:t xml:space="preserve">  </w:t>
            </w:r>
          </w:p>
        </w:tc>
        <w:tc>
          <w:tcPr>
            <w:tcW w:w="3980" w:type="dxa"/>
            <w:gridSpan w:val="2"/>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Yours very truly,</w:t>
            </w:r>
          </w:p>
        </w:tc>
      </w:tr>
      <w:tr>
        <w:trPr/>
        <w:tc>
          <w:tcPr>
            <w:tcW w:w="6225" w:type="dxa"/>
            <w:tcBorders/>
            <w:shd w:fill="auto" w:val="clear"/>
          </w:tcPr>
          <w:p>
            <w:pPr>
              <w:pStyle w:val="TableContents"/>
              <w:spacing w:before="0" w:after="283"/>
              <w:rPr/>
            </w:pPr>
            <w:r>
              <w:rPr/>
              <w:t xml:space="preserve">  </w:t>
            </w:r>
          </w:p>
        </w:tc>
        <w:tc>
          <w:tcPr>
            <w:tcW w:w="3980" w:type="dxa"/>
            <w:gridSpan w:val="2"/>
            <w:tcBorders/>
            <w:shd w:fill="auto" w:val="clear"/>
          </w:tcPr>
          <w:p>
            <w:pPr>
              <w:pStyle w:val="TableContents"/>
              <w:spacing w:before="0" w:after="283"/>
              <w:rPr/>
            </w:pPr>
            <w:r>
              <w:rPr/>
              <w:t xml:space="preserve">  </w:t>
            </w:r>
          </w:p>
        </w:tc>
      </w:tr>
      <w:tr>
        <w:trPr/>
        <w:tc>
          <w:tcPr>
            <w:tcW w:w="6225" w:type="dxa"/>
            <w:tcBorders/>
            <w:shd w:fill="auto" w:val="clear"/>
          </w:tcPr>
          <w:p>
            <w:pPr>
              <w:pStyle w:val="TableContents"/>
              <w:spacing w:before="0" w:after="283"/>
              <w:rPr/>
            </w:pPr>
            <w:r>
              <w:rPr/>
              <w:t xml:space="preserve">  </w:t>
            </w:r>
          </w:p>
        </w:tc>
        <w:tc>
          <w:tcPr>
            <w:tcW w:w="3980" w:type="dxa"/>
            <w:gridSpan w:val="2"/>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Vulcan Capital Private Equity I LLC</w:t>
            </w:r>
          </w:p>
        </w:tc>
      </w:tr>
      <w:tr>
        <w:trPr/>
        <w:tc>
          <w:tcPr>
            <w:tcW w:w="6225" w:type="dxa"/>
            <w:tcBorders/>
            <w:shd w:fill="auto" w:val="clear"/>
          </w:tcPr>
          <w:p>
            <w:pPr>
              <w:pStyle w:val="TableContents"/>
              <w:spacing w:before="0" w:after="283"/>
              <w:rPr/>
            </w:pPr>
            <w:r>
              <w:rPr/>
              <w:t xml:space="preserve">  </w:t>
            </w:r>
          </w:p>
        </w:tc>
        <w:tc>
          <w:tcPr>
            <w:tcW w:w="3980" w:type="dxa"/>
            <w:gridSpan w:val="2"/>
            <w:tcBorders/>
            <w:shd w:fill="auto" w:val="clear"/>
          </w:tcPr>
          <w:p>
            <w:pPr>
              <w:pStyle w:val="TableContents"/>
              <w:spacing w:before="0" w:after="283"/>
              <w:rPr/>
            </w:pPr>
            <w:r>
              <w:rPr/>
              <w:t xml:space="preserve">  </w:t>
            </w:r>
          </w:p>
        </w:tc>
      </w:tr>
      <w:tr>
        <w:trPr/>
        <w:tc>
          <w:tcPr>
            <w:tcW w:w="6225"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w:t>
            </w:r>
          </w:p>
        </w:tc>
        <w:tc>
          <w:tcPr>
            <w:tcW w:w="3266"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Vulcan Capital Private Equity Management I LLC, its Manager</w:t>
            </w:r>
          </w:p>
        </w:tc>
      </w:tr>
      <w:tr>
        <w:trPr/>
        <w:tc>
          <w:tcPr>
            <w:tcW w:w="6225"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w:t>
            </w:r>
          </w:p>
        </w:tc>
        <w:tc>
          <w:tcPr>
            <w:tcW w:w="3266"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Vulcan Capital Private Equity Inc., its Managing Member</w:t>
            </w:r>
          </w:p>
        </w:tc>
      </w:tr>
      <w:tr>
        <w:trPr/>
        <w:tc>
          <w:tcPr>
            <w:tcW w:w="6225" w:type="dxa"/>
            <w:tcBorders/>
            <w:shd w:fill="auto" w:val="clear"/>
          </w:tcPr>
          <w:p>
            <w:pPr>
              <w:pStyle w:val="TableContents"/>
              <w:spacing w:before="0" w:after="283"/>
              <w:rPr/>
            </w:pPr>
            <w:r>
              <w:rPr/>
              <w:t xml:space="preserve">  </w:t>
            </w:r>
          </w:p>
        </w:tc>
        <w:tc>
          <w:tcPr>
            <w:tcW w:w="3980" w:type="dxa"/>
            <w:gridSpan w:val="2"/>
            <w:tcBorders/>
            <w:shd w:fill="auto" w:val="clear"/>
          </w:tcPr>
          <w:p>
            <w:pPr>
              <w:pStyle w:val="TableContents"/>
              <w:spacing w:before="0" w:after="283"/>
              <w:rPr/>
            </w:pPr>
            <w:r>
              <w:rPr/>
              <w:t xml:space="preserve">  </w:t>
            </w:r>
          </w:p>
        </w:tc>
      </w:tr>
      <w:tr>
        <w:trPr/>
        <w:tc>
          <w:tcPr>
            <w:tcW w:w="6225"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w:t>
            </w:r>
          </w:p>
        </w:tc>
        <w:tc>
          <w:tcPr>
            <w:tcW w:w="3266" w:type="dxa"/>
            <w:tcBorders>
              <w:bottom w:val="single" w:sz="4" w:space="0" w:color="000000"/>
            </w:tcBorders>
            <w:shd w:fill="auto" w:val="clear"/>
            <w:tcMar>
              <w:bottom w:w="28" w:type="dxa"/>
            </w:tcMar>
          </w:tcPr>
          <w:p>
            <w:pPr>
              <w:pStyle w:val="TableContents"/>
              <w:spacing w:before="0" w:after="283"/>
              <w:rPr/>
            </w:pPr>
            <w:r>
              <w:rPr/>
              <w:t xml:space="preserve">  </w:t>
            </w:r>
          </w:p>
        </w:tc>
      </w:tr>
      <w:tr>
        <w:trPr/>
        <w:tc>
          <w:tcPr>
            <w:tcW w:w="6225"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3266"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Name:</w:t>
            </w:r>
          </w:p>
        </w:tc>
      </w:tr>
      <w:tr>
        <w:trPr/>
        <w:tc>
          <w:tcPr>
            <w:tcW w:w="6225"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3266"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w:t>
            </w:r>
          </w:p>
        </w:tc>
      </w:tr>
      <w:tr>
        <w:trPr/>
        <w:tc>
          <w:tcPr>
            <w:tcW w:w="6225"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3266" w:type="dxa"/>
            <w:tcBorders/>
            <w:shd w:fill="auto" w:val="clear"/>
          </w:tcPr>
          <w:p>
            <w:pPr>
              <w:pStyle w:val="TableContents"/>
              <w:spacing w:before="0" w:after="283"/>
              <w:rPr/>
            </w:pPr>
            <w:r>
              <w:rPr/>
              <w:t xml:space="preserve">  </w:t>
            </w:r>
          </w:p>
        </w:tc>
      </w:tr>
      <w:tr>
        <w:trPr/>
        <w:tc>
          <w:tcPr>
            <w:tcW w:w="6225" w:type="dxa"/>
            <w:tcBorders/>
            <w:shd w:fill="auto" w:val="clear"/>
          </w:tcPr>
          <w:p>
            <w:pPr>
              <w:pStyle w:val="TableContents"/>
              <w:spacing w:before="0" w:after="283"/>
              <w:rPr/>
            </w:pPr>
            <w:r>
              <w:rPr/>
              <w:t xml:space="preserve">  </w:t>
            </w:r>
          </w:p>
        </w:tc>
        <w:tc>
          <w:tcPr>
            <w:tcW w:w="3980" w:type="dxa"/>
            <w:gridSpan w:val="2"/>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Vulcan Capital Private Equity II LLC</w:t>
            </w:r>
          </w:p>
        </w:tc>
      </w:tr>
      <w:tr>
        <w:trPr/>
        <w:tc>
          <w:tcPr>
            <w:tcW w:w="6225"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w:t>
            </w:r>
          </w:p>
        </w:tc>
        <w:tc>
          <w:tcPr>
            <w:tcW w:w="3266"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Vulcan Capital Private Equity Inc., its Manager</w:t>
            </w:r>
          </w:p>
        </w:tc>
      </w:tr>
      <w:tr>
        <w:trPr/>
        <w:tc>
          <w:tcPr>
            <w:tcW w:w="6225"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w:t>
            </w:r>
          </w:p>
        </w:tc>
        <w:tc>
          <w:tcPr>
            <w:tcW w:w="3266" w:type="dxa"/>
            <w:tcBorders>
              <w:bottom w:val="single" w:sz="4" w:space="0" w:color="000000"/>
            </w:tcBorders>
            <w:shd w:fill="auto" w:val="clear"/>
            <w:tcMar>
              <w:bottom w:w="28" w:type="dxa"/>
            </w:tcMar>
          </w:tcPr>
          <w:p>
            <w:pPr>
              <w:pStyle w:val="TableContents"/>
              <w:spacing w:before="0" w:after="283"/>
              <w:rPr/>
            </w:pPr>
            <w:r>
              <w:rPr/>
              <w:t xml:space="preserve">  </w:t>
            </w:r>
          </w:p>
        </w:tc>
      </w:tr>
      <w:tr>
        <w:trPr/>
        <w:tc>
          <w:tcPr>
            <w:tcW w:w="6225"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Name:</w:t>
            </w:r>
          </w:p>
        </w:tc>
        <w:tc>
          <w:tcPr>
            <w:tcW w:w="3266" w:type="dxa"/>
            <w:tcBorders/>
            <w:shd w:fill="auto" w:val="clear"/>
          </w:tcPr>
          <w:p>
            <w:pPr>
              <w:pStyle w:val="TableContents"/>
              <w:spacing w:before="0" w:after="283"/>
              <w:rPr/>
            </w:pPr>
            <w:r>
              <w:rPr/>
              <w:t xml:space="preserve">  </w:t>
            </w:r>
          </w:p>
        </w:tc>
      </w:tr>
      <w:tr>
        <w:trPr/>
        <w:tc>
          <w:tcPr>
            <w:tcW w:w="6225" w:type="dxa"/>
            <w:tcBorders/>
            <w:shd w:fill="auto" w:val="clear"/>
          </w:tcPr>
          <w:p>
            <w:pPr>
              <w:pStyle w:val="TableContents"/>
              <w:spacing w:before="0" w:after="283"/>
              <w:rPr/>
            </w:pPr>
            <w:r>
              <w:rPr/>
              <w:t xml:space="preserve">  </w:t>
            </w:r>
          </w:p>
        </w:tc>
        <w:tc>
          <w:tcPr>
            <w:tcW w:w="714" w:type="dxa"/>
            <w:tcBorders/>
            <w:shd w:fill="auto" w:val="clear"/>
          </w:tcPr>
          <w:p>
            <w:pPr>
              <w:pStyle w:val="TableContents"/>
              <w:spacing w:before="0" w:after="283"/>
              <w:rPr/>
            </w:pPr>
            <w:r>
              <w:rPr/>
              <w:t xml:space="preserve">  </w:t>
            </w:r>
          </w:p>
        </w:tc>
        <w:tc>
          <w:tcPr>
            <w:tcW w:w="3266"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i/>
          <w:sz w:val="22"/>
        </w:rPr>
        <w:t>Exhibit D-2</w:t>
      </w:r>
      <w:r>
        <w:rPr/>
        <w:t xml:space="preserve"> </w:t>
      </w:r>
    </w:p>
    <w:p>
      <w:pPr>
        <w:pStyle w:val="HorizontalLine"/>
        <w:pBdr>
          <w:bottom w:val="single" w:sz="12" w:space="0" w:color="808080"/>
        </w:pBdr>
        <w:jc w:val="center"/>
        <w:rPr/>
      </w:pPr>
      <w:r>
        <w:rPr/>
      </w:r>
    </w:p>
    <w:p>
      <w:pPr>
        <w:pStyle w:val="TextBody"/>
        <w:ind w:left="0" w:right="0" w:hanging="0"/>
        <w:jc w:val="both"/>
        <w:rPr/>
      </w:pPr>
      <w:r>
        <w:rPr/>
        <w:t> </w:t>
      </w:r>
      <w:r>
        <w:br w:type="page"/>
      </w:r>
    </w:p>
    <w:p>
      <w:pPr>
        <w:pStyle w:val="TextBody"/>
        <w:spacing w:before="0" w:after="0"/>
        <w:rPr/>
      </w:pPr>
      <w:bookmarkStart w:id="657" w:name="ex99-2.htm"/>
      <w:bookmarkStart w:id="658" w:name="ksex992"/>
      <w:bookmarkEnd w:id="657"/>
      <w:bookmarkEnd w:id="658"/>
      <w:r>
        <w:rPr/>
        <w:t> </w:t>
      </w:r>
    </w:p>
    <w:p>
      <w:pPr>
        <w:pStyle w:val="TextBody"/>
        <w:spacing w:before="0" w:after="0"/>
        <w:ind w:left="0" w:right="0" w:hanging="0"/>
        <w:jc w:val="right"/>
        <w:rPr>
          <w:rFonts w:ascii="Times New Roman;serif" w:hAnsi="Times New Roman;serif"/>
          <w:b/>
          <w:sz w:val="24"/>
        </w:rPr>
      </w:pPr>
      <w:r>
        <w:rPr>
          <w:rFonts w:ascii="Times New Roman;serif" w:hAnsi="Times New Roman;serif"/>
          <w:b/>
          <w:sz w:val="24"/>
        </w:rPr>
        <w:t>EXHIBIT 99.2</w:t>
      </w:r>
    </w:p>
    <w:p>
      <w:pPr>
        <w:pStyle w:val="TextBody"/>
        <w:spacing w:before="0" w:after="0"/>
        <w:ind w:left="0" w:right="0" w:hanging="0"/>
        <w:jc w:val="both"/>
        <w:rPr/>
      </w:pPr>
      <w:r>
        <w:rPr/>
        <w:t> </w:t>
      </w:r>
    </w:p>
    <w:tbl>
      <w:tblPr>
        <w:tblW w:w="5000" w:type="pct"/>
        <w:jc w:val="center"/>
        <w:tblInd w:w="0" w:type="dxa"/>
        <w:shd w:fill="FFFFFF" w:val="clear"/>
        <w:tblCellMar>
          <w:top w:w="0" w:type="dxa"/>
          <w:left w:w="0" w:type="dxa"/>
          <w:bottom w:w="0" w:type="dxa"/>
          <w:right w:w="0" w:type="dxa"/>
        </w:tblCellMar>
      </w:tblPr>
      <w:tblGrid>
        <w:gridCol w:w="6635"/>
        <w:gridCol w:w="3570"/>
      </w:tblGrid>
      <w:tr>
        <w:trPr/>
        <w:tc>
          <w:tcPr>
            <w:tcW w:w="6635" w:type="dxa"/>
            <w:tcBorders/>
            <w:shd w:fill="FFFFFF" w:val="clear"/>
            <w:vAlign w:val="center"/>
          </w:tcPr>
          <w:p>
            <w:pPr>
              <w:pStyle w:val="TableContents"/>
              <w:spacing w:before="0" w:after="283"/>
              <w:rPr/>
            </w:pPr>
            <w:r>
              <w:rPr/>
              <w:t> </w:t>
            </w:r>
          </w:p>
        </w:tc>
        <w:tc>
          <w:tcPr>
            <w:tcW w:w="3570" w:type="dxa"/>
            <w:tcBorders/>
            <w:shd w:fill="FFFFFF" w:val="clear"/>
            <w:vAlign w:val="center"/>
          </w:tcPr>
          <w:p>
            <w:pPr>
              <w:pStyle w:val="TableContents"/>
              <w:spacing w:before="0" w:after="283"/>
              <w:rPr>
                <w:rFonts w:ascii="Times New Roman;serif" w:hAnsi="Times New Roman;serif"/>
                <w:sz w:val="24"/>
              </w:rPr>
            </w:pPr>
            <w:r>
              <w:rPr>
                <w:rFonts w:ascii="Times New Roman;serif" w:hAnsi="Times New Roman;serif"/>
                <w:sz w:val="24"/>
              </w:rPr>
              <w:t>August 11, 2011</w:t>
            </w:r>
          </w:p>
        </w:tc>
      </w:tr>
    </w:tbl>
    <w:p>
      <w:pPr>
        <w:pStyle w:val="TextBody"/>
        <w:spacing w:before="0" w:after="0"/>
        <w:jc w:val="left"/>
        <w:rPr/>
      </w:pPr>
      <w:r>
        <w:rPr/>
        <w:t> </w:t>
      </w:r>
    </w:p>
    <w:p>
      <w:pPr>
        <w:pStyle w:val="TextBody"/>
        <w:spacing w:before="0" w:after="0"/>
        <w:ind w:left="0" w:right="0" w:hanging="0"/>
        <w:jc w:val="center"/>
        <w:rPr>
          <w:rFonts w:ascii="Times New Roman;serif" w:hAnsi="Times New Roman;serif"/>
          <w:sz w:val="24"/>
        </w:rPr>
      </w:pPr>
      <w:r>
        <w:rPr>
          <w:rFonts w:ascii="Times New Roman;serif" w:hAnsi="Times New Roman;serif"/>
          <w:sz w:val="24"/>
        </w:rPr>
        <w:t>Plains All American Pipeline, L.P.</w:t>
      </w:r>
    </w:p>
    <w:p>
      <w:pPr>
        <w:pStyle w:val="TextBody"/>
        <w:spacing w:before="0" w:after="0"/>
        <w:ind w:left="0" w:right="0" w:hanging="0"/>
        <w:jc w:val="center"/>
        <w:rPr>
          <w:rFonts w:ascii="Times New Roman;serif" w:hAnsi="Times New Roman;serif"/>
          <w:sz w:val="24"/>
          <w:u w:val="single"/>
        </w:rPr>
      </w:pPr>
      <w:r>
        <w:rPr>
          <w:rFonts w:ascii="Times New Roman;serif" w:hAnsi="Times New Roman;serif"/>
          <w:sz w:val="24"/>
          <w:u w:val="single"/>
        </w:rPr>
        <w:t>Public Offering of Common Units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Citigroup Global Markets Inc.</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Barclays Capital Inc.</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Merrill Lynch, Pierce, Fenner &amp; Smith</w:t>
            </w:r>
          </w:p>
          <w:p>
            <w:pPr>
              <w:pStyle w:val="TableContents"/>
              <w:spacing w:before="0" w:after="0"/>
              <w:ind w:left="0" w:right="0" w:hanging="0"/>
              <w:jc w:val="both"/>
              <w:rPr/>
            </w:pPr>
            <w:r>
              <w:rPr/>
              <w:t>                     </w:t>
            </w:r>
            <w:r>
              <w:rPr>
                <w:rFonts w:ascii="times new roman;serif" w:hAnsi="times new roman;serif"/>
                <w:sz w:val="24"/>
              </w:rPr>
              <w:t>Incorporated</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J.P. Morgan Securities LLC</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UBS Securities LLC</w:t>
            </w:r>
          </w:p>
        </w:tc>
      </w:tr>
      <w:tr>
        <w:trPr/>
        <w:tc>
          <w:tcPr>
            <w:tcW w:w="10205" w:type="dxa"/>
            <w:tcBorders/>
            <w:shd w:fill="auto" w:val="clear"/>
          </w:tcPr>
          <w:p>
            <w:pPr>
              <w:pStyle w:val="TableContents"/>
              <w:spacing w:before="0" w:after="283"/>
              <w:rPr/>
            </w:pPr>
            <w:r>
              <w:rPr/>
              <w:t xml:space="preserve">  </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As Representatives of the several Underwriters</w:t>
            </w:r>
          </w:p>
        </w:tc>
      </w:tr>
      <w:tr>
        <w:trPr/>
        <w:tc>
          <w:tcPr>
            <w:tcW w:w="10205" w:type="dxa"/>
            <w:tcBorders/>
            <w:shd w:fill="auto" w:val="clear"/>
          </w:tcPr>
          <w:p>
            <w:pPr>
              <w:pStyle w:val="TableContents"/>
              <w:spacing w:before="0" w:after="283"/>
              <w:rPr/>
            </w:pPr>
            <w:r>
              <w:rPr/>
              <w:t xml:space="preserve">  </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c/o Citigroup Global Markets Inc.</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388 Greenwich St., 34th Floor</w:t>
            </w:r>
          </w:p>
        </w:tc>
      </w:tr>
      <w:tr>
        <w:trPr/>
        <w:tc>
          <w:tcPr>
            <w:tcW w:w="10205" w:type="dxa"/>
            <w:tcBorders/>
            <w:shd w:fill="auto" w:val="clear"/>
          </w:tcPr>
          <w:p>
            <w:pPr>
              <w:pStyle w:val="TableContents"/>
              <w:spacing w:before="0" w:after="0"/>
              <w:ind w:left="0" w:right="0" w:hanging="0"/>
              <w:jc w:val="both"/>
              <w:rPr>
                <w:rFonts w:ascii="times new roman;serif" w:hAnsi="times new roman;serif"/>
                <w:sz w:val="24"/>
              </w:rPr>
            </w:pPr>
            <w:r>
              <w:rPr>
                <w:rFonts w:ascii="times new roman;serif" w:hAnsi="times new roman;serif"/>
                <w:sz w:val="24"/>
              </w:rPr>
              <w:t>New York, New York  10013</w:t>
            </w:r>
          </w:p>
        </w:tc>
      </w:tr>
      <w:tr>
        <w:trPr/>
        <w:tc>
          <w:tcPr>
            <w:tcW w:w="10205"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Ladies and Gentlemen:</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This letter is being delivered to you in connection with the proposed Underwriting Agreement (the “</w:t>
      </w:r>
      <w:r>
        <w:rPr>
          <w:rFonts w:ascii="Times New Roman;serif" w:hAnsi="Times New Roman;serif"/>
          <w:b/>
          <w:sz w:val="24"/>
        </w:rPr>
        <w:t>Underwriting Agreement</w:t>
      </w:r>
      <w:r>
        <w:rPr>
          <w:rFonts w:ascii="Times New Roman;serif" w:hAnsi="Times New Roman;serif"/>
          <w:sz w:val="24"/>
        </w:rPr>
        <w:t>”) among Vulcan Energy Corporation, a Delaware corporation (the “</w:t>
      </w:r>
      <w:r>
        <w:rPr>
          <w:rFonts w:ascii="Times New Roman;serif" w:hAnsi="Times New Roman;serif"/>
          <w:b/>
          <w:sz w:val="24"/>
        </w:rPr>
        <w:t>Selling Unitholder</w:t>
      </w:r>
      <w:r>
        <w:rPr>
          <w:rFonts w:ascii="Times New Roman;serif" w:hAnsi="Times New Roman;serif"/>
          <w:sz w:val="24"/>
        </w:rPr>
        <w:t>”), Plains All American Pipeline, L.P., a Delaware limited partnership (the “</w:t>
      </w:r>
      <w:r>
        <w:rPr>
          <w:rFonts w:ascii="Times New Roman;serif" w:hAnsi="Times New Roman;serif"/>
          <w:b/>
          <w:sz w:val="24"/>
        </w:rPr>
        <w:t>Partnership</w:t>
      </w:r>
      <w:r>
        <w:rPr>
          <w:rFonts w:ascii="Times New Roman;serif" w:hAnsi="Times New Roman;serif"/>
          <w:sz w:val="24"/>
        </w:rPr>
        <w:t>”), Citigroup Global Markets Inc., Barclays Capital Inc., Merrill Lynch, Pierce, Fenner &amp; Smith Incorporated, J.P. Morgan Securities LLC and UBS Securities LLC and any other party thereto named therein as an underwriter (the “</w:t>
      </w:r>
      <w:r>
        <w:rPr>
          <w:rFonts w:ascii="Times New Roman;serif" w:hAnsi="Times New Roman;serif"/>
          <w:b/>
          <w:sz w:val="24"/>
        </w:rPr>
        <w:t>Underwriters</w:t>
      </w:r>
      <w:r>
        <w:rPr>
          <w:rFonts w:ascii="Times New Roman;serif" w:hAnsi="Times New Roman;serif"/>
          <w:sz w:val="24"/>
        </w:rPr>
        <w:t>”) relating to an underwritten public offering of common units representing limited partner interests of the Partnership.  Capitalized terms used herein have the meanings given them in the Underwriting Agreement.</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 xml:space="preserve">To induce you and the other underwriters to enter into the Underwriting Agreement, the undersigned agrees that, except for (a) distributions of Common Units to members of the undersigned, (b) bona fide gifts, (c) dispositions to any trust, family limited partnership or family limited liability company for the direct or indirect benefit of the Selling Unitholder and/or the immediate family of the affiliates of the undersigned or (d) the expected sale of Common Units to John T. Raymond and another stockholder of the Selling Unitholder as disclosed in the most recent Preliminary Prospectus under the caption “Selling Unitholder—Ownership”; </w:t>
      </w:r>
      <w:r>
        <w:rPr>
          <w:rFonts w:ascii="Times New Roman;serif" w:hAnsi="Times New Roman;serif"/>
          <w:sz w:val="24"/>
          <w:u w:val="single"/>
        </w:rPr>
        <w:t>provided</w:t>
      </w:r>
      <w:r>
        <w:rPr>
          <w:rFonts w:ascii="Times New Roman;serif" w:hAnsi="Times New Roman;serif"/>
          <w:sz w:val="24"/>
        </w:rPr>
        <w:t xml:space="preserve"> that with respect to clauses (a)-(c) set forth above any recipient of such Common Units pursuant to such clauses must agree in writing to be bound by the terms of this lock-up letter for the remaining term of the Selling Unitholder Lock-Up Period (as defined below), the undersigned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59" w:name="PGBRK68"/>
      <w:bookmarkStart w:id="660" w:name="PGBRK68"/>
      <w:bookmarkEnd w:id="6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1" w:name="FTR68"/>
      <w:bookmarkStart w:id="662" w:name="FTR68"/>
      <w:bookmarkEnd w:id="6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63" w:name="GLFTR68"/>
      <w:bookmarkEnd w:id="6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64" w:name="PN68"/>
      <w:bookmarkEnd w:id="66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5" w:name="HDR68"/>
      <w:bookmarkStart w:id="666" w:name="HDR68"/>
      <w:bookmarkEnd w:id="6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67" w:name="GLHDR68"/>
      <w:bookmarkEnd w:id="6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 xml:space="preserve">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Common Units or any securities that are convertible into, or exercisable or exchangeable for, or that represent the right to receive, Common Units or any securities that are senior to or </w:t>
      </w:r>
      <w:r>
        <w:rPr>
          <w:rFonts w:ascii="Times New Roman;serif" w:hAnsi="Times New Roman;serif"/>
          <w:i/>
          <w:sz w:val="24"/>
        </w:rPr>
        <w:t>pari passu</w:t>
      </w:r>
      <w:r>
        <w:rPr>
          <w:rFonts w:ascii="Times New Roman;serif" w:hAnsi="Times New Roman;serif"/>
          <w:sz w:val="24"/>
        </w:rPr>
        <w:t xml:space="preserve"> with Common Units, or publicly announce an intention to effect any such transaction, for a period of 45 days after the date of the Prospectus (as defined in the Underwriting Agreement) (the “</w:t>
      </w:r>
      <w:r>
        <w:rPr>
          <w:rFonts w:ascii="Times New Roman;serif" w:hAnsi="Times New Roman;serif"/>
          <w:b/>
          <w:sz w:val="24"/>
        </w:rPr>
        <w:t>Selling Unitholder Lock-Up Period</w:t>
      </w:r>
      <w:r>
        <w:rPr>
          <w:rFonts w:ascii="Times New Roman;serif" w:hAnsi="Times New Roman;serif"/>
          <w:sz w:val="24"/>
        </w:rPr>
        <w:t>”) without the prior written consent of Citigroup Global Markets Inc.</w:t>
      </w:r>
    </w:p>
    <w:p>
      <w:pPr>
        <w:pStyle w:val="TextBody"/>
        <w:spacing w:before="0" w:after="0"/>
        <w:ind w:left="0" w:right="0" w:hanging="0"/>
        <w:jc w:val="both"/>
        <w:rPr/>
      </w:pPr>
      <w:r>
        <w:rPr/>
        <w:t> </w:t>
      </w:r>
    </w:p>
    <w:p>
      <w:pPr>
        <w:pStyle w:val="TextBody"/>
        <w:spacing w:before="0" w:after="0"/>
        <w:ind w:left="0" w:right="0" w:firstLine="1440"/>
        <w:jc w:val="both"/>
        <w:rPr>
          <w:rFonts w:ascii="Times New Roman;serif" w:hAnsi="Times New Roman;serif"/>
          <w:sz w:val="24"/>
        </w:rPr>
      </w:pPr>
      <w:r>
        <w:rPr>
          <w:rFonts w:ascii="Times New Roman;serif" w:hAnsi="Times New Roman;serif"/>
          <w:sz w:val="24"/>
        </w:rPr>
        <w:t>If for any reason the Underwriting Agreement is terminated before the applicable Delivery Date (as defined in the Underwriting Agreement), the agreement set forth above shall likewise be terminated.</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633"/>
        <w:gridCol w:w="408"/>
        <w:gridCol w:w="612"/>
        <w:gridCol w:w="2552"/>
      </w:tblGrid>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Yours very truly,</w:t>
            </w:r>
          </w:p>
        </w:tc>
      </w:tr>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Vulcan Capital Private Equity I LLC</w:t>
            </w:r>
          </w:p>
        </w:tc>
      </w:tr>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w:t>
            </w:r>
          </w:p>
        </w:tc>
        <w:tc>
          <w:tcPr>
            <w:tcW w:w="3164" w:type="dxa"/>
            <w:gridSpan w:val="2"/>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Vulcan Capital Private Equity Management I LLC, its Manager</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283"/>
              <w:rPr/>
            </w:pPr>
            <w:r>
              <w:rPr/>
              <w:t xml:space="preserve">  </w:t>
            </w:r>
          </w:p>
        </w:tc>
        <w:tc>
          <w:tcPr>
            <w:tcW w:w="3164" w:type="dxa"/>
            <w:gridSpan w:val="2"/>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w:t>
            </w:r>
          </w:p>
        </w:tc>
        <w:tc>
          <w:tcPr>
            <w:tcW w:w="3164" w:type="dxa"/>
            <w:gridSpan w:val="2"/>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Vulcan Capital Private Equity Inc., its Managing Member</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283"/>
              <w:rPr/>
            </w:pPr>
            <w:r>
              <w:rPr/>
              <w:t xml:space="preserve">  </w:t>
            </w:r>
          </w:p>
        </w:tc>
        <w:tc>
          <w:tcPr>
            <w:tcW w:w="3164" w:type="dxa"/>
            <w:gridSpan w:val="2"/>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w:t>
            </w:r>
          </w:p>
        </w:tc>
        <w:tc>
          <w:tcPr>
            <w:tcW w:w="3164" w:type="dxa"/>
            <w:gridSpan w:val="2"/>
            <w:tcBorders>
              <w:bottom w:val="single" w:sz="4" w:space="0" w:color="000000"/>
            </w:tcBorders>
            <w:shd w:fill="auto" w:val="clear"/>
            <w:tcMar>
              <w:bottom w:w="28" w:type="dxa"/>
            </w:tcM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/s/ Paul Ghaffari</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Name:</w:t>
            </w:r>
          </w:p>
        </w:tc>
        <w:tc>
          <w:tcPr>
            <w:tcW w:w="255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Paul Ghaffari</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w:t>
            </w:r>
          </w:p>
        </w:tc>
        <w:tc>
          <w:tcPr>
            <w:tcW w:w="255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Vice President</w:t>
            </w:r>
          </w:p>
        </w:tc>
      </w:tr>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Vulcan Capital Private Equity II LLC</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283"/>
              <w:rPr/>
            </w:pPr>
            <w:r>
              <w:rPr/>
              <w:t xml:space="preserve">  </w:t>
            </w:r>
          </w:p>
        </w:tc>
        <w:tc>
          <w:tcPr>
            <w:tcW w:w="3164" w:type="dxa"/>
            <w:gridSpan w:val="2"/>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w:t>
            </w:r>
          </w:p>
        </w:tc>
        <w:tc>
          <w:tcPr>
            <w:tcW w:w="3164" w:type="dxa"/>
            <w:gridSpan w:val="2"/>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Vulcan Capital Private Equity Inc., its Manager</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283"/>
              <w:rPr/>
            </w:pPr>
            <w:r>
              <w:rPr/>
              <w:t xml:space="preserve">  </w:t>
            </w:r>
          </w:p>
        </w:tc>
        <w:tc>
          <w:tcPr>
            <w:tcW w:w="3164" w:type="dxa"/>
            <w:gridSpan w:val="2"/>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w:t>
            </w:r>
          </w:p>
        </w:tc>
        <w:tc>
          <w:tcPr>
            <w:tcW w:w="3164" w:type="dxa"/>
            <w:gridSpan w:val="2"/>
            <w:tcBorders>
              <w:bottom w:val="single" w:sz="4" w:space="0" w:color="000000"/>
            </w:tcBorders>
            <w:shd w:fill="auto" w:val="clear"/>
            <w:tcMar>
              <w:bottom w:w="28" w:type="dxa"/>
            </w:tcM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/s/ Paul Ghaffari</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Name:</w:t>
            </w:r>
          </w:p>
        </w:tc>
        <w:tc>
          <w:tcPr>
            <w:tcW w:w="255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Paul Ghaffari</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w:t>
            </w:r>
          </w:p>
        </w:tc>
        <w:tc>
          <w:tcPr>
            <w:tcW w:w="255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Vice President</w:t>
            </w:r>
          </w:p>
        </w:tc>
      </w:tr>
    </w:tbl>
    <w:p>
      <w:pPr>
        <w:pStyle w:val="TextBody"/>
        <w:spacing w:before="0" w:after="0"/>
        <w:ind w:left="0" w:right="0" w:hanging="0"/>
        <w:jc w:val="right"/>
        <w:rPr>
          <w:rFonts w:ascii="Times New Roman;serif" w:hAnsi="Times New Roman;serif"/>
          <w:b/>
          <w:sz w:val="24"/>
        </w:rPr>
      </w:pPr>
      <w:r>
        <w:br w:type="page"/>
      </w:r>
      <w:bookmarkStart w:id="668" w:name="ex99-3.htm"/>
      <w:bookmarkStart w:id="669" w:name="ksex993"/>
      <w:bookmarkEnd w:id="668"/>
      <w:bookmarkEnd w:id="669"/>
      <w:r>
        <w:rPr>
          <w:rFonts w:ascii="Times New Roman;serif" w:hAnsi="Times New Roman;serif"/>
          <w:b/>
          <w:sz w:val="24"/>
        </w:rPr>
        <w:t>EXHIBIT 99.3</w:t>
      </w:r>
    </w:p>
    <w:p>
      <w:pPr>
        <w:pStyle w:val="TextBody"/>
        <w:spacing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6635"/>
        <w:gridCol w:w="3570"/>
      </w:tblGrid>
      <w:tr>
        <w:trPr/>
        <w:tc>
          <w:tcPr>
            <w:tcW w:w="6635" w:type="dxa"/>
            <w:tcBorders/>
            <w:shd w:fill="FFFFFF" w:val="clear"/>
            <w:vAlign w:val="center"/>
          </w:tcPr>
          <w:p>
            <w:pPr>
              <w:pStyle w:val="TableContents"/>
              <w:spacing w:before="0" w:after="283"/>
              <w:rPr/>
            </w:pPr>
            <w:r>
              <w:rPr/>
              <w:t> </w:t>
            </w:r>
          </w:p>
        </w:tc>
        <w:tc>
          <w:tcPr>
            <w:tcW w:w="3570" w:type="dxa"/>
            <w:tcBorders/>
            <w:shd w:fill="FFFFFF" w:val="clear"/>
            <w:vAlign w:val="center"/>
          </w:tcPr>
          <w:p>
            <w:pPr>
              <w:pStyle w:val="TableContents"/>
              <w:spacing w:before="0" w:after="283"/>
              <w:rPr>
                <w:rFonts w:ascii="Times New Roman;serif" w:hAnsi="Times New Roman;serif"/>
                <w:sz w:val="24"/>
              </w:rPr>
            </w:pPr>
            <w:r>
              <w:rPr>
                <w:rFonts w:ascii="Times New Roman;serif" w:hAnsi="Times New Roman;serif"/>
                <w:sz w:val="24"/>
              </w:rPr>
              <w:t>August 11, 2011</w:t>
            </w:r>
          </w:p>
        </w:tc>
      </w:tr>
    </w:tbl>
    <w:p>
      <w:pPr>
        <w:pStyle w:val="TextBody"/>
        <w:spacing w:before="0" w:after="0"/>
        <w:rPr/>
      </w:pPr>
      <w:r>
        <w:rPr/>
        <w:t> </w:t>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Plains All American Pipeline, L.P.</w:t>
      </w:r>
    </w:p>
    <w:p>
      <w:pPr>
        <w:pStyle w:val="TextBody"/>
        <w:spacing w:before="0" w:after="0"/>
        <w:ind w:left="0" w:right="0" w:hanging="0"/>
        <w:rPr/>
      </w:pPr>
      <w:r>
        <w:rPr/>
      </w:r>
    </w:p>
    <w:p>
      <w:pPr>
        <w:pStyle w:val="TextBody"/>
        <w:spacing w:before="0" w:after="0"/>
        <w:ind w:left="720" w:right="0" w:hanging="0"/>
        <w:jc w:val="both"/>
        <w:rPr>
          <w:rFonts w:ascii="Times New Roman;serif" w:hAnsi="Times New Roman;serif"/>
          <w:sz w:val="24"/>
        </w:rPr>
      </w:pPr>
      <w:bookmarkStart w:id="670" w:name="TAB17"/>
      <w:bookmarkEnd w:id="670"/>
      <w:r>
        <w:rPr>
          <w:rFonts w:ascii="Times New Roman;serif" w:hAnsi="Times New Roman;serif"/>
          <w:sz w:val="24"/>
        </w:rPr>
        <w:t>Re:         Plains All American Pipeline, L.P.</w:t>
      </w:r>
    </w:p>
    <w:p>
      <w:pPr>
        <w:pStyle w:val="TextBody"/>
        <w:spacing w:before="0" w:after="0"/>
        <w:ind w:left="1260" w:right="0" w:hanging="0"/>
        <w:jc w:val="both"/>
        <w:rPr>
          <w:rFonts w:ascii="Times New Roman;serif" w:hAnsi="Times New Roman;serif"/>
          <w:sz w:val="24"/>
        </w:rPr>
      </w:pPr>
      <w:bookmarkStart w:id="671" w:name="TAB18"/>
      <w:bookmarkEnd w:id="671"/>
      <w:r>
        <w:rPr>
          <w:rFonts w:ascii="Times New Roman;serif" w:hAnsi="Times New Roman;serif"/>
          <w:sz w:val="24"/>
        </w:rPr>
        <w:t>Public Offering of Common Units</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Ladies and Gentlemen:</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This letter is being delivered to you in connection with the proposed Underwriting Agreement (the “</w:t>
      </w:r>
      <w:r>
        <w:rPr>
          <w:rFonts w:ascii="Times New Roman;serif" w:hAnsi="Times New Roman;serif"/>
          <w:b/>
          <w:sz w:val="24"/>
        </w:rPr>
        <w:t>Underwriting Agreement</w:t>
      </w:r>
      <w:r>
        <w:rPr>
          <w:rFonts w:ascii="Times New Roman;serif" w:hAnsi="Times New Roman;serif"/>
          <w:sz w:val="24"/>
        </w:rPr>
        <w:t>”) among Plains All American Pipeline, L.P., a Delaware limited partnership (the “</w:t>
      </w:r>
      <w:r>
        <w:rPr>
          <w:rFonts w:ascii="Times New Roman;serif" w:hAnsi="Times New Roman;serif"/>
          <w:b/>
          <w:sz w:val="24"/>
        </w:rPr>
        <w:t>Partnership</w:t>
      </w:r>
      <w:r>
        <w:rPr>
          <w:rFonts w:ascii="Times New Roman;serif" w:hAnsi="Times New Roman;serif"/>
          <w:sz w:val="24"/>
        </w:rPr>
        <w:t>”), Vulcan Energy Corporation, a Delaware corporation (the “</w:t>
      </w:r>
      <w:r>
        <w:rPr>
          <w:rFonts w:ascii="Times New Roman;serif" w:hAnsi="Times New Roman;serif"/>
          <w:b/>
          <w:sz w:val="24"/>
        </w:rPr>
        <w:t>Selling Unitholder</w:t>
      </w:r>
      <w:r>
        <w:rPr>
          <w:rFonts w:ascii="Times New Roman;serif" w:hAnsi="Times New Roman;serif"/>
          <w:sz w:val="24"/>
        </w:rPr>
        <w:t>”), Citigroup Global Markets Inc. and any other party thereto named therein as an underwriter relating to an underwritten public offering of common units representing limited partner interests of the Partnership (“</w:t>
      </w:r>
      <w:r>
        <w:rPr>
          <w:rFonts w:ascii="Times New Roman;serif" w:hAnsi="Times New Roman;serif"/>
          <w:b/>
          <w:sz w:val="24"/>
        </w:rPr>
        <w:t>Common Units</w:t>
      </w:r>
      <w:r>
        <w:rPr>
          <w:rFonts w:ascii="Times New Roman;serif" w:hAnsi="Times New Roman;serif"/>
          <w:sz w:val="24"/>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To induce you to enter into the Underwriting Agreement, the undersigned agrees that the undersigned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Common Units or any securities that are convertible into, or exercisable or exchangeable for, or that represent the right to receive, Common Units or any securities that are senior to or pari passu with Common Units, or publicly announce an intention to effect any such transaction, for a period of two (2) years after the date of the Prospectus (as defined in the Underwriting Agreement) without your prior written consent; provided, however, that the restrictions contained in this letter shall not apply to or restrict (i) registration of or sale to the underwriters of any Common Units pursuant to the Underwriting Agreement or in the related concurrent registered placement to John T. Raymond and Jim Flores and their respective affiliates, (ii) distributions of Common Units to partners, members or stockholders of the Selling Unitholder or of Vulcan Capital Private Equity Management I LLC, (iii) bona fide gifts or (iv) dispositions to any trust, family limited partnership or family limited liability company for the direct or indirect benefit of the Selling Unitholder and/or the immediate family of the Selling Unitholder or of any persons to whom a transfer was permitted by clause (ii) above; provided, however, that in the case of transfers pursuant to clauses (ii), (iii) and (iv) set forth above any recipient of such Common Unit agrees in writing to be bound by the terms of this letter.</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2" w:name="PGBRK69"/>
      <w:bookmarkStart w:id="673" w:name="PGBRK69"/>
      <w:bookmarkEnd w:id="6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4" w:name="FTR69"/>
      <w:bookmarkStart w:id="675" w:name="FTR69"/>
      <w:bookmarkEnd w:id="6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76" w:name="GLFTR69"/>
      <w:bookmarkEnd w:id="6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77" w:name="PN69"/>
      <w:bookmarkEnd w:id="67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8" w:name="HDR69"/>
      <w:bookmarkStart w:id="679" w:name="HDR69"/>
      <w:bookmarkEnd w:id="6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80" w:name="GLHDR69"/>
      <w:bookmarkEnd w:id="6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If for any reason the Underwriting Agreement is terminated before the Delivery Date (as defined in the Underwriting Agreement), the agreement set forth above shall likewise be terminated.</w:t>
      </w:r>
    </w:p>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385"/>
        <w:gridCol w:w="555"/>
        <w:gridCol w:w="617"/>
        <w:gridCol w:w="2648"/>
      </w:tblGrid>
      <w:tr>
        <w:trPr/>
        <w:tc>
          <w:tcPr>
            <w:tcW w:w="6385" w:type="dxa"/>
            <w:tcBorders/>
            <w:shd w:fill="auto" w:val="clear"/>
          </w:tcPr>
          <w:p>
            <w:pPr>
              <w:pStyle w:val="TableContents"/>
              <w:spacing w:before="0" w:after="283"/>
              <w:rPr/>
            </w:pPr>
            <w:r>
              <w:rPr/>
              <w:t xml:space="preserve">  </w:t>
            </w:r>
          </w:p>
        </w:tc>
        <w:tc>
          <w:tcPr>
            <w:tcW w:w="382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Yours very truly,</w:t>
            </w:r>
          </w:p>
        </w:tc>
      </w:tr>
      <w:tr>
        <w:trPr/>
        <w:tc>
          <w:tcPr>
            <w:tcW w:w="6385" w:type="dxa"/>
            <w:tcBorders/>
            <w:shd w:fill="auto" w:val="clear"/>
          </w:tcPr>
          <w:p>
            <w:pPr>
              <w:pStyle w:val="TableContents"/>
              <w:spacing w:before="0" w:after="283"/>
              <w:rPr/>
            </w:pPr>
            <w:r>
              <w:rPr/>
              <w:t xml:space="preserve">  </w:t>
            </w:r>
          </w:p>
        </w:tc>
        <w:tc>
          <w:tcPr>
            <w:tcW w:w="3820" w:type="dxa"/>
            <w:gridSpan w:val="3"/>
            <w:tcBorders/>
            <w:shd w:fill="auto" w:val="clear"/>
          </w:tcPr>
          <w:p>
            <w:pPr>
              <w:pStyle w:val="TableContents"/>
              <w:spacing w:before="0" w:after="283"/>
              <w:rPr/>
            </w:pPr>
            <w:r>
              <w:rPr/>
              <w:t xml:space="preserve">  </w:t>
            </w:r>
          </w:p>
        </w:tc>
      </w:tr>
      <w:tr>
        <w:trPr/>
        <w:tc>
          <w:tcPr>
            <w:tcW w:w="6385" w:type="dxa"/>
            <w:tcBorders/>
            <w:shd w:fill="auto" w:val="clear"/>
          </w:tcPr>
          <w:p>
            <w:pPr>
              <w:pStyle w:val="TableContents"/>
              <w:spacing w:before="0" w:after="283"/>
              <w:rPr/>
            </w:pPr>
            <w:r>
              <w:rPr/>
              <w:t xml:space="preserve">  </w:t>
            </w:r>
          </w:p>
        </w:tc>
        <w:tc>
          <w:tcPr>
            <w:tcW w:w="3820" w:type="dxa"/>
            <w:gridSpan w:val="3"/>
            <w:tcBorders/>
            <w:shd w:fill="auto" w:val="clear"/>
          </w:tcPr>
          <w:p>
            <w:pPr>
              <w:pStyle w:val="TableContents"/>
              <w:spacing w:before="0" w:after="283"/>
              <w:rPr/>
            </w:pPr>
            <w:r>
              <w:rPr/>
              <w:t xml:space="preserve">  </w:t>
            </w:r>
          </w:p>
        </w:tc>
      </w:tr>
      <w:tr>
        <w:trPr/>
        <w:tc>
          <w:tcPr>
            <w:tcW w:w="6385" w:type="dxa"/>
            <w:tcBorders/>
            <w:shd w:fill="auto" w:val="clear"/>
          </w:tcPr>
          <w:p>
            <w:pPr>
              <w:pStyle w:val="TableContents"/>
              <w:spacing w:before="0" w:after="283"/>
              <w:rPr/>
            </w:pPr>
            <w:r>
              <w:rPr/>
              <w:t xml:space="preserve">  </w:t>
            </w:r>
          </w:p>
        </w:tc>
        <w:tc>
          <w:tcPr>
            <w:tcW w:w="3820"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VULCAN ENERGY CORPORATION</w:t>
            </w:r>
          </w:p>
        </w:tc>
      </w:tr>
      <w:tr>
        <w:trPr/>
        <w:tc>
          <w:tcPr>
            <w:tcW w:w="6385" w:type="dxa"/>
            <w:tcBorders/>
            <w:shd w:fill="auto" w:val="clear"/>
          </w:tcPr>
          <w:p>
            <w:pPr>
              <w:pStyle w:val="TableContents"/>
              <w:spacing w:before="0" w:after="283"/>
              <w:rPr/>
            </w:pPr>
            <w:r>
              <w:rPr/>
              <w:t xml:space="preserve">  </w:t>
            </w:r>
          </w:p>
        </w:tc>
        <w:tc>
          <w:tcPr>
            <w:tcW w:w="3820" w:type="dxa"/>
            <w:gridSpan w:val="3"/>
            <w:tcBorders/>
            <w:shd w:fill="auto" w:val="clear"/>
          </w:tcPr>
          <w:p>
            <w:pPr>
              <w:pStyle w:val="TableContents"/>
              <w:spacing w:before="0" w:after="283"/>
              <w:rPr/>
            </w:pPr>
            <w:r>
              <w:rPr/>
              <w:t xml:space="preserve">  </w:t>
            </w:r>
          </w:p>
        </w:tc>
      </w:tr>
      <w:tr>
        <w:trPr/>
        <w:tc>
          <w:tcPr>
            <w:tcW w:w="6385" w:type="dxa"/>
            <w:tcBorders/>
            <w:shd w:fill="auto" w:val="clear"/>
          </w:tcPr>
          <w:p>
            <w:pPr>
              <w:pStyle w:val="TableContents"/>
              <w:spacing w:before="0" w:after="283"/>
              <w:rPr/>
            </w:pPr>
            <w:r>
              <w:rPr/>
              <w:t xml:space="preserve">  </w:t>
            </w:r>
          </w:p>
        </w:tc>
        <w:tc>
          <w:tcPr>
            <w:tcW w:w="555"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w:t>
            </w:r>
          </w:p>
        </w:tc>
        <w:tc>
          <w:tcPr>
            <w:tcW w:w="3265" w:type="dxa"/>
            <w:gridSpan w:val="2"/>
            <w:tcBorders>
              <w:bottom w:val="single" w:sz="4" w:space="0" w:color="000000"/>
            </w:tcBorders>
            <w:shd w:fill="auto" w:val="clear"/>
            <w:tcMar>
              <w:bottom w:w="28" w:type="dxa"/>
            </w:tcM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/s/ Paul Ghaffari</w:t>
            </w:r>
          </w:p>
        </w:tc>
      </w:tr>
      <w:tr>
        <w:trPr/>
        <w:tc>
          <w:tcPr>
            <w:tcW w:w="6385" w:type="dxa"/>
            <w:tcBorders/>
            <w:shd w:fill="auto" w:val="clear"/>
          </w:tcPr>
          <w:p>
            <w:pPr>
              <w:pStyle w:val="TableContents"/>
              <w:spacing w:before="0" w:after="283"/>
              <w:rPr/>
            </w:pPr>
            <w:r>
              <w:rPr/>
              <w:t xml:space="preserve">  </w:t>
            </w:r>
          </w:p>
        </w:tc>
        <w:tc>
          <w:tcPr>
            <w:tcW w:w="555" w:type="dxa"/>
            <w:tcBorders/>
            <w:shd w:fill="auto" w:val="clear"/>
          </w:tcPr>
          <w:p>
            <w:pPr>
              <w:pStyle w:val="TableContents"/>
              <w:spacing w:before="0" w:after="283"/>
              <w:rPr/>
            </w:pPr>
            <w:r>
              <w:rPr/>
              <w:t xml:space="preserve">  </w:t>
            </w:r>
          </w:p>
        </w:tc>
        <w:tc>
          <w:tcPr>
            <w:tcW w:w="617"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Name:</w:t>
            </w:r>
          </w:p>
        </w:tc>
        <w:tc>
          <w:tcPr>
            <w:tcW w:w="264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Paul Ghaffari</w:t>
            </w:r>
          </w:p>
        </w:tc>
      </w:tr>
      <w:tr>
        <w:trPr/>
        <w:tc>
          <w:tcPr>
            <w:tcW w:w="6385" w:type="dxa"/>
            <w:tcBorders/>
            <w:shd w:fill="auto" w:val="clear"/>
          </w:tcPr>
          <w:p>
            <w:pPr>
              <w:pStyle w:val="TableContents"/>
              <w:spacing w:before="0" w:after="283"/>
              <w:rPr/>
            </w:pPr>
            <w:r>
              <w:rPr/>
              <w:t xml:space="preserve">  </w:t>
            </w:r>
          </w:p>
        </w:tc>
        <w:tc>
          <w:tcPr>
            <w:tcW w:w="555" w:type="dxa"/>
            <w:tcBorders/>
            <w:shd w:fill="auto" w:val="clear"/>
          </w:tcPr>
          <w:p>
            <w:pPr>
              <w:pStyle w:val="TableContents"/>
              <w:spacing w:before="0" w:after="283"/>
              <w:rPr/>
            </w:pPr>
            <w:r>
              <w:rPr/>
              <w:t xml:space="preserve">  </w:t>
            </w:r>
          </w:p>
        </w:tc>
        <w:tc>
          <w:tcPr>
            <w:tcW w:w="617"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w:t>
            </w:r>
          </w:p>
        </w:tc>
        <w:tc>
          <w:tcPr>
            <w:tcW w:w="264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Vice President</w:t>
            </w:r>
          </w:p>
        </w:tc>
      </w:tr>
    </w:tbl>
    <w:p>
      <w:pPr>
        <w:pStyle w:val="TextBody"/>
        <w:spacing w:before="0" w:after="0"/>
        <w:ind w:left="0" w:right="0" w:hanging="0"/>
        <w:rPr/>
      </w:pPr>
      <w:r>
        <w:rPr/>
      </w:r>
    </w:p>
    <w:p>
      <w:pPr>
        <w:pStyle w:val="TextBody"/>
        <w:spacing w:before="0" w:after="0"/>
        <w:ind w:left="0" w:right="0" w:hanging="0"/>
        <w:rPr/>
      </w:pPr>
      <w:r>
        <w:rPr/>
      </w:r>
    </w:p>
    <w:p>
      <w:pPr>
        <w:pStyle w:val="TextBody"/>
        <w:ind w:left="0" w:right="0" w:hanging="0"/>
        <w:rPr/>
      </w:pPr>
      <w:r>
        <w:rPr/>
        <w:t> </w:t>
      </w:r>
      <w:r>
        <w:br w:type="page"/>
      </w:r>
    </w:p>
    <w:p>
      <w:pPr>
        <w:pStyle w:val="TextBody"/>
        <w:spacing w:before="0" w:after="0"/>
        <w:ind w:left="0" w:right="0" w:hanging="0"/>
        <w:jc w:val="right"/>
        <w:rPr>
          <w:rFonts w:ascii="Times New Roman;serif" w:hAnsi="Times New Roman;serif"/>
          <w:b/>
          <w:sz w:val="24"/>
        </w:rPr>
      </w:pPr>
      <w:bookmarkStart w:id="681" w:name="ex99-4.htm"/>
      <w:bookmarkStart w:id="682" w:name="ksex994"/>
      <w:bookmarkEnd w:id="681"/>
      <w:bookmarkEnd w:id="682"/>
      <w:r>
        <w:rPr>
          <w:rFonts w:ascii="Times New Roman;serif" w:hAnsi="Times New Roman;serif"/>
          <w:b/>
          <w:sz w:val="24"/>
        </w:rPr>
        <w:t>EXHIBIT 99.4</w:t>
      </w:r>
    </w:p>
    <w:p>
      <w:pPr>
        <w:pStyle w:val="TextBody"/>
        <w:spacing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6635"/>
        <w:gridCol w:w="3570"/>
      </w:tblGrid>
      <w:tr>
        <w:trPr/>
        <w:tc>
          <w:tcPr>
            <w:tcW w:w="6635" w:type="dxa"/>
            <w:tcBorders/>
            <w:shd w:fill="FFFFFF" w:val="clear"/>
            <w:vAlign w:val="center"/>
          </w:tcPr>
          <w:p>
            <w:pPr>
              <w:pStyle w:val="TableContents"/>
              <w:spacing w:before="0" w:after="283"/>
              <w:rPr/>
            </w:pPr>
            <w:r>
              <w:rPr/>
              <w:t> </w:t>
            </w:r>
          </w:p>
        </w:tc>
        <w:tc>
          <w:tcPr>
            <w:tcW w:w="3570" w:type="dxa"/>
            <w:tcBorders/>
            <w:shd w:fill="FFFFFF" w:val="clear"/>
            <w:vAlign w:val="center"/>
          </w:tcPr>
          <w:p>
            <w:pPr>
              <w:pStyle w:val="TableContents"/>
              <w:spacing w:before="0" w:after="283"/>
              <w:rPr>
                <w:rFonts w:ascii="Times New Roman;serif" w:hAnsi="Times New Roman;serif"/>
                <w:sz w:val="24"/>
              </w:rPr>
            </w:pPr>
            <w:r>
              <w:rPr>
                <w:rFonts w:ascii="Times New Roman;serif" w:hAnsi="Times New Roman;serif"/>
                <w:sz w:val="24"/>
              </w:rPr>
              <w:t>August 11, 2011</w:t>
            </w:r>
          </w:p>
        </w:tc>
      </w:tr>
    </w:tbl>
    <w:p>
      <w:pPr>
        <w:pStyle w:val="TextBody"/>
        <w:spacing w:before="0" w:after="0"/>
        <w:jc w:val="center"/>
        <w:rPr/>
      </w:pPr>
      <w:r>
        <w:rPr/>
        <w:t> </w:t>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Plains All American Pipeline, L.P.</w:t>
      </w:r>
    </w:p>
    <w:p>
      <w:pPr>
        <w:pStyle w:val="TextBody"/>
        <w:spacing w:before="0" w:after="0"/>
        <w:ind w:left="0" w:right="0" w:hanging="0"/>
        <w:rPr/>
      </w:pPr>
      <w:r>
        <w:rPr/>
      </w:r>
    </w:p>
    <w:p>
      <w:pPr>
        <w:pStyle w:val="TextBody"/>
        <w:spacing w:before="0" w:after="0"/>
        <w:ind w:left="720" w:right="0" w:hanging="0"/>
        <w:jc w:val="both"/>
        <w:rPr>
          <w:rFonts w:ascii="Times New Roman;serif" w:hAnsi="Times New Roman;serif"/>
          <w:sz w:val="24"/>
        </w:rPr>
      </w:pPr>
      <w:bookmarkStart w:id="683" w:name="TAB19"/>
      <w:bookmarkEnd w:id="683"/>
      <w:r>
        <w:rPr>
          <w:rFonts w:ascii="Times New Roman;serif" w:hAnsi="Times New Roman;serif"/>
          <w:sz w:val="24"/>
        </w:rPr>
        <w:t>Re:    Plains All American Pipeline, L.P.</w:t>
      </w:r>
    </w:p>
    <w:p>
      <w:pPr>
        <w:pStyle w:val="TextBody"/>
        <w:spacing w:before="0" w:after="0"/>
        <w:ind w:left="1260" w:right="0" w:hanging="0"/>
        <w:jc w:val="both"/>
        <w:rPr>
          <w:rFonts w:ascii="Times New Roman;serif" w:hAnsi="Times New Roman;serif"/>
          <w:sz w:val="24"/>
        </w:rPr>
      </w:pPr>
      <w:bookmarkStart w:id="684" w:name="TAB110"/>
      <w:bookmarkEnd w:id="684"/>
      <w:r>
        <w:rPr>
          <w:rFonts w:ascii="Times New Roman;serif" w:hAnsi="Times New Roman;serif"/>
          <w:sz w:val="24"/>
        </w:rPr>
        <w:t>Public Offering of Common Units</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Ladies and Gentlemen:</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This letter is being delivered to you in connection with the proposed Underwriting Agreement (the “</w:t>
      </w:r>
      <w:r>
        <w:rPr>
          <w:rFonts w:ascii="Times New Roman;serif" w:hAnsi="Times New Roman;serif"/>
          <w:b/>
          <w:sz w:val="24"/>
        </w:rPr>
        <w:t>Underwriting Agreement</w:t>
      </w:r>
      <w:r>
        <w:rPr>
          <w:rFonts w:ascii="Times New Roman;serif" w:hAnsi="Times New Roman;serif"/>
          <w:sz w:val="24"/>
        </w:rPr>
        <w:t>”) among Plains All American Pipeline, L.P., a Delaware limited partnership (the “</w:t>
      </w:r>
      <w:r>
        <w:rPr>
          <w:rFonts w:ascii="Times New Roman;serif" w:hAnsi="Times New Roman;serif"/>
          <w:b/>
          <w:sz w:val="24"/>
        </w:rPr>
        <w:t>Partnership</w:t>
      </w:r>
      <w:r>
        <w:rPr>
          <w:rFonts w:ascii="Times New Roman;serif" w:hAnsi="Times New Roman;serif"/>
          <w:sz w:val="24"/>
        </w:rPr>
        <w:t>”), Vulcan Energy Corporation, a Delaware corporation (the “</w:t>
      </w:r>
      <w:r>
        <w:rPr>
          <w:rFonts w:ascii="Times New Roman;serif" w:hAnsi="Times New Roman;serif"/>
          <w:b/>
          <w:sz w:val="24"/>
        </w:rPr>
        <w:t>Selling Unitholder</w:t>
      </w:r>
      <w:r>
        <w:rPr>
          <w:rFonts w:ascii="Times New Roman;serif" w:hAnsi="Times New Roman;serif"/>
          <w:sz w:val="24"/>
        </w:rPr>
        <w:t>”), Citigroup Global Markets Inc. and any other party thereto named therein as an underwriter relating to an underwritten public offering of common units representing limited partner interests of the Partnership (“</w:t>
      </w:r>
      <w:r>
        <w:rPr>
          <w:rFonts w:ascii="Times New Roman;serif" w:hAnsi="Times New Roman;serif"/>
          <w:b/>
          <w:sz w:val="24"/>
        </w:rPr>
        <w:t>Common Units</w:t>
      </w:r>
      <w:r>
        <w:rPr>
          <w:rFonts w:ascii="Times New Roman;serif" w:hAnsi="Times New Roman;serif"/>
          <w:sz w:val="24"/>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To induce you to enter into the Underwriting Agreement, the undersigned agrees that the undersigned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Common Units or any securities that are convertible into, or exercisable or exchangeable for, or that represent the right to receive, Common Units or any securities that are senior to or pari passu with Common Units, or publicly announce an intention to effect any such transaction, for a period of one (1) year after the date of the Prospectus (as defined in the Underwriting Agreement) without your prior written consent; provided, however, that the restrictions contained in this letter shall not apply to or restrict (i) registration of or sale to the underwriters of any Common Units pursuant to the Underwriting Agreement or in the related concurrent registered placement to John T. Raymond and Jim Flores and their respective affiliates, (ii) distributions of Common Units to partners, members or stockholders of the Selling Unitholder or of Vulcan Capital Private Equity Management I LLC, (iii) bona fide gifts or (iv) dispositions to any trust, family limited partnership or family limited liability company for the direct or indirect benefit of the Selling Unitholder and/or the immediate family of the Selling Unitholder or of any persons to whom a transfer was permitted by clause (ii) above; provided, however, that in the case of transfers pursuant to clauses (ii), (iii) and (iv) set forth above any recipient of such Common Unit agrees in writing to be bound by the terms of this letter.</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85" w:name="PGBRK70"/>
      <w:bookmarkStart w:id="686" w:name="PGBRK70"/>
      <w:bookmarkEnd w:id="6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7" w:name="FTR70"/>
      <w:bookmarkStart w:id="688" w:name="FTR70"/>
      <w:bookmarkEnd w:id="6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89" w:name="GLFTR70"/>
      <w:bookmarkEnd w:id="6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90" w:name="PN70"/>
      <w:bookmarkEnd w:id="69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1" w:name="HDR70"/>
      <w:bookmarkStart w:id="692" w:name="HDR70"/>
      <w:bookmarkEnd w:id="6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93" w:name="GLHDR70"/>
      <w:bookmarkEnd w:id="6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If for any reason the Underwriting Agreement is terminated before the Delivery Date (as defined in the Underwriting Agreement), the agreement set forth above shall likewise be terminated.</w:t>
      </w:r>
    </w:p>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633"/>
        <w:gridCol w:w="408"/>
        <w:gridCol w:w="612"/>
        <w:gridCol w:w="2552"/>
      </w:tblGrid>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Yours very truly,</w:t>
            </w:r>
          </w:p>
        </w:tc>
      </w:tr>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VULCAN CAPITAL PRIVATE EQUITY I LLC</w:t>
            </w:r>
          </w:p>
        </w:tc>
      </w:tr>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w:t>
            </w:r>
          </w:p>
        </w:tc>
        <w:tc>
          <w:tcPr>
            <w:tcW w:w="3164" w:type="dxa"/>
            <w:gridSpan w:val="2"/>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Vulcan Capital Private Equity Management I LLC, its Manager</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283"/>
              <w:rPr/>
            </w:pPr>
            <w:r>
              <w:rPr/>
              <w:t xml:space="preserve">  </w:t>
            </w:r>
          </w:p>
        </w:tc>
        <w:tc>
          <w:tcPr>
            <w:tcW w:w="3164" w:type="dxa"/>
            <w:gridSpan w:val="2"/>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w:t>
            </w:r>
          </w:p>
        </w:tc>
        <w:tc>
          <w:tcPr>
            <w:tcW w:w="3164" w:type="dxa"/>
            <w:gridSpan w:val="2"/>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Vulcan Capital Private Equity Inc., its Managing Member</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283"/>
              <w:rPr/>
            </w:pPr>
            <w:r>
              <w:rPr/>
              <w:t xml:space="preserve">  </w:t>
            </w:r>
          </w:p>
        </w:tc>
        <w:tc>
          <w:tcPr>
            <w:tcW w:w="3164" w:type="dxa"/>
            <w:gridSpan w:val="2"/>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w:t>
            </w:r>
          </w:p>
        </w:tc>
        <w:tc>
          <w:tcPr>
            <w:tcW w:w="3164" w:type="dxa"/>
            <w:gridSpan w:val="2"/>
            <w:tcBorders>
              <w:bottom w:val="single" w:sz="4" w:space="0" w:color="000000"/>
            </w:tcBorders>
            <w:shd w:fill="auto" w:val="clear"/>
            <w:tcMar>
              <w:bottom w:w="28" w:type="dxa"/>
            </w:tcM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/s/ Paul Ghaffari</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Name:</w:t>
            </w:r>
          </w:p>
        </w:tc>
        <w:tc>
          <w:tcPr>
            <w:tcW w:w="255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Paul Ghaffari</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w:t>
            </w:r>
          </w:p>
        </w:tc>
        <w:tc>
          <w:tcPr>
            <w:tcW w:w="255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Vice President</w:t>
            </w:r>
          </w:p>
        </w:tc>
      </w:tr>
    </w:tbl>
    <w:p>
      <w:pPr>
        <w:pStyle w:val="TextBody"/>
        <w:ind w:left="0" w:right="0" w:hanging="0"/>
        <w:rPr/>
      </w:pPr>
      <w:r>
        <w:rPr/>
      </w:r>
      <w:r>
        <w:br w:type="page"/>
      </w:r>
    </w:p>
    <w:p>
      <w:pPr>
        <w:pStyle w:val="TextBody"/>
        <w:spacing w:before="0" w:after="0"/>
        <w:ind w:left="0" w:right="0" w:hanging="0"/>
        <w:jc w:val="right"/>
        <w:rPr>
          <w:rFonts w:ascii="Times New Roman;serif" w:hAnsi="Times New Roman;serif"/>
          <w:b/>
          <w:sz w:val="24"/>
        </w:rPr>
      </w:pPr>
      <w:bookmarkStart w:id="694" w:name="ex99-5.htm"/>
      <w:bookmarkStart w:id="695" w:name="ksex995"/>
      <w:bookmarkEnd w:id="694"/>
      <w:bookmarkEnd w:id="695"/>
      <w:r>
        <w:rPr>
          <w:rFonts w:ascii="Times New Roman;serif" w:hAnsi="Times New Roman;serif"/>
          <w:b/>
          <w:sz w:val="24"/>
        </w:rPr>
        <w:t>EXHIBIT 99.5</w:t>
      </w:r>
    </w:p>
    <w:p>
      <w:pPr>
        <w:pStyle w:val="TextBody"/>
        <w:spacing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6635"/>
        <w:gridCol w:w="3570"/>
      </w:tblGrid>
      <w:tr>
        <w:trPr/>
        <w:tc>
          <w:tcPr>
            <w:tcW w:w="6635" w:type="dxa"/>
            <w:tcBorders/>
            <w:shd w:fill="FFFFFF" w:val="clear"/>
            <w:vAlign w:val="center"/>
          </w:tcPr>
          <w:p>
            <w:pPr>
              <w:pStyle w:val="TableContents"/>
              <w:spacing w:before="0" w:after="283"/>
              <w:rPr/>
            </w:pPr>
            <w:r>
              <w:rPr/>
              <w:t> </w:t>
            </w:r>
          </w:p>
        </w:tc>
        <w:tc>
          <w:tcPr>
            <w:tcW w:w="3570" w:type="dxa"/>
            <w:tcBorders/>
            <w:shd w:fill="FFFFFF" w:val="clear"/>
            <w:vAlign w:val="center"/>
          </w:tcPr>
          <w:p>
            <w:pPr>
              <w:pStyle w:val="TableContents"/>
              <w:spacing w:before="0" w:after="283"/>
              <w:rPr>
                <w:rFonts w:ascii="Times New Roman;serif" w:hAnsi="Times New Roman;serif"/>
                <w:sz w:val="24"/>
              </w:rPr>
            </w:pPr>
            <w:r>
              <w:rPr>
                <w:rFonts w:ascii="Times New Roman;serif" w:hAnsi="Times New Roman;serif"/>
                <w:sz w:val="24"/>
              </w:rPr>
              <w:t>August 11, 2011</w:t>
            </w:r>
          </w:p>
        </w:tc>
      </w:tr>
    </w:tbl>
    <w:p>
      <w:pPr>
        <w:pStyle w:val="TextBody"/>
        <w:spacing w:before="0" w:after="0"/>
        <w:rPr/>
      </w:pPr>
      <w:r>
        <w:rPr/>
        <w:t> </w:t>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Plains All American Pipeline, L.P.</w:t>
      </w:r>
    </w:p>
    <w:p>
      <w:pPr>
        <w:pStyle w:val="TextBody"/>
        <w:spacing w:before="0" w:after="0"/>
        <w:ind w:left="0" w:right="0" w:hanging="0"/>
        <w:rPr/>
      </w:pPr>
      <w:r>
        <w:rPr/>
      </w:r>
    </w:p>
    <w:p>
      <w:pPr>
        <w:pStyle w:val="TextBody"/>
        <w:spacing w:before="0" w:after="0"/>
        <w:ind w:left="720" w:right="0" w:hanging="0"/>
        <w:jc w:val="both"/>
        <w:rPr>
          <w:rFonts w:ascii="Times New Roman;serif" w:hAnsi="Times New Roman;serif"/>
          <w:sz w:val="24"/>
        </w:rPr>
      </w:pPr>
      <w:bookmarkStart w:id="696" w:name="TAB111"/>
      <w:bookmarkEnd w:id="696"/>
      <w:r>
        <w:rPr>
          <w:rFonts w:ascii="Times New Roman;serif" w:hAnsi="Times New Roman;serif"/>
          <w:sz w:val="24"/>
        </w:rPr>
        <w:t>Re:    Plains All American Pipeline, L.P.</w:t>
      </w:r>
    </w:p>
    <w:p>
      <w:pPr>
        <w:pStyle w:val="TextBody"/>
        <w:spacing w:before="0" w:after="0"/>
        <w:ind w:left="1260" w:right="0" w:hanging="0"/>
        <w:jc w:val="both"/>
        <w:rPr>
          <w:rFonts w:ascii="Times New Roman;serif" w:hAnsi="Times New Roman;serif"/>
          <w:sz w:val="24"/>
        </w:rPr>
      </w:pPr>
      <w:bookmarkStart w:id="697" w:name="TAB112"/>
      <w:bookmarkEnd w:id="697"/>
      <w:r>
        <w:rPr>
          <w:rFonts w:ascii="Times New Roman;serif" w:hAnsi="Times New Roman;serif"/>
          <w:sz w:val="24"/>
        </w:rPr>
        <w:t>Public Offering of Common Units</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4"/>
        </w:rPr>
      </w:pPr>
      <w:r>
        <w:rPr>
          <w:rFonts w:ascii="Times New Roman;serif" w:hAnsi="Times New Roman;serif"/>
          <w:sz w:val="24"/>
        </w:rPr>
        <w:t>Ladies and Gentlemen:</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This letter is being delivered to you in connection with the proposed Underwriting Agreement (the “</w:t>
      </w:r>
      <w:r>
        <w:rPr>
          <w:rFonts w:ascii="Times New Roman;serif" w:hAnsi="Times New Roman;serif"/>
          <w:b/>
          <w:sz w:val="24"/>
        </w:rPr>
        <w:t>Underwriting Agreement</w:t>
      </w:r>
      <w:r>
        <w:rPr>
          <w:rFonts w:ascii="Times New Roman;serif" w:hAnsi="Times New Roman;serif"/>
          <w:sz w:val="24"/>
        </w:rPr>
        <w:t>”) among Plains All American Pipeline, L.P., a Delaware limited partnership (the “</w:t>
      </w:r>
      <w:r>
        <w:rPr>
          <w:rFonts w:ascii="Times New Roman;serif" w:hAnsi="Times New Roman;serif"/>
          <w:b/>
          <w:sz w:val="24"/>
        </w:rPr>
        <w:t>Partnership</w:t>
      </w:r>
      <w:r>
        <w:rPr>
          <w:rFonts w:ascii="Times New Roman;serif" w:hAnsi="Times New Roman;serif"/>
          <w:sz w:val="24"/>
        </w:rPr>
        <w:t>”), Vulcan Energy Corporation, a Delaware corporation (the “</w:t>
      </w:r>
      <w:r>
        <w:rPr>
          <w:rFonts w:ascii="Times New Roman;serif" w:hAnsi="Times New Roman;serif"/>
          <w:b/>
          <w:sz w:val="24"/>
        </w:rPr>
        <w:t>Selling Unitholder</w:t>
      </w:r>
      <w:r>
        <w:rPr>
          <w:rFonts w:ascii="Times New Roman;serif" w:hAnsi="Times New Roman;serif"/>
          <w:sz w:val="24"/>
        </w:rPr>
        <w:t>”), Citigroup Global Markets Inc. and any other party thereto named therein as an underwriter relating to an underwritten public offering of common units representing limited partner interests of the Partnership (“</w:t>
      </w:r>
      <w:r>
        <w:rPr>
          <w:rFonts w:ascii="Times New Roman;serif" w:hAnsi="Times New Roman;serif"/>
          <w:b/>
          <w:sz w:val="24"/>
        </w:rPr>
        <w:t>Common Units</w:t>
      </w:r>
      <w:r>
        <w:rPr>
          <w:rFonts w:ascii="Times New Roman;serif" w:hAnsi="Times New Roman;serif"/>
          <w:sz w:val="24"/>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To induce you to enter into the Underwriting Agreement, the undersigned agrees that the undersigned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Common Units or any securities that are convertible into, or exercisable or exchangeable for, or that represent the right to receive, Common Units or any securities that are senior to or pari passu with Common Units, or publicly announce an intention to effect any such transaction, for a period of one (1) year after the date of the Prospectus (as defined in the Underwriting Agreement) without your prior written consent; provided, however, that the restrictions contained in this letter shall not apply to or restrict (i) registration of or sale to the underwriters of any Common Units pursuant to the Underwriting Agreement or in the related concurrent registered placement to John T. Raymond and Jim Flores and their respective affiliates, (ii) distributions of Common Units to partners, members or stockholders of the Selling Unitholder or of Vulcan Capital Private Equity Management I LLC, (iii) bona fide gifts or (iv) dispositions to any trust, family limited partnership or family limited liability company for the direct or indirect benefit of the Selling Unitholder and/or the immediate family of the Selling Unitholder or of any persons to whom a transfer was permitted by clause (ii) above; provided, however, that in the case of transfers pursuant to clauses (ii), (iii) and (iv) set forth above any recipient of such Common Unit agrees in writing to be bound by the terms of this letter.</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98" w:name="PGBRK71"/>
      <w:bookmarkStart w:id="699" w:name="PGBRK71"/>
      <w:bookmarkEnd w:id="6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0" w:name="FTR71"/>
      <w:bookmarkStart w:id="701" w:name="FTR71"/>
      <w:bookmarkEnd w:id="7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02" w:name="GLFTR71"/>
      <w:bookmarkEnd w:id="7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03" w:name="PN71"/>
      <w:bookmarkEnd w:id="70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4" w:name="HDR71"/>
      <w:bookmarkStart w:id="705" w:name="HDR71"/>
      <w:bookmarkEnd w:id="7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06" w:name="GLHDR71"/>
      <w:bookmarkEnd w:id="7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jc w:val="both"/>
        <w:rPr>
          <w:rFonts w:ascii="Times New Roman;serif" w:hAnsi="Times New Roman;serif"/>
          <w:sz w:val="24"/>
        </w:rPr>
      </w:pPr>
      <w:r>
        <w:rPr>
          <w:rFonts w:ascii="Times New Roman;serif" w:hAnsi="Times New Roman;serif"/>
          <w:sz w:val="24"/>
        </w:rPr>
        <w:t>If for any reason the Underwriting Agreement is terminated before the Delivery Date (as defined in the Underwriting Agreement), the agreement set forth above shall likewise be terminated.</w:t>
      </w:r>
    </w:p>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633"/>
        <w:gridCol w:w="408"/>
        <w:gridCol w:w="612"/>
        <w:gridCol w:w="2552"/>
      </w:tblGrid>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Yours very truly,</w:t>
            </w:r>
          </w:p>
        </w:tc>
      </w:tr>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VULCAN CAPITAL PRIVATE EQUITY II LLC</w:t>
            </w:r>
          </w:p>
        </w:tc>
      </w:tr>
      <w:tr>
        <w:trPr/>
        <w:tc>
          <w:tcPr>
            <w:tcW w:w="6633" w:type="dxa"/>
            <w:tcBorders/>
            <w:shd w:fill="auto" w:val="clear"/>
          </w:tcPr>
          <w:p>
            <w:pPr>
              <w:pStyle w:val="TableContents"/>
              <w:spacing w:before="0" w:after="283"/>
              <w:rPr/>
            </w:pPr>
            <w:r>
              <w:rPr/>
              <w:t xml:space="preserve">  </w:t>
            </w:r>
          </w:p>
        </w:tc>
        <w:tc>
          <w:tcPr>
            <w:tcW w:w="3572" w:type="dxa"/>
            <w:gridSpan w:val="3"/>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w:t>
            </w:r>
          </w:p>
        </w:tc>
        <w:tc>
          <w:tcPr>
            <w:tcW w:w="3164" w:type="dxa"/>
            <w:gridSpan w:val="2"/>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Vulcan Capital Private Equity Inc., its Manager</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283"/>
              <w:rPr/>
            </w:pPr>
            <w:r>
              <w:rPr/>
              <w:t xml:space="preserve">  </w:t>
            </w:r>
          </w:p>
        </w:tc>
        <w:tc>
          <w:tcPr>
            <w:tcW w:w="3164" w:type="dxa"/>
            <w:gridSpan w:val="2"/>
            <w:tcBorders/>
            <w:shd w:fill="auto" w:val="clear"/>
          </w:tcPr>
          <w:p>
            <w:pPr>
              <w:pStyle w:val="TableContents"/>
              <w:spacing w:before="0" w:after="283"/>
              <w:rPr/>
            </w:pPr>
            <w:r>
              <w:rPr/>
              <w:t xml:space="preserve">  </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By:</w:t>
            </w:r>
          </w:p>
        </w:tc>
        <w:tc>
          <w:tcPr>
            <w:tcW w:w="3164" w:type="dxa"/>
            <w:gridSpan w:val="2"/>
            <w:tcBorders>
              <w:bottom w:val="single" w:sz="4" w:space="0" w:color="000000"/>
            </w:tcBorders>
            <w:shd w:fill="auto" w:val="clear"/>
            <w:tcMar>
              <w:bottom w:w="28" w:type="dxa"/>
            </w:tcM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/s/ Paul Ghaffari</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Name:</w:t>
            </w:r>
          </w:p>
        </w:tc>
        <w:tc>
          <w:tcPr>
            <w:tcW w:w="255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Paul Ghaffari</w:t>
            </w:r>
          </w:p>
        </w:tc>
      </w:tr>
      <w:tr>
        <w:trPr/>
        <w:tc>
          <w:tcPr>
            <w:tcW w:w="6633"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283"/>
              <w:rPr/>
            </w:pPr>
            <w:r>
              <w:rPr/>
              <w:t xml:space="preserve">  </w:t>
            </w:r>
          </w:p>
        </w:tc>
        <w:tc>
          <w:tcPr>
            <w:tcW w:w="61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Title:</w:t>
            </w:r>
          </w:p>
        </w:tc>
        <w:tc>
          <w:tcPr>
            <w:tcW w:w="2552" w:type="dxa"/>
            <w:tcBorders/>
            <w:shd w:fill="auto" w:val="clear"/>
          </w:tcPr>
          <w:p>
            <w:pPr>
              <w:pStyle w:val="TableContents"/>
              <w:spacing w:before="0" w:after="0"/>
              <w:ind w:left="0" w:right="0" w:hanging="0"/>
              <w:jc w:val="left"/>
              <w:rPr>
                <w:rFonts w:ascii="times new roman;serif" w:hAnsi="times new roman;serif"/>
                <w:sz w:val="24"/>
              </w:rPr>
            </w:pPr>
            <w:r>
              <w:rPr>
                <w:rFonts w:ascii="times new roman;serif" w:hAnsi="times new roman;serif"/>
                <w:sz w:val="24"/>
              </w:rPr>
              <w:t>Vice President</w:t>
            </w:r>
          </w:p>
        </w:tc>
      </w:tr>
    </w:tbl>
    <w:p>
      <w:pPr>
        <w:pStyle w:val="TextBody"/>
        <w:spacing w:before="0" w:after="0"/>
        <w:ind w:left="0" w:right="0" w:hanging="0"/>
        <w:rPr/>
      </w:pPr>
      <w:r>
        <w:rPr/>
      </w:r>
    </w:p>
    <w:p>
      <w:pPr>
        <w:pStyle w:val="TextBody"/>
        <w:spacing w:before="0" w:after="0"/>
        <w:ind w:left="0" w:right="0" w:hanging="0"/>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altName w:val="serif"/>
    <w:charset w:val="00"/>
    <w:family w:val="auto"/>
    <w:pitch w:val="default"/>
  </w:font>
  <w:font w:name="wingdings">
    <w:charset w:val="00"/>
    <w:family w:val="auto"/>
    <w:pitch w:val="default"/>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29842</Words>
  <CharactersWithSpaces>191677</CharactersWithSpaces>
  <Paragraphs>2164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