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3-13463_110q.htm"/>
        <w:bookmarkStart w:id="1" w:name="ksa1313463_110q"/>
        <w:bookmarkEnd w:id="0"/>
        <w:bookmarkEnd w:id="1"/>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10-Q</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Wingdings" w:hAnsi="Wingdings"/>
          <w:b/>
          <w:sz w:val="20"/>
        </w:rPr>
        <w:t>x</w:t>
      </w:r>
      <w:r>
        <w:rPr>
          <w:rFonts w:ascii="Times New Roman" w:hAnsi="Times New Roman"/>
          <w:sz w:val="20"/>
        </w:rPr>
        <w:t xml:space="preserve">      </w:t>
      </w:r>
      <w:r>
        <w:rPr>
          <w:rFonts w:ascii="Times New Roman" w:hAnsi="Times New Roman"/>
          <w:b/>
          <w:sz w:val="20"/>
        </w:rPr>
        <w:t>QUARTERLY REPORT 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quarterly period ended June 30,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Wingdings" w:hAnsi="Wingdings"/>
          <w:b/>
          <w:sz w:val="20"/>
        </w:rPr>
        <w:t>o</w:t>
      </w:r>
      <w:r>
        <w:rPr>
          <w:rFonts w:ascii="Times New Roman" w:hAnsi="Times New Roman"/>
          <w:sz w:val="20"/>
        </w:rPr>
        <w:t xml:space="preserve">         </w:t>
      </w:r>
      <w:r>
        <w:rPr>
          <w:rFonts w:ascii="Times New Roman" w:hAnsi="Times New Roman"/>
          <w:b/>
          <w:sz w:val="20"/>
        </w:rPr>
        <w:t>TRANSITION REPORT 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x</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 reporting company)</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is a shell company (as defined in Rule 12b-2 of the Exchange Act).  </w:t>
      </w:r>
      <w:r>
        <w:rPr>
          <w:rFonts w:ascii="Wingdings" w:hAnsi="Wingdings"/>
          <w:sz w:val="17"/>
        </w:rPr>
        <w:t>o</w:t>
      </w:r>
      <w:r>
        <w:rPr>
          <w:rFonts w:ascii="Times New Roman" w:hAnsi="Times New Roman"/>
        </w:rPr>
        <w:t xml:space="preserve">  </w:t>
      </w:r>
      <w:r>
        <w:rPr>
          <w:rFonts w:ascii="Times New Roman" w:hAnsi="Times New Roman"/>
          <w:sz w:val="17"/>
        </w:rPr>
        <w:t xml:space="preserve">Yes  </w:t>
      </w:r>
      <w:r>
        <w:rPr>
          <w:rFonts w:ascii="Wingdings" w:hAnsi="Wingdings"/>
          <w:sz w:val="17"/>
        </w:rPr>
        <w:t>x</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July 31, 2013, there were 342,735,916 Common Units outstanding.</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w:t>
      </w:r>
      <w:bookmarkStart w:id="2" w:name="TableOfContents"/>
      <w:bookmarkEnd w:id="2"/>
      <w:r>
        <w:rPr>
          <w:rFonts w:ascii="Times New Roman" w:hAnsi="Times New Roman"/>
          <w:b/>
          <w:sz w:val="17"/>
        </w:rPr>
        <w:t>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586"/>
        <w:gridCol w:w="619"/>
      </w:tblGrid>
      <w:tr>
        <w:trPr/>
        <w:tc>
          <w:tcPr>
            <w:tcW w:w="9586"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586" w:type="dxa"/>
            <w:tcBorders/>
            <w:shd w:fill="auto" w:val="clear"/>
          </w:tcPr>
          <w:p>
            <w:pPr>
              <w:pStyle w:val="TableContents"/>
              <w:spacing w:before="0" w:after="0"/>
              <w:ind w:left="0" w:right="0" w:hanging="0"/>
              <w:rPr/>
            </w:pPr>
            <w:hyperlink w:anchor="Parti_FinancialInformation_134030">
              <w:r>
                <w:rPr>
                  <w:rStyle w:val="InternetLink"/>
                  <w:rFonts w:ascii="Times New Roman" w:hAnsi="Times New Roman"/>
                  <w:b/>
                  <w:sz w:val="17"/>
                </w:rPr>
                <w:t>PART I. FINANCIAL INFORMATION</w:t>
              </w:r>
            </w:hyperlink>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Item1_CondensedConsolidatedFinanc_134031">
              <w:r>
                <w:rPr>
                  <w:rStyle w:val="InternetLink"/>
                  <w:rFonts w:ascii="Times New Roman" w:hAnsi="Times New Roman"/>
                  <w:sz w:val="17"/>
                </w:rPr>
                <w:t>Item 1. CONDENSED CONSOLIDATED FINANCIAL STATEMENTS: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6" w:type="dxa"/>
            <w:tcBorders/>
            <w:shd w:fill="auto" w:val="clear"/>
          </w:tcPr>
          <w:p>
            <w:pPr>
              <w:pStyle w:val="TableContents"/>
              <w:spacing w:before="0" w:after="0"/>
              <w:ind w:left="0" w:right="0" w:hanging="0"/>
              <w:rPr/>
            </w:pPr>
            <w:hyperlink w:anchor="CondensedConsolidatedBalanceSheet_134032">
              <w:r>
                <w:rPr>
                  <w:rStyle w:val="InternetLink"/>
                  <w:rFonts w:ascii="Times New Roman" w:hAnsi="Times New Roman"/>
                  <w:sz w:val="17"/>
                </w:rPr>
                <w:t>Condensed Consolidated Balance Sheets: June 30, 2013 and December 31,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6" w:type="dxa"/>
            <w:tcBorders/>
            <w:shd w:fill="auto" w:val="clear"/>
          </w:tcPr>
          <w:p>
            <w:pPr>
              <w:pStyle w:val="TableContents"/>
              <w:spacing w:before="0" w:after="0"/>
              <w:ind w:left="0" w:right="0" w:hanging="0"/>
              <w:rPr/>
            </w:pPr>
            <w:hyperlink w:anchor="CondensedConsolidatedStatementsOf_134257">
              <w:r>
                <w:rPr>
                  <w:rStyle w:val="InternetLink"/>
                  <w:rFonts w:ascii="Times New Roman" w:hAnsi="Times New Roman"/>
                  <w:sz w:val="17"/>
                </w:rPr>
                <w:t>Condensed Consolidated Statements of Operations: For the three and six months ended June 30, 2013 and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586" w:type="dxa"/>
            <w:tcBorders/>
            <w:shd w:fill="auto" w:val="clear"/>
          </w:tcPr>
          <w:p>
            <w:pPr>
              <w:pStyle w:val="TableContents"/>
              <w:spacing w:before="0" w:after="0"/>
              <w:ind w:left="0" w:right="0" w:hanging="0"/>
              <w:rPr/>
            </w:pPr>
            <w:hyperlink w:anchor="OfComprehensiveIn_172932">
              <w:r>
                <w:rPr>
                  <w:rStyle w:val="InternetLink"/>
                  <w:rFonts w:ascii="Times New Roman" w:hAnsi="Times New Roman"/>
                  <w:sz w:val="17"/>
                </w:rPr>
                <w:t>Condensed Consolidated Statements of Comprehensive Income: For the three and six months ended June 30, 2013 and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6" w:type="dxa"/>
            <w:tcBorders/>
            <w:shd w:fill="auto" w:val="clear"/>
          </w:tcPr>
          <w:p>
            <w:pPr>
              <w:pStyle w:val="TableContents"/>
              <w:spacing w:before="0" w:after="0"/>
              <w:ind w:left="0" w:right="0" w:hanging="0"/>
              <w:rPr/>
            </w:pPr>
            <w:hyperlink w:anchor="MulatedOtherComprehensiveI_172939">
              <w:r>
                <w:rPr>
                  <w:rStyle w:val="InternetLink"/>
                  <w:rFonts w:ascii="Times New Roman" w:hAnsi="Times New Roman"/>
                  <w:sz w:val="17"/>
                </w:rPr>
                <w:t>Condensed Consolidated Statement of Changes in Accumulated Other Comprehensive Income: For the six months ended June 30, 2013</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6" w:type="dxa"/>
            <w:tcBorders/>
            <w:shd w:fill="auto" w:val="clear"/>
          </w:tcPr>
          <w:p>
            <w:pPr>
              <w:pStyle w:val="TableContents"/>
              <w:spacing w:before="0" w:after="0"/>
              <w:ind w:left="0" w:right="0" w:hanging="0"/>
              <w:rPr/>
            </w:pPr>
            <w:hyperlink w:anchor="CondensedConsolidatedStatementsOf_134659">
              <w:r>
                <w:rPr>
                  <w:rStyle w:val="InternetLink"/>
                  <w:rFonts w:ascii="Times New Roman" w:hAnsi="Times New Roman"/>
                  <w:sz w:val="17"/>
                </w:rPr>
                <w:t>Condensed Consolidated Statements of Cash Flows: For the six months ended June 30, 2013 and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6" w:type="dxa"/>
            <w:tcBorders/>
            <w:shd w:fill="auto" w:val="clear"/>
          </w:tcPr>
          <w:p>
            <w:pPr>
              <w:pStyle w:val="TableContents"/>
              <w:spacing w:before="0" w:after="0"/>
              <w:ind w:left="0" w:right="0" w:hanging="0"/>
              <w:rPr/>
            </w:pPr>
            <w:hyperlink w:anchor="CondensedConsolidatedStatementOfP_134842">
              <w:r>
                <w:rPr>
                  <w:rStyle w:val="InternetLink"/>
                  <w:rFonts w:ascii="Times New Roman" w:hAnsi="Times New Roman"/>
                  <w:sz w:val="17"/>
                </w:rPr>
                <w:t>Condensed Consolidated Statement of Partners Capital: For the six months ended June 30, 2013</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586" w:type="dxa"/>
            <w:tcBorders/>
            <w:shd w:fill="auto" w:val="clear"/>
          </w:tcPr>
          <w:p>
            <w:pPr>
              <w:pStyle w:val="TableContents"/>
              <w:spacing w:before="0" w:after="0"/>
              <w:ind w:left="0" w:right="0" w:hanging="0"/>
              <w:rPr/>
            </w:pPr>
            <w:hyperlink w:anchor="NotesToCondensedConsolidatedFinan_135056">
              <w:r>
                <w:rPr>
                  <w:rStyle w:val="InternetLink"/>
                  <w:rFonts w:ascii="Times New Roman" w:hAnsi="Times New Roman"/>
                  <w:sz w:val="17"/>
                </w:rPr>
                <w:t>Notes to Condensed Consolidated Financial Statements: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6" w:type="dxa"/>
            <w:tcBorders/>
            <w:shd w:fill="auto" w:val="clear"/>
          </w:tcPr>
          <w:p>
            <w:pPr>
              <w:pStyle w:val="TableContents"/>
              <w:spacing w:before="0" w:after="0"/>
              <w:ind w:left="0" w:right="0" w:hanging="0"/>
              <w:rPr/>
            </w:pPr>
            <w:hyperlink w:anchor="Note1organizationAndBasisOfPresen_135058">
              <w:r>
                <w:rPr>
                  <w:rStyle w:val="InternetLink"/>
                  <w:rFonts w:ascii="Times New Roman" w:hAnsi="Times New Roman"/>
                  <w:sz w:val="17"/>
                </w:rPr>
                <w:t>1. Organization and Basis of Presentation</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6" w:type="dxa"/>
            <w:tcBorders/>
            <w:shd w:fill="auto" w:val="clear"/>
          </w:tcPr>
          <w:p>
            <w:pPr>
              <w:pStyle w:val="TableContents"/>
              <w:spacing w:before="0" w:after="0"/>
              <w:ind w:left="0" w:right="0" w:hanging="0"/>
              <w:rPr/>
            </w:pPr>
            <w:hyperlink w:anchor="Note2recentAccountingPronouncemen_135122">
              <w:r>
                <w:rPr>
                  <w:rStyle w:val="InternetLink"/>
                  <w:rFonts w:ascii="Times New Roman" w:hAnsi="Times New Roman"/>
                  <w:sz w:val="17"/>
                </w:rPr>
                <w:t>2. Recent Accounting Pronouncements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586" w:type="dxa"/>
            <w:tcBorders/>
            <w:shd w:fill="auto" w:val="clear"/>
          </w:tcPr>
          <w:p>
            <w:pPr>
              <w:pStyle w:val="TableContents"/>
              <w:spacing w:before="0" w:after="0"/>
              <w:ind w:left="0" w:right="0" w:hanging="0"/>
              <w:rPr/>
            </w:pPr>
            <w:hyperlink w:anchor="Note3accountsReceivable_135131">
              <w:r>
                <w:rPr>
                  <w:rStyle w:val="InternetLink"/>
                  <w:rFonts w:ascii="Times New Roman" w:hAnsi="Times New Roman"/>
                  <w:sz w:val="17"/>
                </w:rPr>
                <w:t>3. Accounts Receivable</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586" w:type="dxa"/>
            <w:tcBorders/>
            <w:shd w:fill="auto" w:val="clear"/>
          </w:tcPr>
          <w:p>
            <w:pPr>
              <w:pStyle w:val="TableContents"/>
              <w:spacing w:before="0" w:after="0"/>
              <w:ind w:left="0" w:right="0" w:hanging="0"/>
              <w:rPr/>
            </w:pPr>
            <w:hyperlink w:anchor="Note4dispositions_135138">
              <w:r>
                <w:rPr>
                  <w:rStyle w:val="InternetLink"/>
                  <w:rFonts w:ascii="Times New Roman" w:hAnsi="Times New Roman"/>
                  <w:sz w:val="17"/>
                </w:rPr>
                <w:t>4. Acquisitions and Dispositions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6" w:type="dxa"/>
            <w:tcBorders/>
            <w:shd w:fill="auto" w:val="clear"/>
          </w:tcPr>
          <w:p>
            <w:pPr>
              <w:pStyle w:val="TableContents"/>
              <w:spacing w:before="0" w:after="0"/>
              <w:ind w:left="0" w:right="0" w:hanging="0"/>
              <w:rPr/>
            </w:pPr>
            <w:hyperlink w:anchor="Note5inventoryLinefillAndBaseGasA_135144">
              <w:r>
                <w:rPr>
                  <w:rStyle w:val="InternetLink"/>
                  <w:rFonts w:ascii="Times New Roman" w:hAnsi="Times New Roman"/>
                  <w:sz w:val="17"/>
                </w:rPr>
                <w:t>5. Inventory, Linefill and Base Gas and Long-term Inventory</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6" w:type="dxa"/>
            <w:tcBorders/>
            <w:shd w:fill="auto" w:val="clear"/>
          </w:tcPr>
          <w:p>
            <w:pPr>
              <w:pStyle w:val="TableContents"/>
              <w:spacing w:before="0" w:after="0"/>
              <w:ind w:left="0" w:right="0" w:hanging="0"/>
              <w:rPr/>
            </w:pPr>
            <w:hyperlink w:anchor="Note6Goodwill_135926">
              <w:r>
                <w:rPr>
                  <w:rStyle w:val="InternetLink"/>
                  <w:rFonts w:ascii="Times New Roman" w:hAnsi="Times New Roman"/>
                  <w:sz w:val="17"/>
                </w:rPr>
                <w:t>6. Goodwill</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586" w:type="dxa"/>
            <w:tcBorders/>
            <w:shd w:fill="auto" w:val="clear"/>
          </w:tcPr>
          <w:p>
            <w:pPr>
              <w:pStyle w:val="TableContents"/>
              <w:spacing w:before="0" w:after="0"/>
              <w:ind w:left="0" w:right="0" w:hanging="0"/>
              <w:rPr/>
            </w:pPr>
            <w:hyperlink w:anchor="Note7debt_140049">
              <w:r>
                <w:rPr>
                  <w:rStyle w:val="InternetLink"/>
                  <w:rFonts w:ascii="Times New Roman" w:hAnsi="Times New Roman"/>
                  <w:sz w:val="17"/>
                </w:rPr>
                <w:t>7. Debt</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586" w:type="dxa"/>
            <w:tcBorders/>
            <w:shd w:fill="auto" w:val="clear"/>
          </w:tcPr>
          <w:p>
            <w:pPr>
              <w:pStyle w:val="TableContents"/>
              <w:spacing w:before="0" w:after="0"/>
              <w:ind w:left="0" w:right="0" w:hanging="0"/>
              <w:rPr/>
            </w:pPr>
            <w:hyperlink w:anchor="Note8netIncomePerLimitedPartnerUn_140249">
              <w:r>
                <w:rPr>
                  <w:rStyle w:val="InternetLink"/>
                  <w:rFonts w:ascii="Times New Roman" w:hAnsi="Times New Roman"/>
                  <w:sz w:val="17"/>
                </w:rPr>
                <w:t>8. Net Income Per Limited Partner Unit</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9586" w:type="dxa"/>
            <w:tcBorders/>
            <w:shd w:fill="auto" w:val="clear"/>
          </w:tcPr>
          <w:p>
            <w:pPr>
              <w:pStyle w:val="TableContents"/>
              <w:spacing w:before="0" w:after="0"/>
              <w:ind w:left="0" w:right="0" w:hanging="0"/>
              <w:rPr/>
            </w:pPr>
            <w:hyperlink w:anchor="Note9partnersCapitalAndDistributi_140614">
              <w:r>
                <w:rPr>
                  <w:rStyle w:val="InternetLink"/>
                  <w:rFonts w:ascii="Times New Roman" w:hAnsi="Times New Roman"/>
                  <w:sz w:val="17"/>
                </w:rPr>
                <w:t>9. Partners Capital and Distributions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9586" w:type="dxa"/>
            <w:tcBorders/>
            <w:shd w:fill="auto" w:val="clear"/>
          </w:tcPr>
          <w:p>
            <w:pPr>
              <w:pStyle w:val="TableContents"/>
              <w:spacing w:before="0" w:after="0"/>
              <w:ind w:left="0" w:right="0" w:hanging="0"/>
              <w:rPr/>
            </w:pPr>
            <w:hyperlink w:anchor="Note10equityCompensationPlans_140910">
              <w:r>
                <w:rPr>
                  <w:rStyle w:val="InternetLink"/>
                  <w:rFonts w:ascii="Times New Roman" w:hAnsi="Times New Roman"/>
                  <w:sz w:val="17"/>
                </w:rPr>
                <w:t>10. Equity Compensation Plans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586" w:type="dxa"/>
            <w:tcBorders/>
            <w:shd w:fill="auto" w:val="clear"/>
          </w:tcPr>
          <w:p>
            <w:pPr>
              <w:pStyle w:val="TableContents"/>
              <w:spacing w:before="0" w:after="0"/>
              <w:ind w:left="0" w:right="0" w:hanging="0"/>
              <w:rPr/>
            </w:pPr>
            <w:hyperlink w:anchor="Note11derivativesAndRiskManagemen_141548">
              <w:r>
                <w:rPr>
                  <w:rStyle w:val="InternetLink"/>
                  <w:rFonts w:ascii="Times New Roman" w:hAnsi="Times New Roman"/>
                  <w:sz w:val="17"/>
                </w:rPr>
                <w:t>11. Derivatives and Risk Management Activities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9586" w:type="dxa"/>
            <w:tcBorders/>
            <w:shd w:fill="auto" w:val="clear"/>
          </w:tcPr>
          <w:p>
            <w:pPr>
              <w:pStyle w:val="TableContents"/>
              <w:spacing w:before="0" w:after="0"/>
              <w:ind w:left="0" w:right="0" w:hanging="0"/>
              <w:rPr/>
            </w:pPr>
            <w:hyperlink w:anchor="Note12commitmentsAndContingencies_152114">
              <w:r>
                <w:rPr>
                  <w:rStyle w:val="InternetLink"/>
                  <w:rFonts w:ascii="Times New Roman" w:hAnsi="Times New Roman"/>
                  <w:sz w:val="17"/>
                </w:rPr>
                <w:t>12. Commitments and Contingencies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9586" w:type="dxa"/>
            <w:tcBorders/>
            <w:shd w:fill="auto" w:val="clear"/>
          </w:tcPr>
          <w:p>
            <w:pPr>
              <w:pStyle w:val="TableContents"/>
              <w:spacing w:before="0" w:after="0"/>
              <w:ind w:left="0" w:right="0" w:hanging="0"/>
              <w:rPr/>
            </w:pPr>
            <w:hyperlink w:anchor="Note13operatingSegments_152142">
              <w:r>
                <w:rPr>
                  <w:rStyle w:val="InternetLink"/>
                  <w:rFonts w:ascii="Times New Roman" w:hAnsi="Times New Roman"/>
                  <w:sz w:val="17"/>
                </w:rPr>
                <w:t>13. Operating Segments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9586" w:type="dxa"/>
            <w:tcBorders/>
            <w:shd w:fill="auto" w:val="clear"/>
          </w:tcPr>
          <w:p>
            <w:pPr>
              <w:pStyle w:val="TableContents"/>
              <w:spacing w:before="0" w:after="0"/>
              <w:ind w:left="0" w:right="0" w:hanging="0"/>
              <w:rPr/>
            </w:pPr>
            <w:hyperlink w:anchor="Note14relatedPartyTransactions_152545">
              <w:r>
                <w:rPr>
                  <w:rStyle w:val="InternetLink"/>
                  <w:rFonts w:ascii="Times New Roman" w:hAnsi="Times New Roman"/>
                  <w:sz w:val="17"/>
                </w:rPr>
                <w:t>14. Related Party Transactions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9586" w:type="dxa"/>
            <w:tcBorders/>
            <w:shd w:fill="auto" w:val="clear"/>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Item2_managementsDiscussionAndAna_160045">
              <w:r>
                <w:rPr>
                  <w:rStyle w:val="InternetLink"/>
                  <w:rFonts w:ascii="Times New Roman" w:hAnsi="Times New Roman"/>
                  <w:sz w:val="17"/>
                </w:rPr>
                <w:t>Item 2. MANAGEMENTS DISCUSSION AND ANALYSIS OF FINANCIAL CONDITION AND RESULTS OF OPERATIONS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9586" w:type="dxa"/>
            <w:tcBorders/>
            <w:shd w:fill="auto" w:val="clear"/>
          </w:tcPr>
          <w:p>
            <w:pPr>
              <w:pStyle w:val="TableContents"/>
              <w:spacing w:before="0" w:after="0"/>
              <w:ind w:left="0" w:right="0" w:hanging="0"/>
              <w:rPr/>
            </w:pPr>
            <w:hyperlink w:anchor="Item3_QuantitativeAndQualitativeD_173203">
              <w:r>
                <w:rPr>
                  <w:rStyle w:val="InternetLink"/>
                  <w:rFonts w:ascii="Times New Roman" w:hAnsi="Times New Roman"/>
                  <w:sz w:val="17"/>
                </w:rPr>
                <w:t>Item 3. QUANTITATIVE AND QUALITATIVE DISCLOSURES ABOUT MARKET RISK</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9586" w:type="dxa"/>
            <w:tcBorders/>
            <w:shd w:fill="auto" w:val="clear"/>
          </w:tcPr>
          <w:p>
            <w:pPr>
              <w:pStyle w:val="TableContents"/>
              <w:spacing w:before="0" w:after="0"/>
              <w:ind w:left="0" w:right="0" w:hanging="0"/>
              <w:rPr/>
            </w:pPr>
            <w:hyperlink w:anchor="Item4_ControlsAndProcedures_163336">
              <w:r>
                <w:rPr>
                  <w:rStyle w:val="InternetLink"/>
                  <w:rFonts w:ascii="Times New Roman" w:hAnsi="Times New Roman"/>
                  <w:sz w:val="17"/>
                </w:rPr>
                <w:t>Item 4. CONTROLS AND PROCEDURES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9586" w:type="dxa"/>
            <w:tcBorders/>
            <w:shd w:fill="auto" w:val="clear"/>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Partii_OtherInformation_163345">
              <w:r>
                <w:rPr>
                  <w:rStyle w:val="InternetLink"/>
                  <w:rFonts w:ascii="Times New Roman" w:hAnsi="Times New Roman"/>
                  <w:b/>
                  <w:sz w:val="17"/>
                </w:rPr>
                <w:t>PART II. OTHER INFORMATION</w:t>
              </w:r>
            </w:hyperlink>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Item1_LegalProceedings_163348">
              <w:r>
                <w:rPr>
                  <w:rStyle w:val="InternetLink"/>
                  <w:rFonts w:ascii="Times New Roman" w:hAnsi="Times New Roman"/>
                  <w:sz w:val="17"/>
                </w:rPr>
                <w:t>Item 1. LEGAL PROCEEDINGS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586" w:type="dxa"/>
            <w:tcBorders/>
            <w:shd w:fill="auto" w:val="clear"/>
          </w:tcPr>
          <w:p>
            <w:pPr>
              <w:pStyle w:val="TableContents"/>
              <w:spacing w:before="0" w:after="0"/>
              <w:ind w:left="0" w:right="0" w:hanging="0"/>
              <w:rPr/>
            </w:pPr>
            <w:hyperlink w:anchor="Item1a_RiskFactors_163349">
              <w:r>
                <w:rPr>
                  <w:rStyle w:val="InternetLink"/>
                  <w:rFonts w:ascii="Times New Roman" w:hAnsi="Times New Roman"/>
                  <w:sz w:val="17"/>
                </w:rPr>
                <w:t>Item 1A. RISK FACTORS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586" w:type="dxa"/>
            <w:tcBorders/>
            <w:shd w:fill="auto" w:val="clear"/>
          </w:tcPr>
          <w:p>
            <w:pPr>
              <w:pStyle w:val="TableContents"/>
              <w:spacing w:before="0" w:after="0"/>
              <w:ind w:left="0" w:right="0" w:hanging="0"/>
              <w:rPr/>
            </w:pPr>
            <w:hyperlink w:anchor="Item2_UnregisteredSalesOfEquitySe_163349">
              <w:r>
                <w:rPr>
                  <w:rStyle w:val="InternetLink"/>
                  <w:rFonts w:ascii="Times New Roman" w:hAnsi="Times New Roman"/>
                  <w:sz w:val="17"/>
                </w:rPr>
                <w:t>Item 2. UNREGISTERED SALES OF EQUITY SECURITIES AND USE OF PROCEEDS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586" w:type="dxa"/>
            <w:tcBorders/>
            <w:shd w:fill="auto" w:val="clear"/>
          </w:tcPr>
          <w:p>
            <w:pPr>
              <w:pStyle w:val="TableContents"/>
              <w:spacing w:before="0" w:after="0"/>
              <w:ind w:left="0" w:right="0" w:hanging="0"/>
              <w:rPr/>
            </w:pPr>
            <w:hyperlink w:anchor="Item3_DefaultsUponSeniorSecuritie_163350">
              <w:r>
                <w:rPr>
                  <w:rStyle w:val="InternetLink"/>
                  <w:rFonts w:ascii="Times New Roman" w:hAnsi="Times New Roman"/>
                  <w:sz w:val="17"/>
                </w:rPr>
                <w:t>Item 3. DEFAULTS UPON SENIOR SECURITIES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586" w:type="dxa"/>
            <w:tcBorders/>
            <w:shd w:fill="auto" w:val="clear"/>
          </w:tcPr>
          <w:p>
            <w:pPr>
              <w:pStyle w:val="TableContents"/>
              <w:spacing w:before="0" w:after="0"/>
              <w:ind w:left="0" w:right="0" w:hanging="0"/>
              <w:rPr/>
            </w:pPr>
            <w:hyperlink w:anchor="Item4_MineSafetyDisclosures_163351">
              <w:r>
                <w:rPr>
                  <w:rStyle w:val="InternetLink"/>
                  <w:rFonts w:ascii="Times New Roman" w:hAnsi="Times New Roman"/>
                  <w:sz w:val="17"/>
                </w:rPr>
                <w:t>Item 4. MINE SAFETY DISCLOSURES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586" w:type="dxa"/>
            <w:tcBorders/>
            <w:shd w:fill="auto" w:val="clear"/>
          </w:tcPr>
          <w:p>
            <w:pPr>
              <w:pStyle w:val="TableContents"/>
              <w:spacing w:before="0" w:after="0"/>
              <w:ind w:left="0" w:right="0" w:hanging="0"/>
              <w:rPr/>
            </w:pPr>
            <w:hyperlink w:anchor="Item5_OtherInformation_163352">
              <w:r>
                <w:rPr>
                  <w:rStyle w:val="InternetLink"/>
                  <w:rFonts w:ascii="Times New Roman" w:hAnsi="Times New Roman"/>
                  <w:sz w:val="17"/>
                </w:rPr>
                <w:t>Item 5. OTHER INFORMATION</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586" w:type="dxa"/>
            <w:tcBorders/>
            <w:shd w:fill="auto" w:val="clear"/>
          </w:tcPr>
          <w:p>
            <w:pPr>
              <w:pStyle w:val="TableContents"/>
              <w:spacing w:before="0" w:after="0"/>
              <w:ind w:left="0" w:right="0" w:hanging="0"/>
              <w:rPr/>
            </w:pPr>
            <w:hyperlink w:anchor="Item6_Exhibits_163352">
              <w:r>
                <w:rPr>
                  <w:rStyle w:val="InternetLink"/>
                  <w:rFonts w:ascii="Times New Roman" w:hAnsi="Times New Roman"/>
                  <w:sz w:val="17"/>
                </w:rPr>
                <w:t>Item 6. EXHIBITS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586" w:type="dxa"/>
            <w:tcBorders/>
            <w:shd w:fill="auto" w:val="clear"/>
          </w:tcPr>
          <w:p>
            <w:pPr>
              <w:pStyle w:val="TableContents"/>
              <w:spacing w:before="0" w:after="0"/>
              <w:ind w:left="0" w:right="0" w:hanging="0"/>
              <w:rPr/>
            </w:pPr>
            <w:hyperlink w:anchor="Signatures_163719">
              <w:r>
                <w:rPr>
                  <w:rStyle w:val="InternetLink"/>
                  <w:rFonts w:ascii="Times New Roman" w:hAnsi="Times New Roman"/>
                  <w:sz w:val="17"/>
                </w:rPr>
                <w:t>SIGNATURES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33925_705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FINANCIAL INFORMATION</w:t>
      </w:r>
      <w:bookmarkStart w:id="4" w:name="Parti_FinancialInformation_134030"/>
      <w:bookmarkEnd w:id="4"/>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CONDENSED CONSOLIDATED FINANCIAL STATEMENTS</w:t>
      </w:r>
      <w:bookmarkStart w:id="5" w:name="Item1_CondensedConsolidatedFinanc_134031"/>
      <w:bookmarkEnd w:id="5"/>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bookmarkStart w:id="6" w:name="CondensedConsolidatedBalanceSheet_134032"/>
      <w:bookmarkEnd w:id="6"/>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129"/>
        <w:gridCol w:w="209"/>
        <w:gridCol w:w="128"/>
        <w:gridCol w:w="1114"/>
        <w:gridCol w:w="215"/>
        <w:gridCol w:w="136"/>
        <w:gridCol w:w="1150"/>
        <w:gridCol w:w="124"/>
      </w:tblGrid>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5" w:type="dxa"/>
            <w:tcBorders/>
            <w:shd w:fill="auto" w:val="clear"/>
            <w:vAlign w:val="bottom"/>
          </w:tcPr>
          <w:p>
            <w:pPr>
              <w:pStyle w:val="TableContents"/>
              <w:spacing w:before="0" w:after="0"/>
              <w:ind w:left="0" w:right="0" w:hanging="0"/>
              <w:jc w:val="center"/>
              <w:rPr/>
            </w:pPr>
            <w:r>
              <w:rPr/>
              <w:t> </w:t>
            </w:r>
          </w:p>
        </w:tc>
        <w:tc>
          <w:tcPr>
            <w:tcW w:w="128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4" w:type="dxa"/>
            <w:tcBorders/>
            <w:shd w:fill="auto" w:val="clear"/>
            <w:vAlign w:val="bottom"/>
          </w:tcPr>
          <w:p>
            <w:pPr>
              <w:pStyle w:val="TableContents"/>
              <w:spacing w:before="0" w:after="0"/>
              <w:ind w:left="0" w:right="0" w:hanging="0"/>
              <w:jc w:val="center"/>
              <w:rPr/>
            </w:pPr>
            <w:r>
              <w:rPr/>
              <w:t> </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5" w:type="dxa"/>
            <w:tcBorders/>
            <w:shd w:fill="auto" w:val="clear"/>
            <w:vAlign w:val="bottom"/>
          </w:tcPr>
          <w:p>
            <w:pPr>
              <w:pStyle w:val="TableContents"/>
              <w:spacing w:before="0" w:after="0"/>
              <w:ind w:left="0" w:right="0" w:hanging="0"/>
              <w:jc w:val="center"/>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4" w:type="dxa"/>
            <w:tcBorders/>
            <w:shd w:fill="auto" w:val="clear"/>
            <w:vAlign w:val="bottom"/>
          </w:tcPr>
          <w:p>
            <w:pPr>
              <w:pStyle w:val="TableContents"/>
              <w:spacing w:before="0" w:after="0"/>
              <w:ind w:left="0" w:right="0" w:hanging="0"/>
              <w:jc w:val="center"/>
              <w:rPr/>
            </w:pPr>
            <w:r>
              <w:rPr/>
              <w:t> </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4" w:type="dxa"/>
            <w:tcBorders/>
            <w:shd w:fill="auto" w:val="clear"/>
            <w:vAlign w:val="bottom"/>
          </w:tcPr>
          <w:p>
            <w:pPr>
              <w:pStyle w:val="TableContents"/>
              <w:spacing w:before="0" w:after="0"/>
              <w:ind w:left="0" w:right="0" w:hanging="0"/>
              <w:jc w:val="center"/>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9"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5"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Trade accounts receivable and other receivables, net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3,503</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3,563</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892</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5,147</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11,762</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11,142</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(1,499</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10,181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9,643</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2,503</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9" w:type="dxa"/>
            <w:tcBorders/>
            <w:shd w:fill="auto" w:val="clear"/>
            <w:vAlign w:val="bottom"/>
          </w:tcPr>
          <w:p>
            <w:pPr>
              <w:pStyle w:val="TableContents"/>
              <w:spacing w:before="0" w:after="0"/>
              <w:ind w:left="0" w:right="0" w:hanging="0"/>
              <w:rPr/>
            </w:pPr>
            <w:r>
              <w:rPr/>
              <w:t> </w:t>
            </w:r>
          </w:p>
        </w:tc>
        <w:tc>
          <w:tcPr>
            <w:tcW w:w="1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19,424</w:t>
            </w:r>
          </w:p>
        </w:tc>
        <w:tc>
          <w:tcPr>
            <w:tcW w:w="215"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9"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3,734</w:t>
            </w:r>
          </w:p>
        </w:tc>
        <w:tc>
          <w:tcPr>
            <w:tcW w:w="215"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3,822</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Short-term debt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902</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4,924</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5,183</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$14 and $15, respectively</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6,011</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6,871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6,906</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12)</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unitholders (341,691,037 and 335,283,874 units outstanding, respectively)</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6,828</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6,388</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7,098</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partners capital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7,629</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9" w:type="dxa"/>
            <w:tcBorders/>
            <w:shd w:fill="auto" w:val="clear"/>
            <w:vAlign w:val="bottom"/>
          </w:tcPr>
          <w:p>
            <w:pPr>
              <w:pStyle w:val="TableContents"/>
              <w:spacing w:before="0" w:after="0"/>
              <w:ind w:left="0" w:right="0" w:hanging="0"/>
              <w:rPr/>
            </w:pPr>
            <w:r>
              <w:rPr/>
              <w:t> </w:t>
            </w:r>
          </w:p>
        </w:tc>
        <w:tc>
          <w:tcPr>
            <w:tcW w:w="1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19,424</w:t>
            </w:r>
          </w:p>
        </w:tc>
        <w:tc>
          <w:tcPr>
            <w:tcW w:w="215"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2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 w:name="PB_3_134523_3020"/>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bookmarkStart w:id="8" w:name="CondensedConsolidatedStatementsOf_134257"/>
      <w:bookmarkEnd w:id="8"/>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377"/>
        <w:gridCol w:w="212"/>
        <w:gridCol w:w="119"/>
        <w:gridCol w:w="1089"/>
        <w:gridCol w:w="216"/>
        <w:gridCol w:w="119"/>
        <w:gridCol w:w="1090"/>
        <w:gridCol w:w="215"/>
        <w:gridCol w:w="118"/>
        <w:gridCol w:w="1098"/>
        <w:gridCol w:w="215"/>
        <w:gridCol w:w="118"/>
        <w:gridCol w:w="1098"/>
        <w:gridCol w:w="121"/>
      </w:tblGrid>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3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5" w:type="dxa"/>
            <w:tcBorders/>
            <w:shd w:fill="auto" w:val="clear"/>
            <w:vAlign w:val="bottom"/>
          </w:tcPr>
          <w:p>
            <w:pPr>
              <w:pStyle w:val="TableContents"/>
              <w:spacing w:before="0" w:after="0"/>
              <w:ind w:left="0" w:right="0" w:hanging="0"/>
              <w:jc w:val="center"/>
              <w:rPr/>
            </w:pPr>
            <w:r>
              <w:rPr/>
              <w:t> </w:t>
            </w:r>
          </w:p>
        </w:tc>
        <w:tc>
          <w:tcPr>
            <w:tcW w:w="26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1" w:type="dxa"/>
            <w:tcBorders/>
            <w:shd w:fill="auto" w:val="clear"/>
            <w:vAlign w:val="bottom"/>
          </w:tcPr>
          <w:p>
            <w:pPr>
              <w:pStyle w:val="TableContents"/>
              <w:spacing w:before="0" w:after="0"/>
              <w:ind w:left="0" w:right="0" w:hanging="0"/>
              <w:jc w:val="center"/>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3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5" w:type="dxa"/>
            <w:tcBorders/>
            <w:shd w:fill="auto" w:val="clear"/>
            <w:vAlign w:val="bottom"/>
          </w:tcPr>
          <w:p>
            <w:pPr>
              <w:pStyle w:val="TableContents"/>
              <w:spacing w:before="0" w:after="0"/>
              <w:ind w:left="0" w:right="0" w:hanging="0"/>
              <w:jc w:val="center"/>
              <w:rPr/>
            </w:pPr>
            <w:r>
              <w:rPr/>
              <w:t> </w:t>
            </w:r>
          </w:p>
        </w:tc>
        <w:tc>
          <w:tcPr>
            <w:tcW w:w="26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1" w:type="dxa"/>
            <w:tcBorders/>
            <w:shd w:fill="auto" w:val="clear"/>
            <w:vAlign w:val="bottom"/>
          </w:tcPr>
          <w:p>
            <w:pPr>
              <w:pStyle w:val="TableContents"/>
              <w:spacing w:before="0" w:after="0"/>
              <w:ind w:left="0" w:right="0" w:hanging="0"/>
              <w:jc w:val="center"/>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shd w:fill="auto" w:val="clear"/>
            <w:vAlign w:val="bottom"/>
          </w:tcPr>
          <w:p>
            <w:pPr>
              <w:pStyle w:val="TableContents"/>
              <w:spacing w:before="0" w:after="0"/>
              <w:ind w:left="0" w:right="0" w:hanging="0"/>
              <w:jc w:val="center"/>
              <w:rPr/>
            </w:pPr>
            <w:r>
              <w:rPr/>
              <w:t> </w:t>
            </w:r>
          </w:p>
        </w:tc>
        <w:tc>
          <w:tcPr>
            <w:tcW w:w="120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shd w:fill="auto" w:val="clear"/>
            <w:vAlign w:val="bottom"/>
          </w:tcPr>
          <w:p>
            <w:pPr>
              <w:pStyle w:val="TableContents"/>
              <w:spacing w:before="0" w:after="0"/>
              <w:ind w:left="0" w:right="0" w:hanging="0"/>
              <w:jc w:val="center"/>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5" w:type="dxa"/>
            <w:tcBorders/>
            <w:shd w:fill="auto" w:val="clear"/>
            <w:vAlign w:val="bottom"/>
          </w:tcPr>
          <w:p>
            <w:pPr>
              <w:pStyle w:val="TableContents"/>
              <w:spacing w:before="0" w:after="0"/>
              <w:ind w:left="0" w:right="0" w:hanging="0"/>
              <w:jc w:val="center"/>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1" w:type="dxa"/>
            <w:tcBorders/>
            <w:shd w:fill="auto" w:val="clear"/>
            <w:vAlign w:val="bottom"/>
          </w:tcPr>
          <w:p>
            <w:pPr>
              <w:pStyle w:val="TableContents"/>
              <w:spacing w:before="0" w:after="0"/>
              <w:ind w:left="0" w:right="0" w:hanging="0"/>
              <w:jc w:val="center"/>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3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5" w:type="dxa"/>
            <w:tcBorders/>
            <w:shd w:fill="auto" w:val="clear"/>
            <w:vAlign w:val="bottom"/>
          </w:tcPr>
          <w:p>
            <w:pPr>
              <w:pStyle w:val="TableContents"/>
              <w:spacing w:before="0" w:after="0"/>
              <w:ind w:left="0" w:right="0" w:hanging="0"/>
              <w:jc w:val="center"/>
              <w:rPr/>
            </w:pPr>
            <w:r>
              <w:rPr/>
              <w:t> </w:t>
            </w:r>
          </w:p>
        </w:tc>
        <w:tc>
          <w:tcPr>
            <w:tcW w:w="26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1" w:type="dxa"/>
            <w:tcBorders/>
            <w:shd w:fill="auto" w:val="clear"/>
            <w:vAlign w:val="bottom"/>
          </w:tcPr>
          <w:p>
            <w:pPr>
              <w:pStyle w:val="TableContents"/>
              <w:spacing w:before="0" w:after="0"/>
              <w:ind w:left="0" w:right="0" w:hanging="0"/>
              <w:jc w:val="center"/>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212"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9,933</w:t>
            </w:r>
          </w:p>
        </w:tc>
        <w:tc>
          <w:tcPr>
            <w:tcW w:w="216"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215"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20,157</w:t>
            </w:r>
          </w:p>
        </w:tc>
        <w:tc>
          <w:tcPr>
            <w:tcW w:w="215"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10,295</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9,786</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20,915</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19,004</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9,387</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8,830</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18,825</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17,332</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684</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9,912</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9,324</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19,878</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18,228</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1,037</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$10, $10, $19 and $18, respectively)</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907</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16"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21" w:type="dxa"/>
            <w:tcBorders/>
            <w:shd w:fill="CCEEFF" w:val="clear"/>
            <w:vAlign w:val="bottom"/>
          </w:tcPr>
          <w:p>
            <w:pPr>
              <w:pStyle w:val="TableContents"/>
              <w:spacing w:before="0" w:after="0"/>
              <w:ind w:left="0" w:right="0" w:hanging="0"/>
              <w:rPr/>
            </w:pPr>
            <w:r>
              <w:rPr/>
              <w:t> </w:t>
            </w:r>
          </w:p>
        </w:tc>
      </w:tr>
      <w:tr>
        <w:trPr/>
        <w:tc>
          <w:tcPr>
            <w:tcW w:w="437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16"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37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20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6" w:type="dxa"/>
            <w:tcBorders/>
            <w:shd w:fill="CCEEFF" w:val="clear"/>
            <w:vAlign w:val="bottom"/>
          </w:tcPr>
          <w:p>
            <w:pPr>
              <w:pStyle w:val="TableContents"/>
              <w:spacing w:before="0" w:after="0"/>
              <w:ind w:left="0" w:right="0" w:hanging="0"/>
              <w:rPr/>
            </w:pPr>
            <w:r>
              <w:rPr/>
              <w:t> </w:t>
            </w:r>
          </w:p>
        </w:tc>
        <w:tc>
          <w:tcPr>
            <w:tcW w:w="12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15" w:type="dxa"/>
            <w:tcBorders/>
            <w:shd w:fill="CCEEFF" w:val="clear"/>
            <w:vAlign w:val="bottom"/>
          </w:tcPr>
          <w:p>
            <w:pPr>
              <w:pStyle w:val="TableContents"/>
              <w:spacing w:before="0" w:after="0"/>
              <w:ind w:left="0" w:right="0" w:hanging="0"/>
              <w:rPr/>
            </w:pPr>
            <w:r>
              <w:rPr/>
              <w:t> </w:t>
            </w:r>
          </w:p>
        </w:tc>
        <w:tc>
          <w:tcPr>
            <w:tcW w:w="121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134531_7748"/>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w:t>
      </w:r>
      <w:bookmarkStart w:id="10" w:name="OfComprehensiveIn_172932"/>
      <w:bookmarkEnd w:id="10"/>
      <w:r>
        <w:rPr>
          <w:rFonts w:ascii="Times New Roman" w:hAnsi="Times New Roman"/>
          <w:b/>
          <w:sz w:val="17"/>
        </w:rPr>
        <w:t>COME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239"/>
        <w:gridCol w:w="209"/>
        <w:gridCol w:w="157"/>
        <w:gridCol w:w="1094"/>
        <w:gridCol w:w="231"/>
        <w:gridCol w:w="157"/>
        <w:gridCol w:w="1095"/>
        <w:gridCol w:w="217"/>
        <w:gridCol w:w="149"/>
        <w:gridCol w:w="1073"/>
        <w:gridCol w:w="226"/>
        <w:gridCol w:w="149"/>
        <w:gridCol w:w="1073"/>
        <w:gridCol w:w="136"/>
      </w:tblGrid>
      <w:tr>
        <w:trPr/>
        <w:tc>
          <w:tcPr>
            <w:tcW w:w="423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3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6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6" w:type="dxa"/>
            <w:tcBorders/>
            <w:shd w:fill="auto" w:val="clear"/>
            <w:vAlign w:val="bottom"/>
          </w:tcPr>
          <w:p>
            <w:pPr>
              <w:pStyle w:val="TableContents"/>
              <w:spacing w:before="0" w:after="0"/>
              <w:ind w:left="0" w:right="0" w:hanging="0"/>
              <w:jc w:val="center"/>
              <w:rPr/>
            </w:pPr>
            <w:r>
              <w:rPr/>
              <w:t> </w:t>
            </w:r>
          </w:p>
        </w:tc>
      </w:tr>
      <w:tr>
        <w:trPr/>
        <w:tc>
          <w:tcPr>
            <w:tcW w:w="423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3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7" w:type="dxa"/>
            <w:tcBorders/>
            <w:shd w:fill="auto" w:val="clear"/>
            <w:vAlign w:val="bottom"/>
          </w:tcPr>
          <w:p>
            <w:pPr>
              <w:pStyle w:val="TableContents"/>
              <w:spacing w:before="0" w:after="0"/>
              <w:ind w:left="0" w:right="0" w:hanging="0"/>
              <w:jc w:val="center"/>
              <w:rPr/>
            </w:pPr>
            <w:r>
              <w:rPr/>
              <w:t> </w:t>
            </w:r>
          </w:p>
        </w:tc>
        <w:tc>
          <w:tcPr>
            <w:tcW w:w="26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36" w:type="dxa"/>
            <w:tcBorders/>
            <w:shd w:fill="auto" w:val="clear"/>
            <w:vAlign w:val="bottom"/>
          </w:tcPr>
          <w:p>
            <w:pPr>
              <w:pStyle w:val="TableContents"/>
              <w:spacing w:before="0" w:after="0"/>
              <w:ind w:left="0" w:right="0" w:hanging="0"/>
              <w:jc w:val="center"/>
              <w:rPr/>
            </w:pPr>
            <w:r>
              <w:rPr/>
              <w:t> </w:t>
            </w:r>
          </w:p>
        </w:tc>
      </w:tr>
      <w:tr>
        <w:trPr/>
        <w:tc>
          <w:tcPr>
            <w:tcW w:w="423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1" w:type="dxa"/>
            <w:tcBorders/>
            <w:shd w:fill="auto" w:val="clear"/>
            <w:vAlign w:val="bottom"/>
          </w:tcPr>
          <w:p>
            <w:pPr>
              <w:pStyle w:val="TableContents"/>
              <w:spacing w:before="0" w:after="0"/>
              <w:ind w:left="0" w:right="0" w:hanging="0"/>
              <w:jc w:val="center"/>
              <w:rPr/>
            </w:pPr>
            <w:r>
              <w:rPr/>
              <w:t> </w:t>
            </w:r>
          </w:p>
        </w:tc>
        <w:tc>
          <w:tcPr>
            <w:tcW w:w="12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6" w:type="dxa"/>
            <w:tcBorders/>
            <w:shd w:fill="auto" w:val="clear"/>
            <w:vAlign w:val="bottom"/>
          </w:tcPr>
          <w:p>
            <w:pPr>
              <w:pStyle w:val="TableContents"/>
              <w:spacing w:before="0" w:after="0"/>
              <w:ind w:left="0" w:right="0" w:hanging="0"/>
              <w:jc w:val="center"/>
              <w:rPr/>
            </w:pPr>
            <w:r>
              <w:rPr/>
              <w:t> </w:t>
            </w:r>
          </w:p>
        </w:tc>
        <w:tc>
          <w:tcPr>
            <w:tcW w:w="122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6" w:type="dxa"/>
            <w:tcBorders/>
            <w:shd w:fill="auto" w:val="clear"/>
            <w:vAlign w:val="bottom"/>
          </w:tcPr>
          <w:p>
            <w:pPr>
              <w:pStyle w:val="TableContents"/>
              <w:spacing w:before="0" w:after="0"/>
              <w:ind w:left="0" w:right="0" w:hanging="0"/>
              <w:jc w:val="center"/>
              <w:rPr/>
            </w:pPr>
            <w:r>
              <w:rPr/>
              <w:t> </w:t>
            </w:r>
          </w:p>
        </w:tc>
      </w:tr>
      <w:tr>
        <w:trPr/>
        <w:tc>
          <w:tcPr>
            <w:tcW w:w="423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3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7" w:type="dxa"/>
            <w:tcBorders/>
            <w:shd w:fill="auto" w:val="clear"/>
            <w:vAlign w:val="bottom"/>
          </w:tcPr>
          <w:p>
            <w:pPr>
              <w:pStyle w:val="TableContents"/>
              <w:spacing w:before="0" w:after="0"/>
              <w:ind w:left="0" w:right="0" w:hanging="0"/>
              <w:jc w:val="center"/>
              <w:rPr/>
            </w:pPr>
            <w:r>
              <w:rPr/>
              <w:t> </w:t>
            </w:r>
          </w:p>
        </w:tc>
        <w:tc>
          <w:tcPr>
            <w:tcW w:w="26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6" w:type="dxa"/>
            <w:tcBorders/>
            <w:shd w:fill="auto" w:val="clear"/>
            <w:vAlign w:val="bottom"/>
          </w:tcPr>
          <w:p>
            <w:pPr>
              <w:pStyle w:val="TableContents"/>
              <w:spacing w:before="0" w:after="0"/>
              <w:ind w:left="0" w:right="0" w:hanging="0"/>
              <w:jc w:val="center"/>
              <w:rPr/>
            </w:pPr>
            <w:r>
              <w:rPr/>
              <w:t> </w:t>
            </w:r>
          </w:p>
        </w:tc>
      </w:tr>
      <w:tr>
        <w:trPr/>
        <w:tc>
          <w:tcPr>
            <w:tcW w:w="4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09"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31"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17"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226"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136" w:type="dxa"/>
            <w:tcBorders/>
            <w:shd w:fill="CCEEFF" w:val="clear"/>
            <w:vAlign w:val="bottom"/>
          </w:tcPr>
          <w:p>
            <w:pPr>
              <w:pStyle w:val="TableContents"/>
              <w:spacing w:before="0" w:after="0"/>
              <w:ind w:left="0" w:right="0" w:hanging="0"/>
              <w:rPr/>
            </w:pPr>
            <w:r>
              <w:rPr/>
              <w:t> </w:t>
            </w:r>
          </w:p>
        </w:tc>
      </w:tr>
      <w:tr>
        <w:trPr/>
        <w:tc>
          <w:tcPr>
            <w:tcW w:w="4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209" w:type="dxa"/>
            <w:tcBorders/>
            <w:shd w:fill="auto" w:val="clear"/>
            <w:vAlign w:val="bottom"/>
          </w:tcPr>
          <w:p>
            <w:pPr>
              <w:pStyle w:val="TableContents"/>
              <w:spacing w:before="0" w:after="0"/>
              <w:ind w:left="0" w:right="0" w:hanging="0"/>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09" w:type="dxa"/>
            <w:tcBorders/>
            <w:shd w:fill="CCEEFF" w:val="clear"/>
            <w:vAlign w:val="bottom"/>
          </w:tcPr>
          <w:p>
            <w:pPr>
              <w:pStyle w:val="TableContents"/>
              <w:spacing w:before="0" w:after="0"/>
              <w:ind w:left="0" w:right="0" w:hanging="0"/>
              <w:rPr/>
            </w:pPr>
            <w:r>
              <w:rPr/>
              <w:t> </w:t>
            </w:r>
          </w:p>
        </w:tc>
        <w:tc>
          <w:tcPr>
            <w:tcW w:w="12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31" w:type="dxa"/>
            <w:tcBorders/>
            <w:shd w:fill="CCEEFF" w:val="clear"/>
            <w:vAlign w:val="bottom"/>
          </w:tcPr>
          <w:p>
            <w:pPr>
              <w:pStyle w:val="TableContents"/>
              <w:spacing w:before="0" w:after="0"/>
              <w:ind w:left="0" w:right="0" w:hanging="0"/>
              <w:rPr/>
            </w:pPr>
            <w:r>
              <w:rPr/>
              <w:t> </w:t>
            </w:r>
          </w:p>
        </w:tc>
        <w:tc>
          <w:tcPr>
            <w:tcW w:w="12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7"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226" w:type="dxa"/>
            <w:tcBorders/>
            <w:shd w:fill="CCEEFF" w:val="clear"/>
            <w:vAlign w:val="bottom"/>
          </w:tcPr>
          <w:p>
            <w:pPr>
              <w:pStyle w:val="TableContents"/>
              <w:spacing w:before="0" w:after="0"/>
              <w:ind w:left="0" w:right="0" w:hanging="0"/>
              <w:rPr/>
            </w:pPr>
            <w:r>
              <w:rPr/>
              <w:t> </w:t>
            </w:r>
          </w:p>
        </w:tc>
        <w:tc>
          <w:tcPr>
            <w:tcW w:w="12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136" w:type="dxa"/>
            <w:tcBorders/>
            <w:shd w:fill="CCEEFF" w:val="clear"/>
            <w:vAlign w:val="bottom"/>
          </w:tcPr>
          <w:p>
            <w:pPr>
              <w:pStyle w:val="TableContents"/>
              <w:spacing w:before="0" w:after="0"/>
              <w:ind w:left="0" w:right="0" w:hanging="0"/>
              <w:rPr/>
            </w:pPr>
            <w:r>
              <w:rPr/>
              <w:t> </w:t>
            </w:r>
          </w:p>
        </w:tc>
      </w:tr>
      <w:tr>
        <w:trPr/>
        <w:tc>
          <w:tcPr>
            <w:tcW w:w="42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noncontrolling interests</w:t>
            </w:r>
          </w:p>
        </w:tc>
        <w:tc>
          <w:tcPr>
            <w:tcW w:w="209" w:type="dxa"/>
            <w:tcBorders/>
            <w:shd w:fill="auto" w:val="clear"/>
            <w:vAlign w:val="bottom"/>
          </w:tcPr>
          <w:p>
            <w:pPr>
              <w:pStyle w:val="TableContents"/>
              <w:spacing w:before="0" w:after="0"/>
              <w:ind w:left="0" w:right="0" w:hanging="0"/>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Plains</w:t>
            </w:r>
          </w:p>
        </w:tc>
        <w:tc>
          <w:tcPr>
            <w:tcW w:w="209"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31"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17"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226"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566</w:t>
            </w:r>
          </w:p>
        </w:tc>
        <w:tc>
          <w:tcPr>
            <w:tcW w:w="13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w:t>
      </w:r>
    </w:p>
    <w:p>
      <w:pPr>
        <w:pStyle w:val="TextBody"/>
        <w:spacing w:before="0" w:after="0"/>
        <w:ind w:left="0" w:right="0" w:hanging="0"/>
        <w:jc w:val="center"/>
        <w:rPr>
          <w:rFonts w:ascii="Times New Roman" w:hAnsi="Times New Roman"/>
          <w:b/>
          <w:sz w:val="17"/>
        </w:rPr>
      </w:pPr>
      <w:r>
        <w:rPr>
          <w:rFonts w:ascii="Times New Roman" w:hAnsi="Times New Roman"/>
          <w:b/>
          <w:sz w:val="17"/>
        </w:rPr>
        <w:t>CHANGES IN ACCUMULATED OTHER COMPREHENSIVE I</w:t>
      </w:r>
      <w:bookmarkStart w:id="11" w:name="MulatedOtherComprehensiveI_172939"/>
      <w:bookmarkEnd w:id="11"/>
      <w:r>
        <w:rPr>
          <w:rFonts w:ascii="Times New Roman" w:hAnsi="Times New Roman"/>
          <w:b/>
          <w:sz w:val="17"/>
        </w:rPr>
        <w:t>NCOME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431"/>
        <w:gridCol w:w="209"/>
        <w:gridCol w:w="192"/>
        <w:gridCol w:w="1207"/>
        <w:gridCol w:w="221"/>
        <w:gridCol w:w="210"/>
        <w:gridCol w:w="1197"/>
        <w:gridCol w:w="221"/>
        <w:gridCol w:w="152"/>
        <w:gridCol w:w="1025"/>
        <w:gridCol w:w="140"/>
      </w:tblGrid>
      <w:tr>
        <w:trPr/>
        <w:tc>
          <w:tcPr>
            <w:tcW w:w="543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9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21" w:type="dxa"/>
            <w:tcBorders/>
            <w:shd w:fill="auto" w:val="clear"/>
            <w:vAlign w:val="bottom"/>
          </w:tcPr>
          <w:p>
            <w:pPr>
              <w:pStyle w:val="TableContents"/>
              <w:spacing w:before="0" w:after="0"/>
              <w:ind w:left="0" w:right="0" w:hanging="0"/>
              <w:jc w:val="center"/>
              <w:rPr/>
            </w:pPr>
            <w:r>
              <w:rPr/>
              <w:t> </w:t>
            </w:r>
          </w:p>
        </w:tc>
        <w:tc>
          <w:tcPr>
            <w:tcW w:w="14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21" w:type="dxa"/>
            <w:tcBorders/>
            <w:shd w:fill="auto" w:val="clear"/>
            <w:vAlign w:val="bottom"/>
          </w:tcPr>
          <w:p>
            <w:pPr>
              <w:pStyle w:val="TableContents"/>
              <w:spacing w:before="0" w:after="0"/>
              <w:ind w:left="0" w:right="0" w:hanging="0"/>
              <w:jc w:val="center"/>
              <w:rPr/>
            </w:pPr>
            <w:r>
              <w:rPr/>
              <w:t> </w:t>
            </w:r>
          </w:p>
        </w:tc>
        <w:tc>
          <w:tcPr>
            <w:tcW w:w="1177" w:type="dxa"/>
            <w:gridSpan w:val="2"/>
            <w:tcBorders/>
            <w:shd w:fill="auto" w:val="clear"/>
            <w:vAlign w:val="bottom"/>
          </w:tcPr>
          <w:p>
            <w:pPr>
              <w:pStyle w:val="TableContents"/>
              <w:spacing w:before="0" w:after="0"/>
              <w:ind w:left="0" w:right="0" w:hanging="0"/>
              <w:jc w:val="center"/>
              <w:rPr/>
            </w:pPr>
            <w:r>
              <w:rPr/>
              <w:t> </w:t>
            </w:r>
          </w:p>
        </w:tc>
        <w:tc>
          <w:tcPr>
            <w:tcW w:w="140" w:type="dxa"/>
            <w:tcBorders/>
            <w:shd w:fill="auto" w:val="clear"/>
            <w:vAlign w:val="bottom"/>
          </w:tcPr>
          <w:p>
            <w:pPr>
              <w:pStyle w:val="TableContents"/>
              <w:spacing w:before="0" w:after="0"/>
              <w:ind w:left="0" w:right="0" w:hanging="0"/>
              <w:jc w:val="center"/>
              <w:rPr/>
            </w:pPr>
            <w:r>
              <w:rPr/>
              <w:t> </w:t>
            </w:r>
          </w:p>
        </w:tc>
      </w:tr>
      <w:tr>
        <w:trPr/>
        <w:tc>
          <w:tcPr>
            <w:tcW w:w="543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21" w:type="dxa"/>
            <w:tcBorders/>
            <w:shd w:fill="auto" w:val="clear"/>
            <w:vAlign w:val="bottom"/>
          </w:tcPr>
          <w:p>
            <w:pPr>
              <w:pStyle w:val="TableContents"/>
              <w:spacing w:before="0" w:after="0"/>
              <w:ind w:left="0" w:right="0" w:hanging="0"/>
              <w:jc w:val="center"/>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21" w:type="dxa"/>
            <w:tcBorders/>
            <w:shd w:fill="auto" w:val="clear"/>
            <w:vAlign w:val="bottom"/>
          </w:tcPr>
          <w:p>
            <w:pPr>
              <w:pStyle w:val="TableContents"/>
              <w:spacing w:before="0" w:after="0"/>
              <w:ind w:left="0" w:right="0" w:hanging="0"/>
              <w:jc w:val="center"/>
              <w:rPr/>
            </w:pPr>
            <w:r>
              <w:rPr/>
              <w:t> </w:t>
            </w:r>
          </w:p>
        </w:tc>
        <w:tc>
          <w:tcPr>
            <w:tcW w:w="11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0" w:type="dxa"/>
            <w:tcBorders/>
            <w:shd w:fill="auto" w:val="clear"/>
            <w:vAlign w:val="bottom"/>
          </w:tcPr>
          <w:p>
            <w:pPr>
              <w:pStyle w:val="TableContents"/>
              <w:spacing w:before="0" w:after="0"/>
              <w:ind w:left="0" w:right="0" w:hanging="0"/>
              <w:jc w:val="center"/>
              <w:rPr/>
            </w:pPr>
            <w:r>
              <w:rPr/>
              <w:t> </w:t>
            </w:r>
          </w:p>
        </w:tc>
      </w:tr>
      <w:tr>
        <w:trPr/>
        <w:tc>
          <w:tcPr>
            <w:tcW w:w="543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4425"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40" w:type="dxa"/>
            <w:tcBorders/>
            <w:shd w:fill="auto" w:val="clear"/>
            <w:vAlign w:val="bottom"/>
          </w:tcPr>
          <w:p>
            <w:pPr>
              <w:pStyle w:val="TableContents"/>
              <w:spacing w:before="0" w:after="0"/>
              <w:ind w:left="0" w:right="0" w:hanging="0"/>
              <w:jc w:val="center"/>
              <w:rPr/>
            </w:pPr>
            <w:r>
              <w:rPr/>
              <w:t> </w:t>
            </w:r>
          </w:p>
        </w:tc>
      </w:tr>
      <w:tr>
        <w:trPr/>
        <w:tc>
          <w:tcPr>
            <w:tcW w:w="5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209" w:type="dxa"/>
            <w:tcBorders/>
            <w:shd w:fill="CCEEFF" w:val="clear"/>
            <w:vAlign w:val="bottom"/>
          </w:tcPr>
          <w:p>
            <w:pPr>
              <w:pStyle w:val="TableContents"/>
              <w:spacing w:before="0" w:after="0"/>
              <w:ind w:left="0" w:right="0" w:hanging="0"/>
              <w:rPr/>
            </w:pPr>
            <w:r>
              <w:rPr/>
              <w:t> </w:t>
            </w:r>
          </w:p>
        </w:tc>
        <w:tc>
          <w:tcPr>
            <w:tcW w:w="19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1"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40" w:type="dxa"/>
            <w:tcBorders/>
            <w:shd w:fill="CCEEFF" w:val="clear"/>
            <w:vAlign w:val="bottom"/>
          </w:tcPr>
          <w:p>
            <w:pPr>
              <w:pStyle w:val="TableContents"/>
              <w:spacing w:before="0" w:after="0"/>
              <w:ind w:left="0" w:right="0" w:hanging="0"/>
              <w:rPr/>
            </w:pPr>
            <w:r>
              <w:rPr/>
              <w:t> </w:t>
            </w:r>
          </w:p>
        </w:tc>
      </w:tr>
      <w:tr>
        <w:trPr/>
        <w:tc>
          <w:tcPr>
            <w:tcW w:w="5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9" w:type="dxa"/>
            <w:tcBorders/>
            <w:shd w:fill="auto" w:val="clear"/>
            <w:vAlign w:val="bottom"/>
          </w:tcPr>
          <w:p>
            <w:pPr>
              <w:pStyle w:val="TableContents"/>
              <w:spacing w:before="0" w:after="0"/>
              <w:ind w:left="0" w:right="0" w:hanging="0"/>
              <w:rPr/>
            </w:pPr>
            <w:r>
              <w:rPr/>
              <w:t> </w:t>
            </w:r>
          </w:p>
        </w:tc>
        <w:tc>
          <w:tcPr>
            <w:tcW w:w="13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1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Deferred gain on cash flow hedges, net of tax </w:t>
            </w:r>
          </w:p>
        </w:tc>
        <w:tc>
          <w:tcPr>
            <w:tcW w:w="209" w:type="dxa"/>
            <w:tcBorders/>
            <w:shd w:fill="CCEEFF" w:val="clear"/>
            <w:vAlign w:val="bottom"/>
          </w:tcPr>
          <w:p>
            <w:pPr>
              <w:pStyle w:val="TableContents"/>
              <w:spacing w:before="0" w:after="0"/>
              <w:ind w:left="0" w:right="0" w:hanging="0"/>
              <w:rPr/>
            </w:pPr>
            <w:r>
              <w:rPr/>
              <w:t> </w:t>
            </w:r>
          </w:p>
        </w:tc>
        <w:tc>
          <w:tcPr>
            <w:tcW w:w="13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1"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1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40" w:type="dxa"/>
            <w:tcBorders/>
            <w:shd w:fill="CCEEFF" w:val="clear"/>
            <w:vAlign w:val="bottom"/>
          </w:tcPr>
          <w:p>
            <w:pPr>
              <w:pStyle w:val="TableContents"/>
              <w:spacing w:before="0" w:after="0"/>
              <w:ind w:left="0" w:right="0" w:hanging="0"/>
              <w:rPr/>
            </w:pPr>
            <w:r>
              <w:rPr/>
              <w:t> </w:t>
            </w:r>
          </w:p>
        </w:tc>
      </w:tr>
      <w:tr>
        <w:trPr/>
        <w:tc>
          <w:tcPr>
            <w:tcW w:w="5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adjustments</w:t>
            </w:r>
          </w:p>
        </w:tc>
        <w:tc>
          <w:tcPr>
            <w:tcW w:w="209" w:type="dxa"/>
            <w:tcBorders/>
            <w:shd w:fill="auto" w:val="clear"/>
            <w:vAlign w:val="bottom"/>
          </w:tcPr>
          <w:p>
            <w:pPr>
              <w:pStyle w:val="TableContents"/>
              <w:spacing w:before="0" w:after="0"/>
              <w:ind w:left="0" w:right="0" w:hanging="0"/>
              <w:rPr/>
            </w:pPr>
            <w:r>
              <w:rPr/>
              <w:t> </w:t>
            </w:r>
          </w:p>
        </w:tc>
        <w:tc>
          <w:tcPr>
            <w:tcW w:w="13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209" w:type="dxa"/>
            <w:tcBorders/>
            <w:shd w:fill="CCEEFF" w:val="clear"/>
            <w:vAlign w:val="bottom"/>
          </w:tcPr>
          <w:p>
            <w:pPr>
              <w:pStyle w:val="TableContents"/>
              <w:spacing w:before="0" w:after="0"/>
              <w:ind w:left="0" w:right="0" w:hanging="0"/>
              <w:rPr/>
            </w:pPr>
            <w:r>
              <w:rPr/>
              <w:t> </w:t>
            </w:r>
          </w:p>
        </w:tc>
        <w:tc>
          <w:tcPr>
            <w:tcW w:w="13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21" w:type="dxa"/>
            <w:tcBorders/>
            <w:shd w:fill="CCEEFF" w:val="clear"/>
            <w:vAlign w:val="bottom"/>
          </w:tcPr>
          <w:p>
            <w:pPr>
              <w:pStyle w:val="TableContents"/>
              <w:spacing w:before="0" w:after="0"/>
              <w:ind w:left="0" w:right="0" w:hanging="0"/>
              <w:rPr/>
            </w:pPr>
            <w:r>
              <w:rPr/>
              <w:t> </w:t>
            </w:r>
          </w:p>
        </w:tc>
        <w:tc>
          <w:tcPr>
            <w:tcW w:w="14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June 30, 2013</w:t>
            </w:r>
          </w:p>
        </w:tc>
        <w:tc>
          <w:tcPr>
            <w:tcW w:w="209" w:type="dxa"/>
            <w:tcBorders/>
            <w:shd w:fill="auto" w:val="clear"/>
            <w:vAlign w:val="bottom"/>
          </w:tcPr>
          <w:p>
            <w:pPr>
              <w:pStyle w:val="TableContents"/>
              <w:spacing w:before="0" w:after="0"/>
              <w:ind w:left="0" w:right="0" w:hanging="0"/>
              <w:rPr/>
            </w:pPr>
            <w:r>
              <w:rPr/>
              <w:t> </w:t>
            </w:r>
          </w:p>
        </w:tc>
        <w:tc>
          <w:tcPr>
            <w:tcW w:w="19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1"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2" w:name="PB_5_134534_141"/>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w:t>
      </w:r>
      <w:bookmarkStart w:id="13" w:name="CondensedConsolidatedStatementsOf_134659"/>
      <w:bookmarkEnd w:id="13"/>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197"/>
        <w:gridCol w:w="213"/>
        <w:gridCol w:w="137"/>
        <w:gridCol w:w="1086"/>
        <w:gridCol w:w="225"/>
        <w:gridCol w:w="137"/>
        <w:gridCol w:w="1087"/>
        <w:gridCol w:w="123"/>
      </w:tblGrid>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7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7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3" w:type="dxa"/>
            <w:tcBorders/>
            <w:shd w:fill="auto" w:val="clear"/>
            <w:vAlign w:val="bottom"/>
          </w:tcPr>
          <w:p>
            <w:pPr>
              <w:pStyle w:val="TableContents"/>
              <w:spacing w:before="0" w:after="0"/>
              <w:ind w:left="0" w:right="0" w:hanging="0"/>
              <w:jc w:val="center"/>
              <w:rPr/>
            </w:pPr>
            <w:r>
              <w:rPr/>
              <w:t> </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3" w:type="dxa"/>
            <w:tcBorders/>
            <w:shd w:fill="auto" w:val="clear"/>
            <w:vAlign w:val="bottom"/>
          </w:tcPr>
          <w:p>
            <w:pPr>
              <w:pStyle w:val="TableContents"/>
              <w:spacing w:before="0" w:after="0"/>
              <w:ind w:left="0" w:right="0" w:hanging="0"/>
              <w:jc w:val="center"/>
              <w:rPr/>
            </w:pPr>
            <w:r>
              <w:rPr/>
              <w:t> </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7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3" w:type="dxa"/>
            <w:tcBorders/>
            <w:shd w:fill="auto" w:val="clear"/>
            <w:vAlign w:val="bottom"/>
          </w:tcPr>
          <w:p>
            <w:pPr>
              <w:pStyle w:val="TableContents"/>
              <w:spacing w:before="0" w:after="0"/>
              <w:ind w:left="0" w:right="0" w:hanging="0"/>
              <w:jc w:val="center"/>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3"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225"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valuation adjustments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sales of linefill and base gas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paid for terminated interest rate and foreign currency hedging instruments</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1,337</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(1,534</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sales of linefill and base gas</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purchases of linefill and base gas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investing activities</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(2,038</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revolving credit facility (Note 7)</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hedged inventory facility (Note 7)</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PNGs credit agreements (Note 7)</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senior notes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1,247</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 (Note 9)</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PNG common units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borrowings related to cash overdraft</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9)</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9)</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noncontrolling interests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1,678</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decrease in cash and cash equivalents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3"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5"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Cash paid for: </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net of amounts capitalized</w:t>
            </w:r>
          </w:p>
        </w:tc>
        <w:tc>
          <w:tcPr>
            <w:tcW w:w="213"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25"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taxes, net of amounts refunded</w:t>
            </w:r>
          </w:p>
        </w:tc>
        <w:tc>
          <w:tcPr>
            <w:tcW w:w="213"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25"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4" w:name="PB_6_134653_7608"/>
      <w:bookmarkEnd w:id="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 PARTNERS CAPITAL</w:t>
      </w:r>
      <w:bookmarkStart w:id="15" w:name="CondensedConsolidatedStatementOfP_134842"/>
      <w:bookmarkEnd w:id="15"/>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755"/>
        <w:gridCol w:w="169"/>
        <w:gridCol w:w="818"/>
        <w:gridCol w:w="184"/>
        <w:gridCol w:w="145"/>
        <w:gridCol w:w="694"/>
        <w:gridCol w:w="184"/>
        <w:gridCol w:w="166"/>
        <w:gridCol w:w="709"/>
        <w:gridCol w:w="184"/>
        <w:gridCol w:w="235"/>
        <w:gridCol w:w="1293"/>
        <w:gridCol w:w="184"/>
        <w:gridCol w:w="257"/>
        <w:gridCol w:w="1011"/>
        <w:gridCol w:w="183"/>
        <w:gridCol w:w="145"/>
        <w:gridCol w:w="756"/>
        <w:gridCol w:w="133"/>
      </w:tblGrid>
      <w:tr>
        <w:trPr/>
        <w:tc>
          <w:tcPr>
            <w:tcW w:w="275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818" w:type="dxa"/>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839"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875"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84"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01" w:type="dxa"/>
            <w:gridSpan w:val="2"/>
            <w:tcBorders/>
            <w:shd w:fill="auto" w:val="cle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r>
      <w:tr>
        <w:trPr/>
        <w:tc>
          <w:tcPr>
            <w:tcW w:w="275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818" w:type="dxa"/>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839"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875"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84"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01" w:type="dxa"/>
            <w:gridSpan w:val="2"/>
            <w:tcBorders/>
            <w:shd w:fill="auto" w:val="cle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r>
      <w:tr>
        <w:trPr/>
        <w:tc>
          <w:tcPr>
            <w:tcW w:w="275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84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84" w:type="dxa"/>
            <w:tcBorders/>
            <w:shd w:fill="auto" w:val="clear"/>
            <w:vAlign w:val="bottom"/>
          </w:tcPr>
          <w:p>
            <w:pPr>
              <w:pStyle w:val="TableContents"/>
              <w:spacing w:before="0" w:after="0"/>
              <w:ind w:left="0" w:right="0" w:hanging="0"/>
              <w:jc w:val="center"/>
              <w:rPr/>
            </w:pPr>
            <w:r>
              <w:rPr/>
              <w:t> </w:t>
            </w:r>
          </w:p>
        </w:tc>
        <w:tc>
          <w:tcPr>
            <w:tcW w:w="87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84" w:type="dxa"/>
            <w:tcBorders/>
            <w:shd w:fill="auto" w:val="clear"/>
            <w:vAlign w:val="bottom"/>
          </w:tcPr>
          <w:p>
            <w:pPr>
              <w:pStyle w:val="TableContents"/>
              <w:spacing w:before="0" w:after="0"/>
              <w:ind w:left="0" w:right="0" w:hanging="0"/>
              <w:jc w:val="center"/>
              <w:rPr/>
            </w:pPr>
            <w:r>
              <w:rPr/>
              <w:t> </w:t>
            </w:r>
          </w:p>
        </w:tc>
        <w:tc>
          <w:tcPr>
            <w:tcW w:w="15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4"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3" w:type="dxa"/>
            <w:tcBorders/>
            <w:shd w:fill="auto" w:val="clear"/>
            <w:vAlign w:val="bottom"/>
          </w:tcPr>
          <w:p>
            <w:pPr>
              <w:pStyle w:val="TableContents"/>
              <w:spacing w:before="0" w:after="0"/>
              <w:ind w:left="0" w:right="0" w:hanging="0"/>
              <w:jc w:val="center"/>
              <w:rPr/>
            </w:pPr>
            <w:r>
              <w:rPr/>
              <w:t> </w:t>
            </w:r>
          </w:p>
        </w:tc>
        <w:tc>
          <w:tcPr>
            <w:tcW w:w="9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133" w:type="dxa"/>
            <w:tcBorders/>
            <w:shd w:fill="auto" w:val="clear"/>
            <w:vAlign w:val="bottom"/>
          </w:tcPr>
          <w:p>
            <w:pPr>
              <w:pStyle w:val="TableContents"/>
              <w:spacing w:before="0" w:after="0"/>
              <w:ind w:left="0" w:right="0" w:hanging="0"/>
              <w:jc w:val="center"/>
              <w:rPr/>
            </w:pPr>
            <w:r>
              <w:rPr/>
              <w:t> </w:t>
            </w:r>
          </w:p>
        </w:tc>
      </w:tr>
      <w:tr>
        <w:trPr/>
        <w:tc>
          <w:tcPr>
            <w:tcW w:w="275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81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84" w:type="dxa"/>
            <w:tcBorders/>
            <w:shd w:fill="auto" w:val="clear"/>
            <w:vAlign w:val="bottom"/>
          </w:tcPr>
          <w:p>
            <w:pPr>
              <w:pStyle w:val="TableContents"/>
              <w:spacing w:before="0" w:after="0"/>
              <w:ind w:left="0" w:right="0" w:hanging="0"/>
              <w:jc w:val="center"/>
              <w:rPr/>
            </w:pPr>
            <w:r>
              <w:rPr/>
              <w:t> </w:t>
            </w:r>
          </w:p>
        </w:tc>
        <w:tc>
          <w:tcPr>
            <w:tcW w:w="8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4" w:type="dxa"/>
            <w:tcBorders/>
            <w:shd w:fill="auto" w:val="clear"/>
            <w:vAlign w:val="bottom"/>
          </w:tcPr>
          <w:p>
            <w:pPr>
              <w:pStyle w:val="TableContents"/>
              <w:spacing w:before="0" w:after="0"/>
              <w:ind w:left="0" w:right="0" w:hanging="0"/>
              <w:jc w:val="center"/>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84" w:type="dxa"/>
            <w:tcBorders/>
            <w:shd w:fill="auto" w:val="clear"/>
            <w:vAlign w:val="bottom"/>
          </w:tcPr>
          <w:p>
            <w:pPr>
              <w:pStyle w:val="TableContents"/>
              <w:spacing w:before="0" w:after="0"/>
              <w:ind w:left="0" w:right="0" w:hanging="0"/>
              <w:jc w:val="center"/>
              <w:rPr/>
            </w:pPr>
            <w:r>
              <w:rPr/>
              <w:t> </w:t>
            </w:r>
          </w:p>
        </w:tc>
        <w:tc>
          <w:tcPr>
            <w:tcW w:w="15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4" w:type="dxa"/>
            <w:tcBorders/>
            <w:shd w:fill="auto" w:val="clear"/>
            <w:vAlign w:val="bottom"/>
          </w:tcPr>
          <w:p>
            <w:pPr>
              <w:pStyle w:val="TableContents"/>
              <w:spacing w:before="0" w:after="0"/>
              <w:ind w:left="0" w:right="0" w:hanging="0"/>
              <w:jc w:val="center"/>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3" w:type="dxa"/>
            <w:tcBorders/>
            <w:shd w:fill="auto" w:val="clear"/>
            <w:vAlign w:val="bottom"/>
          </w:tcPr>
          <w:p>
            <w:pPr>
              <w:pStyle w:val="TableContents"/>
              <w:spacing w:before="0" w:after="0"/>
              <w:ind w:left="0" w:right="0" w:hanging="0"/>
              <w:jc w:val="center"/>
              <w:rPr/>
            </w:pPr>
            <w:r>
              <w:rPr/>
              <w:t> </w:t>
            </w:r>
          </w:p>
        </w:tc>
        <w:tc>
          <w:tcPr>
            <w:tcW w:w="9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133" w:type="dxa"/>
            <w:tcBorders/>
            <w:shd w:fill="auto" w:val="clear"/>
            <w:vAlign w:val="bottom"/>
          </w:tcPr>
          <w:p>
            <w:pPr>
              <w:pStyle w:val="TableContents"/>
              <w:spacing w:before="0" w:after="0"/>
              <w:ind w:left="0" w:right="0" w:hanging="0"/>
              <w:jc w:val="center"/>
              <w:rPr/>
            </w:pPr>
            <w:r>
              <w:rPr/>
              <w:t> </w:t>
            </w:r>
          </w:p>
        </w:tc>
      </w:tr>
      <w:tr>
        <w:trPr/>
        <w:tc>
          <w:tcPr>
            <w:tcW w:w="275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7148" w:type="dxa"/>
            <w:gridSpan w:val="16"/>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3" w:type="dxa"/>
            <w:tcBorders/>
            <w:shd w:fill="auto" w:val="clear"/>
            <w:vAlign w:val="bottom"/>
          </w:tcPr>
          <w:p>
            <w:pPr>
              <w:pStyle w:val="TableContents"/>
              <w:spacing w:before="0" w:after="0"/>
              <w:ind w:left="0" w:right="0" w:hanging="0"/>
              <w:jc w:val="center"/>
              <w:rPr/>
            </w:pPr>
            <w:r>
              <w:rPr/>
              <w:t> </w:t>
            </w:r>
          </w:p>
        </w:tc>
      </w:tr>
      <w:tr>
        <w:trPr/>
        <w:tc>
          <w:tcPr>
            <w:tcW w:w="275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69" w:type="dxa"/>
            <w:tcBorders/>
            <w:shd w:fill="CCEEFF" w:val="clear"/>
            <w:vAlign w:val="bottom"/>
          </w:tcPr>
          <w:p>
            <w:pPr>
              <w:pStyle w:val="TableContents"/>
              <w:spacing w:before="0" w:after="0"/>
              <w:ind w:left="0" w:right="0" w:hanging="0"/>
              <w:rPr/>
            </w:pPr>
            <w:r>
              <w:rPr/>
              <w:t> </w:t>
            </w:r>
          </w:p>
        </w:tc>
        <w:tc>
          <w:tcPr>
            <w:tcW w:w="81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335.3</w:t>
            </w:r>
          </w:p>
        </w:tc>
        <w:tc>
          <w:tcPr>
            <w:tcW w:w="18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6,388</w:t>
            </w:r>
          </w:p>
        </w:tc>
        <w:tc>
          <w:tcPr>
            <w:tcW w:w="184"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84"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84" w:type="dxa"/>
            <w:tcBorders/>
            <w:shd w:fill="CCEEFF" w:val="clear"/>
            <w:vAlign w:val="bottom"/>
          </w:tcPr>
          <w:p>
            <w:pPr>
              <w:pStyle w:val="TableContents"/>
              <w:spacing w:before="0" w:after="0"/>
              <w:ind w:left="0" w:right="0" w:hanging="0"/>
              <w:rPr/>
            </w:pPr>
            <w:r>
              <w:rPr/>
              <w:t> </w:t>
            </w:r>
          </w:p>
        </w:tc>
        <w:tc>
          <w:tcPr>
            <w:tcW w:w="2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8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69" w:type="dxa"/>
            <w:tcBorders/>
            <w:shd w:fill="auto" w:val="clear"/>
            <w:vAlign w:val="bottom"/>
          </w:tcPr>
          <w:p>
            <w:pPr>
              <w:pStyle w:val="TableContents"/>
              <w:spacing w:before="0" w:after="0"/>
              <w:ind w:left="0" w:right="0" w:hanging="0"/>
              <w:rPr/>
            </w:pPr>
            <w:r>
              <w:rPr/>
              <w:t> </w:t>
            </w:r>
          </w:p>
        </w:tc>
        <w:tc>
          <w:tcPr>
            <w:tcW w:w="8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184"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18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133" w:type="dxa"/>
            <w:tcBorders/>
            <w:shd w:fill="auto" w:val="clear"/>
            <w:vAlign w:val="bottom"/>
          </w:tcPr>
          <w:p>
            <w:pPr>
              <w:pStyle w:val="TableContents"/>
              <w:spacing w:before="0" w:after="0"/>
              <w:ind w:left="0" w:right="0" w:hanging="0"/>
              <w:rPr/>
            </w:pPr>
            <w:r>
              <w:rPr/>
              <w:t> </w:t>
            </w:r>
          </w:p>
        </w:tc>
      </w:tr>
      <w:tr>
        <w:trPr/>
        <w:tc>
          <w:tcPr>
            <w:tcW w:w="275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69" w:type="dxa"/>
            <w:tcBorders/>
            <w:shd w:fill="CCEEFF" w:val="clear"/>
            <w:vAlign w:val="bottom"/>
          </w:tcPr>
          <w:p>
            <w:pPr>
              <w:pStyle w:val="TableContents"/>
              <w:spacing w:before="0" w:after="0"/>
              <w:ind w:left="0" w:right="0" w:hanging="0"/>
              <w:rPr/>
            </w:pPr>
            <w:r>
              <w:rPr/>
              <w:t> </w:t>
            </w:r>
          </w:p>
        </w:tc>
        <w:tc>
          <w:tcPr>
            <w:tcW w:w="8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(559</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69" w:type="dxa"/>
            <w:tcBorders/>
            <w:shd w:fill="auto" w:val="clear"/>
            <w:vAlign w:val="bottom"/>
          </w:tcPr>
          <w:p>
            <w:pPr>
              <w:pStyle w:val="TableContents"/>
              <w:spacing w:before="0" w:after="0"/>
              <w:ind w:left="0" w:right="0" w:hanging="0"/>
              <w:rPr/>
            </w:pPr>
            <w:r>
              <w:rPr/>
              <w:t> </w:t>
            </w:r>
          </w:p>
        </w:tc>
        <w:tc>
          <w:tcPr>
            <w:tcW w:w="8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4"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324</w:t>
            </w:r>
          </w:p>
        </w:tc>
        <w:tc>
          <w:tcPr>
            <w:tcW w:w="184"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18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133" w:type="dxa"/>
            <w:tcBorders/>
            <w:shd w:fill="auto" w:val="clear"/>
            <w:vAlign w:val="bottom"/>
          </w:tcPr>
          <w:p>
            <w:pPr>
              <w:pStyle w:val="TableContents"/>
              <w:spacing w:before="0" w:after="0"/>
              <w:ind w:left="0" w:right="0" w:hanging="0"/>
              <w:rPr/>
            </w:pPr>
            <w:r>
              <w:rPr/>
              <w:t> </w:t>
            </w:r>
          </w:p>
        </w:tc>
      </w:tr>
      <w:tr>
        <w:trPr/>
        <w:tc>
          <w:tcPr>
            <w:tcW w:w="27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69" w:type="dxa"/>
            <w:tcBorders/>
            <w:shd w:fill="CCEEFF" w:val="clear"/>
            <w:vAlign w:val="bottom"/>
          </w:tcPr>
          <w:p>
            <w:pPr>
              <w:pStyle w:val="TableContents"/>
              <w:spacing w:before="0" w:after="0"/>
              <w:ind w:left="0" w:right="0" w:hanging="0"/>
              <w:rPr/>
            </w:pPr>
            <w:r>
              <w:rPr/>
              <w:t> </w:t>
            </w:r>
          </w:p>
        </w:tc>
        <w:tc>
          <w:tcPr>
            <w:tcW w:w="8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184"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4"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15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4"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Units tendered by employees to satisfy tax withholding obligations</w:t>
            </w:r>
          </w:p>
        </w:tc>
        <w:tc>
          <w:tcPr>
            <w:tcW w:w="169" w:type="dxa"/>
            <w:tcBorders/>
            <w:shd w:fill="auto" w:val="clear"/>
            <w:vAlign w:val="bottom"/>
          </w:tcPr>
          <w:p>
            <w:pPr>
              <w:pStyle w:val="TableContents"/>
              <w:spacing w:before="0" w:after="0"/>
              <w:ind w:left="0" w:right="0" w:hanging="0"/>
              <w:rPr/>
            </w:pPr>
            <w:r>
              <w:rPr/>
              <w:t> </w:t>
            </w:r>
          </w:p>
        </w:tc>
        <w:tc>
          <w:tcPr>
            <w:tcW w:w="8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169" w:type="dxa"/>
            <w:tcBorders/>
            <w:shd w:fill="CCEEFF" w:val="clear"/>
            <w:vAlign w:val="bottom"/>
          </w:tcPr>
          <w:p>
            <w:pPr>
              <w:pStyle w:val="TableContents"/>
              <w:spacing w:before="0" w:after="0"/>
              <w:ind w:left="0" w:right="0" w:hanging="0"/>
              <w:rPr/>
            </w:pPr>
            <w:r>
              <w:rPr/>
              <w:t> </w:t>
            </w:r>
          </w:p>
        </w:tc>
        <w:tc>
          <w:tcPr>
            <w:tcW w:w="8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4"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4" w:type="dxa"/>
            <w:tcBorders/>
            <w:shd w:fill="CCEEFF" w:val="clear"/>
            <w:vAlign w:val="bottom"/>
          </w:tcPr>
          <w:p>
            <w:pPr>
              <w:pStyle w:val="TableContents"/>
              <w:spacing w:before="0" w:after="0"/>
              <w:ind w:left="0" w:right="0" w:hanging="0"/>
              <w:rPr/>
            </w:pPr>
            <w:r>
              <w:rPr/>
              <w:t> </w:t>
            </w:r>
          </w:p>
        </w:tc>
        <w:tc>
          <w:tcPr>
            <w:tcW w:w="15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4"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3" w:type="dxa"/>
            <w:tcBorders/>
            <w:shd w:fill="CCEEFF" w:val="clear"/>
            <w:vAlign w:val="bottom"/>
          </w:tcPr>
          <w:p>
            <w:pPr>
              <w:pStyle w:val="TableContents"/>
              <w:spacing w:before="0" w:after="0"/>
              <w:ind w:left="0" w:right="0" w:hanging="0"/>
              <w:rPr/>
            </w:pPr>
            <w:r>
              <w:rPr/>
              <w:t> </w:t>
            </w:r>
          </w:p>
        </w:tc>
      </w:tr>
      <w:tr>
        <w:trPr/>
        <w:tc>
          <w:tcPr>
            <w:tcW w:w="275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 payments</w:t>
            </w:r>
          </w:p>
        </w:tc>
        <w:tc>
          <w:tcPr>
            <w:tcW w:w="169" w:type="dxa"/>
            <w:tcBorders/>
            <w:shd w:fill="auto" w:val="clear"/>
            <w:vAlign w:val="bottom"/>
          </w:tcPr>
          <w:p>
            <w:pPr>
              <w:pStyle w:val="TableContents"/>
              <w:spacing w:before="0" w:after="0"/>
              <w:ind w:left="0" w:right="0" w:hanging="0"/>
              <w:rPr/>
            </w:pPr>
            <w:r>
              <w:rPr/>
              <w:t> </w:t>
            </w:r>
          </w:p>
        </w:tc>
        <w:tc>
          <w:tcPr>
            <w:tcW w:w="8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8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169" w:type="dxa"/>
            <w:tcBorders/>
            <w:shd w:fill="CCEEFF" w:val="clear"/>
            <w:vAlign w:val="bottom"/>
          </w:tcPr>
          <w:p>
            <w:pPr>
              <w:pStyle w:val="TableContents"/>
              <w:spacing w:before="0" w:after="0"/>
              <w:ind w:left="0" w:right="0" w:hanging="0"/>
              <w:rPr/>
            </w:pPr>
            <w:r>
              <w:rPr/>
              <w:t> </w:t>
            </w:r>
          </w:p>
        </w:tc>
        <w:tc>
          <w:tcPr>
            <w:tcW w:w="8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3"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Issuance of PNG common units</w:t>
            </w:r>
          </w:p>
        </w:tc>
        <w:tc>
          <w:tcPr>
            <w:tcW w:w="169" w:type="dxa"/>
            <w:tcBorders/>
            <w:shd w:fill="auto" w:val="clear"/>
            <w:vAlign w:val="bottom"/>
          </w:tcPr>
          <w:p>
            <w:pPr>
              <w:pStyle w:val="TableContents"/>
              <w:spacing w:before="0" w:after="0"/>
              <w:ind w:left="0" w:right="0" w:hanging="0"/>
              <w:rPr/>
            </w:pPr>
            <w:r>
              <w:rPr/>
              <w:t> </w:t>
            </w:r>
          </w:p>
        </w:tc>
        <w:tc>
          <w:tcPr>
            <w:tcW w:w="81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8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4" w:type="dxa"/>
            <w:tcBorders/>
            <w:shd w:fill="auto" w:val="clear"/>
            <w:vAlign w:val="bottom"/>
          </w:tcPr>
          <w:p>
            <w:pPr>
              <w:pStyle w:val="TableContents"/>
              <w:spacing w:before="0" w:after="0"/>
              <w:ind w:left="0" w:right="0" w:hanging="0"/>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4" w:type="dxa"/>
            <w:tcBorders/>
            <w:shd w:fill="auto" w:val="clear"/>
            <w:vAlign w:val="bottom"/>
          </w:tcPr>
          <w:p>
            <w:pPr>
              <w:pStyle w:val="TableContents"/>
              <w:spacing w:before="0" w:after="0"/>
              <w:ind w:left="0" w:right="0" w:hanging="0"/>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33" w:type="dxa"/>
            <w:tcBorders/>
            <w:shd w:fill="auto" w:val="clear"/>
            <w:vAlign w:val="bottom"/>
          </w:tcPr>
          <w:p>
            <w:pPr>
              <w:pStyle w:val="TableContents"/>
              <w:spacing w:before="0" w:after="0"/>
              <w:ind w:left="0" w:right="0" w:hanging="0"/>
              <w:rPr/>
            </w:pPr>
            <w:r>
              <w:rPr/>
              <w:t> </w:t>
            </w:r>
          </w:p>
        </w:tc>
      </w:tr>
      <w:tr>
        <w:trPr/>
        <w:tc>
          <w:tcPr>
            <w:tcW w:w="275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at June 30, 2013</w:t>
            </w:r>
          </w:p>
        </w:tc>
        <w:tc>
          <w:tcPr>
            <w:tcW w:w="169" w:type="dxa"/>
            <w:tcBorders/>
            <w:shd w:fill="CCEEFF" w:val="clear"/>
            <w:vAlign w:val="bottom"/>
          </w:tcPr>
          <w:p>
            <w:pPr>
              <w:pStyle w:val="TableContents"/>
              <w:spacing w:before="0" w:after="0"/>
              <w:ind w:left="0" w:right="0" w:hanging="0"/>
              <w:rPr/>
            </w:pPr>
            <w:r>
              <w:rPr/>
              <w:t> </w:t>
            </w:r>
          </w:p>
        </w:tc>
        <w:tc>
          <w:tcPr>
            <w:tcW w:w="81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341.7</w:t>
            </w:r>
          </w:p>
        </w:tc>
        <w:tc>
          <w:tcPr>
            <w:tcW w:w="18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6,828</w:t>
            </w:r>
          </w:p>
        </w:tc>
        <w:tc>
          <w:tcPr>
            <w:tcW w:w="184"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84"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7,098</w:t>
            </w:r>
          </w:p>
        </w:tc>
        <w:tc>
          <w:tcPr>
            <w:tcW w:w="184" w:type="dxa"/>
            <w:tcBorders/>
            <w:shd w:fill="CCEEFF" w:val="clear"/>
            <w:vAlign w:val="bottom"/>
          </w:tcPr>
          <w:p>
            <w:pPr>
              <w:pStyle w:val="TableContents"/>
              <w:spacing w:before="0" w:after="0"/>
              <w:ind w:left="0" w:right="0" w:hanging="0"/>
              <w:rPr/>
            </w:pPr>
            <w:r>
              <w:rPr/>
              <w:t> </w:t>
            </w:r>
          </w:p>
        </w:tc>
        <w:tc>
          <w:tcPr>
            <w:tcW w:w="2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18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7,629</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6" w:name="PB_7_134838_8146"/>
      <w:bookmarkEnd w:id="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w:t>
      </w:r>
      <w:bookmarkStart w:id="17" w:name="NotesToCondensedConsolidatedFinan_135056"/>
      <w:bookmarkEnd w:id="17"/>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bookmarkStart w:id="18" w:name="Note1organizationAndBasisOfPresen_135058"/>
      <w:bookmarkEnd w:id="18"/>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Delaware limited partnership formed in 1998. As used in this Form 10-Q and unless the context indicates otherwise, the terms Partnership, Plains, PAA, we, us, our, ours and similar terms refer to Plains All American Pipeline, L.P. and its subsidiaries.  Our 2% general partner interest is held by PAA GP LLC, a Delaware limited liability company, whose sole member is Plains AAP, L.P., a Delaware limited partnership. Plains All American GP LLC, a Delaware limited liability company, is Plains AAP, L.P.s general partner.  References to our general partner, as the context requires, include any or all of PAA GP LLC, Plains AAP, L.P. and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(LPG). When used in this document, NGL refers to all NGL products including LPG. Through our general partner interest and majority equity ownership position in PAA Natural Gas Storage, L.P. (NYSE: PNG), we also own and operate natural gas storage facilities.  Our business activities are conducted through three operating segments: (i) Transportation, (ii) Facilities and (iii) Supply and Logistics.  See Note 13 for further discussion of our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defined terms are used in this Form 10-Q and shall have the meanings indicated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352"/>
        <w:gridCol w:w="521"/>
        <w:gridCol w:w="8332"/>
      </w:tblGrid>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income</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Btu</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British thermal unit</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dollar</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CME</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Chicago Mercantile Exchange</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rights</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depreciation and amortization</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Federal Energy Regulatory Commission</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GAAP</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Generally accepted accounting principles in the United States</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IntercontinentalExchange</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LIBOR</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London Interbank Offered Rate</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LLS</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Light Louisiana Sweet</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Thousand cubic feet</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Master limited partnership</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including ethane, natural gasoline products, propane and butane</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NPNS</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Normal purchases and normal sales</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Mercantile Exchange</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NYSE</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Stock Exchange</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loss allowance</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Securities and Exchange Commission</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United States dollar</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Intermediate</w:t>
            </w:r>
          </w:p>
        </w:tc>
      </w:tr>
      <w:tr>
        <w:trPr/>
        <w:tc>
          <w:tcPr>
            <w:tcW w:w="13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WTS</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Sour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9" w:name="PB_8_135113_7056"/>
      <w:bookmarkEnd w:id="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unaudited condensed consolidated interim financial statements and notes thereto should be read in conjunction with our 2012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Certain reclassifications have been made to information from previous years to conform to the current presentation. The condensed consolidated balance sheet data as of December 31, 2012 was derived from audited financial statements, but does not include all disclosures required by GAAP. The results of operations for the three and six months ended June 30, 2013 should not be taken as indicative of results to be expected for the entire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2Recent Accounting Pronouncements</w:t>
      </w:r>
      <w:bookmarkStart w:id="20" w:name="Note2recentAccountingPronouncemen_135122"/>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Other than as discussed below and in our 2012 Annual Report on Form 10-K, no new accounting pronouncements have become effective or have been issued during the six months ended June 30, 2013</w:t>
      </w:r>
      <w:r>
        <w:rPr>
          <w:rFonts w:ascii="Times New Roman" w:hAnsi="Times New Roman"/>
        </w:rPr>
        <w:t xml:space="preserve"> </w:t>
      </w:r>
      <w:r>
        <w:rPr>
          <w:rFonts w:ascii="Times New Roman" w:hAnsi="Times New Roman"/>
          <w:sz w:val="17"/>
        </w:rPr>
        <w:t>that are of significance or potential significance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becomes effective beginning after December 15, 2013. We will adopt this guidance on January 1, 2014. Our adoption is not expected to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the FASB issued guidance requiring an entity to present either in a single note or parenthetically on the face of the financial statements (i) the amount of significant items reclassified from each component of AOCI and (ii) the income statement line items affected by the reclassification. This guidance became effective for interim and annual periods beginning after December 15, 2012. We adopted this guidance during the first quarter of 2013. During the six months ended June 30, 2013 and 2012, all reclassifications out of AOCI were related to derivative instruments. Other than requiring additional disclosure, which is included in Note 11, our adoption did not have an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is effective for annual and interim impairment tests performed for fiscal years beginning after September 15, 2012, with early adoption permitted in certain circumstances. We adopted this guidance on January 1, 2013. Our adoption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2011, the FASB issued guidance requiring disclosures of both gross and net information about recognized financial instruments and derivative instruments that are either (i) offset in accordance with the specified sections of GAAP or (ii) subject to an enforceable master netting arrangement or similar agreement. In January 2013, the FASB amended and clarified the scope of these disclosures to include only (i) derivative instruments, (ii) repurchase agreements and reverse repurchase agreements and (iii) securities lending transactions. This guidance is effective for annual reporting periods beginning on or after January 1, 2013, and interim periods within those annual periods. We adopted this guidance on January 1, 2013. Other than requiring additional disclosure, which is included in Note 11, our adoption did not have an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3Accounts Receivable</w:t>
      </w:r>
      <w:bookmarkStart w:id="21" w:name="Note3accountsReceivable_135131"/>
      <w:bookmarkEnd w:id="2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accounts receivable are primarily from purchasers and shippers of crude oil and, to a lesser extent, purchasers of crude oil, NGL, natural gas and refined products terminalling and storage services.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2" w:name="PB_9_135133_5335"/>
      <w:bookmarkEnd w:id="2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June 30, 2013 and December 31, 2012, we had received approximately $152 million and $173 million, respectively, of advance cash payments from third parties to mitigate credit risk. Furthermore, at June 30, 2013 and December 31, 2012, we had received approximately $448 million and $343 million, respectively, of standby letters of credit to support obligations due from third parties, a portion of which applies to future business. In addition, we enter into netting arrangements (contractual agreements that allow us and the counterparty to offset receivables and payables against each other) that cover a significant portion of our transactions and also serve to mitigate credit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2013 and December 31, 2012, substantially all of our accounts receivable (net of allowance for doubtful accounts) were less than 30 days past their scheduled invoice date.  Our allowance for doubtful accounts receivable totaled approximately $4 million at both June 30, 2013 and December 31, 2012.  Although we consider our allowance for doubtful trade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4Dispositions</w:t>
      </w:r>
      <w:bookmarkStart w:id="23" w:name="Note4dispositions_135138"/>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we signed a definitive agreement to sell certain refined products pipeline systems and related assets included in our Transportation segment. At June 30, 2013 and December 31, 2012, these assets were classified as held for sale on our condensed consolidated balance sheets (in Other current assets). A portion of the transaction closed on July 1, 2013, and closing of the balance is subject to the satisfaction of customary closing conditions.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5Inventory, Linefill and Base Gas and Long-term Inventory</w:t>
      </w:r>
      <w:bookmarkStart w:id="24" w:name="Note5inventoryLinefillAndBaseGasA_135144"/>
      <w:bookmarkEnd w:id="2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and base gas and long-term inventory consisted of the following (barrels and natural gas volumes in thousands and carrying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10"/>
        <w:gridCol w:w="200"/>
        <w:gridCol w:w="767"/>
        <w:gridCol w:w="200"/>
        <w:gridCol w:w="767"/>
        <w:gridCol w:w="200"/>
        <w:gridCol w:w="118"/>
        <w:gridCol w:w="563"/>
        <w:gridCol w:w="200"/>
        <w:gridCol w:w="116"/>
        <w:gridCol w:w="556"/>
        <w:gridCol w:w="200"/>
        <w:gridCol w:w="767"/>
        <w:gridCol w:w="200"/>
        <w:gridCol w:w="767"/>
        <w:gridCol w:w="200"/>
        <w:gridCol w:w="118"/>
        <w:gridCol w:w="563"/>
        <w:gridCol w:w="200"/>
        <w:gridCol w:w="116"/>
        <w:gridCol w:w="557"/>
        <w:gridCol w:w="120"/>
      </w:tblGrid>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3487"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200" w:type="dxa"/>
            <w:tcBorders/>
            <w:shd w:fill="auto" w:val="clear"/>
            <w:vAlign w:val="bottom"/>
          </w:tcPr>
          <w:p>
            <w:pPr>
              <w:pStyle w:val="TableContents"/>
              <w:spacing w:before="0" w:after="0"/>
              <w:ind w:left="0" w:right="0" w:hanging="0"/>
              <w:jc w:val="center"/>
              <w:rPr/>
            </w:pPr>
            <w:r>
              <w:rPr/>
              <w:t> </w:t>
            </w:r>
          </w:p>
        </w:tc>
        <w:tc>
          <w:tcPr>
            <w:tcW w:w="3488"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20" w:type="dxa"/>
            <w:tcBorders/>
            <w:shd w:fill="auto" w:val="clear"/>
            <w:vAlign w:val="bottom"/>
          </w:tcPr>
          <w:p>
            <w:pPr>
              <w:pStyle w:val="TableContents"/>
              <w:spacing w:before="0" w:after="0"/>
              <w:ind w:left="0" w:right="0" w:hanging="0"/>
              <w:jc w:val="center"/>
              <w:rPr/>
            </w:pPr>
            <w:r>
              <w:rPr/>
              <w:t> </w:t>
            </w:r>
          </w:p>
        </w:tc>
      </w:tr>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0" w:type="dxa"/>
            <w:tcBorders/>
            <w:shd w:fill="auto" w:val="clear"/>
            <w:vAlign w:val="bottom"/>
          </w:tcPr>
          <w:p>
            <w:pPr>
              <w:pStyle w:val="TableContents"/>
              <w:spacing w:before="0" w:after="0"/>
              <w:ind w:left="0" w:right="0" w:hanging="0"/>
              <w:jc w:val="center"/>
              <w:rPr/>
            </w:pPr>
            <w:r>
              <w:rPr/>
              <w:t> </w:t>
            </w:r>
          </w:p>
        </w:tc>
        <w:tc>
          <w:tcPr>
            <w:tcW w:w="68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shd w:fill="auto" w:val="clear"/>
            <w:vAlign w:val="bottom"/>
          </w:tcPr>
          <w:p>
            <w:pPr>
              <w:pStyle w:val="TableContents"/>
              <w:spacing w:before="0" w:after="0"/>
              <w:ind w:left="0" w:right="0" w:hanging="0"/>
              <w:jc w:val="center"/>
              <w:rPr/>
            </w:pPr>
            <w:r>
              <w:rPr/>
              <w:t> </w:t>
            </w:r>
          </w:p>
        </w:tc>
        <w:tc>
          <w:tcPr>
            <w:tcW w:w="6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120" w:type="dxa"/>
            <w:tcBorders/>
            <w:shd w:fill="auto" w:val="clear"/>
            <w:vAlign w:val="bottom"/>
          </w:tcPr>
          <w:p>
            <w:pPr>
              <w:pStyle w:val="TableContents"/>
              <w:spacing w:before="0" w:after="0"/>
              <w:ind w:left="0" w:right="0" w:hanging="0"/>
              <w:jc w:val="center"/>
              <w:rPr/>
            </w:pPr>
            <w:r>
              <w:rPr/>
              <w:t> </w:t>
            </w:r>
          </w:p>
        </w:tc>
      </w:tr>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0" w:type="dxa"/>
            <w:tcBorders/>
            <w:shd w:fill="auto" w:val="clear"/>
            <w:vAlign w:val="bottom"/>
          </w:tcPr>
          <w:p>
            <w:pPr>
              <w:pStyle w:val="TableContents"/>
              <w:spacing w:before="0" w:after="0"/>
              <w:ind w:left="0" w:right="0" w:hanging="0"/>
              <w:jc w:val="center"/>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0" w:type="dxa"/>
            <w:tcBorders/>
            <w:shd w:fill="auto" w:val="clear"/>
            <w:vAlign w:val="bottom"/>
          </w:tcPr>
          <w:p>
            <w:pPr>
              <w:pStyle w:val="TableContents"/>
              <w:spacing w:before="0" w:after="0"/>
              <w:ind w:left="0" w:right="0" w:hanging="0"/>
              <w:jc w:val="center"/>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120" w:type="dxa"/>
            <w:tcBorders/>
            <w:shd w:fill="auto" w:val="clear"/>
            <w:vAlign w:val="bottom"/>
          </w:tcPr>
          <w:p>
            <w:pPr>
              <w:pStyle w:val="TableContents"/>
              <w:spacing w:before="0" w:after="0"/>
              <w:ind w:left="0" w:right="0" w:hanging="0"/>
              <w:jc w:val="center"/>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5,484</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85.89</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9,492</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77.64</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8,366</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37.77</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9,472</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23,058</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20,374</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892</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Linefill and base gas</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10,026</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58.35</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9,919</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58.78</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1,358</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47.13</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1,400</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16,965</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15,755</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 subtotal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inventory</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2,038</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77.04</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1,962</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75.94</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1,162</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43.03</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3,238</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38.60</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 subtotal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1,806</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2,190</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Price per unit of measure represents a weighted average associated with various grades, qualities and locations.  Accordingly, these prices may not coincide with any published benchmarks for such products.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5" w:name="PB_10_135528_5796"/>
      <w:bookmarkEnd w:id="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At the end of each reporting period we assess the carrying value of our inventory and make any adjustments necessary to reduce the carrying value to the applicable net realizable value. During the second quarter of 2012, we recorded a non-cash charge of approximately $121 million related to the writedown of our crude oil and NGL inventory due to declines in prices during the period. The recognition of this adjustment, which is a component of Purchases and related costs in our accompanying condensed consolidated statement of operations, was substantially offset by the recognition of unrealized gains on derivative instruments being utilized to hedge the future sales of our crude oil and NGL inventory. Substantially all of such unrealized gains were recorded to Supply and Logistics segment revenues on our condensed consolidated statement of operations. See Note 11 for discussion of our derivative and risk management activities. We did not recognize any writedowns of inventory during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  Goodwill</w:t>
      </w:r>
      <w:bookmarkStart w:id="26" w:name="Note6Goodwill_135926"/>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reflects our goodwill by segment and changes during the period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55"/>
        <w:gridCol w:w="184"/>
        <w:gridCol w:w="279"/>
        <w:gridCol w:w="1237"/>
        <w:gridCol w:w="200"/>
        <w:gridCol w:w="163"/>
        <w:gridCol w:w="913"/>
        <w:gridCol w:w="200"/>
        <w:gridCol w:w="353"/>
        <w:gridCol w:w="1635"/>
        <w:gridCol w:w="200"/>
        <w:gridCol w:w="157"/>
        <w:gridCol w:w="886"/>
        <w:gridCol w:w="143"/>
      </w:tblGrid>
      <w:tr>
        <w:trPr/>
        <w:tc>
          <w:tcPr>
            <w:tcW w:w="3655"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00" w:type="dxa"/>
            <w:tcBorders/>
            <w:shd w:fill="auto" w:val="clear"/>
            <w:vAlign w:val="bottom"/>
          </w:tcPr>
          <w:p>
            <w:pPr>
              <w:pStyle w:val="TableContents"/>
              <w:spacing w:before="0" w:after="0"/>
              <w:ind w:left="0" w:right="0" w:hanging="0"/>
              <w:jc w:val="center"/>
              <w:rPr/>
            </w:pPr>
            <w:r>
              <w:rPr/>
              <w:t> </w:t>
            </w:r>
          </w:p>
        </w:tc>
        <w:tc>
          <w:tcPr>
            <w:tcW w:w="10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00" w:type="dxa"/>
            <w:tcBorders/>
            <w:shd w:fill="auto" w:val="clear"/>
            <w:vAlign w:val="bottom"/>
          </w:tcPr>
          <w:p>
            <w:pPr>
              <w:pStyle w:val="TableContents"/>
              <w:spacing w:before="0" w:after="0"/>
              <w:ind w:left="0" w:right="0" w:hanging="0"/>
              <w:jc w:val="center"/>
              <w:rPr/>
            </w:pPr>
            <w:r>
              <w:rPr/>
              <w:t> </w:t>
            </w:r>
          </w:p>
        </w:tc>
        <w:tc>
          <w:tcPr>
            <w:tcW w:w="19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Logistics</w:t>
            </w:r>
          </w:p>
        </w:tc>
        <w:tc>
          <w:tcPr>
            <w:tcW w:w="200" w:type="dxa"/>
            <w:tcBorders/>
            <w:shd w:fill="auto" w:val="clear"/>
            <w:vAlign w:val="bottom"/>
          </w:tcPr>
          <w:p>
            <w:pPr>
              <w:pStyle w:val="TableContents"/>
              <w:spacing w:before="0" w:after="0"/>
              <w:ind w:left="0" w:right="0" w:hanging="0"/>
              <w:jc w:val="center"/>
              <w:rPr/>
            </w:pPr>
            <w:r>
              <w:rPr/>
              <w:t> </w:t>
            </w:r>
          </w:p>
        </w:tc>
        <w:tc>
          <w:tcPr>
            <w:tcW w:w="10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3" w:type="dxa"/>
            <w:tcBorders/>
            <w:shd w:fill="auto" w:val="clear"/>
            <w:vAlign w:val="bottom"/>
          </w:tcPr>
          <w:p>
            <w:pPr>
              <w:pStyle w:val="TableContents"/>
              <w:spacing w:before="0" w:after="0"/>
              <w:ind w:left="0" w:right="0" w:hanging="0"/>
              <w:jc w:val="center"/>
              <w:rPr/>
            </w:pPr>
            <w:r>
              <w:rPr/>
              <w:t> </w:t>
            </w:r>
          </w:p>
        </w:tc>
      </w:tr>
      <w:tr>
        <w:trPr/>
        <w:tc>
          <w:tcPr>
            <w:tcW w:w="36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84" w:type="dxa"/>
            <w:tcBorders/>
            <w:shd w:fill="CCEEFF" w:val="clear"/>
            <w:vAlign w:val="bottom"/>
          </w:tcPr>
          <w:p>
            <w:pPr>
              <w:pStyle w:val="TableContents"/>
              <w:spacing w:before="0" w:after="0"/>
              <w:ind w:left="0" w:right="0" w:hanging="0"/>
              <w:rPr/>
            </w:pPr>
            <w:r>
              <w:rPr/>
              <w:t> </w:t>
            </w:r>
          </w:p>
        </w:tc>
        <w:tc>
          <w:tcPr>
            <w:tcW w:w="2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w:t>
            </w:r>
          </w:p>
        </w:tc>
        <w:tc>
          <w:tcPr>
            <w:tcW w:w="200"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1,171</w:t>
            </w:r>
          </w:p>
        </w:tc>
        <w:tc>
          <w:tcPr>
            <w:tcW w:w="200" w:type="dxa"/>
            <w:tcBorders/>
            <w:shd w:fill="CCEEFF" w:val="clear"/>
            <w:vAlign w:val="bottom"/>
          </w:tcPr>
          <w:p>
            <w:pPr>
              <w:pStyle w:val="TableContents"/>
              <w:spacing w:before="0" w:after="0"/>
              <w:ind w:left="0" w:right="0" w:hanging="0"/>
              <w:rPr/>
            </w:pPr>
            <w:r>
              <w:rPr/>
              <w:t> </w:t>
            </w:r>
          </w:p>
        </w:tc>
        <w:tc>
          <w:tcPr>
            <w:tcW w:w="3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w:t>
            </w:r>
          </w:p>
        </w:tc>
        <w:tc>
          <w:tcPr>
            <w:tcW w:w="200"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43" w:type="dxa"/>
            <w:tcBorders/>
            <w:shd w:fill="CCEEFF" w:val="clear"/>
            <w:vAlign w:val="bottom"/>
          </w:tcPr>
          <w:p>
            <w:pPr>
              <w:pStyle w:val="TableContents"/>
              <w:spacing w:before="0" w:after="0"/>
              <w:ind w:left="0" w:right="0" w:hanging="0"/>
              <w:rPr/>
            </w:pPr>
            <w:r>
              <w:rPr/>
              <w:t> </w:t>
            </w:r>
          </w:p>
        </w:tc>
      </w:tr>
      <w:tr>
        <w:trPr/>
        <w:tc>
          <w:tcPr>
            <w:tcW w:w="36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 Goodwill Related Activity:</w:t>
            </w:r>
          </w:p>
        </w:tc>
        <w:tc>
          <w:tcPr>
            <w:tcW w:w="184" w:type="dxa"/>
            <w:tcBorders/>
            <w:shd w:fill="auto" w:val="clear"/>
            <w:vAlign w:val="bottom"/>
          </w:tcPr>
          <w:p>
            <w:pPr>
              <w:pStyle w:val="TableContents"/>
              <w:spacing w:before="0" w:after="0"/>
              <w:ind w:left="0" w:right="0" w:hanging="0"/>
              <w:rPr/>
            </w:pPr>
            <w:r>
              <w:rPr/>
              <w:t> </w:t>
            </w:r>
          </w:p>
        </w:tc>
        <w:tc>
          <w:tcPr>
            <w:tcW w:w="151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98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43" w:type="dxa"/>
            <w:gridSpan w:val="2"/>
            <w:tcBorders/>
            <w:shd w:fill="auto" w:val="clear"/>
            <w:vAlign w:val="bottom"/>
          </w:tcPr>
          <w:p>
            <w:pPr>
              <w:pStyle w:val="TableContents"/>
              <w:spacing w:before="0" w:after="0"/>
              <w:ind w:left="0" w:right="0" w:hanging="0"/>
              <w:jc w:val="right"/>
              <w:rPr/>
            </w:pPr>
            <w:r>
              <w:rPr/>
              <w:t> </w:t>
            </w:r>
          </w:p>
        </w:tc>
        <w:tc>
          <w:tcPr>
            <w:tcW w:w="143" w:type="dxa"/>
            <w:tcBorders/>
            <w:shd w:fill="auto" w:val="clear"/>
            <w:vAlign w:val="bottom"/>
          </w:tcPr>
          <w:p>
            <w:pPr>
              <w:pStyle w:val="TableContents"/>
              <w:spacing w:before="0" w:after="0"/>
              <w:ind w:left="0" w:right="0" w:hanging="0"/>
              <w:rPr/>
            </w:pPr>
            <w:r>
              <w:rPr/>
              <w:t> </w:t>
            </w:r>
          </w:p>
        </w:tc>
      </w:tr>
      <w:tr>
        <w:trPr/>
        <w:tc>
          <w:tcPr>
            <w:tcW w:w="36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184" w:type="dxa"/>
            <w:tcBorders/>
            <w:shd w:fill="CCEEFF" w:val="clear"/>
            <w:vAlign w:val="bottom"/>
          </w:tcPr>
          <w:p>
            <w:pPr>
              <w:pStyle w:val="TableContents"/>
              <w:spacing w:before="0" w:after="0"/>
              <w:ind w:left="0" w:right="0" w:hanging="0"/>
              <w:rPr/>
            </w:pPr>
            <w:r>
              <w:rPr/>
              <w:t> </w:t>
            </w:r>
          </w:p>
        </w:tc>
        <w:tc>
          <w:tcPr>
            <w:tcW w:w="15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55" w:type="dxa"/>
            <w:tcBorders/>
            <w:shd w:fill="auto" w:val="clear"/>
            <w:vAlign w:val="bottom"/>
          </w:tcPr>
          <w:p>
            <w:pPr>
              <w:pStyle w:val="TableContents"/>
              <w:spacing w:before="0" w:after="0"/>
              <w:ind w:left="0" w:right="0" w:hanging="0"/>
              <w:rPr/>
            </w:pPr>
            <w:r>
              <w:rPr>
                <w:rFonts w:ascii="Times New Roman" w:hAnsi="Times New Roman"/>
                <w:sz w:val="17"/>
              </w:rPr>
              <w:t>Purchase price accounting adjustments and other</w:t>
            </w:r>
            <w:r>
              <w:rPr/>
              <w:t xml:space="preserve"> </w:t>
            </w:r>
            <w:r>
              <w:rPr>
                <w:sz w:val="11"/>
              </w:rPr>
              <w:t>(1)</w:t>
            </w:r>
          </w:p>
        </w:tc>
        <w:tc>
          <w:tcPr>
            <w:tcW w:w="184" w:type="dxa"/>
            <w:tcBorders/>
            <w:shd w:fill="auto" w:val="clear"/>
            <w:vAlign w:val="bottom"/>
          </w:tcPr>
          <w:p>
            <w:pPr>
              <w:pStyle w:val="TableContents"/>
              <w:spacing w:before="0" w:after="0"/>
              <w:ind w:left="0" w:right="0" w:hanging="0"/>
              <w:rPr/>
            </w:pPr>
            <w:r>
              <w:rPr/>
              <w:t> </w:t>
            </w:r>
          </w:p>
        </w:tc>
        <w:tc>
          <w:tcPr>
            <w:tcW w:w="15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9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0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June 30, 2013</w:t>
            </w:r>
          </w:p>
        </w:tc>
        <w:tc>
          <w:tcPr>
            <w:tcW w:w="184" w:type="dxa"/>
            <w:tcBorders/>
            <w:shd w:fill="CCEEFF" w:val="clear"/>
            <w:vAlign w:val="bottom"/>
          </w:tcPr>
          <w:p>
            <w:pPr>
              <w:pStyle w:val="TableContents"/>
              <w:spacing w:before="0" w:after="0"/>
              <w:ind w:left="0" w:right="0" w:hanging="0"/>
              <w:rPr/>
            </w:pPr>
            <w:r>
              <w:rPr/>
              <w:t> </w:t>
            </w:r>
          </w:p>
        </w:tc>
        <w:tc>
          <w:tcPr>
            <w:tcW w:w="2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876</w:t>
            </w:r>
          </w:p>
        </w:tc>
        <w:tc>
          <w:tcPr>
            <w:tcW w:w="200"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1,164</w:t>
            </w:r>
          </w:p>
        </w:tc>
        <w:tc>
          <w:tcPr>
            <w:tcW w:w="200" w:type="dxa"/>
            <w:tcBorders/>
            <w:shd w:fill="CCEEFF" w:val="clear"/>
            <w:vAlign w:val="bottom"/>
          </w:tcPr>
          <w:p>
            <w:pPr>
              <w:pStyle w:val="TableContents"/>
              <w:spacing w:before="0" w:after="0"/>
              <w:ind w:left="0" w:right="0" w:hanging="0"/>
              <w:rPr/>
            </w:pPr>
            <w:r>
              <w:rPr/>
              <w:t> </w:t>
            </w:r>
          </w:p>
        </w:tc>
        <w:tc>
          <w:tcPr>
            <w:tcW w:w="3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200"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2,503</w:t>
            </w:r>
          </w:p>
        </w:tc>
        <w:tc>
          <w:tcPr>
            <w:tcW w:w="14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Goodwill is recorded at the acquisition date based on a preliminary fair value determination.  This preliminary goodwill balance may be adjusted when the fair value determination is finalized.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completed our annual goodwill impairment test as of June 30 and determined that there was no impairment of goodwill.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7Debt</w:t>
      </w:r>
      <w:bookmarkStart w:id="27" w:name="Note7debt_140049"/>
      <w:bookmarkEnd w:id="2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consisted of the following as of the dates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2"/>
        <w:gridCol w:w="211"/>
        <w:gridCol w:w="139"/>
        <w:gridCol w:w="1111"/>
        <w:gridCol w:w="211"/>
        <w:gridCol w:w="159"/>
        <w:gridCol w:w="1190"/>
        <w:gridCol w:w="122"/>
      </w:tblGrid>
      <w:tr>
        <w:trPr/>
        <w:tc>
          <w:tcPr>
            <w:tcW w:w="706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5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1" w:type="dxa"/>
            <w:tcBorders/>
            <w:shd w:fill="auto" w:val="clear"/>
            <w:vAlign w:val="bottom"/>
          </w:tcPr>
          <w:p>
            <w:pPr>
              <w:pStyle w:val="TableContents"/>
              <w:spacing w:before="0" w:after="0"/>
              <w:ind w:left="0" w:right="0" w:hanging="0"/>
              <w:jc w:val="center"/>
              <w:rPr/>
            </w:pPr>
            <w:r>
              <w:rPr/>
              <w:t> </w:t>
            </w:r>
          </w:p>
        </w:tc>
        <w:tc>
          <w:tcPr>
            <w:tcW w:w="134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706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1" w:type="dxa"/>
            <w:tcBorders/>
            <w:shd w:fill="auto" w:val="clear"/>
            <w:vAlign w:val="bottom"/>
          </w:tcPr>
          <w:p>
            <w:pPr>
              <w:pStyle w:val="TableContents"/>
              <w:spacing w:before="0" w:after="0"/>
              <w:ind w:left="0" w:right="0" w:hanging="0"/>
              <w:jc w:val="center"/>
              <w:rPr/>
            </w:pPr>
            <w:r>
              <w:rPr/>
              <w:t> </w:t>
            </w:r>
          </w:p>
        </w:tc>
        <w:tc>
          <w:tcPr>
            <w:tcW w:w="13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2" w:type="dxa"/>
            <w:tcBorders/>
            <w:shd w:fill="auto" w:val="clear"/>
            <w:vAlign w:val="bottom"/>
          </w:tcPr>
          <w:p>
            <w:pPr>
              <w:pStyle w:val="TableContents"/>
              <w:spacing w:before="0" w:after="0"/>
              <w:ind w:left="0" w:right="0" w:hanging="0"/>
              <w:jc w:val="center"/>
              <w:rPr/>
            </w:pPr>
            <w:r>
              <w:rPr/>
              <w:t> </w:t>
            </w:r>
          </w:p>
        </w:tc>
      </w:tr>
      <w:tr>
        <w:trPr/>
        <w:tc>
          <w:tcPr>
            <w:tcW w:w="706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SHORT-TERM DEBT</w:t>
            </w:r>
          </w:p>
        </w:tc>
        <w:tc>
          <w:tcPr>
            <w:tcW w:w="211"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6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Credit Facilities :</w:t>
            </w:r>
          </w:p>
        </w:tc>
        <w:tc>
          <w:tcPr>
            <w:tcW w:w="211"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06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PAA senior secured hedged inventory facility, bearing a weighted-average interest rate of 1.3% and 1.6% at June 30, 2013 and December 31, 2012, respectively</w:t>
            </w:r>
          </w:p>
        </w:tc>
        <w:tc>
          <w:tcPr>
            <w:tcW w:w="21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211" w:type="dxa"/>
            <w:tcBorders/>
            <w:shd w:fill="CCEEFF" w:val="clear"/>
            <w:vAlign w:val="bottom"/>
          </w:tcPr>
          <w:p>
            <w:pPr>
              <w:pStyle w:val="TableContents"/>
              <w:spacing w:before="0" w:after="0"/>
              <w:ind w:left="0" w:right="0" w:hanging="0"/>
              <w:rPr/>
            </w:pPr>
            <w:r>
              <w:rPr/>
              <w:t> </w:t>
            </w:r>
          </w:p>
        </w:tc>
        <w:tc>
          <w:tcPr>
            <w:tcW w:w="1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665</w:t>
            </w:r>
          </w:p>
        </w:tc>
        <w:tc>
          <w:tcPr>
            <w:tcW w:w="122" w:type="dxa"/>
            <w:tcBorders/>
            <w:shd w:fill="CCEEFF" w:val="clear"/>
            <w:vAlign w:val="bottom"/>
          </w:tcPr>
          <w:p>
            <w:pPr>
              <w:pStyle w:val="TableContents"/>
              <w:spacing w:before="0" w:after="0"/>
              <w:ind w:left="0" w:right="0" w:hanging="0"/>
              <w:rPr/>
            </w:pPr>
            <w:r>
              <w:rPr/>
              <w:t> </w:t>
            </w:r>
          </w:p>
        </w:tc>
      </w:tr>
      <w:tr>
        <w:trPr/>
        <w:tc>
          <w:tcPr>
            <w:tcW w:w="7062" w:type="dxa"/>
            <w:tcBorders/>
            <w:shd w:fill="auto" w:val="clear"/>
            <w:vAlign w:val="center"/>
          </w:tcPr>
          <w:p>
            <w:pPr>
              <w:pStyle w:val="TableContents"/>
              <w:spacing w:before="0" w:after="0"/>
              <w:ind w:left="0" w:right="0" w:hanging="0"/>
              <w:rPr/>
            </w:pPr>
            <w:r>
              <w:rPr>
                <w:rFonts w:ascii="Times New Roman" w:hAnsi="Times New Roman"/>
                <w:sz w:val="17"/>
              </w:rPr>
              <w:t xml:space="preserve">PAA senior unsecured revolving credit facility, bearing a weighted-average interest rate of 3.2% and 2.4% at June 30, 2013 and December 31, 2012, respectively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1"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2" w:type="dxa"/>
            <w:tcBorders/>
            <w:shd w:fill="auto" w:val="clear"/>
            <w:vAlign w:val="bottom"/>
          </w:tcPr>
          <w:p>
            <w:pPr>
              <w:pStyle w:val="TableContents"/>
              <w:spacing w:before="0" w:after="0"/>
              <w:ind w:left="0" w:right="0" w:hanging="0"/>
              <w:rPr/>
            </w:pPr>
            <w:r>
              <w:rPr/>
              <w:t> </w:t>
            </w:r>
          </w:p>
        </w:tc>
      </w:tr>
      <w:tr>
        <w:trPr/>
        <w:tc>
          <w:tcPr>
            <w:tcW w:w="7062" w:type="dxa"/>
            <w:tcBorders/>
            <w:shd w:fill="CCEEFF" w:val="clear"/>
            <w:vAlign w:val="cente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2.0% and 2.1% at June 30, 2013 and December 31, 2012, respectively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11"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22" w:type="dxa"/>
            <w:tcBorders/>
            <w:shd w:fill="CCEEFF" w:val="clear"/>
            <w:vAlign w:val="bottom"/>
          </w:tcPr>
          <w:p>
            <w:pPr>
              <w:pStyle w:val="TableContents"/>
              <w:spacing w:before="0" w:after="0"/>
              <w:ind w:left="0" w:right="0" w:hanging="0"/>
              <w:rPr/>
            </w:pPr>
            <w:r>
              <w:rPr/>
              <w:t> </w:t>
            </w:r>
          </w:p>
        </w:tc>
      </w:tr>
      <w:tr>
        <w:trPr/>
        <w:tc>
          <w:tcPr>
            <w:tcW w:w="7062" w:type="dxa"/>
            <w:tcBorders/>
            <w:shd w:fill="auto" w:val="clear"/>
            <w:vAlign w:val="center"/>
          </w:tcPr>
          <w:p>
            <w:pPr>
              <w:pStyle w:val="TableContents"/>
              <w:spacing w:before="0" w:after="0"/>
              <w:ind w:left="0" w:right="0" w:hanging="0"/>
              <w:rPr/>
            </w:pPr>
            <w:r>
              <w:rPr>
                <w:rFonts w:ascii="Times New Roman" w:hAnsi="Times New Roman"/>
                <w:sz w:val="17"/>
              </w:rPr>
              <w:t xml:space="preserve">5.63% senior notes due December 2013 </w:t>
            </w:r>
            <w:r>
              <w:rPr>
                <w:sz w:val="11"/>
              </w:rPr>
              <w:t>(3)</w:t>
            </w:r>
          </w:p>
        </w:tc>
        <w:tc>
          <w:tcPr>
            <w:tcW w:w="211"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1"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2" w:type="dxa"/>
            <w:tcBorders/>
            <w:shd w:fill="auto" w:val="clear"/>
            <w:vAlign w:val="bottom"/>
          </w:tcPr>
          <w:p>
            <w:pPr>
              <w:pStyle w:val="TableContents"/>
              <w:spacing w:before="0" w:after="0"/>
              <w:ind w:left="0" w:right="0" w:hanging="0"/>
              <w:rPr/>
            </w:pPr>
            <w:r>
              <w:rPr/>
              <w:t> </w:t>
            </w:r>
          </w:p>
        </w:tc>
      </w:tr>
      <w:tr>
        <w:trPr/>
        <w:tc>
          <w:tcPr>
            <w:tcW w:w="706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1"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pPr>
            <w:r>
              <w:rPr/>
              <w:t> </w:t>
            </w:r>
          </w:p>
        </w:tc>
        <w:tc>
          <w:tcPr>
            <w:tcW w:w="13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2" w:type="dxa"/>
            <w:tcBorders/>
            <w:shd w:fill="CCEEFF" w:val="clear"/>
            <w:vAlign w:val="bottom"/>
          </w:tcPr>
          <w:p>
            <w:pPr>
              <w:pStyle w:val="TableContents"/>
              <w:spacing w:before="0" w:after="0"/>
              <w:ind w:left="0" w:right="0" w:hanging="0"/>
              <w:rPr/>
            </w:pPr>
            <w:r>
              <w:rPr/>
              <w:t> </w:t>
            </w:r>
          </w:p>
        </w:tc>
      </w:tr>
      <w:tr>
        <w:trPr/>
        <w:tc>
          <w:tcPr>
            <w:tcW w:w="706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short-term debt </w:t>
            </w:r>
          </w:p>
        </w:tc>
        <w:tc>
          <w:tcPr>
            <w:tcW w:w="211"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902</w:t>
            </w:r>
          </w:p>
        </w:tc>
        <w:tc>
          <w:tcPr>
            <w:tcW w:w="211"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22" w:type="dxa"/>
            <w:tcBorders/>
            <w:shd w:fill="auto" w:val="clear"/>
            <w:vAlign w:val="bottom"/>
          </w:tcPr>
          <w:p>
            <w:pPr>
              <w:pStyle w:val="TableContents"/>
              <w:spacing w:before="0" w:after="0"/>
              <w:ind w:left="0" w:right="0" w:hanging="0"/>
              <w:rPr/>
            </w:pPr>
            <w:r>
              <w:rPr/>
              <w:t> </w:t>
            </w:r>
          </w:p>
        </w:tc>
      </w:tr>
      <w:tr>
        <w:trPr/>
        <w:tc>
          <w:tcPr>
            <w:tcW w:w="7062"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62"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LONG-TERM DEBT</w:t>
            </w:r>
          </w:p>
        </w:tc>
        <w:tc>
          <w:tcPr>
            <w:tcW w:w="211"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0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discounts of $14 and $15 at June 30, 2013 and December 31, 2012, respectively</w:t>
            </w:r>
          </w:p>
        </w:tc>
        <w:tc>
          <w:tcPr>
            <w:tcW w:w="211"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6,011</w:t>
            </w:r>
          </w:p>
        </w:tc>
        <w:tc>
          <w:tcPr>
            <w:tcW w:w="211"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22" w:type="dxa"/>
            <w:tcBorders/>
            <w:shd w:fill="CCEEFF" w:val="clear"/>
            <w:vAlign w:val="bottom"/>
          </w:tcPr>
          <w:p>
            <w:pPr>
              <w:pStyle w:val="TableContents"/>
              <w:spacing w:before="0" w:after="0"/>
              <w:ind w:left="0" w:right="0" w:hanging="0"/>
              <w:rPr/>
            </w:pPr>
            <w:r>
              <w:rPr/>
              <w:t> </w:t>
            </w:r>
          </w:p>
        </w:tc>
      </w:tr>
      <w:tr>
        <w:trPr/>
        <w:tc>
          <w:tcPr>
            <w:tcW w:w="706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0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Credit Facilities and Other:</w:t>
            </w:r>
          </w:p>
        </w:tc>
        <w:tc>
          <w:tcPr>
            <w:tcW w:w="211"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62" w:type="dxa"/>
            <w:tcBorders/>
            <w:shd w:fill="auto" w:val="clear"/>
            <w:vAlign w:val="center"/>
          </w:tcPr>
          <w:p>
            <w:pPr>
              <w:pStyle w:val="TableContents"/>
              <w:spacing w:before="0" w:after="0"/>
              <w:ind w:left="0" w:right="0" w:hanging="0"/>
              <w:rPr/>
            </w:pPr>
            <w:r>
              <w:rPr>
                <w:rFonts w:ascii="Times New Roman" w:hAnsi="Times New Roman"/>
                <w:sz w:val="17"/>
              </w:rPr>
              <w:t>PNG senior unsecured revolving credit facility, bearing a weighted-average interest rate of 2.0% and 2.1% at June 30, 2013 and December 31, 2012, respectively</w:t>
            </w:r>
            <w:r>
              <w:rPr/>
              <w:t xml:space="preserve">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11"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22" w:type="dxa"/>
            <w:tcBorders/>
            <w:shd w:fill="auto" w:val="clear"/>
            <w:vAlign w:val="bottom"/>
          </w:tcPr>
          <w:p>
            <w:pPr>
              <w:pStyle w:val="TableContents"/>
              <w:spacing w:before="0" w:after="0"/>
              <w:ind w:left="0" w:right="0" w:hanging="0"/>
              <w:rPr/>
            </w:pPr>
            <w:r>
              <w:rPr/>
              <w:t> </w:t>
            </w:r>
          </w:p>
        </w:tc>
      </w:tr>
      <w:tr>
        <w:trPr/>
        <w:tc>
          <w:tcPr>
            <w:tcW w:w="70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 GO Bond term loans, bearing a weighted-average interest rate of 1.5% at both June 30, 2013 and December 31, 2012</w:t>
            </w:r>
          </w:p>
        </w:tc>
        <w:tc>
          <w:tcPr>
            <w:tcW w:w="211"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1"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2" w:type="dxa"/>
            <w:tcBorders/>
            <w:shd w:fill="CCEEFF" w:val="clear"/>
            <w:vAlign w:val="bottom"/>
          </w:tcPr>
          <w:p>
            <w:pPr>
              <w:pStyle w:val="TableContents"/>
              <w:spacing w:before="0" w:after="0"/>
              <w:ind w:left="0" w:right="0" w:hanging="0"/>
              <w:rPr/>
            </w:pPr>
            <w:r>
              <w:rPr/>
              <w:t> </w:t>
            </w:r>
          </w:p>
        </w:tc>
      </w:tr>
      <w:tr>
        <w:trPr/>
        <w:tc>
          <w:tcPr>
            <w:tcW w:w="70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11" w:type="dxa"/>
            <w:tcBorders/>
            <w:shd w:fill="auto"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auto" w:val="clear"/>
            <w:vAlign w:val="bottom"/>
          </w:tcPr>
          <w:p>
            <w:pPr>
              <w:pStyle w:val="TableContents"/>
              <w:spacing w:before="0" w:after="0"/>
              <w:ind w:left="0" w:right="0" w:hanging="0"/>
              <w:rPr/>
            </w:pPr>
            <w:r>
              <w:rPr/>
              <w:t> </w:t>
            </w:r>
          </w:p>
        </w:tc>
        <w:tc>
          <w:tcPr>
            <w:tcW w:w="13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2" w:type="dxa"/>
            <w:tcBorders/>
            <w:shd w:fill="auto" w:val="clear"/>
            <w:vAlign w:val="bottom"/>
          </w:tcPr>
          <w:p>
            <w:pPr>
              <w:pStyle w:val="TableContents"/>
              <w:spacing w:before="0" w:after="0"/>
              <w:ind w:left="0" w:right="0" w:hanging="0"/>
              <w:rPr/>
            </w:pPr>
            <w:r>
              <w:rPr/>
              <w:t> </w:t>
            </w:r>
          </w:p>
        </w:tc>
      </w:tr>
      <w:tr>
        <w:trPr/>
        <w:tc>
          <w:tcPr>
            <w:tcW w:w="706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long-term debt </w:t>
            </w:r>
          </w:p>
        </w:tc>
        <w:tc>
          <w:tcPr>
            <w:tcW w:w="211"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6,313</w:t>
            </w:r>
          </w:p>
        </w:tc>
        <w:tc>
          <w:tcPr>
            <w:tcW w:w="211" w:type="dxa"/>
            <w:tcBorders/>
            <w:shd w:fill="CCEEFF" w:val="clear"/>
            <w:vAlign w:val="bottom"/>
          </w:tcPr>
          <w:p>
            <w:pPr>
              <w:pStyle w:val="TableContents"/>
              <w:spacing w:before="0" w:after="0"/>
              <w:ind w:left="0" w:right="0" w:hanging="0"/>
              <w:rPr/>
            </w:pPr>
            <w:r>
              <w:rPr/>
              <w:t> </w:t>
            </w:r>
          </w:p>
        </w:tc>
        <w:tc>
          <w:tcPr>
            <w:tcW w:w="13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22" w:type="dxa"/>
            <w:tcBorders/>
            <w:shd w:fill="CCEEFF" w:val="clear"/>
            <w:vAlign w:val="bottom"/>
          </w:tcPr>
          <w:p>
            <w:pPr>
              <w:pStyle w:val="TableContents"/>
              <w:spacing w:before="0" w:after="0"/>
              <w:ind w:left="0" w:right="0" w:hanging="0"/>
              <w:rPr/>
            </w:pPr>
            <w:r>
              <w:rPr/>
              <w:t> </w:t>
            </w:r>
          </w:p>
        </w:tc>
      </w:tr>
      <w:tr>
        <w:trPr/>
        <w:tc>
          <w:tcPr>
            <w:tcW w:w="7062" w:type="dxa"/>
            <w:tcBorders/>
            <w:shd w:fill="auto" w:val="clear"/>
            <w:vAlign w:val="bottom"/>
          </w:tcPr>
          <w:p>
            <w:pPr>
              <w:pStyle w:val="TableContents"/>
              <w:spacing w:before="0" w:after="0"/>
              <w:ind w:left="0" w:right="0" w:hanging="0"/>
              <w:rPr/>
            </w:pPr>
            <w:r>
              <w:rPr>
                <w:rFonts w:ascii="Times New Roman" w:hAnsi="Times New Roman"/>
                <w:sz w:val="17"/>
              </w:rPr>
              <w:t xml:space="preserve">Total debt </w:t>
            </w:r>
            <w:r>
              <w:rPr>
                <w:sz w:val="11"/>
              </w:rPr>
              <w:t>(1) (2) (4)</w:t>
            </w:r>
          </w:p>
        </w:tc>
        <w:tc>
          <w:tcPr>
            <w:tcW w:w="21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7,215</w:t>
            </w:r>
          </w:p>
        </w:tc>
        <w:tc>
          <w:tcPr>
            <w:tcW w:w="211"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7,406</w:t>
            </w:r>
          </w:p>
        </w:tc>
        <w:tc>
          <w:tcPr>
            <w:tcW w:w="12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classify as short-term certain borrowings under our PAA senior unsecured revolving credit facility.  These borrowings are primarily designated as working capital borrowings, must be repaid within one year and are primarily for hedged NGL and crude oil inventory and NYMEX and ICE margin deposits.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8" w:name="PB_11_140215_2897"/>
      <w:bookmarkEnd w:id="2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Our $250 million 5.63% senior notes will mature in December 2013 and are thus classified as short-term at June 30, 2013 and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Our fixed-rate senior notes (including current maturities) had a face value of approximately $6.3 billion at both June 30, 2013 and December 31, 2012.  We estimated the aggregate fair value of these notes as of June 30, 2013 and December 31, 2012 to be approximately $6.8 billion and $7.3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and agreements approximates fair value as interest rates reflect current market rates.  The fair value estimates for both our senior notes and credit facilities and agreements are based upon observable market data and are classified within level 2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Borrowings and Repayments under Credit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Total borrowings under our credit agreements for the six months ended June 30, 2013 and 2012 were approximately $7.561 billion and $4.856 billion, respectively. Total repayments under our credit agreements were approximately $7.747 billion and $4.511 billion for the six months ended June 30, 2013 and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supply and logistics activities and PNGs natural gas storage and commercial marketing activities, we provide certain suppliers with irrevocable standby letters of credit to secure our obligation for the purchase of crude oil.  At June 30, 2013 and December 31, 2012, we had outstanding letters of credit of approximately $50 million and $24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8Net Income Per Limited Partner Unit</w:t>
      </w:r>
      <w:bookmarkStart w:id="29" w:name="Note8netIncomePerLimitedPartnerUn_140249"/>
      <w:bookmarkEnd w:id="2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Basic and diluted net income per limited partner unit is determined pursuant to the two-class method for Master Limited Partnerships as prescribed in the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calculates basic and diluted net income per limited partner unit by dividing net income attributable to Plains, after deducting the amount allocated to the general partners interest, incentive distribution rights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15 to our Consolidated Financial Statements included in Part IV of our 2012 Annual Report on Form 10-K for a complete discussion of our LTIP awards including specific discussion regarding DERs.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30" w:name="PB_12_140255_3020"/>
      <w:bookmarkEnd w:id="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three and six months ended June 30, 2013 and 2012 (in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43"/>
        <w:gridCol w:w="211"/>
        <w:gridCol w:w="141"/>
        <w:gridCol w:w="909"/>
        <w:gridCol w:w="225"/>
        <w:gridCol w:w="141"/>
        <w:gridCol w:w="910"/>
        <w:gridCol w:w="218"/>
        <w:gridCol w:w="135"/>
        <w:gridCol w:w="892"/>
        <w:gridCol w:w="221"/>
        <w:gridCol w:w="135"/>
        <w:gridCol w:w="894"/>
        <w:gridCol w:w="130"/>
      </w:tblGrid>
      <w:tr>
        <w:trPr/>
        <w:tc>
          <w:tcPr>
            <w:tcW w:w="504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18" w:type="dxa"/>
            <w:tcBorders/>
            <w:shd w:fill="auto" w:val="clear"/>
            <w:vAlign w:val="bottom"/>
          </w:tcPr>
          <w:p>
            <w:pPr>
              <w:pStyle w:val="TableContents"/>
              <w:spacing w:before="0" w:after="0"/>
              <w:ind w:left="0" w:right="0" w:hanging="0"/>
              <w:jc w:val="center"/>
              <w:rPr/>
            </w:pPr>
            <w:r>
              <w:rPr/>
              <w:t> </w:t>
            </w:r>
          </w:p>
        </w:tc>
        <w:tc>
          <w:tcPr>
            <w:tcW w:w="227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30" w:type="dxa"/>
            <w:tcBorders/>
            <w:shd w:fill="auto" w:val="clear"/>
            <w:vAlign w:val="bottom"/>
          </w:tcPr>
          <w:p>
            <w:pPr>
              <w:pStyle w:val="TableContents"/>
              <w:spacing w:before="0" w:after="0"/>
              <w:ind w:left="0" w:right="0" w:hanging="0"/>
              <w:jc w:val="center"/>
              <w:rPr/>
            </w:pPr>
            <w:r>
              <w:rPr/>
              <w:t> </w:t>
            </w:r>
          </w:p>
        </w:tc>
      </w:tr>
      <w:tr>
        <w:trPr/>
        <w:tc>
          <w:tcPr>
            <w:tcW w:w="504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5" w:type="dxa"/>
            <w:tcBorders/>
            <w:shd w:fill="auto" w:val="clear"/>
            <w:vAlign w:val="bottom"/>
          </w:tcPr>
          <w:p>
            <w:pPr>
              <w:pStyle w:val="TableContents"/>
              <w:spacing w:before="0" w:after="0"/>
              <w:ind w:left="0" w:right="0" w:hanging="0"/>
              <w:jc w:val="center"/>
              <w:rPr/>
            </w:pPr>
            <w:r>
              <w:rPr/>
              <w:t> </w:t>
            </w:r>
          </w:p>
        </w:tc>
        <w:tc>
          <w:tcPr>
            <w:tcW w:w="105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shd w:fill="auto" w:val="clear"/>
            <w:vAlign w:val="bottom"/>
          </w:tcPr>
          <w:p>
            <w:pPr>
              <w:pStyle w:val="TableContents"/>
              <w:spacing w:before="0" w:after="0"/>
              <w:ind w:left="0" w:right="0" w:hanging="0"/>
              <w:jc w:val="center"/>
              <w:rPr/>
            </w:pPr>
            <w:r>
              <w:rPr/>
              <w:t> </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1" w:type="dxa"/>
            <w:tcBorders/>
            <w:shd w:fill="auto" w:val="clear"/>
            <w:vAlign w:val="bottom"/>
          </w:tcPr>
          <w:p>
            <w:pPr>
              <w:pStyle w:val="TableContents"/>
              <w:spacing w:before="0" w:after="0"/>
              <w:ind w:left="0" w:right="0" w:hanging="0"/>
              <w:jc w:val="center"/>
              <w:rPr/>
            </w:pPr>
            <w:r>
              <w:rPr/>
              <w:t> </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0" w:type="dxa"/>
            <w:tcBorders/>
            <w:shd w:fill="auto" w:val="clear"/>
            <w:vAlign w:val="bottom"/>
          </w:tcPr>
          <w:p>
            <w:pPr>
              <w:pStyle w:val="TableContents"/>
              <w:spacing w:before="0" w:after="0"/>
              <w:ind w:left="0" w:right="0" w:hanging="0"/>
              <w:jc w:val="center"/>
              <w:rPr/>
            </w:pPr>
            <w:r>
              <w:rPr/>
              <w:t> </w:t>
            </w:r>
          </w:p>
        </w:tc>
      </w:tr>
      <w:tr>
        <w:trPr/>
        <w:tc>
          <w:tcPr>
            <w:tcW w:w="504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5"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8"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21"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30"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bottom"/>
          </w:tcPr>
          <w:p>
            <w:pPr>
              <w:pStyle w:val="TableContents"/>
              <w:spacing w:before="0" w:after="0"/>
              <w:ind w:left="0" w:right="0" w:hanging="0"/>
              <w:rPr/>
            </w:pPr>
            <w:r>
              <w:rPr>
                <w:rFonts w:ascii="Times New Roman" w:hAnsi="Times New Roman"/>
                <w:sz w:val="17"/>
              </w:rPr>
              <w:t xml:space="preserve">General partners incentive distribution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43" w:type="dxa"/>
            <w:tcBorders/>
            <w:shd w:fill="auto" w:val="clear"/>
            <w:vAlign w:val="bottom"/>
          </w:tcPr>
          <w:p>
            <w:pPr>
              <w:pStyle w:val="TableContents"/>
              <w:spacing w:before="0" w:after="0"/>
              <w:ind w:left="0" w:right="0" w:hanging="0"/>
              <w:rPr/>
            </w:pPr>
            <w:r>
              <w:rPr>
                <w:rFonts w:ascii="Times New Roman" w:hAnsi="Times New Roman"/>
                <w:sz w:val="17"/>
              </w:rPr>
              <w:t>General partner 2% ownership</w:t>
            </w:r>
            <w:r>
              <w:rPr/>
              <w:t xml:space="preserve">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available to limited partners </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8"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pPr>
            <w:r>
              <w:rPr>
                <w:rFonts w:ascii="Times New Roman" w:hAnsi="Times New Roman"/>
                <w:sz w:val="17"/>
              </w:rPr>
              <w:t xml:space="preserve">Undistributed earnings allocated and distributions to participating securities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218"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w:t>
            </w:r>
          </w:p>
        </w:tc>
        <w:tc>
          <w:tcPr>
            <w:tcW w:w="221"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18"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8"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21"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5"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18"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21"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30"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bottom"/>
          </w:tcPr>
          <w:p>
            <w:pPr>
              <w:pStyle w:val="TableContents"/>
              <w:spacing w:before="0" w:after="0"/>
              <w:ind w:left="0" w:right="0" w:hanging="0"/>
              <w:rPr/>
            </w:pPr>
            <w:r>
              <w:rPr>
                <w:rFonts w:ascii="Times New Roman" w:hAnsi="Times New Roman"/>
                <w:sz w:val="17"/>
              </w:rPr>
              <w:t xml:space="preserve">General partners incentive distribution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43" w:type="dxa"/>
            <w:tcBorders/>
            <w:shd w:fill="auto" w:val="clear"/>
            <w:vAlign w:val="bottom"/>
          </w:tcPr>
          <w:p>
            <w:pPr>
              <w:pStyle w:val="TableContents"/>
              <w:spacing w:before="0" w:after="0"/>
              <w:ind w:left="0" w:right="0" w:hanging="0"/>
              <w:rPr/>
            </w:pPr>
            <w:r>
              <w:rPr>
                <w:rFonts w:ascii="Times New Roman" w:hAnsi="Times New Roman"/>
                <w:sz w:val="17"/>
              </w:rPr>
              <w:t>General partner 2% ownership</w:t>
            </w:r>
            <w:r>
              <w:rPr/>
              <w:t xml:space="preserve">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available to limited partners </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8"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pPr>
            <w:r>
              <w:rPr>
                <w:rFonts w:ascii="Times New Roman" w:hAnsi="Times New Roman"/>
                <w:sz w:val="17"/>
              </w:rPr>
              <w:t xml:space="preserve">Undistributed earnings allocated and distributions to participating securities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218"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628</w:t>
            </w:r>
          </w:p>
        </w:tc>
        <w:tc>
          <w:tcPr>
            <w:tcW w:w="221"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18"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 Weighted average LTIP units</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8" w:type="dxa"/>
            <w:tcBorders/>
            <w:shd w:fill="auto" w:val="clear"/>
            <w:vAlign w:val="bottom"/>
          </w:tcPr>
          <w:p>
            <w:pPr>
              <w:pStyle w:val="TableContents"/>
              <w:spacing w:before="0" w:after="0"/>
              <w:ind w:left="0" w:right="0" w:hanging="0"/>
              <w:rPr/>
            </w:pPr>
            <w:r>
              <w:rPr/>
              <w:t> </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0"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18" w:type="dxa"/>
            <w:tcBorders/>
            <w:shd w:fill="CCEEFF" w:val="clear"/>
            <w:vAlign w:val="bottom"/>
          </w:tcPr>
          <w:p>
            <w:pPr>
              <w:pStyle w:val="TableContents"/>
              <w:spacing w:before="0" w:after="0"/>
              <w:ind w:left="0" w:right="0" w:hanging="0"/>
              <w:rPr/>
            </w:pPr>
            <w:r>
              <w:rPr/>
              <w:t> </w:t>
            </w:r>
          </w:p>
        </w:tc>
        <w:tc>
          <w:tcPr>
            <w:tcW w:w="102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21" w:type="dxa"/>
            <w:tcBorders/>
            <w:shd w:fill="CCEEFF" w:val="clear"/>
            <w:vAlign w:val="bottom"/>
          </w:tcPr>
          <w:p>
            <w:pPr>
              <w:pStyle w:val="TableContents"/>
              <w:spacing w:before="0" w:after="0"/>
              <w:ind w:left="0" w:right="0" w:hanging="0"/>
              <w:rPr/>
            </w:pPr>
            <w:r>
              <w:rPr/>
              <w:t> </w:t>
            </w:r>
          </w:p>
        </w:tc>
        <w:tc>
          <w:tcPr>
            <w:tcW w:w="102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30" w:type="dxa"/>
            <w:tcBorders/>
            <w:shd w:fill="CCEEFF" w:val="clear"/>
            <w:vAlign w:val="bottom"/>
          </w:tcPr>
          <w:p>
            <w:pPr>
              <w:pStyle w:val="TableContents"/>
              <w:spacing w:before="0" w:after="0"/>
              <w:ind w:left="0" w:right="0" w:hanging="0"/>
              <w:rPr/>
            </w:pPr>
            <w:r>
              <w:rPr/>
              <w:t> </w:t>
            </w:r>
          </w:p>
        </w:tc>
      </w:tr>
      <w:tr>
        <w:trPr/>
        <w:tc>
          <w:tcPr>
            <w:tcW w:w="504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2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18"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21"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3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terms of our partnership agreement limit the general partners incentive distribution to the amount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the partnership agreement, basic and diluted earnings per limited partner unit as reflected in the table above would be impacted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075"/>
        <w:gridCol w:w="214"/>
        <w:gridCol w:w="168"/>
        <w:gridCol w:w="1041"/>
        <w:gridCol w:w="227"/>
        <w:gridCol w:w="168"/>
        <w:gridCol w:w="1207"/>
        <w:gridCol w:w="223"/>
        <w:gridCol w:w="144"/>
        <w:gridCol w:w="1116"/>
        <w:gridCol w:w="223"/>
        <w:gridCol w:w="144"/>
        <w:gridCol w:w="1117"/>
        <w:gridCol w:w="138"/>
      </w:tblGrid>
      <w:tr>
        <w:trPr/>
        <w:tc>
          <w:tcPr>
            <w:tcW w:w="407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81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June 30,</w:t>
            </w:r>
          </w:p>
        </w:tc>
        <w:tc>
          <w:tcPr>
            <w:tcW w:w="223" w:type="dxa"/>
            <w:tcBorders/>
            <w:shd w:fill="auto" w:val="clear"/>
            <w:vAlign w:val="bottom"/>
          </w:tcPr>
          <w:p>
            <w:pPr>
              <w:pStyle w:val="TableContents"/>
              <w:spacing w:before="0" w:after="0"/>
              <w:ind w:left="0" w:right="0" w:hanging="0"/>
              <w:jc w:val="center"/>
              <w:rPr/>
            </w:pPr>
            <w:r>
              <w:rPr/>
              <w:t> </w:t>
            </w:r>
          </w:p>
        </w:tc>
        <w:tc>
          <w:tcPr>
            <w:tcW w:w="274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br/>
              <w:t>June 30,</w:t>
            </w:r>
          </w:p>
        </w:tc>
        <w:tc>
          <w:tcPr>
            <w:tcW w:w="138" w:type="dxa"/>
            <w:tcBorders/>
            <w:shd w:fill="auto" w:val="clear"/>
            <w:vAlign w:val="bottom"/>
          </w:tcPr>
          <w:p>
            <w:pPr>
              <w:pStyle w:val="TableContents"/>
              <w:spacing w:before="0" w:after="0"/>
              <w:ind w:left="0" w:right="0" w:hanging="0"/>
              <w:jc w:val="center"/>
              <w:rPr/>
            </w:pPr>
            <w:r>
              <w:rPr/>
              <w:t> </w:t>
            </w:r>
          </w:p>
        </w:tc>
      </w:tr>
      <w:tr>
        <w:trPr/>
        <w:tc>
          <w:tcPr>
            <w:tcW w:w="407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7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3"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8" w:type="dxa"/>
            <w:tcBorders/>
            <w:shd w:fill="auto" w:val="clear"/>
            <w:vAlign w:val="bottom"/>
          </w:tcPr>
          <w:p>
            <w:pPr>
              <w:pStyle w:val="TableContents"/>
              <w:spacing w:before="0" w:after="0"/>
              <w:ind w:left="0" w:right="0" w:hanging="0"/>
              <w:jc w:val="center"/>
              <w:rPr/>
            </w:pPr>
            <w:r>
              <w:rPr/>
              <w:t> </w:t>
            </w:r>
          </w:p>
        </w:tc>
      </w:tr>
      <w:tr>
        <w:trPr/>
        <w:tc>
          <w:tcPr>
            <w:tcW w:w="40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 impact</w:t>
            </w:r>
          </w:p>
        </w:tc>
        <w:tc>
          <w:tcPr>
            <w:tcW w:w="214" w:type="dxa"/>
            <w:tcBorders/>
            <w:shd w:fill="CCEEFF" w:val="clear"/>
            <w:vAlign w:val="bottom"/>
          </w:tcPr>
          <w:p>
            <w:pPr>
              <w:pStyle w:val="TableContents"/>
              <w:spacing w:before="0" w:after="0"/>
              <w:ind w:left="0" w:right="0" w:hanging="0"/>
              <w:rPr/>
            </w:pPr>
            <w:r>
              <w:rPr/>
              <w:t> </w:t>
            </w:r>
          </w:p>
        </w:tc>
        <w:tc>
          <w:tcPr>
            <w:tcW w:w="1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1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(0.19</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(0.18</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7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40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 impact</w:t>
            </w:r>
          </w:p>
        </w:tc>
        <w:tc>
          <w:tcPr>
            <w:tcW w:w="214" w:type="dxa"/>
            <w:tcBorders/>
            <w:shd w:fill="CCEEFF" w:val="clear"/>
            <w:vAlign w:val="bottom"/>
          </w:tcPr>
          <w:p>
            <w:pPr>
              <w:pStyle w:val="TableContents"/>
              <w:spacing w:before="0" w:after="0"/>
              <w:ind w:left="0" w:right="0" w:hanging="0"/>
              <w:rPr/>
            </w:pPr>
            <w:r>
              <w:rPr/>
              <w:t> </w:t>
            </w:r>
          </w:p>
        </w:tc>
        <w:tc>
          <w:tcPr>
            <w:tcW w:w="1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1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(0.18</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31" w:name="PB_13_140612_141"/>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9Partners Capital and Distributions</w:t>
      </w:r>
      <w:bookmarkStart w:id="32" w:name="Note9partnersCapitalAndDistributi_140614"/>
      <w:bookmarkEnd w:id="32"/>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distributions paid during or pertaining to the first six months of 2013, net of reductions to the general partners incentive distributions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39"/>
        <w:gridCol w:w="178"/>
        <w:gridCol w:w="2201"/>
        <w:gridCol w:w="178"/>
        <w:gridCol w:w="168"/>
        <w:gridCol w:w="817"/>
        <w:gridCol w:w="178"/>
        <w:gridCol w:w="204"/>
        <w:gridCol w:w="801"/>
        <w:gridCol w:w="204"/>
        <w:gridCol w:w="190"/>
        <w:gridCol w:w="676"/>
        <w:gridCol w:w="178"/>
        <w:gridCol w:w="142"/>
        <w:gridCol w:w="747"/>
        <w:gridCol w:w="178"/>
        <w:gridCol w:w="164"/>
        <w:gridCol w:w="1140"/>
        <w:gridCol w:w="122"/>
      </w:tblGrid>
      <w:tr>
        <w:trPr/>
        <w:tc>
          <w:tcPr>
            <w:tcW w:w="1739"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2201" w:type="dxa"/>
            <w:tcBorders/>
            <w:shd w:fill="auto" w:val="cle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4305"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178" w:type="dxa"/>
            <w:tcBorders/>
            <w:shd w:fill="auto" w:val="clear"/>
            <w:vAlign w:val="bottom"/>
          </w:tcPr>
          <w:p>
            <w:pPr>
              <w:pStyle w:val="TableContents"/>
              <w:spacing w:before="0" w:after="0"/>
              <w:ind w:left="0" w:right="0" w:hanging="0"/>
              <w:jc w:val="center"/>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w:t>
            </w:r>
          </w:p>
        </w:tc>
        <w:tc>
          <w:tcPr>
            <w:tcW w:w="122" w:type="dxa"/>
            <w:tcBorders/>
            <w:shd w:fill="auto" w:val="clear"/>
            <w:vAlign w:val="bottom"/>
          </w:tcPr>
          <w:p>
            <w:pPr>
              <w:pStyle w:val="TableContents"/>
              <w:spacing w:before="0" w:after="0"/>
              <w:ind w:left="0" w:right="0" w:hanging="0"/>
              <w:jc w:val="center"/>
              <w:rPr/>
            </w:pPr>
            <w:r>
              <w:rPr/>
              <w:t> </w:t>
            </w:r>
          </w:p>
        </w:tc>
      </w:tr>
      <w:tr>
        <w:trPr/>
        <w:tc>
          <w:tcPr>
            <w:tcW w:w="1739"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2201" w:type="dxa"/>
            <w:tcBorders/>
            <w:shd w:fill="auto" w:val="cle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9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075"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 limited</w:t>
            </w:r>
          </w:p>
        </w:tc>
        <w:tc>
          <w:tcPr>
            <w:tcW w:w="122" w:type="dxa"/>
            <w:tcBorders/>
            <w:shd w:fill="auto" w:val="clear"/>
            <w:vAlign w:val="bottom"/>
          </w:tcPr>
          <w:p>
            <w:pPr>
              <w:pStyle w:val="TableContents"/>
              <w:spacing w:before="0" w:after="0"/>
              <w:ind w:left="0" w:right="0" w:hanging="0"/>
              <w:jc w:val="center"/>
              <w:rPr/>
            </w:pPr>
            <w:r>
              <w:rPr/>
              <w:t> </w:t>
            </w:r>
          </w:p>
        </w:tc>
      </w:tr>
      <w:tr>
        <w:trPr/>
        <w:tc>
          <w:tcPr>
            <w:tcW w:w="173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 Declared</w:t>
            </w:r>
          </w:p>
        </w:tc>
        <w:tc>
          <w:tcPr>
            <w:tcW w:w="178" w:type="dxa"/>
            <w:tcBorders/>
            <w:shd w:fill="auto" w:val="clear"/>
            <w:vAlign w:val="bottom"/>
          </w:tcPr>
          <w:p>
            <w:pPr>
              <w:pStyle w:val="TableContents"/>
              <w:spacing w:before="0" w:after="0"/>
              <w:ind w:left="0" w:right="0" w:hanging="0"/>
              <w:jc w:val="center"/>
              <w:rPr/>
            </w:pPr>
            <w:r>
              <w:rPr/>
              <w:t> </w:t>
            </w:r>
          </w:p>
        </w:tc>
        <w:tc>
          <w:tcPr>
            <w:tcW w:w="220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 Paid or To Be Paid</w:t>
            </w:r>
          </w:p>
        </w:tc>
        <w:tc>
          <w:tcPr>
            <w:tcW w:w="178" w:type="dxa"/>
            <w:tcBorders/>
            <w:shd w:fill="auto" w:val="clear"/>
            <w:vAlign w:val="bottom"/>
          </w:tcPr>
          <w:p>
            <w:pPr>
              <w:pStyle w:val="TableContents"/>
              <w:spacing w:before="0" w:after="0"/>
              <w:ind w:left="0" w:right="0" w:hanging="0"/>
              <w:jc w:val="center"/>
              <w:rPr/>
            </w:pPr>
            <w:r>
              <w:rPr/>
              <w:t> </w:t>
            </w:r>
          </w:p>
        </w:tc>
        <w:tc>
          <w:tcPr>
            <w:tcW w:w="9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8" w:type="dxa"/>
            <w:tcBorders/>
            <w:shd w:fill="auto" w:val="clear"/>
            <w:vAlign w:val="bottom"/>
          </w:tcPr>
          <w:p>
            <w:pPr>
              <w:pStyle w:val="TableContents"/>
              <w:spacing w:before="0" w:after="0"/>
              <w:ind w:left="0" w:right="0" w:hanging="0"/>
              <w:jc w:val="center"/>
              <w:rPr/>
            </w:pPr>
            <w:r>
              <w:rPr/>
              <w:t> </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178" w:type="dxa"/>
            <w:tcBorders/>
            <w:shd w:fill="auto" w:val="clear"/>
            <w:vAlign w:val="bottom"/>
          </w:tcPr>
          <w:p>
            <w:pPr>
              <w:pStyle w:val="TableContents"/>
              <w:spacing w:before="0" w:after="0"/>
              <w:ind w:left="0" w:right="0" w:hanging="0"/>
              <w:jc w:val="center"/>
              <w:rPr/>
            </w:pPr>
            <w:r>
              <w:rPr/>
              <w:t> </w:t>
            </w:r>
          </w:p>
        </w:tc>
        <w:tc>
          <w:tcPr>
            <w:tcW w:w="8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78" w:type="dxa"/>
            <w:tcBorders/>
            <w:shd w:fill="auto" w:val="clear"/>
            <w:vAlign w:val="bottom"/>
          </w:tcPr>
          <w:p>
            <w:pPr>
              <w:pStyle w:val="TableContents"/>
              <w:spacing w:before="0" w:after="0"/>
              <w:ind w:left="0" w:right="0" w:hanging="0"/>
              <w:jc w:val="center"/>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 unit</w:t>
            </w:r>
          </w:p>
        </w:tc>
        <w:tc>
          <w:tcPr>
            <w:tcW w:w="122" w:type="dxa"/>
            <w:tcBorders/>
            <w:shd w:fill="auto" w:val="clear"/>
            <w:vAlign w:val="bottom"/>
          </w:tcPr>
          <w:p>
            <w:pPr>
              <w:pStyle w:val="TableContents"/>
              <w:spacing w:before="0" w:after="0"/>
              <w:ind w:left="0" w:right="0" w:hanging="0"/>
              <w:jc w:val="center"/>
              <w:rPr/>
            </w:pPr>
            <w:r>
              <w:rPr/>
              <w:t> </w:t>
            </w:r>
          </w:p>
        </w:tc>
      </w:tr>
      <w:tr>
        <w:trPr/>
        <w:tc>
          <w:tcPr>
            <w:tcW w:w="1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July 8, 2013</w:t>
            </w:r>
          </w:p>
        </w:tc>
        <w:tc>
          <w:tcPr>
            <w:tcW w:w="178" w:type="dxa"/>
            <w:tcBorders/>
            <w:shd w:fill="CCEEFF" w:val="clear"/>
            <w:vAlign w:val="bottom"/>
          </w:tcPr>
          <w:p>
            <w:pPr>
              <w:pStyle w:val="TableContents"/>
              <w:spacing w:before="0" w:after="0"/>
              <w:ind w:left="0" w:right="0" w:hanging="0"/>
              <w:rPr/>
            </w:pPr>
            <w:r>
              <w:rPr/>
              <w:t> </w:t>
            </w:r>
          </w:p>
        </w:tc>
        <w:tc>
          <w:tcPr>
            <w:tcW w:w="2201" w:type="dxa"/>
            <w:tcBorders/>
            <w:shd w:fill="CCEEFF" w:val="clear"/>
            <w:vAlign w:val="bottom"/>
          </w:tcPr>
          <w:p>
            <w:pPr>
              <w:pStyle w:val="TableContents"/>
              <w:spacing w:before="0" w:after="0"/>
              <w:ind w:left="0" w:right="0" w:hanging="0"/>
              <w:rPr/>
            </w:pPr>
            <w:r>
              <w:rPr>
                <w:rFonts w:ascii="Times New Roman" w:hAnsi="Times New Roman"/>
                <w:sz w:val="17"/>
              </w:rPr>
              <w:t xml:space="preserve">August 14, 2013 </w:t>
            </w:r>
            <w:r>
              <w:rPr>
                <w:sz w:val="11"/>
              </w:rPr>
              <w:t>(1)</w:t>
            </w:r>
          </w:p>
        </w:tc>
        <w:tc>
          <w:tcPr>
            <w:tcW w:w="178"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178"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4"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8"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78"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0.5875</w:t>
            </w:r>
          </w:p>
        </w:tc>
        <w:tc>
          <w:tcPr>
            <w:tcW w:w="122" w:type="dxa"/>
            <w:tcBorders/>
            <w:shd w:fill="CCEEFF" w:val="clear"/>
            <w:vAlign w:val="bottom"/>
          </w:tcPr>
          <w:p>
            <w:pPr>
              <w:pStyle w:val="TableContents"/>
              <w:spacing w:before="0" w:after="0"/>
              <w:ind w:left="0" w:right="0" w:hanging="0"/>
              <w:rPr/>
            </w:pPr>
            <w:r>
              <w:rPr/>
              <w:t> </w:t>
            </w:r>
          </w:p>
        </w:tc>
      </w:tr>
      <w:tr>
        <w:trPr/>
        <w:tc>
          <w:tcPr>
            <w:tcW w:w="1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April 8, 2013</w:t>
            </w:r>
          </w:p>
        </w:tc>
        <w:tc>
          <w:tcPr>
            <w:tcW w:w="178" w:type="dxa"/>
            <w:tcBorders/>
            <w:shd w:fill="auto" w:val="clear"/>
            <w:vAlign w:val="bottom"/>
          </w:tcPr>
          <w:p>
            <w:pPr>
              <w:pStyle w:val="TableContents"/>
              <w:spacing w:before="0" w:after="0"/>
              <w:ind w:left="0" w:right="0" w:hanging="0"/>
              <w:rPr/>
            </w:pPr>
            <w:r>
              <w:rPr/>
              <w:t> </w:t>
            </w:r>
          </w:p>
        </w:tc>
        <w:tc>
          <w:tcPr>
            <w:tcW w:w="22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May 15, 2013</w:t>
            </w:r>
          </w:p>
        </w:tc>
        <w:tc>
          <w:tcPr>
            <w:tcW w:w="178"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78"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04"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8"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78"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0.5750</w:t>
            </w:r>
          </w:p>
        </w:tc>
        <w:tc>
          <w:tcPr>
            <w:tcW w:w="122" w:type="dxa"/>
            <w:tcBorders/>
            <w:shd w:fill="auto" w:val="clear"/>
            <w:vAlign w:val="bottom"/>
          </w:tcPr>
          <w:p>
            <w:pPr>
              <w:pStyle w:val="TableContents"/>
              <w:spacing w:before="0" w:after="0"/>
              <w:ind w:left="0" w:right="0" w:hanging="0"/>
              <w:rPr/>
            </w:pPr>
            <w:r>
              <w:rPr/>
              <w:t> </w:t>
            </w:r>
          </w:p>
        </w:tc>
      </w:tr>
      <w:tr>
        <w:trPr/>
        <w:tc>
          <w:tcPr>
            <w:tcW w:w="1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January 7, 2013</w:t>
            </w:r>
          </w:p>
        </w:tc>
        <w:tc>
          <w:tcPr>
            <w:tcW w:w="178" w:type="dxa"/>
            <w:tcBorders/>
            <w:shd w:fill="CCEEFF" w:val="clear"/>
            <w:vAlign w:val="bottom"/>
          </w:tcPr>
          <w:p>
            <w:pPr>
              <w:pStyle w:val="TableContents"/>
              <w:spacing w:before="0" w:after="0"/>
              <w:ind w:left="0" w:right="0" w:hanging="0"/>
              <w:rPr/>
            </w:pPr>
            <w:r>
              <w:rPr/>
              <w:t> </w:t>
            </w:r>
          </w:p>
        </w:tc>
        <w:tc>
          <w:tcPr>
            <w:tcW w:w="2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February 14, 2013</w:t>
            </w:r>
          </w:p>
        </w:tc>
        <w:tc>
          <w:tcPr>
            <w:tcW w:w="178"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78"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4"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8"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78"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0.5625</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Payable to unitholders of record at the close of business on August 2, 2013, for the period April 1, 2013 through June 30, 2013.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Continuous Offering Programs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September 13, 2012, we entered into an equity distribution agreement with respect to the offer and sale, through our sales agents, of common units representing limited partner interests having an aggregate offering price of up to $500 million. The final sales under this equity distribution agreement occurred during May 2013. During the first six months of 2013, we issued an aggregate of approximately 5.1 million common units under this agreement, generating net proceeds of approximately $283 million, including our general partners proportionate capital contribution, net of approximately $3 million of commissions to our sales agents. The net proceeds from sales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May 28, 2013, we entered into an additional equity distribution agreement with several financial institutions pursuant to which we may offer and sell, through our sales agents, common units representing limited partner interests having an aggregate offering price of up to $750 million. Sales of such common units will be made by means of ordinary brokers transactions on the NYSE at market prices, in block transactions or as otherwise agreed upon by our sales agent and us. Under the terms of the agreement, we have the option to sell common units to any of our sales agents as principal for its own account at a price to be agreed upon at the time of the sale. For any such sales, we will enter into a separate terms agreement with the sales agent.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Through June 30, 2013, we issued an aggregate of approximately 0.8 million common units under the May 2013 agreement, generating net proceeds of approximately $48 million, including our general partners proportionate capital contribution, net of less than $1 million of commissions to our sales agents. The net proceeds from sales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LTIP Vesting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settlement of vested LTIP awards (both liability-classified and equity-classified), we issued approximately 0.5 million common units during the first six months of 2013, net of units tendered by employees for tax withholding obligations.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in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June 30, 2013, noncontrolling interests in subsidiaries consisted of (i) an approximate 37% interest in PNG and (ii) a 25% interest in SLC Pipeline LLC.</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March 18, 2013, PNG entered into an equity distribution agreement with a financial institution pursuant to which PNG may offer and sell, through its sales agent, common units representing limited partner interests having an aggregate offering price of up to $75 million. During the first six months of 2013, PNG issued an aggregate of approximately 1.4 million common units under this agreement, generating net proceeds of approximately $30 million, excluding our proportionate capital contribution for our general partner interest.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33" w:name="PB_14_140807_7608"/>
      <w:bookmarkEnd w:id="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a result of PNGs common unit issuances under its continuous offering program, we recorded an increase in noncontrolling interest of approximately $24 million and an increase to our partners capital of approximately $6 million. The increases result from the portion of the proceeds attributable to the respective ownership interests in PNG, adjusted for the impact of the dilution of our ownership interest resulting from the issuances.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impact upon net income attributable to Plains giving effect to the changes in our ownership interest in PNG, which is recognized in partners capital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860"/>
        <w:gridCol w:w="193"/>
        <w:gridCol w:w="219"/>
        <w:gridCol w:w="1148"/>
        <w:gridCol w:w="231"/>
        <w:gridCol w:w="219"/>
        <w:gridCol w:w="1149"/>
        <w:gridCol w:w="193"/>
        <w:gridCol w:w="206"/>
        <w:gridCol w:w="1115"/>
        <w:gridCol w:w="225"/>
        <w:gridCol w:w="205"/>
        <w:gridCol w:w="1116"/>
        <w:gridCol w:w="126"/>
      </w:tblGrid>
      <w:tr>
        <w:trPr/>
        <w:tc>
          <w:tcPr>
            <w:tcW w:w="3860"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296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 Ended</w:t>
            </w:r>
          </w:p>
        </w:tc>
        <w:tc>
          <w:tcPr>
            <w:tcW w:w="193" w:type="dxa"/>
            <w:tcBorders/>
            <w:shd w:fill="auto" w:val="clear"/>
            <w:vAlign w:val="bottom"/>
          </w:tcPr>
          <w:p>
            <w:pPr>
              <w:pStyle w:val="TableContents"/>
              <w:spacing w:before="0" w:after="0"/>
              <w:ind w:left="0" w:right="0" w:hanging="0"/>
              <w:jc w:val="center"/>
              <w:rPr/>
            </w:pPr>
            <w:r>
              <w:rPr/>
              <w:t> </w:t>
            </w:r>
          </w:p>
        </w:tc>
        <w:tc>
          <w:tcPr>
            <w:tcW w:w="286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Six Months Ended</w:t>
            </w:r>
          </w:p>
        </w:tc>
        <w:tc>
          <w:tcPr>
            <w:tcW w:w="126" w:type="dxa"/>
            <w:tcBorders/>
            <w:shd w:fill="auto" w:val="clear"/>
            <w:vAlign w:val="bottom"/>
          </w:tcPr>
          <w:p>
            <w:pPr>
              <w:pStyle w:val="TableContents"/>
              <w:spacing w:before="0" w:after="0"/>
              <w:ind w:left="0" w:right="0" w:hanging="0"/>
              <w:jc w:val="center"/>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296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93" w:type="dxa"/>
            <w:tcBorders/>
            <w:shd w:fill="auto" w:val="clear"/>
            <w:vAlign w:val="bottom"/>
          </w:tcPr>
          <w:p>
            <w:pPr>
              <w:pStyle w:val="TableContents"/>
              <w:spacing w:before="0" w:after="0"/>
              <w:ind w:left="0" w:right="0" w:hanging="0"/>
              <w:jc w:val="center"/>
              <w:rPr/>
            </w:pPr>
            <w:r>
              <w:rPr/>
              <w:t> </w:t>
            </w:r>
          </w:p>
        </w:tc>
        <w:tc>
          <w:tcPr>
            <w:tcW w:w="286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6" w:type="dxa"/>
            <w:tcBorders/>
            <w:shd w:fill="auto" w:val="clear"/>
            <w:vAlign w:val="bottom"/>
          </w:tcPr>
          <w:p>
            <w:pPr>
              <w:pStyle w:val="TableContents"/>
              <w:spacing w:before="0" w:after="0"/>
              <w:ind w:left="0" w:right="0" w:hanging="0"/>
              <w:jc w:val="center"/>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3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1" w:type="dxa"/>
            <w:tcBorders/>
            <w:shd w:fill="auto" w:val="clear"/>
            <w:vAlign w:val="bottom"/>
          </w:tcPr>
          <w:p>
            <w:pPr>
              <w:pStyle w:val="TableContents"/>
              <w:spacing w:before="0" w:after="0"/>
              <w:ind w:left="0" w:right="0" w:hanging="0"/>
              <w:jc w:val="center"/>
              <w:rPr/>
            </w:pPr>
            <w:r>
              <w:rPr/>
              <w:t> </w:t>
            </w:r>
          </w:p>
        </w:tc>
        <w:tc>
          <w:tcPr>
            <w:tcW w:w="136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3" w:type="dxa"/>
            <w:tcBorders/>
            <w:shd w:fill="auto" w:val="clear"/>
            <w:vAlign w:val="bottom"/>
          </w:tcPr>
          <w:p>
            <w:pPr>
              <w:pStyle w:val="TableContents"/>
              <w:spacing w:before="0" w:after="0"/>
              <w:ind w:left="0" w:right="0" w:hanging="0"/>
              <w:jc w:val="center"/>
              <w:rPr/>
            </w:pPr>
            <w:r>
              <w:rPr/>
              <w:t> </w:t>
            </w:r>
          </w:p>
        </w:tc>
        <w:tc>
          <w:tcPr>
            <w:tcW w:w="13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5" w:type="dxa"/>
            <w:tcBorders/>
            <w:shd w:fill="auto" w:val="clear"/>
            <w:vAlign w:val="bottom"/>
          </w:tcPr>
          <w:p>
            <w:pPr>
              <w:pStyle w:val="TableContents"/>
              <w:spacing w:before="0" w:after="0"/>
              <w:ind w:left="0" w:right="0" w:hanging="0"/>
              <w:jc w:val="center"/>
              <w:rPr/>
            </w:pPr>
            <w:r>
              <w:rPr/>
              <w:t> </w:t>
            </w:r>
          </w:p>
        </w:tc>
        <w:tc>
          <w:tcPr>
            <w:tcW w:w="13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6" w:type="dxa"/>
            <w:tcBorders/>
            <w:shd w:fill="auto" w:val="clear"/>
            <w:vAlign w:val="bottom"/>
          </w:tcPr>
          <w:p>
            <w:pPr>
              <w:pStyle w:val="TableContents"/>
              <w:spacing w:before="0" w:after="0"/>
              <w:ind w:left="0" w:right="0" w:hanging="0"/>
              <w:jc w:val="center"/>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93" w:type="dxa"/>
            <w:tcBorders/>
            <w:shd w:fill="CCEEFF" w:val="clear"/>
            <w:vAlign w:val="bottom"/>
          </w:tcPr>
          <w:p>
            <w:pPr>
              <w:pStyle w:val="TableContents"/>
              <w:spacing w:before="0" w:after="0"/>
              <w:ind w:left="0" w:right="0" w:hanging="0"/>
              <w:rPr/>
            </w:pPr>
            <w:r>
              <w:rPr/>
              <w:t> </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31" w:type="dxa"/>
            <w:tcBorders/>
            <w:shd w:fill="CCEEFF" w:val="clear"/>
            <w:vAlign w:val="bottom"/>
          </w:tcPr>
          <w:p>
            <w:pPr>
              <w:pStyle w:val="TableContents"/>
              <w:spacing w:before="0" w:after="0"/>
              <w:ind w:left="0" w:right="0" w:hanging="0"/>
              <w:rPr/>
            </w:pPr>
            <w:r>
              <w:rPr/>
              <w:t> </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93"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25"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26"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Transfers to the noncontrolling interests:</w:t>
            </w:r>
          </w:p>
        </w:tc>
        <w:tc>
          <w:tcPr>
            <w:tcW w:w="193" w:type="dxa"/>
            <w:tcBorders/>
            <w:shd w:fill="auto" w:val="clear"/>
            <w:vAlign w:val="bottom"/>
          </w:tcPr>
          <w:p>
            <w:pPr>
              <w:pStyle w:val="TableContents"/>
              <w:spacing w:before="0" w:after="0"/>
              <w:ind w:left="0" w:right="0" w:hanging="0"/>
              <w:rPr/>
            </w:pPr>
            <w:r>
              <w:rPr/>
              <w:t> </w:t>
            </w:r>
          </w:p>
        </w:tc>
        <w:tc>
          <w:tcPr>
            <w:tcW w:w="1367" w:type="dxa"/>
            <w:gridSpan w:val="2"/>
            <w:tcBorders/>
            <w:shd w:fill="auto" w:val="clear"/>
            <w:vAlign w:val="bottom"/>
          </w:tcPr>
          <w:p>
            <w:pPr>
              <w:pStyle w:val="TableContents"/>
              <w:spacing w:before="0" w:after="0"/>
              <w:ind w:left="0" w:right="0" w:hanging="0"/>
              <w:jc w:val="right"/>
              <w:rPr/>
            </w:pPr>
            <w:r>
              <w:rPr/>
              <w:t> </w:t>
            </w:r>
          </w:p>
        </w:tc>
        <w:tc>
          <w:tcPr>
            <w:tcW w:w="231"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Increase in capital from sale of PNG units</w:t>
            </w:r>
          </w:p>
        </w:tc>
        <w:tc>
          <w:tcPr>
            <w:tcW w:w="193" w:type="dxa"/>
            <w:tcBorders/>
            <w:shd w:fill="CCEEFF" w:val="clear"/>
            <w:vAlign w:val="bottom"/>
          </w:tcPr>
          <w:p>
            <w:pPr>
              <w:pStyle w:val="TableContents"/>
              <w:spacing w:before="0" w:after="0"/>
              <w:ind w:left="0" w:right="0" w:hanging="0"/>
              <w:rPr/>
            </w:pPr>
            <w:r>
              <w:rPr/>
              <w:t> </w:t>
            </w:r>
          </w:p>
        </w:tc>
        <w:tc>
          <w:tcPr>
            <w:tcW w:w="13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1" w:type="dxa"/>
            <w:tcBorders/>
            <w:shd w:fill="CCEEFF" w:val="clear"/>
            <w:vAlign w:val="bottom"/>
          </w:tcPr>
          <w:p>
            <w:pPr>
              <w:pStyle w:val="TableContents"/>
              <w:spacing w:before="0" w:after="0"/>
              <w:ind w:left="0" w:right="0" w:hanging="0"/>
              <w:rPr/>
            </w:pPr>
            <w:r>
              <w:rPr/>
              <w:t> </w:t>
            </w:r>
          </w:p>
        </w:tc>
        <w:tc>
          <w:tcPr>
            <w:tcW w:w="13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5" w:type="dxa"/>
            <w:tcBorders/>
            <w:shd w:fill="CCEEFF" w:val="clear"/>
            <w:vAlign w:val="bottom"/>
          </w:tcPr>
          <w:p>
            <w:pPr>
              <w:pStyle w:val="TableContents"/>
              <w:spacing w:before="0" w:after="0"/>
              <w:ind w:left="0" w:right="0" w:hanging="0"/>
              <w:rPr/>
            </w:pPr>
            <w:r>
              <w:rPr/>
              <w:t> </w:t>
            </w:r>
          </w:p>
        </w:tc>
        <w:tc>
          <w:tcPr>
            <w:tcW w:w="13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from net income attributable to Plains and net transfers to the noncontrolling interests</w:t>
            </w:r>
          </w:p>
        </w:tc>
        <w:tc>
          <w:tcPr>
            <w:tcW w:w="193" w:type="dxa"/>
            <w:tcBorders/>
            <w:shd w:fill="auto" w:val="clear"/>
            <w:vAlign w:val="bottom"/>
          </w:tcPr>
          <w:p>
            <w:pPr>
              <w:pStyle w:val="TableContents"/>
              <w:spacing w:before="0" w:after="0"/>
              <w:ind w:left="0" w:right="0" w:hanging="0"/>
              <w:rPr/>
            </w:pPr>
            <w:r>
              <w:rPr/>
              <w:t> </w:t>
            </w:r>
          </w:p>
        </w:tc>
        <w:tc>
          <w:tcPr>
            <w:tcW w:w="2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31" w:type="dxa"/>
            <w:tcBorders/>
            <w:shd w:fill="auto" w:val="clear"/>
            <w:vAlign w:val="bottom"/>
          </w:tcPr>
          <w:p>
            <w:pPr>
              <w:pStyle w:val="TableContents"/>
              <w:spacing w:before="0" w:after="0"/>
              <w:ind w:left="0" w:right="0" w:hanging="0"/>
              <w:rPr/>
            </w:pPr>
            <w:r>
              <w:rPr/>
              <w:t> </w:t>
            </w:r>
          </w:p>
        </w:tc>
        <w:tc>
          <w:tcPr>
            <w:tcW w:w="2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93"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827</w:t>
            </w:r>
          </w:p>
        </w:tc>
        <w:tc>
          <w:tcPr>
            <w:tcW w:w="225"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Noncontrolling Interests Rollforward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changes in the noncontrolling interests in partners capital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97"/>
        <w:gridCol w:w="213"/>
        <w:gridCol w:w="137"/>
        <w:gridCol w:w="1086"/>
        <w:gridCol w:w="225"/>
        <w:gridCol w:w="137"/>
        <w:gridCol w:w="1087"/>
        <w:gridCol w:w="123"/>
      </w:tblGrid>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7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67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3" w:type="dxa"/>
            <w:tcBorders/>
            <w:shd w:fill="auto" w:val="clear"/>
            <w:vAlign w:val="bottom"/>
          </w:tcPr>
          <w:p>
            <w:pPr>
              <w:pStyle w:val="TableContents"/>
              <w:spacing w:before="0" w:after="0"/>
              <w:ind w:left="0" w:right="0" w:hanging="0"/>
              <w:jc w:val="center"/>
              <w:rPr/>
            </w:pPr>
            <w:r>
              <w:rPr/>
              <w:t> </w:t>
            </w:r>
          </w:p>
        </w:tc>
      </w:tr>
      <w:tr>
        <w:trPr/>
        <w:tc>
          <w:tcPr>
            <w:tcW w:w="719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5" w:type="dxa"/>
            <w:tcBorders/>
            <w:shd w:fill="auto" w:val="clear"/>
            <w:vAlign w:val="bottom"/>
          </w:tcPr>
          <w:p>
            <w:pPr>
              <w:pStyle w:val="TableContents"/>
              <w:spacing w:before="0" w:after="0"/>
              <w:ind w:left="0" w:right="0" w:hanging="0"/>
              <w:jc w:val="center"/>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3" w:type="dxa"/>
            <w:tcBorders/>
            <w:shd w:fill="auto" w:val="clear"/>
            <w:vAlign w:val="bottom"/>
          </w:tcPr>
          <w:p>
            <w:pPr>
              <w:pStyle w:val="TableContents"/>
              <w:spacing w:before="0" w:after="0"/>
              <w:ind w:left="0" w:right="0" w:hanging="0"/>
              <w:jc w:val="center"/>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13"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225"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gain/(loss) on cash flow hedges</w:t>
            </w:r>
          </w:p>
        </w:tc>
        <w:tc>
          <w:tcPr>
            <w:tcW w:w="213" w:type="dxa"/>
            <w:tcBorders/>
            <w:shd w:fill="CCEEFF" w:val="clear"/>
            <w:vAlign w:val="bottom"/>
          </w:tcPr>
          <w:p>
            <w:pPr>
              <w:pStyle w:val="TableContents"/>
              <w:spacing w:before="0" w:after="0"/>
              <w:ind w:left="0" w:right="0" w:hanging="0"/>
              <w:rPr/>
            </w:pPr>
            <w:r>
              <w:rPr/>
              <w:t> </w:t>
            </w:r>
          </w:p>
        </w:tc>
        <w:tc>
          <w:tcPr>
            <w:tcW w:w="12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3" w:type="dxa"/>
            <w:tcBorders/>
            <w:shd w:fill="CCEEFF" w:val="clear"/>
            <w:vAlign w:val="bottom"/>
          </w:tcPr>
          <w:p>
            <w:pPr>
              <w:pStyle w:val="TableContents"/>
              <w:spacing w:before="0" w:after="0"/>
              <w:ind w:left="0" w:right="0" w:hanging="0"/>
              <w:rPr/>
            </w:pPr>
            <w:r>
              <w:rPr/>
              <w:t> </w:t>
            </w:r>
          </w:p>
        </w:tc>
      </w:tr>
      <w:tr>
        <w:trPr/>
        <w:tc>
          <w:tcPr>
            <w:tcW w:w="7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PNG common units</w:t>
            </w:r>
          </w:p>
        </w:tc>
        <w:tc>
          <w:tcPr>
            <w:tcW w:w="213"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5"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r>
      <w:tr>
        <w:trPr/>
        <w:tc>
          <w:tcPr>
            <w:tcW w:w="7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13"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225"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10Equity-Indexed Compensation Plans</w:t>
      </w:r>
      <w:bookmarkStart w:id="34" w:name="Note10equityCompensationPlans_140910"/>
      <w:bookmarkEnd w:id="3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refer to the PAA and PNG LTIP Plans, Special PAA Awards, PNG Transaction Grants and Class B Units of Plains AAP, L.P. collectively as our Equity-indexed compensation plans. For additional discussion of our equity-indexed compensation plans and awards, see Note 15 to our Consolidated Financial Statements included in Part IV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Class B Units of Plains AAP, L.P.</w:t>
      </w:r>
      <w:r>
        <w:rPr>
          <w:rFonts w:ascii="Times New Roman" w:hAnsi="Times New Roman"/>
        </w:rPr>
        <w:t xml:space="preserve"> </w:t>
      </w:r>
      <w:r>
        <w:rPr>
          <w:rFonts w:ascii="Times New Roman" w:hAnsi="Times New Roman"/>
          <w:sz w:val="17"/>
        </w:rPr>
        <w:t>The following table contains a summary of Class B Units of Plains AAP, L.P.:</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58"/>
        <w:gridCol w:w="151"/>
        <w:gridCol w:w="1815"/>
        <w:gridCol w:w="169"/>
        <w:gridCol w:w="1284"/>
        <w:gridCol w:w="151"/>
        <w:gridCol w:w="1698"/>
        <w:gridCol w:w="103"/>
        <w:gridCol w:w="103"/>
        <w:gridCol w:w="563"/>
        <w:gridCol w:w="1802"/>
        <w:gridCol w:w="108"/>
      </w:tblGrid>
      <w:tr>
        <w:trPr/>
        <w:tc>
          <w:tcPr>
            <w:tcW w:w="2258"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18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Reserved for Future</w:t>
              <w:br/>
              <w:t>Grants</w:t>
            </w:r>
          </w:p>
        </w:tc>
        <w:tc>
          <w:tcPr>
            <w:tcW w:w="169" w:type="dxa"/>
            <w:tcBorders/>
            <w:shd w:fill="auto" w:val="clear"/>
            <w:vAlign w:val="bottom"/>
          </w:tcPr>
          <w:p>
            <w:pPr>
              <w:pStyle w:val="TableContents"/>
              <w:spacing w:before="0" w:after="0"/>
              <w:ind w:left="0" w:right="0" w:hanging="0"/>
              <w:jc w:val="center"/>
              <w:rPr/>
            </w:pPr>
            <w:r>
              <w:rPr/>
              <w:t> </w:t>
            </w:r>
          </w:p>
        </w:tc>
        <w:tc>
          <w:tcPr>
            <w:tcW w:w="128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151" w:type="dxa"/>
            <w:tcBorders/>
            <w:shd w:fill="auto" w:val="clear"/>
            <w:vAlign w:val="bottom"/>
          </w:tcPr>
          <w:p>
            <w:pPr>
              <w:pStyle w:val="TableContents"/>
              <w:spacing w:before="0" w:after="0"/>
              <w:ind w:left="0" w:right="0" w:hanging="0"/>
              <w:jc w:val="center"/>
              <w:rPr/>
            </w:pPr>
            <w:r>
              <w:rPr/>
              <w:t> </w:t>
            </w:r>
          </w:p>
        </w:tc>
        <w:tc>
          <w:tcPr>
            <w:tcW w:w="169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 Units</w:t>
              <w:br/>
              <w:t>Earned</w:t>
            </w:r>
          </w:p>
        </w:tc>
        <w:tc>
          <w:tcPr>
            <w:tcW w:w="103"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23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Grant Date</w:t>
              <w:br/>
              <w:t>Fair Value of Outstanding</w:t>
              <w:br/>
              <w:t>Class B Units </w:t>
            </w:r>
            <w:r>
              <w:rPr>
                <w:b/>
                <w:sz w:val="8"/>
              </w:rPr>
              <w:t>(1)</w:t>
              <w:br/>
            </w:r>
            <w:r>
              <w:rPr>
                <w:b/>
                <w:sz w:val="13"/>
              </w:rPr>
              <w:t>(in millions)</w:t>
            </w:r>
          </w:p>
        </w:tc>
        <w:tc>
          <w:tcPr>
            <w:tcW w:w="108" w:type="dxa"/>
            <w:tcBorders/>
            <w:shd w:fill="auto" w:val="clear"/>
            <w:vAlign w:val="bottom"/>
          </w:tcPr>
          <w:p>
            <w:pPr>
              <w:pStyle w:val="TableContents"/>
              <w:spacing w:before="0" w:after="0"/>
              <w:ind w:left="0" w:right="0" w:hanging="0"/>
              <w:jc w:val="center"/>
              <w:rPr/>
            </w:pPr>
            <w:r>
              <w:rPr/>
              <w:t> </w:t>
            </w:r>
          </w:p>
        </w:tc>
      </w:tr>
      <w:tr>
        <w:trPr/>
        <w:tc>
          <w:tcPr>
            <w:tcW w:w="22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51" w:type="dxa"/>
            <w:tcBorders/>
            <w:shd w:fill="CCEEFF" w:val="clear"/>
            <w:vAlign w:val="bottom"/>
          </w:tcPr>
          <w:p>
            <w:pPr>
              <w:pStyle w:val="TableContents"/>
              <w:spacing w:before="0" w:after="0"/>
              <w:ind w:left="0" w:right="0" w:hanging="0"/>
              <w:rPr/>
            </w:pPr>
            <w:r>
              <w:rPr/>
              <w:t> </w:t>
            </w:r>
          </w:p>
        </w:tc>
        <w:tc>
          <w:tcPr>
            <w:tcW w:w="18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17,875</w:t>
            </w:r>
          </w:p>
        </w:tc>
        <w:tc>
          <w:tcPr>
            <w:tcW w:w="169" w:type="dxa"/>
            <w:tcBorders/>
            <w:shd w:fill="CCEEFF" w:val="clear"/>
            <w:vAlign w:val="bottom"/>
          </w:tcPr>
          <w:p>
            <w:pPr>
              <w:pStyle w:val="TableContents"/>
              <w:spacing w:before="0" w:after="0"/>
              <w:ind w:left="0" w:right="0" w:hanging="0"/>
              <w:rPr/>
            </w:pPr>
            <w:r>
              <w:rPr/>
              <w:t> </w:t>
            </w:r>
          </w:p>
        </w:tc>
        <w:tc>
          <w:tcPr>
            <w:tcW w:w="12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182,125</w:t>
            </w:r>
          </w:p>
        </w:tc>
        <w:tc>
          <w:tcPr>
            <w:tcW w:w="151" w:type="dxa"/>
            <w:tcBorders/>
            <w:shd w:fill="CCEEFF" w:val="clear"/>
            <w:vAlign w:val="bottom"/>
          </w:tcPr>
          <w:p>
            <w:pPr>
              <w:pStyle w:val="TableContents"/>
              <w:spacing w:before="0" w:after="0"/>
              <w:ind w:left="0" w:right="0" w:hanging="0"/>
              <w:rPr/>
            </w:pPr>
            <w:r>
              <w:rPr/>
              <w:t> </w:t>
            </w:r>
          </w:p>
        </w:tc>
        <w:tc>
          <w:tcPr>
            <w:tcW w:w="16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130,250</w:t>
            </w:r>
          </w:p>
        </w:tc>
        <w:tc>
          <w:tcPr>
            <w:tcW w:w="10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08" w:type="dxa"/>
            <w:tcBorders/>
            <w:shd w:fill="CCEEFF" w:val="clear"/>
            <w:vAlign w:val="bottom"/>
          </w:tcPr>
          <w:p>
            <w:pPr>
              <w:pStyle w:val="TableContents"/>
              <w:spacing w:before="0" w:after="0"/>
              <w:ind w:left="0" w:right="0" w:hanging="0"/>
              <w:rPr/>
            </w:pPr>
            <w:r>
              <w:rPr/>
              <w:t> </w:t>
            </w:r>
          </w:p>
        </w:tc>
      </w:tr>
      <w:tr>
        <w:trPr/>
        <w:tc>
          <w:tcPr>
            <w:tcW w:w="22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Granted</w:t>
            </w:r>
          </w:p>
        </w:tc>
        <w:tc>
          <w:tcPr>
            <w:tcW w:w="151" w:type="dxa"/>
            <w:tcBorders/>
            <w:shd w:fill="auto" w:val="clear"/>
            <w:vAlign w:val="bottom"/>
          </w:tcPr>
          <w:p>
            <w:pPr>
              <w:pStyle w:val="TableContents"/>
              <w:spacing w:before="0" w:after="0"/>
              <w:ind w:left="0" w:right="0" w:hanging="0"/>
              <w:rPr/>
            </w:pPr>
            <w:r>
              <w:rPr/>
              <w:t> </w:t>
            </w:r>
          </w:p>
        </w:tc>
        <w:tc>
          <w:tcPr>
            <w:tcW w:w="18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w:t>
            </w:r>
          </w:p>
        </w:tc>
        <w:tc>
          <w:tcPr>
            <w:tcW w:w="151" w:type="dxa"/>
            <w:tcBorders/>
            <w:shd w:fill="auto" w:val="clear"/>
            <w:vAlign w:val="bottom"/>
          </w:tcPr>
          <w:p>
            <w:pPr>
              <w:pStyle w:val="TableContents"/>
              <w:spacing w:before="0" w:after="0"/>
              <w:ind w:left="0" w:right="0" w:hanging="0"/>
              <w:rPr/>
            </w:pPr>
            <w:r>
              <w:rPr/>
              <w:t> </w:t>
            </w:r>
          </w:p>
        </w:tc>
        <w:tc>
          <w:tcPr>
            <w:tcW w:w="16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23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8" w:type="dxa"/>
            <w:tcBorders/>
            <w:shd w:fill="auto" w:val="clear"/>
            <w:vAlign w:val="bottom"/>
          </w:tcPr>
          <w:p>
            <w:pPr>
              <w:pStyle w:val="TableContents"/>
              <w:spacing w:before="0" w:after="0"/>
              <w:ind w:left="0" w:right="0" w:hanging="0"/>
              <w:rPr/>
            </w:pPr>
            <w:r>
              <w:rPr/>
              <w:t> </w:t>
            </w:r>
          </w:p>
        </w:tc>
      </w:tr>
      <w:tr>
        <w:trPr/>
        <w:tc>
          <w:tcPr>
            <w:tcW w:w="22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Earned</w:t>
            </w:r>
          </w:p>
        </w:tc>
        <w:tc>
          <w:tcPr>
            <w:tcW w:w="151" w:type="dxa"/>
            <w:tcBorders/>
            <w:shd w:fill="CCEEFF" w:val="clear"/>
            <w:vAlign w:val="bottom"/>
          </w:tcPr>
          <w:p>
            <w:pPr>
              <w:pStyle w:val="TableContents"/>
              <w:spacing w:before="0" w:after="0"/>
              <w:ind w:left="0" w:right="0" w:hanging="0"/>
              <w:rPr/>
            </w:pPr>
            <w:r>
              <w:rPr/>
              <w:t> </w:t>
            </w:r>
          </w:p>
        </w:tc>
        <w:tc>
          <w:tcPr>
            <w:tcW w:w="181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9" w:type="dxa"/>
            <w:tcBorders/>
            <w:shd w:fill="CCEEFF" w:val="clear"/>
            <w:vAlign w:val="bottom"/>
          </w:tcPr>
          <w:p>
            <w:pPr>
              <w:pStyle w:val="TableContents"/>
              <w:spacing w:before="0" w:after="0"/>
              <w:ind w:left="0" w:right="0" w:hanging="0"/>
              <w:rPr/>
            </w:pPr>
            <w:r>
              <w:rPr/>
              <w:t> </w:t>
            </w:r>
          </w:p>
        </w:tc>
        <w:tc>
          <w:tcPr>
            <w:tcW w:w="128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51" w:type="dxa"/>
            <w:tcBorders/>
            <w:shd w:fill="CCEEFF" w:val="clear"/>
            <w:vAlign w:val="bottom"/>
          </w:tcPr>
          <w:p>
            <w:pPr>
              <w:pStyle w:val="TableContents"/>
              <w:spacing w:before="0" w:after="0"/>
              <w:ind w:left="0" w:right="0" w:hanging="0"/>
              <w:rPr/>
            </w:pPr>
            <w:r>
              <w:rPr/>
              <w:t> </w:t>
            </w:r>
          </w:p>
        </w:tc>
        <w:tc>
          <w:tcPr>
            <w:tcW w:w="169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w:t>
            </w:r>
          </w:p>
        </w:tc>
        <w:tc>
          <w:tcPr>
            <w:tcW w:w="10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23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08" w:type="dxa"/>
            <w:tcBorders/>
            <w:shd w:fill="CCEEFF" w:val="clear"/>
            <w:vAlign w:val="bottom"/>
          </w:tcPr>
          <w:p>
            <w:pPr>
              <w:pStyle w:val="TableContents"/>
              <w:spacing w:before="0" w:after="0"/>
              <w:ind w:left="0" w:right="0" w:hanging="0"/>
              <w:rPr/>
            </w:pPr>
            <w:r>
              <w:rPr/>
              <w:t> </w:t>
            </w:r>
          </w:p>
        </w:tc>
      </w:tr>
      <w:tr>
        <w:trPr/>
        <w:tc>
          <w:tcPr>
            <w:tcW w:w="22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June 30, 2013</w:t>
            </w:r>
          </w:p>
        </w:tc>
        <w:tc>
          <w:tcPr>
            <w:tcW w:w="151" w:type="dxa"/>
            <w:tcBorders/>
            <w:shd w:fill="auto" w:val="clear"/>
            <w:vAlign w:val="bottom"/>
          </w:tcPr>
          <w:p>
            <w:pPr>
              <w:pStyle w:val="TableContents"/>
              <w:spacing w:before="0" w:after="0"/>
              <w:ind w:left="0" w:right="0" w:hanging="0"/>
              <w:rPr/>
            </w:pPr>
            <w:r>
              <w:rPr/>
              <w:t> </w:t>
            </w:r>
          </w:p>
        </w:tc>
        <w:tc>
          <w:tcPr>
            <w:tcW w:w="181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13,375</w:t>
            </w:r>
          </w:p>
        </w:tc>
        <w:tc>
          <w:tcPr>
            <w:tcW w:w="169" w:type="dxa"/>
            <w:tcBorders/>
            <w:shd w:fill="auto" w:val="clear"/>
            <w:vAlign w:val="bottom"/>
          </w:tcPr>
          <w:p>
            <w:pPr>
              <w:pStyle w:val="TableContents"/>
              <w:spacing w:before="0" w:after="0"/>
              <w:ind w:left="0" w:right="0" w:hanging="0"/>
              <w:rPr/>
            </w:pPr>
            <w:r>
              <w:rPr/>
              <w:t> </w:t>
            </w:r>
          </w:p>
        </w:tc>
        <w:tc>
          <w:tcPr>
            <w:tcW w:w="12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186,625</w:t>
            </w:r>
          </w:p>
        </w:tc>
        <w:tc>
          <w:tcPr>
            <w:tcW w:w="151" w:type="dxa"/>
            <w:tcBorders/>
            <w:shd w:fill="auto" w:val="clear"/>
            <w:vAlign w:val="bottom"/>
          </w:tcPr>
          <w:p>
            <w:pPr>
              <w:pStyle w:val="TableContents"/>
              <w:spacing w:before="0" w:after="0"/>
              <w:ind w:left="0" w:right="0" w:hanging="0"/>
              <w:rPr/>
            </w:pPr>
            <w:r>
              <w:rPr/>
              <w:t> </w:t>
            </w:r>
          </w:p>
        </w:tc>
        <w:tc>
          <w:tcPr>
            <w:tcW w:w="16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156,250</w:t>
            </w:r>
          </w:p>
        </w:tc>
        <w:tc>
          <w:tcPr>
            <w:tcW w:w="10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5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0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Of the grant date fair value, approximately $2 million was recognized as expense during the six months ended June 30,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35" w:name="PB_15_141024_8146"/>
      <w:bookmarkEnd w:id="3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Special PAA Awards.</w:t>
      </w:r>
      <w:r>
        <w:rPr>
          <w:rFonts w:ascii="Times New Roman" w:hAnsi="Times New Roman"/>
        </w:rPr>
        <w:t xml:space="preserve"> </w:t>
      </w:r>
      <w:r>
        <w:rPr>
          <w:rFonts w:ascii="Times New Roman" w:hAnsi="Times New Roman"/>
          <w:sz w:val="17"/>
        </w:rPr>
        <w:t>In February 2013, we granted 143,000 Special PAA Awards to certain members of PNGs management.  These awards are denominated in PAA common units and will vest 50% on PAAs August 2018 distribution date and 50% on PAAs August 2019 distribution date provided that PNGs annualized distribution averages at least $1.48 and $1.43 per unit, respectively, for the twelve months prior to each vesting date. DERs associated with these awards will vest on the date that we pay an annualized distribution of $2.40 per unit, provided that PNGs quarterly distribution remains at least $1.43 (annualized) per unit. Any unvested Special PAA Awards that remain outstanding on December 31, 2020 will be forfeited. These awards were granted in conjunction with the cancellation of the Class B Units of PNGS GP LLC, which were terminated in February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and PNG LTIP Awards.</w:t>
      </w:r>
      <w:r>
        <w:rPr>
          <w:rFonts w:ascii="Times New Roman" w:hAnsi="Times New Roman"/>
        </w:rPr>
        <w:t xml:space="preserve"> </w:t>
      </w:r>
      <w:r>
        <w:rPr>
          <w:rFonts w:ascii="Times New Roman" w:hAnsi="Times New Roman"/>
          <w:sz w:val="17"/>
        </w:rPr>
        <w:t>Our equity compensation activity for LTIP awards denominated in PAA and PNG units is summarized in the following table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53"/>
        <w:gridCol w:w="176"/>
        <w:gridCol w:w="1177"/>
        <w:gridCol w:w="194"/>
        <w:gridCol w:w="309"/>
        <w:gridCol w:w="1853"/>
        <w:gridCol w:w="112"/>
        <w:gridCol w:w="112"/>
        <w:gridCol w:w="1165"/>
        <w:gridCol w:w="176"/>
        <w:gridCol w:w="310"/>
        <w:gridCol w:w="1852"/>
        <w:gridCol w:w="116"/>
      </w:tblGrid>
      <w:tr>
        <w:trPr/>
        <w:tc>
          <w:tcPr>
            <w:tcW w:w="265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353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PAA Units </w:t>
            </w:r>
            <w:r>
              <w:rPr>
                <w:b/>
                <w:sz w:val="8"/>
              </w:rPr>
              <w:t>(1) (2) (3)</w:t>
            </w:r>
          </w:p>
        </w:tc>
        <w:tc>
          <w:tcPr>
            <w:tcW w:w="224" w:type="dxa"/>
            <w:gridSpan w:val="2"/>
            <w:tcBorders/>
            <w:shd w:fill="auto" w:val="clear"/>
            <w:vAlign w:val="bottom"/>
          </w:tcPr>
          <w:p>
            <w:pPr>
              <w:pStyle w:val="TableContents"/>
              <w:spacing w:before="0" w:after="0"/>
              <w:ind w:left="0" w:right="0" w:hanging="0"/>
              <w:jc w:val="center"/>
              <w:rPr/>
            </w:pPr>
            <w:r>
              <w:rPr/>
              <w:t> </w:t>
            </w:r>
          </w:p>
        </w:tc>
        <w:tc>
          <w:tcPr>
            <w:tcW w:w="350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PNG Units </w:t>
            </w:r>
            <w:r>
              <w:rPr>
                <w:b/>
                <w:sz w:val="8"/>
              </w:rPr>
              <w:t>(4) (5)</w:t>
            </w:r>
          </w:p>
        </w:tc>
        <w:tc>
          <w:tcPr>
            <w:tcW w:w="116" w:type="dxa"/>
            <w:tcBorders/>
            <w:shd w:fill="auto" w:val="clear"/>
            <w:vAlign w:val="bottom"/>
          </w:tcPr>
          <w:p>
            <w:pPr>
              <w:pStyle w:val="TableContents"/>
              <w:spacing w:before="0" w:after="0"/>
              <w:ind w:left="0" w:right="0" w:hanging="0"/>
              <w:jc w:val="center"/>
              <w:rPr/>
            </w:pPr>
            <w:r>
              <w:rPr/>
              <w:t> </w:t>
            </w:r>
          </w:p>
        </w:tc>
      </w:tr>
      <w:tr>
        <w:trPr/>
        <w:tc>
          <w:tcPr>
            <w:tcW w:w="265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17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94" w:type="dxa"/>
            <w:tcBorders/>
            <w:shd w:fill="auto" w:val="clear"/>
            <w:vAlign w:val="bottom"/>
          </w:tcPr>
          <w:p>
            <w:pPr>
              <w:pStyle w:val="TableContents"/>
              <w:spacing w:before="0" w:after="0"/>
              <w:ind w:left="0" w:right="0" w:hanging="0"/>
              <w:jc w:val="center"/>
              <w:rPr/>
            </w:pPr>
            <w:r>
              <w:rPr/>
              <w:t> </w:t>
            </w:r>
          </w:p>
        </w:tc>
        <w:tc>
          <w:tcPr>
            <w:tcW w:w="21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16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6" w:type="dxa"/>
            <w:tcBorders/>
            <w:shd w:fill="auto" w:val="clear"/>
            <w:vAlign w:val="bottom"/>
          </w:tcPr>
          <w:p>
            <w:pPr>
              <w:pStyle w:val="TableContents"/>
              <w:spacing w:before="0" w:after="0"/>
              <w:ind w:left="0" w:right="0" w:hanging="0"/>
              <w:jc w:val="center"/>
              <w:rPr/>
            </w:pPr>
            <w:r>
              <w:rPr/>
              <w:t> </w:t>
            </w:r>
          </w:p>
        </w:tc>
        <w:tc>
          <w:tcPr>
            <w:tcW w:w="21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16" w:type="dxa"/>
            <w:tcBorders/>
            <w:shd w:fill="auto" w:val="clear"/>
            <w:vAlign w:val="bottom"/>
          </w:tcPr>
          <w:p>
            <w:pPr>
              <w:pStyle w:val="TableContents"/>
              <w:spacing w:before="0" w:after="0"/>
              <w:ind w:left="0" w:right="0" w:hanging="0"/>
              <w:jc w:val="center"/>
              <w:rPr/>
            </w:pPr>
            <w:r>
              <w:rPr/>
              <w:t> </w:t>
            </w:r>
          </w:p>
        </w:tc>
      </w:tr>
      <w:tr>
        <w:trPr/>
        <w:tc>
          <w:tcPr>
            <w:tcW w:w="26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at December 31, 2012</w:t>
            </w:r>
          </w:p>
        </w:tc>
        <w:tc>
          <w:tcPr>
            <w:tcW w:w="176" w:type="dxa"/>
            <w:tcBorders/>
            <w:shd w:fill="CCEEFF" w:val="clear"/>
            <w:vAlign w:val="bottom"/>
          </w:tcPr>
          <w:p>
            <w:pPr>
              <w:pStyle w:val="TableContents"/>
              <w:spacing w:before="0" w:after="0"/>
              <w:ind w:left="0" w:right="0" w:hanging="0"/>
              <w:rPr/>
            </w:pPr>
            <w:r>
              <w:rPr/>
              <w:t> </w:t>
            </w:r>
          </w:p>
        </w:tc>
        <w:tc>
          <w:tcPr>
            <w:tcW w:w="11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4"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25.55</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176"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17.49</w:t>
            </w:r>
          </w:p>
        </w:tc>
        <w:tc>
          <w:tcPr>
            <w:tcW w:w="116" w:type="dxa"/>
            <w:tcBorders/>
            <w:shd w:fill="CCEEFF" w:val="clear"/>
            <w:vAlign w:val="bottom"/>
          </w:tcPr>
          <w:p>
            <w:pPr>
              <w:pStyle w:val="TableContents"/>
              <w:spacing w:before="0" w:after="0"/>
              <w:ind w:left="0" w:right="0" w:hanging="0"/>
              <w:rPr/>
            </w:pPr>
            <w:r>
              <w:rPr/>
              <w:t> </w:t>
            </w:r>
          </w:p>
        </w:tc>
      </w:tr>
      <w:tr>
        <w:trPr/>
        <w:tc>
          <w:tcPr>
            <w:tcW w:w="26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Granted </w:t>
            </w:r>
          </w:p>
        </w:tc>
        <w:tc>
          <w:tcPr>
            <w:tcW w:w="176" w:type="dxa"/>
            <w:tcBorders/>
            <w:shd w:fill="auto" w:val="clear"/>
            <w:vAlign w:val="bottom"/>
          </w:tcPr>
          <w:p>
            <w:pPr>
              <w:pStyle w:val="TableContents"/>
              <w:spacing w:before="0" w:after="0"/>
              <w:ind w:left="0" w:right="0" w:hanging="0"/>
              <w:rPr/>
            </w:pPr>
            <w:r>
              <w:rPr/>
              <w:t> </w:t>
            </w:r>
          </w:p>
        </w:tc>
        <w:tc>
          <w:tcPr>
            <w:tcW w:w="11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94"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47.57</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176" w:type="dxa"/>
            <w:tcBorders/>
            <w:shd w:fill="auto" w:val="clear"/>
            <w:vAlign w:val="bottom"/>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17.34</w:t>
            </w:r>
          </w:p>
        </w:tc>
        <w:tc>
          <w:tcPr>
            <w:tcW w:w="116" w:type="dxa"/>
            <w:tcBorders/>
            <w:shd w:fill="auto" w:val="clear"/>
            <w:vAlign w:val="bottom"/>
          </w:tcPr>
          <w:p>
            <w:pPr>
              <w:pStyle w:val="TableContents"/>
              <w:spacing w:before="0" w:after="0"/>
              <w:ind w:left="0" w:right="0" w:hanging="0"/>
              <w:rPr/>
            </w:pPr>
            <w:r>
              <w:rPr/>
              <w:t> </w:t>
            </w:r>
          </w:p>
        </w:tc>
      </w:tr>
      <w:tr>
        <w:trPr/>
        <w:tc>
          <w:tcPr>
            <w:tcW w:w="26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176" w:type="dxa"/>
            <w:tcBorders/>
            <w:shd w:fill="CCEEFF" w:val="clear"/>
            <w:vAlign w:val="bottom"/>
          </w:tcPr>
          <w:p>
            <w:pPr>
              <w:pStyle w:val="TableContents"/>
              <w:spacing w:before="0" w:after="0"/>
              <w:ind w:left="0" w:right="0" w:hanging="0"/>
              <w:rPr/>
            </w:pPr>
            <w:r>
              <w:rPr/>
              <w:t> </w:t>
            </w:r>
          </w:p>
        </w:tc>
        <w:tc>
          <w:tcPr>
            <w:tcW w:w="11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24.77</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14.77</w:t>
            </w:r>
          </w:p>
        </w:tc>
        <w:tc>
          <w:tcPr>
            <w:tcW w:w="116" w:type="dxa"/>
            <w:tcBorders/>
            <w:shd w:fill="CCEEFF" w:val="clear"/>
            <w:vAlign w:val="bottom"/>
          </w:tcPr>
          <w:p>
            <w:pPr>
              <w:pStyle w:val="TableContents"/>
              <w:spacing w:before="0" w:after="0"/>
              <w:ind w:left="0" w:right="0" w:hanging="0"/>
              <w:rPr/>
            </w:pPr>
            <w:r>
              <w:rPr/>
              <w:t> </w:t>
            </w:r>
          </w:p>
        </w:tc>
      </w:tr>
      <w:tr>
        <w:trPr/>
        <w:tc>
          <w:tcPr>
            <w:tcW w:w="26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76" w:type="dxa"/>
            <w:tcBorders/>
            <w:shd w:fill="auto" w:val="clear"/>
            <w:vAlign w:val="bottom"/>
          </w:tcPr>
          <w:p>
            <w:pPr>
              <w:pStyle w:val="TableContents"/>
              <w:spacing w:before="0" w:after="0"/>
              <w:ind w:left="0" w:right="0" w:hanging="0"/>
              <w:rPr/>
            </w:pPr>
            <w:r>
              <w:rPr/>
              <w:t> </w:t>
            </w:r>
          </w:p>
        </w:tc>
        <w:tc>
          <w:tcPr>
            <w:tcW w:w="117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35.70</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6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14.40</w:t>
            </w:r>
          </w:p>
        </w:tc>
        <w:tc>
          <w:tcPr>
            <w:tcW w:w="116" w:type="dxa"/>
            <w:tcBorders/>
            <w:shd w:fill="auto" w:val="clear"/>
            <w:vAlign w:val="bottom"/>
          </w:tcPr>
          <w:p>
            <w:pPr>
              <w:pStyle w:val="TableContents"/>
              <w:spacing w:before="0" w:after="0"/>
              <w:ind w:left="0" w:right="0" w:hanging="0"/>
              <w:rPr/>
            </w:pPr>
            <w:r>
              <w:rPr/>
              <w:t> </w:t>
            </w:r>
          </w:p>
        </w:tc>
      </w:tr>
      <w:tr>
        <w:trPr/>
        <w:tc>
          <w:tcPr>
            <w:tcW w:w="26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at June 30, 2013</w:t>
            </w:r>
          </w:p>
        </w:tc>
        <w:tc>
          <w:tcPr>
            <w:tcW w:w="176" w:type="dxa"/>
            <w:tcBorders/>
            <w:shd w:fill="CCEEFF" w:val="clear"/>
            <w:vAlign w:val="bottom"/>
          </w:tcPr>
          <w:p>
            <w:pPr>
              <w:pStyle w:val="TableContents"/>
              <w:spacing w:before="0" w:after="0"/>
              <w:ind w:left="0" w:right="0" w:hanging="0"/>
              <w:rPr/>
            </w:pPr>
            <w:r>
              <w:rPr/>
              <w:t> </w:t>
            </w:r>
          </w:p>
        </w:tc>
        <w:tc>
          <w:tcPr>
            <w:tcW w:w="11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4"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36.66</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6"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17.57</w:t>
            </w:r>
          </w:p>
        </w:tc>
        <w:tc>
          <w:tcPr>
            <w:tcW w:w="11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Class B Units of Plains AAP, L.P.</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include Special PAA Awards.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Approximately 0.5 million common units were issued, net of approximately 0.3 million units withheld for taxes, for PAA units that vested during the six months ended June 30, 2013. The remaining 1.0 million PAA units that vested were settled in cash.</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Amounts include PNG Transaction Grants.</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Less than 0.1 million PNG common units vested and less than 0.1 million common units were forfeited during the six months ended June 30,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we granted 2.4 million equity-classified phantom unit awards and 1.5 million liability-classified phantom unit awards under our PAA LTIPs.  Substantially all of the equity-classified awards vest as follows: (i) one-third will vest upon the later of the August 2016 distribution date and the date we pay an annualized quarterly distribution of at least $2.35 per common unit, (ii) one-third will vest upon the later of the August 2017 distribution date and the date we pay an annualized quarterly distribution of at least $2.50 per common unit, and (iii) one-third will vest upon the later of the August 2018 distribution date and the date we pay an annualized quarterly distribution of at least $2.65 per unit.  Any of these equity-classified awards and associated DERs that have not vested as of the August 2019 distribution date will be forfeited.  Substantially all of the liability-classified awards are expected to vest on dates ranging from the August 2015 distribution date to the August 2018 distribution date and vest dependent on PAA paying annualized quarterly distributions ranging from $2.30 per common unit to $2.65 per common unit. Certain of these phantom unit awards include DERs that will vest in one-third increments upon achieving distributions of $2.35, $2.50 and $2.65 per common unit, without regard to the minimum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Equity-Indexed Compensation Information.  </w:t>
      </w:r>
      <w:r>
        <w:rPr>
          <w:rFonts w:ascii="Times New Roman" w:hAnsi="Times New Roman"/>
          <w:sz w:val="17"/>
        </w:rPr>
        <w:t>The table below summarizes the expense recognized and the value of vesting (settled both in units and cash) related to our equity-indexed compensation plans and includes both liability-classified and equity-classified awards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60"/>
        <w:gridCol w:w="206"/>
        <w:gridCol w:w="206"/>
        <w:gridCol w:w="1074"/>
        <w:gridCol w:w="236"/>
        <w:gridCol w:w="206"/>
        <w:gridCol w:w="1075"/>
        <w:gridCol w:w="206"/>
        <w:gridCol w:w="191"/>
        <w:gridCol w:w="1047"/>
        <w:gridCol w:w="228"/>
        <w:gridCol w:w="191"/>
        <w:gridCol w:w="1049"/>
        <w:gridCol w:w="130"/>
      </w:tblGrid>
      <w:tr>
        <w:trPr/>
        <w:tc>
          <w:tcPr>
            <w:tcW w:w="4160"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9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6" w:type="dxa"/>
            <w:tcBorders/>
            <w:shd w:fill="auto" w:val="clear"/>
            <w:vAlign w:val="bottom"/>
          </w:tcPr>
          <w:p>
            <w:pPr>
              <w:pStyle w:val="TableContents"/>
              <w:spacing w:before="0" w:after="0"/>
              <w:ind w:left="0" w:right="0" w:hanging="0"/>
              <w:jc w:val="center"/>
              <w:rPr/>
            </w:pPr>
            <w:r>
              <w:rPr/>
              <w:t> </w:t>
            </w:r>
          </w:p>
        </w:tc>
        <w:tc>
          <w:tcPr>
            <w:tcW w:w="27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0" w:type="dxa"/>
            <w:tcBorders/>
            <w:shd w:fill="auto" w:val="clear"/>
            <w:vAlign w:val="bottom"/>
          </w:tcPr>
          <w:p>
            <w:pPr>
              <w:pStyle w:val="TableContents"/>
              <w:spacing w:before="0" w:after="0"/>
              <w:ind w:left="0" w:right="0" w:hanging="0"/>
              <w:jc w:val="center"/>
              <w:rPr/>
            </w:pPr>
            <w:r>
              <w:rPr/>
              <w:t> </w:t>
            </w:r>
          </w:p>
        </w:tc>
      </w:tr>
      <w:tr>
        <w:trPr/>
        <w:tc>
          <w:tcPr>
            <w:tcW w:w="4160"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9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06" w:type="dxa"/>
            <w:tcBorders/>
            <w:shd w:fill="auto" w:val="clear"/>
            <w:vAlign w:val="bottom"/>
          </w:tcPr>
          <w:p>
            <w:pPr>
              <w:pStyle w:val="TableContents"/>
              <w:spacing w:before="0" w:after="0"/>
              <w:ind w:left="0" w:right="0" w:hanging="0"/>
              <w:jc w:val="center"/>
              <w:rPr/>
            </w:pPr>
            <w:r>
              <w:rPr/>
              <w:t> </w:t>
            </w:r>
          </w:p>
        </w:tc>
        <w:tc>
          <w:tcPr>
            <w:tcW w:w="27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30" w:type="dxa"/>
            <w:tcBorders/>
            <w:shd w:fill="auto" w:val="clear"/>
            <w:vAlign w:val="bottom"/>
          </w:tcPr>
          <w:p>
            <w:pPr>
              <w:pStyle w:val="TableContents"/>
              <w:spacing w:before="0" w:after="0"/>
              <w:ind w:left="0" w:right="0" w:hanging="0"/>
              <w:jc w:val="center"/>
              <w:rPr/>
            </w:pPr>
            <w:r>
              <w:rPr/>
              <w:t> </w:t>
            </w:r>
          </w:p>
        </w:tc>
      </w:tr>
      <w:tr>
        <w:trPr/>
        <w:tc>
          <w:tcPr>
            <w:tcW w:w="4160"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6" w:type="dxa"/>
            <w:tcBorders/>
            <w:shd w:fill="auto" w:val="clear"/>
            <w:vAlign w:val="bottom"/>
          </w:tcPr>
          <w:p>
            <w:pPr>
              <w:pStyle w:val="TableContents"/>
              <w:spacing w:before="0" w:after="0"/>
              <w:ind w:left="0" w:right="0" w:hanging="0"/>
              <w:jc w:val="center"/>
              <w:rPr/>
            </w:pPr>
            <w:r>
              <w:rPr/>
              <w:t> </w:t>
            </w:r>
          </w:p>
        </w:tc>
        <w:tc>
          <w:tcPr>
            <w:tcW w:w="12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shd w:fill="auto" w:val="clear"/>
            <w:vAlign w:val="bottom"/>
          </w:tcPr>
          <w:p>
            <w:pPr>
              <w:pStyle w:val="TableContents"/>
              <w:spacing w:before="0" w:after="0"/>
              <w:ind w:left="0" w:right="0" w:hanging="0"/>
              <w:jc w:val="center"/>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8" w:type="dxa"/>
            <w:tcBorders/>
            <w:shd w:fill="auto" w:val="clear"/>
            <w:vAlign w:val="bottom"/>
          </w:tcPr>
          <w:p>
            <w:pPr>
              <w:pStyle w:val="TableContents"/>
              <w:spacing w:before="0" w:after="0"/>
              <w:ind w:left="0" w:right="0" w:hanging="0"/>
              <w:jc w:val="center"/>
              <w:rPr/>
            </w:pPr>
            <w:r>
              <w:rPr/>
              <w:t> </w:t>
            </w:r>
          </w:p>
        </w:tc>
        <w:tc>
          <w:tcPr>
            <w:tcW w:w="12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0" w:type="dxa"/>
            <w:tcBorders/>
            <w:shd w:fill="auto" w:val="clear"/>
            <w:vAlign w:val="bottom"/>
          </w:tcPr>
          <w:p>
            <w:pPr>
              <w:pStyle w:val="TableContents"/>
              <w:spacing w:before="0" w:after="0"/>
              <w:ind w:left="0" w:right="0" w:hanging="0"/>
              <w:jc w:val="center"/>
              <w:rPr/>
            </w:pPr>
            <w:r>
              <w:rPr/>
              <w:t> </w:t>
            </w:r>
          </w:p>
        </w:tc>
      </w:tr>
      <w:tr>
        <w:trPr/>
        <w:tc>
          <w:tcPr>
            <w:tcW w:w="4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06"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36"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6"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28"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30" w:type="dxa"/>
            <w:tcBorders/>
            <w:shd w:fill="CCEEFF" w:val="clear"/>
            <w:vAlign w:val="bottom"/>
          </w:tcPr>
          <w:p>
            <w:pPr>
              <w:pStyle w:val="TableContents"/>
              <w:spacing w:before="0" w:after="0"/>
              <w:ind w:left="0" w:right="0" w:hanging="0"/>
              <w:rPr/>
            </w:pPr>
            <w:r>
              <w:rPr/>
              <w:t> </w:t>
            </w:r>
          </w:p>
        </w:tc>
      </w:tr>
      <w:tr>
        <w:trPr/>
        <w:tc>
          <w:tcPr>
            <w:tcW w:w="4160" w:type="dxa"/>
            <w:tcBorders/>
            <w:shd w:fill="auto" w:val="clear"/>
            <w:vAlign w:val="bottom"/>
          </w:tcPr>
          <w:p>
            <w:pPr>
              <w:pStyle w:val="TableContents"/>
              <w:spacing w:before="0" w:after="0"/>
              <w:ind w:left="0" w:right="0" w:hanging="0"/>
              <w:rPr/>
            </w:pPr>
            <w:r>
              <w:rPr>
                <w:rFonts w:ascii="Times New Roman" w:hAnsi="Times New Roman"/>
                <w:sz w:val="17"/>
              </w:rPr>
              <w:t>LTIP unit-settled vestings</w:t>
            </w:r>
            <w:r>
              <w:rPr/>
              <w:t xml:space="preserve"> </w:t>
            </w:r>
            <w:r>
              <w:rPr>
                <w:sz w:val="11"/>
              </w:rPr>
              <w:t>(1)</w:t>
            </w:r>
          </w:p>
        </w:tc>
        <w:tc>
          <w:tcPr>
            <w:tcW w:w="20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3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6"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28"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30" w:type="dxa"/>
            <w:tcBorders/>
            <w:shd w:fill="auto" w:val="clear"/>
            <w:vAlign w:val="bottom"/>
          </w:tcPr>
          <w:p>
            <w:pPr>
              <w:pStyle w:val="TableContents"/>
              <w:spacing w:before="0" w:after="0"/>
              <w:ind w:left="0" w:right="0" w:hanging="0"/>
              <w:rPr/>
            </w:pPr>
            <w:r>
              <w:rPr/>
              <w:t> </w:t>
            </w:r>
          </w:p>
        </w:tc>
      </w:tr>
      <w:tr>
        <w:trPr/>
        <w:tc>
          <w:tcPr>
            <w:tcW w:w="4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cash-settled vestings</w:t>
            </w:r>
          </w:p>
        </w:tc>
        <w:tc>
          <w:tcPr>
            <w:tcW w:w="206"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36"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06"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28"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0" w:type="dxa"/>
            <w:tcBorders/>
            <w:shd w:fill="CCEEFF" w:val="clear"/>
            <w:vAlign w:val="bottom"/>
          </w:tcPr>
          <w:p>
            <w:pPr>
              <w:pStyle w:val="TableContents"/>
              <w:spacing w:before="0" w:after="0"/>
              <w:ind w:left="0" w:right="0" w:hanging="0"/>
              <w:rPr/>
            </w:pPr>
            <w:r>
              <w:rPr/>
              <w:t> </w:t>
            </w:r>
          </w:p>
        </w:tc>
      </w:tr>
      <w:tr>
        <w:trPr/>
        <w:tc>
          <w:tcPr>
            <w:tcW w:w="4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0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6"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8"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each of the three and six months ended June 30, 2012, approximately $1 million relates to unit-settled vestings that were settled with PNG common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36" w:name="PB_16_141545_7056"/>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11Derivatives and Risk Management Activities</w:t>
      </w:r>
      <w:bookmarkStart w:id="37" w:name="Note11derivativesAndRiskManagemen_141548"/>
      <w:bookmarkEnd w:id="3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operations, we purchase and sell commodities.  We use derivatives to manage the associated risks and to optimize profits.  As of June 30, 2013,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332,800 barrels per day net long position (total of 10.3 million barrels) associated with our crude oil purchases, which was unwound ratably during July 2013 to match monthly average pricing.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27,800 barrels per day (total of 11.0 million barrels), which hedges a portion of our anticipated crude oil lease gathering purchases through September 2014.  These derivatives are time spreads consisting of offsetting purchases and sales between two different months.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w:t>
      </w:r>
      <w:r>
        <w:rPr>
          <w:rFonts w:ascii="Times New Roman" w:hAnsi="Times New Roman"/>
        </w:rPr>
        <w:t xml:space="preserve"> </w:t>
      </w:r>
      <w:r>
        <w:rPr>
          <w:rFonts w:ascii="Times New Roman" w:hAnsi="Times New Roman"/>
          <w:sz w:val="17"/>
        </w:rPr>
        <w:t>13,000 barrels per day (total of 2.0 million barrels) of WTS/WTI crude oil basis futures through December 2013, which hedge anticipated purchases and sales of crude oil.  These derivatives are grade 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3,400 barrels per day (total of 0.5 million barrels) of LLS/WTI crude oil basis futures through December 2013, which hedge anticipated purchases and sales of crude oil.  These derivatives are grade 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2,300 barrels per day (total of 1.4 million barrels) of butane/WTI spread positions, which hedge specific butane sales contracts that are priced as a percentage of WTI through March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long position of approximately 1.9 Bcf through April 2016 related to anticipated base gas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short position of approximately 22.9 Bcf through December 2013 related to anticipated sales of owned natural gas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Storage Capacity Utilization  </w:t>
      </w:r>
      <w:r>
        <w:rPr>
          <w:rFonts w:ascii="Times New Roman" w:hAnsi="Times New Roman"/>
          <w:sz w:val="17"/>
        </w:rPr>
        <w:t>We own a significant amount of crude oil, NGL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June 30, 2013, we used derivatives to manage the risk of not utilizing approximately 2.4 million barrels per month of storage capacity through December 2013. These positions involve no outright price exposure, but instead enable us to profitably use the capacity to store hedged crude oil.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38" w:name="PB_17_141601_5335"/>
      <w:bookmarkEnd w:id="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Inventory Storage</w:t>
      </w:r>
      <w:r>
        <w:rPr>
          <w:rFonts w:ascii="Times New Roman" w:hAnsi="Times New Roman"/>
        </w:rPr>
        <w:t xml:space="preserve"> </w:t>
      </w:r>
      <w:r>
        <w:rPr>
          <w:rFonts w:ascii="Times New Roman" w:hAnsi="Times New Roman"/>
          <w:sz w:val="17"/>
        </w:rPr>
        <w:t> From time to time, we elect to purchase and store crude oil, NGL and refined products inventory in conjunction with our supply and logistics activities. When we purchase and store inventory, we enter into physical sales contracts or use derivatives to mitigate price risk associated with the inventory. As of June 30, 2013, we had derivatives totaling approximately 6.6 million barrels hedging our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offset losses due to evaporation, measurement and other losses in transit.  We utilize derivative instruments to hedge a portion of the anticipated sales of the allowance oil that is to be collected under our tariffs.  As of June 30, 2013, our PLA hedges included (i) a net short position for an average of approximately 1,700 barrels per day (total of 1.6 million barrels) through December 2015, (ii) a long put option position of approximately 0.1 million barrels through December 2013 and (iii) a long call option position of approximately 0.4 million barrels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Processing/NGL Fractionation</w:t>
      </w:r>
      <w:r>
        <w:rPr>
          <w:rFonts w:ascii="Times New Roman" w:hAnsi="Times New Roman"/>
        </w:rPr>
        <w:t xml:space="preserve"> </w:t>
      </w:r>
      <w:r>
        <w:rPr>
          <w:rFonts w:ascii="Times New Roman" w:hAnsi="Times New Roman"/>
          <w:sz w:val="17"/>
        </w:rPr>
        <w:t> As part of our supply and logistics activities, we purchase natural gas for processing and NGL mix for fractionation, and we sell the resulting individual specification products (including ethane, propane, butane and condensate).  In conjunction with these activities, we hedge the purchase of natural gas and the subsequent sale of the individual specification products.  As of June 30, 2013, we had a long natural gas position of approximately 13.7 Bcf through March 2015, a short propane position of approximately 2.4 million barrels through March 2015, a short butane position of approximately 0.7 million barrels through March 2015 and a short WTI position of approximately 0.2 million barrels through March 2015. In addition, we had a long power position of 0.6 million megawatt hours which hedges a portion of our power supply requirements at our natural gas processing and fractionation plants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outstanding debt instruments.  The derivative instruments we use to manage this risk consist primarily of interest rate swaps and treasury locks.  As of June 30, 2013, AOCI includes deferred losses of approximately $90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entered into forward starting interest rate swaps to hedge the underlying benchmark interest rate related to forecasted debt issuances through 2015.  The following table summarizes the terms of our forward starting interest rate swaps as of June 30, 2013 (notional amounts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265"/>
        <w:gridCol w:w="171"/>
        <w:gridCol w:w="1973"/>
        <w:gridCol w:w="171"/>
        <w:gridCol w:w="149"/>
        <w:gridCol w:w="770"/>
        <w:gridCol w:w="171"/>
        <w:gridCol w:w="1549"/>
        <w:gridCol w:w="171"/>
        <w:gridCol w:w="1134"/>
        <w:gridCol w:w="222"/>
        <w:gridCol w:w="1349"/>
        <w:gridCol w:w="110"/>
      </w:tblGrid>
      <w:tr>
        <w:trPr/>
        <w:tc>
          <w:tcPr>
            <w:tcW w:w="2265"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9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br/>
              <w:t>Derivatives Employed</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91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54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Expected</w:t>
              <w:br/>
              <w:t>Termination Date</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13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Rate</w:t>
              <w:br/>
              <w:t>Locked</w:t>
            </w:r>
          </w:p>
        </w:tc>
        <w:tc>
          <w:tcPr>
            <w:tcW w:w="222" w:type="dxa"/>
            <w:tcBorders/>
            <w:shd w:fill="auto" w:val="clear"/>
            <w:tcMar>
              <w:bottom w:w="0" w:type="dxa"/>
            </w:tcMar>
            <w:vAlign w:val="bottom"/>
          </w:tcPr>
          <w:p>
            <w:pPr>
              <w:pStyle w:val="TableContents"/>
              <w:spacing w:before="0" w:after="0"/>
              <w:ind w:left="0" w:right="0" w:hanging="0"/>
              <w:jc w:val="center"/>
              <w:rPr/>
            </w:pPr>
            <w:r>
              <w:rPr/>
              <w:t> </w:t>
            </w:r>
          </w:p>
        </w:tc>
        <w:tc>
          <w:tcPr>
            <w:tcW w:w="134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110" w:type="dxa"/>
            <w:tcBorders/>
            <w:shd w:fill="auto" w:val="clear"/>
            <w:tcMar>
              <w:bottom w:w="0" w:type="dxa"/>
            </w:tcMar>
            <w:vAlign w:val="bottom"/>
          </w:tcPr>
          <w:p>
            <w:pPr>
              <w:pStyle w:val="TableContents"/>
              <w:spacing w:before="0" w:after="0"/>
              <w:ind w:left="0" w:right="0" w:hanging="0"/>
              <w:jc w:val="center"/>
              <w:rPr/>
            </w:pPr>
            <w:r>
              <w:rPr/>
              <w:t> </w:t>
            </w:r>
          </w:p>
        </w:tc>
      </w:tr>
      <w:tr>
        <w:trPr/>
        <w:tc>
          <w:tcPr>
            <w:tcW w:w="226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71" w:type="dxa"/>
            <w:tcBorders/>
            <w:shd w:fill="CCEEFF" w:val="clear"/>
            <w:tcMar>
              <w:bottom w:w="0" w:type="dxa"/>
            </w:tcMar>
          </w:tcPr>
          <w:p>
            <w:pPr>
              <w:pStyle w:val="TableContents"/>
              <w:spacing w:before="0" w:after="0"/>
              <w:ind w:left="0" w:right="0" w:hanging="0"/>
              <w:rPr/>
            </w:pPr>
            <w:r>
              <w:rPr/>
              <w:t> </w:t>
            </w:r>
          </w:p>
        </w:tc>
        <w:tc>
          <w:tcPr>
            <w:tcW w:w="197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 forward starting swaps (30-year)</w:t>
            </w:r>
          </w:p>
        </w:tc>
        <w:tc>
          <w:tcPr>
            <w:tcW w:w="171" w:type="dxa"/>
            <w:tcBorders/>
            <w:shd w:fill="CCEEFF" w:val="clear"/>
            <w:tcMar>
              <w:bottom w:w="0" w:type="dxa"/>
            </w:tcMar>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71" w:type="dxa"/>
            <w:tcBorders/>
            <w:shd w:fill="CCEEFF" w:val="clear"/>
            <w:tcMar>
              <w:bottom w:w="0" w:type="dxa"/>
            </w:tcMar>
          </w:tcPr>
          <w:p>
            <w:pPr>
              <w:pStyle w:val="TableContents"/>
              <w:spacing w:before="0" w:after="0"/>
              <w:ind w:left="0" w:right="0" w:hanging="0"/>
              <w:rPr/>
            </w:pPr>
            <w:r>
              <w:rPr/>
              <w:t> </w:t>
            </w:r>
          </w:p>
        </w:tc>
        <w:tc>
          <w:tcPr>
            <w:tcW w:w="154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6/16/2014</w:t>
            </w:r>
          </w:p>
        </w:tc>
        <w:tc>
          <w:tcPr>
            <w:tcW w:w="171" w:type="dxa"/>
            <w:tcBorders/>
            <w:shd w:fill="CCEEFF" w:val="clear"/>
            <w:tcMar>
              <w:bottom w:w="0" w:type="dxa"/>
            </w:tcMar>
          </w:tcPr>
          <w:p>
            <w:pPr>
              <w:pStyle w:val="TableContents"/>
              <w:spacing w:before="0" w:after="0"/>
              <w:ind w:left="0" w:right="0" w:hanging="0"/>
              <w:rPr/>
            </w:pPr>
            <w:r>
              <w:rPr/>
              <w:t> </w:t>
            </w:r>
          </w:p>
        </w:tc>
        <w:tc>
          <w:tcPr>
            <w:tcW w:w="1134"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2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0" w:type="dxa"/>
            <w:tcBorders/>
            <w:shd w:fill="CCEEFF" w:val="clear"/>
            <w:tcMar>
              <w:bottom w:w="0" w:type="dxa"/>
            </w:tcMar>
          </w:tcPr>
          <w:p>
            <w:pPr>
              <w:pStyle w:val="TableContents"/>
              <w:spacing w:before="0" w:after="0"/>
              <w:ind w:left="0" w:right="0" w:hanging="0"/>
              <w:rPr/>
            </w:pPr>
            <w:r>
              <w:rPr/>
              <w:t> </w:t>
            </w:r>
          </w:p>
        </w:tc>
      </w:tr>
      <w:tr>
        <w:trPr/>
        <w:tc>
          <w:tcPr>
            <w:tcW w:w="226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71" w:type="dxa"/>
            <w:tcBorders/>
            <w:shd w:fill="auto" w:val="clear"/>
            <w:tcMar>
              <w:bottom w:w="0" w:type="dxa"/>
            </w:tcMar>
          </w:tcPr>
          <w:p>
            <w:pPr>
              <w:pStyle w:val="TableContents"/>
              <w:spacing w:before="0" w:after="0"/>
              <w:ind w:left="0" w:right="0" w:hanging="0"/>
              <w:rPr/>
            </w:pPr>
            <w:r>
              <w:rPr/>
              <w:t> </w:t>
            </w:r>
          </w:p>
        </w:tc>
        <w:tc>
          <w:tcPr>
            <w:tcW w:w="197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10 forward starting swaps (30-year)</w:t>
            </w:r>
          </w:p>
        </w:tc>
        <w:tc>
          <w:tcPr>
            <w:tcW w:w="171" w:type="dxa"/>
            <w:tcBorders/>
            <w:shd w:fill="auto" w:val="clear"/>
            <w:tcMar>
              <w:bottom w:w="0" w:type="dxa"/>
            </w:tcMar>
          </w:tcPr>
          <w:p>
            <w:pPr>
              <w:pStyle w:val="TableContents"/>
              <w:spacing w:before="0" w:after="0"/>
              <w:ind w:left="0" w:right="0" w:hanging="0"/>
              <w:rPr/>
            </w:pPr>
            <w:r>
              <w:rPr/>
              <w:t> </w:t>
            </w:r>
          </w:p>
        </w:tc>
        <w:tc>
          <w:tcPr>
            <w:tcW w:w="14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0"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71" w:type="dxa"/>
            <w:tcBorders/>
            <w:shd w:fill="auto" w:val="clear"/>
            <w:tcMar>
              <w:bottom w:w="0" w:type="dxa"/>
            </w:tcMar>
          </w:tcPr>
          <w:p>
            <w:pPr>
              <w:pStyle w:val="TableContents"/>
              <w:spacing w:before="0" w:after="0"/>
              <w:ind w:left="0" w:right="0" w:hanging="0"/>
              <w:rPr/>
            </w:pPr>
            <w:r>
              <w:rPr/>
              <w:t> </w:t>
            </w:r>
          </w:p>
        </w:tc>
        <w:tc>
          <w:tcPr>
            <w:tcW w:w="154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6/15/2015</w:t>
            </w:r>
          </w:p>
        </w:tc>
        <w:tc>
          <w:tcPr>
            <w:tcW w:w="171" w:type="dxa"/>
            <w:tcBorders/>
            <w:shd w:fill="auto" w:val="clear"/>
            <w:tcMar>
              <w:bottom w:w="0" w:type="dxa"/>
            </w:tcMar>
          </w:tcPr>
          <w:p>
            <w:pPr>
              <w:pStyle w:val="TableContents"/>
              <w:spacing w:before="0" w:after="0"/>
              <w:ind w:left="0" w:right="0" w:hanging="0"/>
              <w:rPr/>
            </w:pPr>
            <w:r>
              <w:rPr/>
              <w:t> </w:t>
            </w:r>
          </w:p>
        </w:tc>
        <w:tc>
          <w:tcPr>
            <w:tcW w:w="1134"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2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0"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June 2011 and August 2011, PNG entered into three interest rate swaps to fix the interest rate on a portion of PNGs outstanding debt. The following table summarizes the terms of these swaps (notional amount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250"/>
        <w:gridCol w:w="169"/>
        <w:gridCol w:w="1963"/>
        <w:gridCol w:w="169"/>
        <w:gridCol w:w="149"/>
        <w:gridCol w:w="765"/>
        <w:gridCol w:w="169"/>
        <w:gridCol w:w="1573"/>
        <w:gridCol w:w="169"/>
        <w:gridCol w:w="1160"/>
        <w:gridCol w:w="221"/>
        <w:gridCol w:w="1339"/>
        <w:gridCol w:w="109"/>
      </w:tblGrid>
      <w:tr>
        <w:trPr/>
        <w:tc>
          <w:tcPr>
            <w:tcW w:w="225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196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br/>
              <w:t>Derivatives Employed</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914"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15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Termination Dates</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116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Fixed</w:t>
              <w:br/>
              <w:t>Rate</w:t>
            </w:r>
          </w:p>
        </w:tc>
        <w:tc>
          <w:tcPr>
            <w:tcW w:w="221" w:type="dxa"/>
            <w:tcBorders/>
            <w:shd w:fill="auto" w:val="clear"/>
            <w:tcMar>
              <w:bottom w:w="0" w:type="dxa"/>
            </w:tcMar>
            <w:vAlign w:val="bottom"/>
          </w:tcPr>
          <w:p>
            <w:pPr>
              <w:pStyle w:val="TableContents"/>
              <w:spacing w:before="0" w:after="0"/>
              <w:ind w:left="0" w:right="0" w:hanging="0"/>
              <w:jc w:val="center"/>
              <w:rPr/>
            </w:pPr>
            <w:r>
              <w:rPr/>
              <w:t> </w:t>
            </w:r>
          </w:p>
        </w:tc>
        <w:tc>
          <w:tcPr>
            <w:tcW w:w="133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109" w:type="dxa"/>
            <w:tcBorders/>
            <w:shd w:fill="auto" w:val="clear"/>
            <w:tcMar>
              <w:bottom w:w="0" w:type="dxa"/>
            </w:tcMar>
            <w:vAlign w:val="bottom"/>
          </w:tcPr>
          <w:p>
            <w:pPr>
              <w:pStyle w:val="TableContents"/>
              <w:spacing w:before="0" w:after="0"/>
              <w:ind w:left="0" w:right="0" w:hanging="0"/>
              <w:jc w:val="center"/>
              <w:rPr/>
            </w:pPr>
            <w:r>
              <w:rPr/>
              <w:t> </w:t>
            </w:r>
          </w:p>
        </w:tc>
      </w:tr>
      <w:tr>
        <w:trPr/>
        <w:tc>
          <w:tcPr>
            <w:tcW w:w="22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Floating interest rate payments associated with PNG outstanding debt</w:t>
            </w:r>
          </w:p>
        </w:tc>
        <w:tc>
          <w:tcPr>
            <w:tcW w:w="169" w:type="dxa"/>
            <w:tcBorders/>
            <w:shd w:fill="CCEEFF" w:val="clear"/>
            <w:tcMar>
              <w:bottom w:w="0" w:type="dxa"/>
            </w:tcMar>
          </w:tcPr>
          <w:p>
            <w:pPr>
              <w:pStyle w:val="TableContents"/>
              <w:spacing w:before="0" w:after="0"/>
              <w:ind w:left="0" w:right="0" w:hanging="0"/>
              <w:rPr/>
            </w:pPr>
            <w:r>
              <w:rPr/>
              <w:t> </w:t>
            </w:r>
          </w:p>
        </w:tc>
        <w:tc>
          <w:tcPr>
            <w:tcW w:w="196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3 floating-to-fixed swaps</w:t>
            </w:r>
          </w:p>
        </w:tc>
        <w:tc>
          <w:tcPr>
            <w:tcW w:w="169" w:type="dxa"/>
            <w:tcBorders/>
            <w:shd w:fill="CCEEFF" w:val="clear"/>
            <w:tcMar>
              <w:bottom w:w="0" w:type="dxa"/>
            </w:tcMar>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5"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69" w:type="dxa"/>
            <w:tcBorders/>
            <w:shd w:fill="CCEEFF" w:val="clear"/>
            <w:tcMar>
              <w:bottom w:w="0" w:type="dxa"/>
            </w:tcMar>
          </w:tcPr>
          <w:p>
            <w:pPr>
              <w:pStyle w:val="TableContents"/>
              <w:spacing w:before="0" w:after="0"/>
              <w:ind w:left="0" w:right="0" w:hanging="0"/>
              <w:rPr/>
            </w:pPr>
            <w:r>
              <w:rPr/>
              <w:t> </w:t>
            </w:r>
          </w:p>
        </w:tc>
        <w:tc>
          <w:tcPr>
            <w:tcW w:w="157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6/6/2014</w:t>
              <w:br/>
              <w:t>8/3/2014</w:t>
            </w:r>
          </w:p>
        </w:tc>
        <w:tc>
          <w:tcPr>
            <w:tcW w:w="169" w:type="dxa"/>
            <w:tcBorders/>
            <w:shd w:fill="CCEEFF" w:val="clear"/>
            <w:tcMar>
              <w:bottom w:w="0" w:type="dxa"/>
            </w:tcMar>
          </w:tcPr>
          <w:p>
            <w:pPr>
              <w:pStyle w:val="TableContents"/>
              <w:spacing w:before="0" w:after="0"/>
              <w:ind w:left="0" w:right="0" w:hanging="0"/>
              <w:rPr/>
            </w:pPr>
            <w:r>
              <w:rPr/>
              <w:t> </w:t>
            </w:r>
          </w:p>
        </w:tc>
        <w:tc>
          <w:tcPr>
            <w:tcW w:w="1160"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0.95</w:t>
            </w:r>
          </w:p>
        </w:tc>
        <w:tc>
          <w:tcPr>
            <w:tcW w:w="22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09" w:type="dxa"/>
            <w:tcBorders/>
            <w:shd w:fill="CCEEFF" w:val="clear"/>
            <w:tcMar>
              <w:bottom w:w="0" w:type="dxa"/>
            </w:tcMar>
          </w:tcPr>
          <w:p>
            <w:pPr>
              <w:pStyle w:val="TableContents"/>
              <w:spacing w:before="0" w:after="0"/>
              <w:ind w:left="0" w:right="0" w:hanging="0"/>
              <w:rPr/>
            </w:pPr>
            <w:r>
              <w:rPr/>
              <w:t> </w:t>
            </w:r>
          </w:p>
        </w:tc>
      </w:tr>
      <w:tr>
        <w:trPr/>
        <w:tc>
          <w:tcPr>
            <w:tcW w:w="2250" w:type="dxa"/>
            <w:tcBorders/>
            <w:shd w:fill="auto" w:val="clear"/>
            <w:tcMar>
              <w:bottom w:w="0" w:type="dxa"/>
            </w:tcMar>
            <w:vAlign w:val="center"/>
          </w:tcPr>
          <w:p>
            <w:pPr>
              <w:pStyle w:val="TableContents"/>
              <w:spacing w:before="0" w:after="283"/>
              <w:rPr>
                <w:sz w:val="4"/>
                <w:szCs w:val="4"/>
              </w:rPr>
            </w:pPr>
            <w:r>
              <w:rPr>
                <w:sz w:val="4"/>
                <w:szCs w:val="4"/>
              </w:rPr>
            </w:r>
          </w:p>
        </w:tc>
        <w:tc>
          <w:tcPr>
            <w:tcW w:w="169" w:type="dxa"/>
            <w:tcBorders/>
            <w:shd w:fill="auto" w:val="clear"/>
            <w:tcMar>
              <w:bottom w:w="0" w:type="dxa"/>
            </w:tcMar>
            <w:vAlign w:val="center"/>
          </w:tcPr>
          <w:p>
            <w:pPr>
              <w:pStyle w:val="TableContents"/>
              <w:spacing w:before="0" w:after="283"/>
              <w:rPr>
                <w:sz w:val="4"/>
                <w:szCs w:val="4"/>
              </w:rPr>
            </w:pPr>
            <w:r>
              <w:rPr>
                <w:sz w:val="4"/>
                <w:szCs w:val="4"/>
              </w:rPr>
            </w:r>
          </w:p>
        </w:tc>
        <w:tc>
          <w:tcPr>
            <w:tcW w:w="1963" w:type="dxa"/>
            <w:tcBorders/>
            <w:shd w:fill="auto" w:val="clear"/>
            <w:tcMar>
              <w:bottom w:w="0" w:type="dxa"/>
            </w:tcMar>
            <w:vAlign w:val="center"/>
          </w:tcPr>
          <w:p>
            <w:pPr>
              <w:pStyle w:val="TableContents"/>
              <w:spacing w:before="0" w:after="283"/>
              <w:rPr>
                <w:sz w:val="4"/>
                <w:szCs w:val="4"/>
              </w:rPr>
            </w:pPr>
            <w:r>
              <w:rPr>
                <w:sz w:val="4"/>
                <w:szCs w:val="4"/>
              </w:rPr>
            </w:r>
          </w:p>
        </w:tc>
        <w:tc>
          <w:tcPr>
            <w:tcW w:w="169" w:type="dxa"/>
            <w:tcBorders/>
            <w:shd w:fill="auto" w:val="clear"/>
            <w:tcMar>
              <w:bottom w:w="0" w:type="dxa"/>
            </w:tcMar>
            <w:vAlign w:val="center"/>
          </w:tcPr>
          <w:p>
            <w:pPr>
              <w:pStyle w:val="TableContents"/>
              <w:spacing w:before="0" w:after="283"/>
              <w:rPr>
                <w:sz w:val="4"/>
                <w:szCs w:val="4"/>
              </w:rPr>
            </w:pPr>
            <w:r>
              <w:rPr>
                <w:sz w:val="4"/>
                <w:szCs w:val="4"/>
              </w:rPr>
            </w:r>
          </w:p>
        </w:tc>
        <w:tc>
          <w:tcPr>
            <w:tcW w:w="149" w:type="dxa"/>
            <w:tcBorders/>
            <w:shd w:fill="auto" w:val="clear"/>
            <w:tcMar>
              <w:bottom w:w="0" w:type="dxa"/>
            </w:tcMar>
            <w:vAlign w:val="center"/>
          </w:tcPr>
          <w:p>
            <w:pPr>
              <w:pStyle w:val="TableContents"/>
              <w:spacing w:before="0" w:after="283"/>
              <w:rPr>
                <w:sz w:val="4"/>
                <w:szCs w:val="4"/>
              </w:rPr>
            </w:pPr>
            <w:r>
              <w:rPr>
                <w:sz w:val="4"/>
                <w:szCs w:val="4"/>
              </w:rPr>
            </w:r>
          </w:p>
        </w:tc>
        <w:tc>
          <w:tcPr>
            <w:tcW w:w="765" w:type="dxa"/>
            <w:tcBorders/>
            <w:shd w:fill="auto" w:val="clear"/>
            <w:tcMar>
              <w:bottom w:w="0" w:type="dxa"/>
            </w:tcMar>
            <w:vAlign w:val="center"/>
          </w:tcPr>
          <w:p>
            <w:pPr>
              <w:pStyle w:val="TableContents"/>
              <w:spacing w:before="0" w:after="283"/>
              <w:rPr>
                <w:sz w:val="4"/>
                <w:szCs w:val="4"/>
              </w:rPr>
            </w:pPr>
            <w:r>
              <w:rPr>
                <w:sz w:val="4"/>
                <w:szCs w:val="4"/>
              </w:rPr>
            </w:r>
          </w:p>
        </w:tc>
        <w:tc>
          <w:tcPr>
            <w:tcW w:w="169" w:type="dxa"/>
            <w:tcBorders/>
            <w:shd w:fill="auto" w:val="clear"/>
            <w:tcMar>
              <w:bottom w:w="0" w:type="dxa"/>
            </w:tcMar>
            <w:vAlign w:val="center"/>
          </w:tcPr>
          <w:p>
            <w:pPr>
              <w:pStyle w:val="TableContents"/>
              <w:spacing w:before="0" w:after="283"/>
              <w:rPr>
                <w:sz w:val="4"/>
                <w:szCs w:val="4"/>
              </w:rPr>
            </w:pPr>
            <w:r>
              <w:rPr>
                <w:sz w:val="4"/>
                <w:szCs w:val="4"/>
              </w:rPr>
            </w:r>
          </w:p>
        </w:tc>
        <w:tc>
          <w:tcPr>
            <w:tcW w:w="1573" w:type="dxa"/>
            <w:tcBorders/>
            <w:shd w:fill="auto" w:val="clear"/>
            <w:tcMar>
              <w:bottom w:w="0" w:type="dxa"/>
            </w:tcMar>
            <w:vAlign w:val="center"/>
          </w:tcPr>
          <w:p>
            <w:pPr>
              <w:pStyle w:val="TableContents"/>
              <w:spacing w:before="0" w:after="283"/>
              <w:rPr>
                <w:sz w:val="4"/>
                <w:szCs w:val="4"/>
              </w:rPr>
            </w:pPr>
            <w:r>
              <w:rPr>
                <w:sz w:val="4"/>
                <w:szCs w:val="4"/>
              </w:rPr>
            </w:r>
          </w:p>
        </w:tc>
        <w:tc>
          <w:tcPr>
            <w:tcW w:w="169" w:type="dxa"/>
            <w:tcBorders/>
            <w:shd w:fill="auto" w:val="clear"/>
            <w:tcMar>
              <w:bottom w:w="0" w:type="dxa"/>
            </w:tcMar>
            <w:vAlign w:val="center"/>
          </w:tcPr>
          <w:p>
            <w:pPr>
              <w:pStyle w:val="TableContents"/>
              <w:spacing w:before="0" w:after="283"/>
              <w:rPr>
                <w:sz w:val="4"/>
                <w:szCs w:val="4"/>
              </w:rPr>
            </w:pPr>
            <w:r>
              <w:rPr>
                <w:sz w:val="4"/>
                <w:szCs w:val="4"/>
              </w:rPr>
            </w:r>
          </w:p>
        </w:tc>
        <w:tc>
          <w:tcPr>
            <w:tcW w:w="1160" w:type="dxa"/>
            <w:tcBorders/>
            <w:shd w:fill="auto" w:val="clear"/>
            <w:tcMar>
              <w:bottom w:w="0" w:type="dxa"/>
            </w:tcMar>
            <w:vAlign w:val="center"/>
          </w:tcPr>
          <w:p>
            <w:pPr>
              <w:pStyle w:val="TableContents"/>
              <w:spacing w:before="0" w:after="283"/>
              <w:rPr>
                <w:sz w:val="4"/>
                <w:szCs w:val="4"/>
              </w:rPr>
            </w:pPr>
            <w:r>
              <w:rPr>
                <w:sz w:val="4"/>
                <w:szCs w:val="4"/>
              </w:rPr>
            </w:r>
          </w:p>
        </w:tc>
        <w:tc>
          <w:tcPr>
            <w:tcW w:w="221" w:type="dxa"/>
            <w:tcBorders/>
            <w:shd w:fill="auto" w:val="clear"/>
            <w:tcMar>
              <w:bottom w:w="0" w:type="dxa"/>
            </w:tcMar>
            <w:vAlign w:val="center"/>
          </w:tcPr>
          <w:p>
            <w:pPr>
              <w:pStyle w:val="TableContents"/>
              <w:spacing w:before="0" w:after="283"/>
              <w:rPr>
                <w:sz w:val="4"/>
                <w:szCs w:val="4"/>
              </w:rPr>
            </w:pPr>
            <w:r>
              <w:rPr>
                <w:sz w:val="4"/>
                <w:szCs w:val="4"/>
              </w:rPr>
            </w:r>
          </w:p>
        </w:tc>
        <w:tc>
          <w:tcPr>
            <w:tcW w:w="1339" w:type="dxa"/>
            <w:tcBorders/>
            <w:shd w:fill="auto" w:val="clear"/>
            <w:tcMar>
              <w:bottom w:w="0" w:type="dxa"/>
            </w:tcMar>
            <w:vAlign w:val="center"/>
          </w:tcPr>
          <w:p>
            <w:pPr>
              <w:pStyle w:val="TableContents"/>
              <w:spacing w:before="0" w:after="283"/>
              <w:rPr>
                <w:sz w:val="4"/>
                <w:szCs w:val="4"/>
              </w:rPr>
            </w:pPr>
            <w:r>
              <w:rPr>
                <w:sz w:val="4"/>
                <w:szCs w:val="4"/>
              </w:rPr>
            </w:r>
          </w:p>
        </w:tc>
        <w:tc>
          <w:tcPr>
            <w:tcW w:w="109"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39" w:name="PB_18_142108_5335"/>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  As of June 30, 2013, AOCI includes net deferred gains of approximately $3 million that relate to foreign currency derivatives that were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June 30, 2013, our outstanding foreign currency derivatives include derivatives we use to (i) hedge CAD-denominated interest payments on CAD-denominated intercompany notes, (ii) hedge currency exchange risk associated with USD-denominated commodity purchases and sales in Canada and (iii) hedge currency exchange risk created by the use of USD-denominated commodity derivatives to hedge commodity price risk associated with CAD-denominated commodity purchases and sales.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open forward exchange contracts as of June 30,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07"/>
        <w:gridCol w:w="211"/>
        <w:gridCol w:w="650"/>
        <w:gridCol w:w="211"/>
        <w:gridCol w:w="111"/>
        <w:gridCol w:w="642"/>
        <w:gridCol w:w="211"/>
        <w:gridCol w:w="111"/>
        <w:gridCol w:w="642"/>
        <w:gridCol w:w="211"/>
        <w:gridCol w:w="2184"/>
        <w:gridCol w:w="114"/>
      </w:tblGrid>
      <w:tr>
        <w:trPr/>
        <w:tc>
          <w:tcPr>
            <w:tcW w:w="49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650"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7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1" w:type="dxa"/>
            <w:tcBorders/>
            <w:shd w:fill="auto" w:val="clear"/>
            <w:vAlign w:val="bottom"/>
          </w:tcPr>
          <w:p>
            <w:pPr>
              <w:pStyle w:val="TableContents"/>
              <w:spacing w:before="0" w:after="0"/>
              <w:ind w:left="0" w:right="0" w:hanging="0"/>
              <w:jc w:val="center"/>
              <w:rPr/>
            </w:pPr>
            <w:r>
              <w:rPr/>
              <w:t> </w:t>
            </w:r>
          </w:p>
        </w:tc>
        <w:tc>
          <w:tcPr>
            <w:tcW w:w="7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1" w:type="dxa"/>
            <w:tcBorders/>
            <w:shd w:fill="auto" w:val="clear"/>
            <w:vAlign w:val="bottom"/>
          </w:tcPr>
          <w:p>
            <w:pPr>
              <w:pStyle w:val="TableContents"/>
              <w:spacing w:before="0" w:after="0"/>
              <w:ind w:left="0" w:right="0" w:hanging="0"/>
              <w:jc w:val="center"/>
              <w:rPr/>
            </w:pPr>
            <w:r>
              <w:rPr/>
              <w:t> </w:t>
            </w:r>
          </w:p>
        </w:tc>
        <w:tc>
          <w:tcPr>
            <w:tcW w:w="218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w:t>
              <w:br/>
              <w:t>USD to CAD</w:t>
            </w:r>
          </w:p>
        </w:tc>
        <w:tc>
          <w:tcPr>
            <w:tcW w:w="114" w:type="dxa"/>
            <w:tcBorders/>
            <w:shd w:fill="auto" w:val="clear"/>
            <w:vAlign w:val="bottom"/>
          </w:tcPr>
          <w:p>
            <w:pPr>
              <w:pStyle w:val="TableContents"/>
              <w:spacing w:before="0" w:after="0"/>
              <w:ind w:left="0" w:right="0" w:hanging="0"/>
              <w:jc w:val="center"/>
              <w:rPr/>
            </w:pPr>
            <w:r>
              <w:rPr/>
              <w:t> </w:t>
            </w:r>
          </w:p>
        </w:tc>
      </w:tr>
      <w:tr>
        <w:trPr/>
        <w:tc>
          <w:tcPr>
            <w:tcW w:w="490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CAD for USD:</w:t>
            </w:r>
          </w:p>
        </w:tc>
        <w:tc>
          <w:tcPr>
            <w:tcW w:w="211"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75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75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2184" w:type="dxa"/>
            <w:tcBorders/>
            <w:shd w:fill="CCEEFF" w:val="clear"/>
            <w:vAlign w:val="bottom"/>
          </w:tcPr>
          <w:p>
            <w:pPr>
              <w:pStyle w:val="TableContents"/>
              <w:spacing w:before="0" w:after="0"/>
              <w:ind w:left="0" w:right="0" w:hanging="0"/>
              <w:jc w:val="center"/>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1" w:type="dxa"/>
            <w:tcBorders/>
            <w:shd w:fill="auto" w:val="clear"/>
            <w:vAlign w:val="bottom"/>
          </w:tcPr>
          <w:p>
            <w:pPr>
              <w:pStyle w:val="TableContents"/>
              <w:spacing w:before="0" w:after="0"/>
              <w:ind w:left="0" w:right="0" w:hanging="0"/>
              <w:rPr/>
            </w:pPr>
            <w:r>
              <w:rPr/>
              <w:t> </w:t>
            </w:r>
          </w:p>
        </w:tc>
        <w:tc>
          <w:tcPr>
            <w:tcW w:w="21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$1.05</w:t>
            </w:r>
          </w:p>
        </w:tc>
        <w:tc>
          <w:tcPr>
            <w:tcW w:w="114"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6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6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1" w:type="dxa"/>
            <w:tcBorders/>
            <w:shd w:fill="CCEEFF" w:val="clear"/>
            <w:vAlign w:val="bottom"/>
          </w:tcPr>
          <w:p>
            <w:pPr>
              <w:pStyle w:val="TableContents"/>
              <w:spacing w:before="0" w:after="0"/>
              <w:ind w:left="0" w:right="0" w:hanging="0"/>
              <w:rPr/>
            </w:pPr>
            <w:r>
              <w:rPr/>
              <w:t> </w:t>
            </w:r>
          </w:p>
        </w:tc>
        <w:tc>
          <w:tcPr>
            <w:tcW w:w="21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$1.06</w:t>
            </w:r>
          </w:p>
        </w:tc>
        <w:tc>
          <w:tcPr>
            <w:tcW w:w="114"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6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21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$1.07</w:t>
            </w:r>
          </w:p>
        </w:tc>
        <w:tc>
          <w:tcPr>
            <w:tcW w:w="114"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center"/>
              <w:rPr/>
            </w:pPr>
            <w:r>
              <w:rPr/>
              <w:t> </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11" w:type="dxa"/>
            <w:tcBorders/>
            <w:shd w:fill="CCEEFF" w:val="clear"/>
            <w:vAlign w:val="bottom"/>
          </w:tcPr>
          <w:p>
            <w:pPr>
              <w:pStyle w:val="TableContents"/>
              <w:spacing w:before="0" w:after="0"/>
              <w:ind w:left="0" w:right="0" w:hanging="0"/>
              <w:rPr/>
            </w:pPr>
            <w:r>
              <w:rPr/>
              <w:t> </w:t>
            </w:r>
          </w:p>
        </w:tc>
        <w:tc>
          <w:tcPr>
            <w:tcW w:w="21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$1.05</w:t>
            </w:r>
          </w:p>
        </w:tc>
        <w:tc>
          <w:tcPr>
            <w:tcW w:w="114"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rPr/>
            </w:pPr>
            <w:r>
              <w:rPr/>
              <w:t> </w:t>
            </w:r>
          </w:p>
        </w:tc>
        <w:tc>
          <w:tcPr>
            <w:tcW w:w="75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75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2184"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center"/>
              <w:rPr/>
            </w:pPr>
            <w:r>
              <w:rPr/>
              <w:t> </w:t>
            </w:r>
          </w:p>
        </w:tc>
        <w:tc>
          <w:tcPr>
            <w:tcW w:w="211" w:type="dxa"/>
            <w:tcBorders/>
            <w:shd w:fill="CCEEFF" w:val="clear"/>
            <w:vAlign w:val="bottom"/>
          </w:tcPr>
          <w:p>
            <w:pPr>
              <w:pStyle w:val="TableContents"/>
              <w:spacing w:before="0" w:after="0"/>
              <w:ind w:left="0" w:right="0" w:hanging="0"/>
              <w:rPr/>
            </w:pPr>
            <w:r>
              <w:rPr/>
              <w:t> </w:t>
            </w:r>
          </w:p>
        </w:tc>
        <w:tc>
          <w:tcPr>
            <w:tcW w:w="75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75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2184" w:type="dxa"/>
            <w:tcBorders/>
            <w:shd w:fill="CCEEFF" w:val="clear"/>
            <w:vAlign w:val="bottom"/>
          </w:tcPr>
          <w:p>
            <w:pPr>
              <w:pStyle w:val="TableContents"/>
              <w:spacing w:before="0" w:after="0"/>
              <w:ind w:left="0" w:right="0" w:hanging="0"/>
              <w:jc w:val="center"/>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USD for CAD:</w:t>
            </w:r>
          </w:p>
        </w:tc>
        <w:tc>
          <w:tcPr>
            <w:tcW w:w="211"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rPr/>
            </w:pPr>
            <w:r>
              <w:rPr/>
              <w:t> </w:t>
            </w:r>
          </w:p>
        </w:tc>
        <w:tc>
          <w:tcPr>
            <w:tcW w:w="75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75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2184"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211" w:type="dxa"/>
            <w:tcBorders/>
            <w:shd w:fill="CCEEFF" w:val="clear"/>
            <w:vAlign w:val="bottom"/>
          </w:tcPr>
          <w:p>
            <w:pPr>
              <w:pStyle w:val="TableContents"/>
              <w:spacing w:before="0" w:after="0"/>
              <w:ind w:left="0" w:right="0" w:hanging="0"/>
              <w:rPr/>
            </w:pPr>
            <w:r>
              <w:rPr/>
              <w:t> </w:t>
            </w:r>
          </w:p>
        </w:tc>
        <w:tc>
          <w:tcPr>
            <w:tcW w:w="21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4"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211" w:type="dxa"/>
            <w:tcBorders/>
            <w:shd w:fill="auto" w:val="clear"/>
            <w:vAlign w:val="bottom"/>
          </w:tcPr>
          <w:p>
            <w:pPr>
              <w:pStyle w:val="TableContents"/>
              <w:spacing w:before="0" w:after="0"/>
              <w:ind w:left="0" w:right="0" w:hanging="0"/>
              <w:rPr/>
            </w:pPr>
            <w:r>
              <w:rPr/>
              <w:t> </w:t>
            </w:r>
          </w:p>
        </w:tc>
        <w:tc>
          <w:tcPr>
            <w:tcW w:w="7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1" w:type="dxa"/>
            <w:tcBorders/>
            <w:shd w:fill="auto" w:val="clear"/>
            <w:vAlign w:val="bottom"/>
          </w:tcPr>
          <w:p>
            <w:pPr>
              <w:pStyle w:val="TableContents"/>
              <w:spacing w:before="0" w:after="0"/>
              <w:ind w:left="0" w:right="0" w:hanging="0"/>
              <w:rPr/>
            </w:pPr>
            <w:r>
              <w:rPr/>
              <w:t> </w:t>
            </w:r>
          </w:p>
        </w:tc>
        <w:tc>
          <w:tcPr>
            <w:tcW w:w="7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1" w:type="dxa"/>
            <w:tcBorders/>
            <w:shd w:fill="auto" w:val="clear"/>
            <w:vAlign w:val="bottom"/>
          </w:tcPr>
          <w:p>
            <w:pPr>
              <w:pStyle w:val="TableContents"/>
              <w:spacing w:before="0" w:after="0"/>
              <w:ind w:left="0" w:right="0" w:hanging="0"/>
              <w:rPr/>
            </w:pPr>
            <w:r>
              <w:rPr/>
              <w:t> </w:t>
            </w:r>
          </w:p>
        </w:tc>
        <w:tc>
          <w:tcPr>
            <w:tcW w:w="21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4"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4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4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CCEEFF" w:val="clear"/>
            <w:vAlign w:val="bottom"/>
          </w:tcPr>
          <w:p>
            <w:pPr>
              <w:pStyle w:val="TableContents"/>
              <w:spacing w:before="0" w:after="0"/>
              <w:ind w:left="0" w:right="0" w:hanging="0"/>
              <w:rPr/>
            </w:pPr>
            <w:r>
              <w:rPr/>
              <w:t> </w:t>
            </w:r>
          </w:p>
        </w:tc>
        <w:tc>
          <w:tcPr>
            <w:tcW w:w="21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$1.06</w:t>
            </w:r>
          </w:p>
        </w:tc>
        <w:tc>
          <w:tcPr>
            <w:tcW w:w="114"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11" w:type="dxa"/>
            <w:tcBorders/>
            <w:shd w:fill="auto" w:val="clear"/>
            <w:vAlign w:val="bottom"/>
          </w:tcPr>
          <w:p>
            <w:pPr>
              <w:pStyle w:val="TableContents"/>
              <w:spacing w:before="0" w:after="0"/>
              <w:ind w:left="0" w:right="0" w:hanging="0"/>
              <w:rPr/>
            </w:pPr>
            <w:r>
              <w:rPr/>
              <w:t> </w:t>
            </w:r>
          </w:p>
        </w:tc>
        <w:tc>
          <w:tcPr>
            <w:tcW w:w="21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4"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center"/>
              <w:rPr/>
            </w:pPr>
            <w:r>
              <w:rPr/>
              <w:t> </w:t>
            </w:r>
          </w:p>
        </w:tc>
        <w:tc>
          <w:tcPr>
            <w:tcW w:w="211" w:type="dxa"/>
            <w:tcBorders/>
            <w:shd w:fill="CCEEFF" w:val="clear"/>
            <w:vAlign w:val="bottom"/>
          </w:tcPr>
          <w:p>
            <w:pPr>
              <w:pStyle w:val="TableContents"/>
              <w:spacing w:before="0" w:after="0"/>
              <w:ind w:left="0" w:right="0" w:hanging="0"/>
              <w:rPr/>
            </w:pPr>
            <w:r>
              <w:rPr/>
              <w:t> </w:t>
            </w:r>
          </w:p>
        </w:tc>
        <w:tc>
          <w:tcPr>
            <w:tcW w:w="75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75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2184" w:type="dxa"/>
            <w:tcBorders/>
            <w:shd w:fill="CCEEFF" w:val="clear"/>
            <w:vAlign w:val="bottom"/>
          </w:tcPr>
          <w:p>
            <w:pPr>
              <w:pStyle w:val="TableContents"/>
              <w:spacing w:before="0" w:after="0"/>
              <w:ind w:left="0" w:right="0" w:hanging="0"/>
              <w:jc w:val="center"/>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position by currency:</w:t>
            </w:r>
          </w:p>
        </w:tc>
        <w:tc>
          <w:tcPr>
            <w:tcW w:w="211"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rPr/>
            </w:pPr>
            <w:r>
              <w:rPr/>
              <w:t> </w:t>
            </w:r>
          </w:p>
        </w:tc>
        <w:tc>
          <w:tcPr>
            <w:tcW w:w="75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75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2184"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CCEEFF" w:val="clear"/>
            <w:vAlign w:val="bottom"/>
          </w:tcPr>
          <w:p>
            <w:pPr>
              <w:pStyle w:val="TableContents"/>
              <w:spacing w:before="0" w:after="0"/>
              <w:ind w:left="0" w:right="0" w:hanging="0"/>
              <w:rPr/>
            </w:pPr>
            <w:r>
              <w:rPr/>
              <w:t> </w:t>
            </w:r>
          </w:p>
        </w:tc>
        <w:tc>
          <w:tcPr>
            <w:tcW w:w="2184" w:type="dxa"/>
            <w:tcBorders/>
            <w:shd w:fill="CCEEFF" w:val="clear"/>
            <w:vAlign w:val="bottom"/>
          </w:tcPr>
          <w:p>
            <w:pPr>
              <w:pStyle w:val="TableContents"/>
              <w:spacing w:before="0" w:after="0"/>
              <w:ind w:left="0" w:right="0" w:hanging="0"/>
              <w:jc w:val="center"/>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6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6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pPr>
            <w:r>
              <w:rPr/>
              <w:t> </w:t>
            </w:r>
          </w:p>
        </w:tc>
        <w:tc>
          <w:tcPr>
            <w:tcW w:w="2184"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4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64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2184" w:type="dxa"/>
            <w:tcBorders/>
            <w:shd w:fill="CCEEFF" w:val="clear"/>
            <w:vAlign w:val="bottom"/>
          </w:tcPr>
          <w:p>
            <w:pPr>
              <w:pStyle w:val="TableContents"/>
              <w:spacing w:before="0" w:after="0"/>
              <w:ind w:left="0" w:right="0" w:hanging="0"/>
              <w:jc w:val="center"/>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2184"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For our interest rate swaps that qualify as fair value hedges, changes in the fair value of the derivatives are recognized in earnings each period.  Additionally, the change in fair value of the hedged item, attributable to the hedged risk, is recognized as a basis adjustment to the hedged item and is also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40" w:name="PB_19_142254_5796"/>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and six months ended June 30, 2013 and 2012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686"/>
        <w:gridCol w:w="90"/>
        <w:gridCol w:w="259"/>
        <w:gridCol w:w="633"/>
        <w:gridCol w:w="188"/>
        <w:gridCol w:w="279"/>
        <w:gridCol w:w="573"/>
        <w:gridCol w:w="117"/>
        <w:gridCol w:w="260"/>
        <w:gridCol w:w="632"/>
        <w:gridCol w:w="117"/>
        <w:gridCol w:w="183"/>
        <w:gridCol w:w="461"/>
        <w:gridCol w:w="108"/>
        <w:gridCol w:w="90"/>
        <w:gridCol w:w="240"/>
        <w:gridCol w:w="707"/>
        <w:gridCol w:w="184"/>
        <w:gridCol w:w="330"/>
        <w:gridCol w:w="522"/>
        <w:gridCol w:w="106"/>
        <w:gridCol w:w="209"/>
        <w:gridCol w:w="683"/>
        <w:gridCol w:w="129"/>
        <w:gridCol w:w="164"/>
        <w:gridCol w:w="567"/>
        <w:gridCol w:w="688"/>
      </w:tblGrid>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center"/>
              <w:rPr/>
            </w:pPr>
            <w:r>
              <w:rPr/>
              <w:t> </w:t>
            </w:r>
          </w:p>
        </w:tc>
        <w:tc>
          <w:tcPr>
            <w:tcW w:w="370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June 30, 2013</w:t>
            </w:r>
          </w:p>
        </w:tc>
        <w:tc>
          <w:tcPr>
            <w:tcW w:w="198" w:type="dxa"/>
            <w:gridSpan w:val="2"/>
            <w:tcBorders/>
            <w:shd w:fill="auto" w:val="clear"/>
            <w:vAlign w:val="bottom"/>
          </w:tcPr>
          <w:p>
            <w:pPr>
              <w:pStyle w:val="TableContents"/>
              <w:spacing w:before="0" w:after="0"/>
              <w:ind w:left="0" w:right="0" w:hanging="0"/>
              <w:jc w:val="center"/>
              <w:rPr/>
            </w:pPr>
            <w:r>
              <w:rPr/>
              <w:t> </w:t>
            </w:r>
          </w:p>
        </w:tc>
        <w:tc>
          <w:tcPr>
            <w:tcW w:w="3841"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June 30, 2012</w:t>
            </w:r>
          </w:p>
        </w:tc>
        <w:tc>
          <w:tcPr>
            <w:tcW w:w="688" w:type="dxa"/>
            <w:tcBorders/>
            <w:shd w:fill="auto" w:val="clear"/>
            <w:vAlign w:val="bottom"/>
          </w:tcPr>
          <w:p>
            <w:pPr>
              <w:pStyle w:val="TableContents"/>
              <w:spacing w:before="0" w:after="0"/>
              <w:ind w:left="0" w:right="0" w:hanging="0"/>
              <w:jc w:val="center"/>
              <w:rPr/>
            </w:pPr>
            <w:r>
              <w:rPr/>
              <w:t> </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center"/>
              <w:rPr/>
            </w:pPr>
            <w:r>
              <w:rPr/>
              <w:t> </w:t>
            </w:r>
          </w:p>
        </w:tc>
        <w:tc>
          <w:tcPr>
            <w:tcW w:w="19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17" w:type="dxa"/>
            <w:tcBorders/>
            <w:shd w:fill="auto" w:val="clear"/>
            <w:vAlign w:val="bottom"/>
          </w:tcPr>
          <w:p>
            <w:pPr>
              <w:pStyle w:val="TableContents"/>
              <w:spacing w:before="0" w:after="0"/>
              <w:ind w:left="0" w:right="0" w:hanging="0"/>
              <w:jc w:val="center"/>
              <w:rPr/>
            </w:pPr>
            <w:r>
              <w:rPr/>
              <w:t> </w:t>
            </w:r>
          </w:p>
        </w:tc>
        <w:tc>
          <w:tcPr>
            <w:tcW w:w="892" w:type="dxa"/>
            <w:gridSpan w:val="2"/>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c>
          <w:tcPr>
            <w:tcW w:w="644" w:type="dxa"/>
            <w:gridSpan w:val="2"/>
            <w:tcBorders/>
            <w:shd w:fill="auto" w:val="clear"/>
            <w:vAlign w:val="bottom"/>
          </w:tcPr>
          <w:p>
            <w:pPr>
              <w:pStyle w:val="TableContents"/>
              <w:spacing w:before="0" w:after="0"/>
              <w:ind w:left="0" w:right="0" w:hanging="0"/>
              <w:jc w:val="center"/>
              <w:rPr/>
            </w:pPr>
            <w:r>
              <w:rPr/>
              <w:t> </w:t>
            </w:r>
          </w:p>
        </w:tc>
        <w:tc>
          <w:tcPr>
            <w:tcW w:w="198" w:type="dxa"/>
            <w:gridSpan w:val="2"/>
            <w:tcBorders/>
            <w:shd w:fill="auto" w:val="clear"/>
            <w:vAlign w:val="bottom"/>
          </w:tcPr>
          <w:p>
            <w:pPr>
              <w:pStyle w:val="TableContents"/>
              <w:spacing w:before="0" w:after="0"/>
              <w:ind w:left="0" w:right="0" w:hanging="0"/>
              <w:jc w:val="center"/>
              <w:rPr/>
            </w:pPr>
            <w:r>
              <w:rPr/>
              <w:t> </w:t>
            </w:r>
          </w:p>
        </w:tc>
        <w:tc>
          <w:tcPr>
            <w:tcW w:w="198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3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8" w:type="dxa"/>
            <w:tcBorders/>
            <w:shd w:fill="auto" w:val="clear"/>
            <w:vAlign w:val="bottom"/>
          </w:tcPr>
          <w:p>
            <w:pPr>
              <w:pStyle w:val="TableContents"/>
              <w:spacing w:before="0" w:after="0"/>
              <w:ind w:left="0" w:right="0" w:hanging="0"/>
              <w:jc w:val="center"/>
              <w:rPr/>
            </w:pPr>
            <w:r>
              <w:rPr/>
              <w:t> </w:t>
            </w:r>
          </w:p>
        </w:tc>
      </w:tr>
      <w:tr>
        <w:trPr/>
        <w:tc>
          <w:tcPr>
            <w:tcW w:w="168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90" w:type="dxa"/>
            <w:tcBorders/>
            <w:shd w:fill="auto" w:val="clear"/>
            <w:vAlign w:val="bottom"/>
          </w:tcPr>
          <w:p>
            <w:pPr>
              <w:pStyle w:val="TableContents"/>
              <w:spacing w:before="0" w:after="0"/>
              <w:ind w:left="0" w:right="0" w:hanging="0"/>
              <w:jc w:val="center"/>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188" w:type="dxa"/>
            <w:tcBorders/>
            <w:shd w:fill="auto" w:val="clear"/>
            <w:vAlign w:val="bottom"/>
          </w:tcPr>
          <w:p>
            <w:pPr>
              <w:pStyle w:val="TableContents"/>
              <w:spacing w:before="0" w:after="0"/>
              <w:ind w:left="0" w:right="0" w:hanging="0"/>
              <w:jc w:val="center"/>
              <w:rPr/>
            </w:pPr>
            <w:r>
              <w:rPr/>
              <w:t> </w:t>
            </w:r>
          </w:p>
        </w:tc>
        <w:tc>
          <w:tcPr>
            <w:tcW w:w="8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17" w:type="dxa"/>
            <w:tcBorders/>
            <w:shd w:fill="auto" w:val="clear"/>
            <w:vAlign w:val="bottom"/>
          </w:tcPr>
          <w:p>
            <w:pPr>
              <w:pStyle w:val="TableContents"/>
              <w:spacing w:before="0" w:after="0"/>
              <w:ind w:left="0" w:right="0" w:hanging="0"/>
              <w:jc w:val="center"/>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Derivatives</w:t>
              <w:br/>
              <w:t>Not</w:t>
              <w:br/>
              <w:t>Designated</w:t>
              <w:br/>
              <w:t>as a</w:t>
              <w:br/>
              <w:t>Hedge </w:t>
            </w:r>
            <w:r>
              <w:rPr>
                <w:b/>
                <w:sz w:val="8"/>
              </w:rPr>
              <w:t>(2)</w:t>
            </w:r>
          </w:p>
        </w:tc>
        <w:tc>
          <w:tcPr>
            <w:tcW w:w="117" w:type="dxa"/>
            <w:tcBorders/>
            <w:shd w:fill="auto" w:val="clear"/>
            <w:vAlign w:val="bottom"/>
          </w:tcPr>
          <w:p>
            <w:pPr>
              <w:pStyle w:val="TableContents"/>
              <w:spacing w:before="0" w:after="0"/>
              <w:ind w:left="0" w:right="0" w:hanging="0"/>
              <w:jc w:val="center"/>
              <w:rPr/>
            </w:pPr>
            <w:r>
              <w:rPr/>
              <w:t> </w:t>
            </w:r>
          </w:p>
        </w:tc>
        <w:tc>
          <w:tcPr>
            <w:tcW w:w="6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98" w:type="dxa"/>
            <w:gridSpan w:val="2"/>
            <w:tcBorders/>
            <w:shd w:fill="auto" w:val="clear"/>
            <w:vAlign w:val="bottom"/>
          </w:tcPr>
          <w:p>
            <w:pPr>
              <w:pStyle w:val="TableContents"/>
              <w:spacing w:before="0" w:after="0"/>
              <w:ind w:left="0" w:right="0" w:hanging="0"/>
              <w:jc w:val="center"/>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184" w:type="dxa"/>
            <w:tcBorders/>
            <w:shd w:fill="auto" w:val="clear"/>
            <w:vAlign w:val="bottom"/>
          </w:tcPr>
          <w:p>
            <w:pPr>
              <w:pStyle w:val="TableContents"/>
              <w:spacing w:before="0" w:after="0"/>
              <w:ind w:left="0" w:right="0" w:hanging="0"/>
              <w:jc w:val="center"/>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06" w:type="dxa"/>
            <w:tcBorders/>
            <w:shd w:fill="auto" w:val="clear"/>
            <w:vAlign w:val="bottom"/>
          </w:tcPr>
          <w:p>
            <w:pPr>
              <w:pStyle w:val="TableContents"/>
              <w:spacing w:before="0" w:after="0"/>
              <w:ind w:left="0" w:right="0" w:hanging="0"/>
              <w:jc w:val="center"/>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Derivatives</w:t>
              <w:br/>
              <w:t>Not</w:t>
              <w:br/>
              <w:t>Designated</w:t>
              <w:br/>
              <w:t>as a</w:t>
              <w:br/>
              <w:t>Hedge </w:t>
            </w:r>
            <w:r>
              <w:rPr>
                <w:b/>
                <w:sz w:val="8"/>
              </w:rPr>
              <w:t>(2)</w:t>
            </w:r>
          </w:p>
        </w:tc>
        <w:tc>
          <w:tcPr>
            <w:tcW w:w="129" w:type="dxa"/>
            <w:tcBorders/>
            <w:shd w:fill="auto" w:val="clear"/>
            <w:vAlign w:val="bottom"/>
          </w:tcPr>
          <w:p>
            <w:pPr>
              <w:pStyle w:val="TableContents"/>
              <w:spacing w:before="0" w:after="0"/>
              <w:ind w:left="0" w:right="0" w:hanging="0"/>
              <w:jc w:val="center"/>
              <w:rPr/>
            </w:pPr>
            <w:r>
              <w:rPr/>
              <w:t> </w:t>
            </w:r>
          </w:p>
        </w:tc>
        <w:tc>
          <w:tcPr>
            <w:tcW w:w="7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688" w:type="dxa"/>
            <w:tcBorders/>
            <w:shd w:fill="auto" w:val="clear"/>
            <w:vAlign w:val="bottom"/>
          </w:tcPr>
          <w:p>
            <w:pPr>
              <w:pStyle w:val="TableContents"/>
              <w:spacing w:before="0" w:after="0"/>
              <w:ind w:left="0" w:right="0" w:hanging="0"/>
              <w:jc w:val="center"/>
              <w:rPr/>
            </w:pPr>
            <w:r>
              <w:rPr/>
              <w:t> </w:t>
            </w:r>
          </w:p>
        </w:tc>
      </w:tr>
      <w:tr>
        <w:trPr/>
        <w:tc>
          <w:tcPr>
            <w:tcW w:w="168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90"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c>
          <w:tcPr>
            <w:tcW w:w="731" w:type="dxa"/>
            <w:gridSpan w:val="2"/>
            <w:tcBorders/>
            <w:shd w:fill="CCEEFF" w:val="clear"/>
            <w:vAlign w:val="bottom"/>
          </w:tcPr>
          <w:p>
            <w:pPr>
              <w:pStyle w:val="TableContents"/>
              <w:spacing w:before="0" w:after="0"/>
              <w:ind w:left="0" w:right="0" w:hanging="0"/>
              <w:jc w:val="right"/>
              <w:rPr/>
            </w:pPr>
            <w:r>
              <w:rPr/>
              <w:t> </w:t>
            </w:r>
          </w:p>
        </w:tc>
        <w:tc>
          <w:tcPr>
            <w:tcW w:w="688" w:type="dxa"/>
            <w:tcBorders/>
            <w:shd w:fill="CCEEFF" w:val="clear"/>
            <w:vAlign w:val="bottom"/>
          </w:tcPr>
          <w:p>
            <w:pPr>
              <w:pStyle w:val="TableContents"/>
              <w:spacing w:before="0" w:after="0"/>
              <w:ind w:left="0" w:right="0" w:hanging="0"/>
              <w:rPr/>
            </w:pPr>
            <w:r>
              <w:rPr/>
              <w:t> </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90" w:type="dxa"/>
            <w:tcBorders/>
            <w:shd w:fill="CCEEFF" w:val="clear"/>
            <w:vAlign w:val="bottom"/>
          </w:tcPr>
          <w:p>
            <w:pPr>
              <w:pStyle w:val="TableContents"/>
              <w:spacing w:before="0" w:after="0"/>
              <w:ind w:left="0" w:right="0" w:hanging="0"/>
              <w:rPr/>
            </w:pPr>
            <w:r>
              <w:rPr/>
              <w:t> </w:t>
            </w:r>
          </w:p>
        </w:tc>
        <w:tc>
          <w:tcPr>
            <w:tcW w:w="2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8" w:type="dxa"/>
            <w:tcBorders/>
            <w:shd w:fill="CCEEFF" w:val="clear"/>
            <w:vAlign w:val="bottom"/>
          </w:tcPr>
          <w:p>
            <w:pPr>
              <w:pStyle w:val="TableContents"/>
              <w:spacing w:before="0" w:after="0"/>
              <w:ind w:left="0" w:right="0" w:hanging="0"/>
              <w:rPr/>
            </w:pPr>
            <w:r>
              <w:rPr/>
              <w:t> </w:t>
            </w:r>
          </w:p>
        </w:tc>
        <w:tc>
          <w:tcPr>
            <w:tcW w:w="2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7" w:type="dxa"/>
            <w:tcBorders/>
            <w:shd w:fill="CCEEFF" w:val="clear"/>
            <w:vAlign w:val="bottom"/>
          </w:tcPr>
          <w:p>
            <w:pPr>
              <w:pStyle w:val="TableContents"/>
              <w:spacing w:before="0" w:after="0"/>
              <w:ind w:left="0" w:right="0" w:hanging="0"/>
              <w:rPr/>
            </w:pPr>
            <w:r>
              <w:rPr/>
              <w:t> </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29"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688" w:type="dxa"/>
            <w:tcBorders/>
            <w:shd w:fill="CCEEFF" w:val="clear"/>
            <w:vAlign w:val="bottom"/>
          </w:tcPr>
          <w:p>
            <w:pPr>
              <w:pStyle w:val="TableContents"/>
              <w:spacing w:before="0" w:after="0"/>
              <w:ind w:left="0" w:right="0" w:hanging="0"/>
              <w:rPr/>
            </w:pPr>
            <w:r>
              <w:rPr/>
              <w:t> </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90"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pPr>
            <w:r>
              <w:rPr/>
              <w:t> </w:t>
            </w:r>
          </w:p>
        </w:tc>
        <w:tc>
          <w:tcPr>
            <w:tcW w:w="7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688" w:type="dxa"/>
            <w:tcBorders/>
            <w:shd w:fill="CCEEFF" w:val="clear"/>
            <w:vAlign w:val="bottom"/>
          </w:tcPr>
          <w:p>
            <w:pPr>
              <w:pStyle w:val="TableContents"/>
              <w:spacing w:before="0" w:after="0"/>
              <w:ind w:left="0" w:right="0" w:hanging="0"/>
              <w:rPr/>
            </w:pPr>
            <w:r>
              <w:rPr/>
              <w:t> </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90"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4"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688" w:type="dxa"/>
            <w:tcBorders/>
            <w:shd w:fill="CCEEFF" w:val="clear"/>
            <w:vAlign w:val="bottom"/>
          </w:tcPr>
          <w:p>
            <w:pPr>
              <w:pStyle w:val="TableContents"/>
              <w:spacing w:before="0" w:after="0"/>
              <w:ind w:left="0" w:right="0" w:hanging="0"/>
              <w:rPr/>
            </w:pPr>
            <w:r>
              <w:rPr/>
              <w:t> </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90"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7"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6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90"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c>
          <w:tcPr>
            <w:tcW w:w="731" w:type="dxa"/>
            <w:gridSpan w:val="2"/>
            <w:tcBorders/>
            <w:shd w:fill="CCEEFF" w:val="clear"/>
            <w:vAlign w:val="bottom"/>
          </w:tcPr>
          <w:p>
            <w:pPr>
              <w:pStyle w:val="TableContents"/>
              <w:spacing w:before="0" w:after="0"/>
              <w:ind w:left="0" w:right="0" w:hanging="0"/>
              <w:jc w:val="right"/>
              <w:rPr/>
            </w:pPr>
            <w:r>
              <w:rPr/>
              <w:t> </w:t>
            </w:r>
          </w:p>
        </w:tc>
        <w:tc>
          <w:tcPr>
            <w:tcW w:w="688" w:type="dxa"/>
            <w:tcBorders/>
            <w:shd w:fill="CCEEFF" w:val="clear"/>
            <w:vAlign w:val="bottom"/>
          </w:tcPr>
          <w:p>
            <w:pPr>
              <w:pStyle w:val="TableContents"/>
              <w:spacing w:before="0" w:after="0"/>
              <w:ind w:left="0" w:right="0" w:hanging="0"/>
              <w:rPr/>
            </w:pPr>
            <w:r>
              <w:rPr/>
              <w:t> </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90"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6"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pPr>
            <w:r>
              <w:rPr/>
              <w:t> </w:t>
            </w:r>
          </w:p>
        </w:tc>
        <w:tc>
          <w:tcPr>
            <w:tcW w:w="7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88" w:type="dxa"/>
            <w:tcBorders/>
            <w:shd w:fill="CCEEFF" w:val="clear"/>
            <w:vAlign w:val="bottom"/>
          </w:tcPr>
          <w:p>
            <w:pPr>
              <w:pStyle w:val="TableContents"/>
              <w:spacing w:before="0" w:after="0"/>
              <w:ind w:left="0" w:right="0" w:hanging="0"/>
              <w:rPr/>
            </w:pPr>
            <w:r>
              <w:rPr/>
              <w:t> </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90"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c>
          <w:tcPr>
            <w:tcW w:w="731" w:type="dxa"/>
            <w:gridSpan w:val="2"/>
            <w:tcBorders/>
            <w:shd w:fill="CCEEFF" w:val="clear"/>
            <w:vAlign w:val="bottom"/>
          </w:tcPr>
          <w:p>
            <w:pPr>
              <w:pStyle w:val="TableContents"/>
              <w:spacing w:before="0" w:after="0"/>
              <w:ind w:left="0" w:right="0" w:hanging="0"/>
              <w:jc w:val="right"/>
              <w:rPr/>
            </w:pPr>
            <w:r>
              <w:rPr/>
              <w:t> </w:t>
            </w:r>
          </w:p>
        </w:tc>
        <w:tc>
          <w:tcPr>
            <w:tcW w:w="688" w:type="dxa"/>
            <w:tcBorders/>
            <w:shd w:fill="CCEEFF" w:val="clear"/>
            <w:vAlign w:val="bottom"/>
          </w:tcPr>
          <w:p>
            <w:pPr>
              <w:pStyle w:val="TableContents"/>
              <w:spacing w:before="0" w:after="0"/>
              <w:ind w:left="0" w:right="0" w:hanging="0"/>
              <w:rPr/>
            </w:pPr>
            <w:r>
              <w:rPr/>
              <w:t> </w:t>
            </w:r>
          </w:p>
        </w:tc>
      </w:tr>
      <w:tr>
        <w:trPr/>
        <w:tc>
          <w:tcPr>
            <w:tcW w:w="1686" w:type="dxa"/>
            <w:tcBorders/>
            <w:shd w:fill="auto" w:val="clear"/>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90"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6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6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90" w:type="dxa"/>
            <w:tcBorders/>
            <w:shd w:fill="CCEEFF" w:val="clear"/>
            <w:vAlign w:val="bottom"/>
          </w:tcPr>
          <w:p>
            <w:pPr>
              <w:pStyle w:val="TableContents"/>
              <w:spacing w:before="0" w:after="0"/>
              <w:ind w:left="0" w:right="0" w:hanging="0"/>
              <w:rPr/>
            </w:pPr>
            <w:r>
              <w:rPr/>
              <w:t> </w:t>
            </w:r>
          </w:p>
        </w:tc>
        <w:tc>
          <w:tcPr>
            <w:tcW w:w="8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pPr>
            <w:r>
              <w:rPr/>
              <w:t> </w:t>
            </w:r>
          </w:p>
        </w:tc>
        <w:tc>
          <w:tcPr>
            <w:tcW w:w="8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8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6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pPr>
            <w:r>
              <w:rPr/>
              <w:t> </w:t>
            </w:r>
          </w:p>
        </w:tc>
        <w:tc>
          <w:tcPr>
            <w:tcW w:w="8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8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pPr>
            <w:r>
              <w:rPr/>
              <w:t> </w:t>
            </w:r>
          </w:p>
        </w:tc>
        <w:tc>
          <w:tcPr>
            <w:tcW w:w="7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688" w:type="dxa"/>
            <w:tcBorders/>
            <w:shd w:fill="CCEEFF" w:val="clear"/>
            <w:vAlign w:val="bottom"/>
          </w:tcPr>
          <w:p>
            <w:pPr>
              <w:pStyle w:val="TableContents"/>
              <w:spacing w:before="0" w:after="0"/>
              <w:ind w:left="0" w:right="0" w:hanging="0"/>
              <w:rPr/>
            </w:pPr>
            <w:r>
              <w:rPr/>
              <w:t> </w:t>
            </w:r>
          </w:p>
        </w:tc>
      </w:tr>
      <w:tr>
        <w:trPr/>
        <w:tc>
          <w:tcPr>
            <w:tcW w:w="1686"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644" w:type="dxa"/>
            <w:gridSpan w:val="2"/>
            <w:tcBorders/>
            <w:shd w:fill="auto" w:val="clear"/>
            <w:vAlign w:val="bottom"/>
          </w:tcPr>
          <w:p>
            <w:pPr>
              <w:pStyle w:val="TableContents"/>
              <w:spacing w:before="0" w:after="0"/>
              <w:ind w:left="0" w:right="0" w:hanging="0"/>
              <w:jc w:val="right"/>
              <w:rPr/>
            </w:pPr>
            <w:r>
              <w:rPr/>
              <w:t> </w:t>
            </w:r>
          </w:p>
        </w:tc>
        <w:tc>
          <w:tcPr>
            <w:tcW w:w="10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47"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pPr>
            <w:r>
              <w:rPr/>
              <w:t> </w:t>
            </w:r>
          </w:p>
        </w:tc>
        <w:tc>
          <w:tcPr>
            <w:tcW w:w="688" w:type="dxa"/>
            <w:tcBorders/>
            <w:shd w:fill="auto" w:val="clear"/>
            <w:vAlign w:val="bottom"/>
          </w:tcPr>
          <w:p>
            <w:pPr>
              <w:pStyle w:val="TableContents"/>
              <w:spacing w:before="0" w:after="0"/>
              <w:ind w:left="0" w:right="0" w:hanging="0"/>
              <w:rPr/>
            </w:pPr>
            <w:r>
              <w:rPr/>
              <w:t> </w:t>
            </w:r>
          </w:p>
        </w:tc>
      </w:tr>
      <w:tr>
        <w:trPr/>
        <w:tc>
          <w:tcPr>
            <w:tcW w:w="168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90" w:type="dxa"/>
            <w:tcBorders/>
            <w:shd w:fill="CCEEFF" w:val="clear"/>
            <w:vAlign w:val="bottom"/>
          </w:tcPr>
          <w:p>
            <w:pPr>
              <w:pStyle w:val="TableContents"/>
              <w:spacing w:before="0" w:after="0"/>
              <w:ind w:left="0" w:right="0" w:hanging="0"/>
              <w:rPr/>
            </w:pPr>
            <w:r>
              <w:rPr/>
              <w:t> </w:t>
            </w:r>
          </w:p>
        </w:tc>
        <w:tc>
          <w:tcPr>
            <w:tcW w:w="2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w:t>
            </w:r>
          </w:p>
        </w:tc>
        <w:tc>
          <w:tcPr>
            <w:tcW w:w="188" w:type="dxa"/>
            <w:tcBorders/>
            <w:shd w:fill="CCEEFF" w:val="clear"/>
            <w:vAlign w:val="bottom"/>
          </w:tcPr>
          <w:p>
            <w:pPr>
              <w:pStyle w:val="TableContents"/>
              <w:spacing w:before="0" w:after="0"/>
              <w:ind w:left="0" w:right="0" w:hanging="0"/>
              <w:rPr/>
            </w:pPr>
            <w:r>
              <w:rPr/>
              <w:t> </w:t>
            </w:r>
          </w:p>
        </w:tc>
        <w:tc>
          <w:tcPr>
            <w:tcW w:w="2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7" w:type="dxa"/>
            <w:tcBorders/>
            <w:shd w:fill="CCEEFF" w:val="clear"/>
            <w:vAlign w:val="bottom"/>
          </w:tcPr>
          <w:p>
            <w:pPr>
              <w:pStyle w:val="TableContents"/>
              <w:spacing w:before="0" w:after="0"/>
              <w:ind w:left="0" w:right="0" w:hanging="0"/>
              <w:rPr/>
            </w:pPr>
            <w:r>
              <w:rPr/>
              <w:t> </w:t>
            </w:r>
          </w:p>
        </w:tc>
        <w:tc>
          <w:tcPr>
            <w:tcW w:w="2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25</w:t>
            </w:r>
          </w:p>
        </w:tc>
        <w:tc>
          <w:tcPr>
            <w:tcW w:w="117" w:type="dxa"/>
            <w:tcBorders/>
            <w:shd w:fill="CCEEFF" w:val="clear"/>
            <w:vAlign w:val="bottom"/>
          </w:tcPr>
          <w:p>
            <w:pPr>
              <w:pStyle w:val="TableContents"/>
              <w:spacing w:before="0" w:after="0"/>
              <w:ind w:left="0" w:right="0" w:hanging="0"/>
              <w:rPr/>
            </w:pPr>
            <w:r>
              <w:rPr/>
              <w:t> </w:t>
            </w:r>
          </w:p>
        </w:tc>
        <w:tc>
          <w:tcPr>
            <w:tcW w:w="18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4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w:t>
            </w:r>
          </w:p>
        </w:tc>
        <w:tc>
          <w:tcPr>
            <w:tcW w:w="10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(59</w:t>
            </w:r>
          </w:p>
        </w:tc>
        <w:tc>
          <w:tcPr>
            <w:tcW w:w="18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3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w:t>
            </w:r>
          </w:p>
        </w:tc>
        <w:tc>
          <w:tcPr>
            <w:tcW w:w="106" w:type="dxa"/>
            <w:tcBorders/>
            <w:shd w:fill="CCEEFF" w:val="clear"/>
            <w:vAlign w:val="bottom"/>
          </w:tcPr>
          <w:p>
            <w:pPr>
              <w:pStyle w:val="TableContents"/>
              <w:spacing w:before="0" w:after="0"/>
              <w:ind w:left="0" w:right="0" w:hanging="0"/>
              <w:rPr/>
            </w:pPr>
            <w:r>
              <w:rPr/>
              <w:t> </w:t>
            </w:r>
          </w:p>
        </w:tc>
        <w:tc>
          <w:tcPr>
            <w:tcW w:w="2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8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193</w:t>
            </w:r>
          </w:p>
        </w:tc>
        <w:tc>
          <w:tcPr>
            <w:tcW w:w="129" w:type="dxa"/>
            <w:tcBorders/>
            <w:shd w:fill="CCEEFF" w:val="clear"/>
            <w:vAlign w:val="bottom"/>
          </w:tcPr>
          <w:p>
            <w:pPr>
              <w:pStyle w:val="TableContents"/>
              <w:spacing w:before="0" w:after="0"/>
              <w:ind w:left="0" w:right="0" w:hanging="0"/>
              <w:rPr/>
            </w:pPr>
            <w:r>
              <w:rPr/>
              <w:t> </w:t>
            </w:r>
          </w:p>
        </w:tc>
        <w:tc>
          <w:tcPr>
            <w:tcW w:w="1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136</w:t>
            </w:r>
          </w:p>
        </w:tc>
        <w:tc>
          <w:tcPr>
            <w:tcW w:w="68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31"/>
        <w:gridCol w:w="92"/>
        <w:gridCol w:w="256"/>
        <w:gridCol w:w="640"/>
        <w:gridCol w:w="186"/>
        <w:gridCol w:w="276"/>
        <w:gridCol w:w="582"/>
        <w:gridCol w:w="113"/>
        <w:gridCol w:w="255"/>
        <w:gridCol w:w="640"/>
        <w:gridCol w:w="113"/>
        <w:gridCol w:w="172"/>
        <w:gridCol w:w="448"/>
        <w:gridCol w:w="109"/>
        <w:gridCol w:w="92"/>
        <w:gridCol w:w="221"/>
        <w:gridCol w:w="675"/>
        <w:gridCol w:w="171"/>
        <w:gridCol w:w="263"/>
        <w:gridCol w:w="595"/>
        <w:gridCol w:w="119"/>
        <w:gridCol w:w="207"/>
        <w:gridCol w:w="689"/>
        <w:gridCol w:w="120"/>
        <w:gridCol w:w="149"/>
        <w:gridCol w:w="539"/>
        <w:gridCol w:w="752"/>
      </w:tblGrid>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jc w:val="center"/>
              <w:rPr/>
            </w:pPr>
            <w:r>
              <w:rPr/>
              <w:t> </w:t>
            </w:r>
          </w:p>
        </w:tc>
        <w:tc>
          <w:tcPr>
            <w:tcW w:w="3681"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 June 30, 2013</w:t>
            </w:r>
          </w:p>
        </w:tc>
        <w:tc>
          <w:tcPr>
            <w:tcW w:w="201" w:type="dxa"/>
            <w:gridSpan w:val="2"/>
            <w:tcBorders/>
            <w:shd w:fill="auto" w:val="clear"/>
            <w:vAlign w:val="bottom"/>
          </w:tcPr>
          <w:p>
            <w:pPr>
              <w:pStyle w:val="TableContents"/>
              <w:spacing w:before="0" w:after="0"/>
              <w:ind w:left="0" w:right="0" w:hanging="0"/>
              <w:jc w:val="center"/>
              <w:rPr/>
            </w:pPr>
            <w:r>
              <w:rPr/>
              <w:t> </w:t>
            </w:r>
          </w:p>
        </w:tc>
        <w:tc>
          <w:tcPr>
            <w:tcW w:w="3748"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 June 30, 2012</w:t>
            </w:r>
          </w:p>
        </w:tc>
        <w:tc>
          <w:tcPr>
            <w:tcW w:w="752" w:type="dxa"/>
            <w:tcBorders/>
            <w:shd w:fill="auto" w:val="clear"/>
            <w:vAlign w:val="bottom"/>
          </w:tcPr>
          <w:p>
            <w:pPr>
              <w:pStyle w:val="TableContents"/>
              <w:spacing w:before="0" w:after="0"/>
              <w:ind w:left="0" w:right="0" w:hanging="0"/>
              <w:jc w:val="center"/>
              <w:rPr/>
            </w:pPr>
            <w:r>
              <w:rPr/>
              <w:t> </w:t>
            </w:r>
          </w:p>
        </w:tc>
      </w:tr>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jc w:val="center"/>
              <w:rPr/>
            </w:pPr>
            <w:r>
              <w:rPr/>
              <w:t> </w:t>
            </w:r>
          </w:p>
        </w:tc>
        <w:tc>
          <w:tcPr>
            <w:tcW w:w="194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13" w:type="dxa"/>
            <w:tcBorders/>
            <w:shd w:fill="auto" w:val="clear"/>
            <w:vAlign w:val="bottom"/>
          </w:tcPr>
          <w:p>
            <w:pPr>
              <w:pStyle w:val="TableContents"/>
              <w:spacing w:before="0" w:after="0"/>
              <w:ind w:left="0" w:right="0" w:hanging="0"/>
              <w:jc w:val="center"/>
              <w:rPr/>
            </w:pPr>
            <w:r>
              <w:rPr/>
              <w:t> </w:t>
            </w:r>
          </w:p>
        </w:tc>
        <w:tc>
          <w:tcPr>
            <w:tcW w:w="895"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620" w:type="dxa"/>
            <w:gridSpan w:val="2"/>
            <w:tcBorders/>
            <w:shd w:fill="auto" w:val="clear"/>
            <w:vAlign w:val="bottom"/>
          </w:tcPr>
          <w:p>
            <w:pPr>
              <w:pStyle w:val="TableContents"/>
              <w:spacing w:before="0" w:after="0"/>
              <w:ind w:left="0" w:right="0" w:hanging="0"/>
              <w:jc w:val="center"/>
              <w:rPr/>
            </w:pPr>
            <w:r>
              <w:rPr/>
              <w:t> </w:t>
            </w:r>
          </w:p>
        </w:tc>
        <w:tc>
          <w:tcPr>
            <w:tcW w:w="201" w:type="dxa"/>
            <w:gridSpan w:val="2"/>
            <w:tcBorders/>
            <w:shd w:fill="auto" w:val="clear"/>
            <w:vAlign w:val="bottom"/>
          </w:tcPr>
          <w:p>
            <w:pPr>
              <w:pStyle w:val="TableContents"/>
              <w:spacing w:before="0" w:after="0"/>
              <w:ind w:left="0" w:right="0" w:hanging="0"/>
              <w:jc w:val="center"/>
              <w:rPr/>
            </w:pPr>
            <w:r>
              <w:rPr/>
              <w:t> </w:t>
            </w:r>
          </w:p>
        </w:tc>
        <w:tc>
          <w:tcPr>
            <w:tcW w:w="19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2" w:type="dxa"/>
            <w:tcBorders/>
            <w:shd w:fill="auto" w:val="clear"/>
            <w:vAlign w:val="bottom"/>
          </w:tcPr>
          <w:p>
            <w:pPr>
              <w:pStyle w:val="TableContents"/>
              <w:spacing w:before="0" w:after="0"/>
              <w:ind w:left="0" w:right="0" w:hanging="0"/>
              <w:jc w:val="center"/>
              <w:rPr/>
            </w:pPr>
            <w:r>
              <w:rPr/>
              <w:t> </w:t>
            </w:r>
          </w:p>
        </w:tc>
      </w:tr>
      <w:tr>
        <w:trPr/>
        <w:tc>
          <w:tcPr>
            <w:tcW w:w="173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92" w:type="dxa"/>
            <w:tcBorders/>
            <w:shd w:fill="auto" w:val="clear"/>
            <w:vAlign w:val="bottom"/>
          </w:tcPr>
          <w:p>
            <w:pPr>
              <w:pStyle w:val="TableContents"/>
              <w:spacing w:before="0" w:after="0"/>
              <w:ind w:left="0" w:right="0" w:hanging="0"/>
              <w:jc w:val="center"/>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186" w:type="dxa"/>
            <w:tcBorders/>
            <w:shd w:fill="auto" w:val="clear"/>
            <w:vAlign w:val="bottom"/>
          </w:tcPr>
          <w:p>
            <w:pPr>
              <w:pStyle w:val="TableContents"/>
              <w:spacing w:before="0" w:after="0"/>
              <w:ind w:left="0" w:right="0" w:hanging="0"/>
              <w:jc w:val="center"/>
              <w:rPr/>
            </w:pPr>
            <w:r>
              <w:rPr/>
              <w:t> </w:t>
            </w:r>
          </w:p>
        </w:tc>
        <w:tc>
          <w:tcPr>
            <w:tcW w:w="85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13" w:type="dxa"/>
            <w:tcBorders/>
            <w:shd w:fill="auto" w:val="clear"/>
            <w:vAlign w:val="bottom"/>
          </w:tcPr>
          <w:p>
            <w:pPr>
              <w:pStyle w:val="TableContents"/>
              <w:spacing w:before="0" w:after="0"/>
              <w:ind w:left="0" w:right="0" w:hanging="0"/>
              <w:jc w:val="center"/>
              <w:rPr/>
            </w:pPr>
            <w:r>
              <w:rPr/>
              <w:t> </w:t>
            </w:r>
          </w:p>
        </w:tc>
        <w:tc>
          <w:tcPr>
            <w:tcW w:w="8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Derivatives</w:t>
              <w:br/>
              <w:t>Not</w:t>
              <w:br/>
              <w:t>Designated</w:t>
              <w:br/>
              <w:t>as a</w:t>
              <w:br/>
              <w:t>Hedge </w:t>
            </w:r>
            <w:r>
              <w:rPr>
                <w:b/>
                <w:sz w:val="8"/>
              </w:rPr>
              <w:t>(2)</w:t>
            </w:r>
          </w:p>
        </w:tc>
        <w:tc>
          <w:tcPr>
            <w:tcW w:w="113" w:type="dxa"/>
            <w:tcBorders/>
            <w:shd w:fill="auto" w:val="clear"/>
            <w:vAlign w:val="bottom"/>
          </w:tcPr>
          <w:p>
            <w:pPr>
              <w:pStyle w:val="TableContents"/>
              <w:spacing w:before="0" w:after="0"/>
              <w:ind w:left="0" w:right="0" w:hanging="0"/>
              <w:jc w:val="center"/>
              <w:rPr/>
            </w:pPr>
            <w:r>
              <w:rPr/>
              <w:t> </w:t>
            </w:r>
          </w:p>
        </w:tc>
        <w:tc>
          <w:tcPr>
            <w:tcW w:w="6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01" w:type="dxa"/>
            <w:gridSpan w:val="2"/>
            <w:tcBorders/>
            <w:shd w:fill="auto" w:val="clear"/>
            <w:vAlign w:val="bottom"/>
          </w:tcPr>
          <w:p>
            <w:pPr>
              <w:pStyle w:val="TableContents"/>
              <w:spacing w:before="0" w:after="0"/>
              <w:ind w:left="0" w:right="0" w:hanging="0"/>
              <w:jc w:val="center"/>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17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19" w:type="dxa"/>
            <w:tcBorders/>
            <w:shd w:fill="auto" w:val="clear"/>
            <w:vAlign w:val="bottom"/>
          </w:tcPr>
          <w:p>
            <w:pPr>
              <w:pStyle w:val="TableContents"/>
              <w:spacing w:before="0" w:after="0"/>
              <w:ind w:left="0" w:right="0" w:hanging="0"/>
              <w:jc w:val="center"/>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Derivatives</w:t>
              <w:br/>
              <w:t>Not</w:t>
              <w:br/>
              <w:t>Designated</w:t>
              <w:br/>
              <w:t>as a</w:t>
              <w:br/>
              <w:t>Hedge </w:t>
            </w:r>
            <w:r>
              <w:rPr>
                <w:b/>
                <w:sz w:val="8"/>
              </w:rPr>
              <w:t>(2)</w:t>
            </w:r>
          </w:p>
        </w:tc>
        <w:tc>
          <w:tcPr>
            <w:tcW w:w="120" w:type="dxa"/>
            <w:tcBorders/>
            <w:shd w:fill="auto" w:val="clear"/>
            <w:vAlign w:val="bottom"/>
          </w:tcPr>
          <w:p>
            <w:pPr>
              <w:pStyle w:val="TableContents"/>
              <w:spacing w:before="0" w:after="0"/>
              <w:ind w:left="0" w:right="0" w:hanging="0"/>
              <w:jc w:val="center"/>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752" w:type="dxa"/>
            <w:tcBorders/>
            <w:shd w:fill="auto" w:val="clear"/>
            <w:vAlign w:val="bottom"/>
          </w:tcPr>
          <w:p>
            <w:pPr>
              <w:pStyle w:val="TableContents"/>
              <w:spacing w:before="0" w:after="0"/>
              <w:ind w:left="0" w:right="0" w:hanging="0"/>
              <w:jc w:val="center"/>
              <w:rPr/>
            </w:pPr>
            <w:r>
              <w:rPr/>
              <w:t> </w:t>
            </w:r>
          </w:p>
        </w:tc>
      </w:tr>
      <w:tr>
        <w:trPr/>
        <w:tc>
          <w:tcPr>
            <w:tcW w:w="17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620" w:type="dxa"/>
            <w:gridSpan w:val="2"/>
            <w:tcBorders/>
            <w:shd w:fill="CCEEFF"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752" w:type="dxa"/>
            <w:tcBorders/>
            <w:shd w:fill="CCEEFF" w:val="clear"/>
            <w:vAlign w:val="bottom"/>
          </w:tcPr>
          <w:p>
            <w:pPr>
              <w:pStyle w:val="TableContents"/>
              <w:spacing w:before="0" w:after="0"/>
              <w:ind w:left="0" w:right="0" w:hanging="0"/>
              <w:rPr/>
            </w:pPr>
            <w:r>
              <w:rPr/>
              <w:t> </w:t>
            </w:r>
          </w:p>
        </w:tc>
      </w:tr>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20" w:type="dxa"/>
            <w:gridSpan w:val="2"/>
            <w:tcBorders/>
            <w:shd w:fill="auto"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752" w:type="dxa"/>
            <w:tcBorders/>
            <w:shd w:fill="auto" w:val="clear"/>
            <w:vAlign w:val="bottom"/>
          </w:tcPr>
          <w:p>
            <w:pPr>
              <w:pStyle w:val="TableContents"/>
              <w:spacing w:before="0" w:after="0"/>
              <w:ind w:left="0" w:right="0" w:hanging="0"/>
              <w:rPr/>
            </w:pPr>
            <w:r>
              <w:rPr/>
              <w:t> </w:t>
            </w:r>
          </w:p>
        </w:tc>
      </w:tr>
      <w:tr>
        <w:trPr/>
        <w:tc>
          <w:tcPr>
            <w:tcW w:w="17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92" w:type="dxa"/>
            <w:tcBorders/>
            <w:shd w:fill="CCEEFF" w:val="clear"/>
            <w:vAlign w:val="bottom"/>
          </w:tcPr>
          <w:p>
            <w:pPr>
              <w:pStyle w:val="TableContents"/>
              <w:spacing w:before="0" w:after="0"/>
              <w:ind w:left="0" w:right="0" w:hanging="0"/>
              <w:rPr/>
            </w:pPr>
            <w:r>
              <w:rPr/>
              <w:t> </w:t>
            </w:r>
          </w:p>
        </w:tc>
        <w:tc>
          <w:tcPr>
            <w:tcW w:w="2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86" w:type="dxa"/>
            <w:tcBorders/>
            <w:shd w:fill="CCEEFF" w:val="clear"/>
            <w:vAlign w:val="bottom"/>
          </w:tcPr>
          <w:p>
            <w:pPr>
              <w:pStyle w:val="TableContents"/>
              <w:spacing w:before="0" w:after="0"/>
              <w:ind w:left="0" w:right="0" w:hanging="0"/>
              <w:rPr/>
            </w:pPr>
            <w:r>
              <w:rPr/>
              <w:t> </w:t>
            </w:r>
          </w:p>
        </w:tc>
        <w:tc>
          <w:tcPr>
            <w:tcW w:w="2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13"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20"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752" w:type="dxa"/>
            <w:tcBorders/>
            <w:shd w:fill="CCEEFF" w:val="clear"/>
            <w:vAlign w:val="bottom"/>
          </w:tcPr>
          <w:p>
            <w:pPr>
              <w:pStyle w:val="TableContents"/>
              <w:spacing w:before="0" w:after="0"/>
              <w:ind w:left="0" w:right="0" w:hanging="0"/>
              <w:rPr/>
            </w:pPr>
            <w:r>
              <w:rPr/>
              <w:t> </w:t>
            </w:r>
          </w:p>
        </w:tc>
      </w:tr>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20" w:type="dxa"/>
            <w:gridSpan w:val="2"/>
            <w:tcBorders/>
            <w:shd w:fill="auto"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752" w:type="dxa"/>
            <w:tcBorders/>
            <w:shd w:fill="auto" w:val="clear"/>
            <w:vAlign w:val="bottom"/>
          </w:tcPr>
          <w:p>
            <w:pPr>
              <w:pStyle w:val="TableContents"/>
              <w:spacing w:before="0" w:after="0"/>
              <w:ind w:left="0" w:right="0" w:hanging="0"/>
              <w:rPr/>
            </w:pPr>
            <w:r>
              <w:rPr/>
              <w:t> </w:t>
            </w:r>
          </w:p>
        </w:tc>
      </w:tr>
      <w:tr>
        <w:trPr/>
        <w:tc>
          <w:tcPr>
            <w:tcW w:w="17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6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752" w:type="dxa"/>
            <w:tcBorders/>
            <w:shd w:fill="CCEEFF" w:val="clear"/>
            <w:vAlign w:val="bottom"/>
          </w:tcPr>
          <w:p>
            <w:pPr>
              <w:pStyle w:val="TableContents"/>
              <w:spacing w:before="0" w:after="0"/>
              <w:ind w:left="0" w:right="0" w:hanging="0"/>
              <w:rPr/>
            </w:pPr>
            <w:r>
              <w:rPr/>
              <w:t> </w:t>
            </w:r>
          </w:p>
        </w:tc>
      </w:tr>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20" w:type="dxa"/>
            <w:gridSpan w:val="2"/>
            <w:tcBorders/>
            <w:shd w:fill="auto"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752" w:type="dxa"/>
            <w:tcBorders/>
            <w:shd w:fill="auto" w:val="clear"/>
            <w:vAlign w:val="bottom"/>
          </w:tcPr>
          <w:p>
            <w:pPr>
              <w:pStyle w:val="TableContents"/>
              <w:spacing w:before="0" w:after="0"/>
              <w:ind w:left="0" w:right="0" w:hanging="0"/>
              <w:rPr/>
            </w:pPr>
            <w:r>
              <w:rPr/>
              <w:t> </w:t>
            </w:r>
          </w:p>
        </w:tc>
      </w:tr>
      <w:tr>
        <w:trPr/>
        <w:tc>
          <w:tcPr>
            <w:tcW w:w="17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6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7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752" w:type="dxa"/>
            <w:tcBorders/>
            <w:shd w:fill="CCEEFF" w:val="clear"/>
            <w:vAlign w:val="bottom"/>
          </w:tcPr>
          <w:p>
            <w:pPr>
              <w:pStyle w:val="TableContents"/>
              <w:spacing w:before="0" w:after="0"/>
              <w:ind w:left="0" w:right="0" w:hanging="0"/>
              <w:rPr/>
            </w:pPr>
            <w:r>
              <w:rPr/>
              <w:t> </w:t>
            </w:r>
          </w:p>
        </w:tc>
      </w:tr>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20" w:type="dxa"/>
            <w:gridSpan w:val="2"/>
            <w:tcBorders/>
            <w:shd w:fill="auto"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752" w:type="dxa"/>
            <w:tcBorders/>
            <w:shd w:fill="auto" w:val="clear"/>
            <w:vAlign w:val="bottom"/>
          </w:tcPr>
          <w:p>
            <w:pPr>
              <w:pStyle w:val="TableContents"/>
              <w:spacing w:before="0" w:after="0"/>
              <w:ind w:left="0" w:right="0" w:hanging="0"/>
              <w:rPr/>
            </w:pPr>
            <w:r>
              <w:rPr/>
              <w:t> </w:t>
            </w:r>
          </w:p>
        </w:tc>
      </w:tr>
      <w:tr>
        <w:trPr/>
        <w:tc>
          <w:tcPr>
            <w:tcW w:w="17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3" w:type="dxa"/>
            <w:tcBorders/>
            <w:shd w:fill="CCEEFF" w:val="clear"/>
            <w:vAlign w:val="bottom"/>
          </w:tcPr>
          <w:p>
            <w:pPr>
              <w:pStyle w:val="TableContents"/>
              <w:spacing w:before="0" w:after="0"/>
              <w:ind w:left="0" w:right="0" w:hanging="0"/>
              <w:rPr/>
            </w:pPr>
            <w:r>
              <w:rPr/>
              <w:t> </w:t>
            </w:r>
          </w:p>
        </w:tc>
        <w:tc>
          <w:tcPr>
            <w:tcW w:w="6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7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20" w:type="dxa"/>
            <w:gridSpan w:val="2"/>
            <w:tcBorders/>
            <w:shd w:fill="auto"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752" w:type="dxa"/>
            <w:tcBorders/>
            <w:shd w:fill="auto" w:val="clear"/>
            <w:vAlign w:val="bottom"/>
          </w:tcPr>
          <w:p>
            <w:pPr>
              <w:pStyle w:val="TableContents"/>
              <w:spacing w:before="0" w:after="0"/>
              <w:ind w:left="0" w:right="0" w:hanging="0"/>
              <w:rPr/>
            </w:pPr>
            <w:r>
              <w:rPr/>
              <w:t> </w:t>
            </w:r>
          </w:p>
        </w:tc>
      </w:tr>
      <w:tr>
        <w:trPr/>
        <w:tc>
          <w:tcPr>
            <w:tcW w:w="17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620" w:type="dxa"/>
            <w:gridSpan w:val="2"/>
            <w:tcBorders/>
            <w:shd w:fill="CCEEFF"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752" w:type="dxa"/>
            <w:tcBorders/>
            <w:shd w:fill="CCEEFF" w:val="clear"/>
            <w:vAlign w:val="bottom"/>
          </w:tcPr>
          <w:p>
            <w:pPr>
              <w:pStyle w:val="TableContents"/>
              <w:spacing w:before="0" w:after="0"/>
              <w:ind w:left="0" w:right="0" w:hanging="0"/>
              <w:rPr/>
            </w:pPr>
            <w:r>
              <w:rPr/>
              <w:t> </w:t>
            </w:r>
          </w:p>
        </w:tc>
      </w:tr>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20" w:type="dxa"/>
            <w:gridSpan w:val="2"/>
            <w:tcBorders/>
            <w:shd w:fill="auto"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752" w:type="dxa"/>
            <w:tcBorders/>
            <w:shd w:fill="auto" w:val="clear"/>
            <w:vAlign w:val="bottom"/>
          </w:tcPr>
          <w:p>
            <w:pPr>
              <w:pStyle w:val="TableContents"/>
              <w:spacing w:before="0" w:after="0"/>
              <w:ind w:left="0" w:right="0" w:hanging="0"/>
              <w:rPr/>
            </w:pPr>
            <w:r>
              <w:rPr/>
              <w:t> </w:t>
            </w:r>
          </w:p>
        </w:tc>
      </w:tr>
      <w:tr>
        <w:trPr/>
        <w:tc>
          <w:tcPr>
            <w:tcW w:w="17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6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7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20" w:type="dxa"/>
            <w:gridSpan w:val="2"/>
            <w:tcBorders/>
            <w:shd w:fill="auto"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752" w:type="dxa"/>
            <w:tcBorders/>
            <w:shd w:fill="auto" w:val="clear"/>
            <w:vAlign w:val="bottom"/>
          </w:tcPr>
          <w:p>
            <w:pPr>
              <w:pStyle w:val="TableContents"/>
              <w:spacing w:before="0" w:after="0"/>
              <w:ind w:left="0" w:right="0" w:hanging="0"/>
              <w:rPr/>
            </w:pPr>
            <w:r>
              <w:rPr/>
              <w:t> </w:t>
            </w:r>
          </w:p>
        </w:tc>
      </w:tr>
      <w:tr>
        <w:trPr/>
        <w:tc>
          <w:tcPr>
            <w:tcW w:w="173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620" w:type="dxa"/>
            <w:gridSpan w:val="2"/>
            <w:tcBorders/>
            <w:shd w:fill="CCEEFF"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752" w:type="dxa"/>
            <w:tcBorders/>
            <w:shd w:fill="CCEEFF" w:val="clear"/>
            <w:vAlign w:val="bottom"/>
          </w:tcPr>
          <w:p>
            <w:pPr>
              <w:pStyle w:val="TableContents"/>
              <w:spacing w:before="0" w:after="0"/>
              <w:ind w:left="0" w:right="0" w:hanging="0"/>
              <w:rPr/>
            </w:pPr>
            <w:r>
              <w:rPr/>
              <w:t> </w:t>
            </w:r>
          </w:p>
        </w:tc>
      </w:tr>
      <w:tr>
        <w:trPr/>
        <w:tc>
          <w:tcPr>
            <w:tcW w:w="1731" w:type="dxa"/>
            <w:tcBorders/>
            <w:shd w:fill="auto" w:val="clear"/>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20" w:type="dxa"/>
            <w:gridSpan w:val="2"/>
            <w:tcBorders/>
            <w:shd w:fill="auto"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752" w:type="dxa"/>
            <w:tcBorders/>
            <w:shd w:fill="auto" w:val="clear"/>
            <w:vAlign w:val="bottom"/>
          </w:tcPr>
          <w:p>
            <w:pPr>
              <w:pStyle w:val="TableContents"/>
              <w:spacing w:before="0" w:after="0"/>
              <w:ind w:left="0" w:right="0" w:hanging="0"/>
              <w:rPr/>
            </w:pPr>
            <w:r>
              <w:rPr/>
              <w:t> </w:t>
            </w:r>
          </w:p>
        </w:tc>
      </w:tr>
      <w:tr>
        <w:trPr/>
        <w:tc>
          <w:tcPr>
            <w:tcW w:w="17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8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6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1"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6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752" w:type="dxa"/>
            <w:tcBorders/>
            <w:shd w:fill="CCEEFF" w:val="clear"/>
            <w:vAlign w:val="bottom"/>
          </w:tcPr>
          <w:p>
            <w:pPr>
              <w:pStyle w:val="TableContents"/>
              <w:spacing w:before="0" w:after="0"/>
              <w:ind w:left="0" w:right="0" w:hanging="0"/>
              <w:rPr/>
            </w:pPr>
            <w:r>
              <w:rPr/>
              <w:t> </w:t>
            </w:r>
          </w:p>
        </w:tc>
      </w:tr>
      <w:tr>
        <w:trPr/>
        <w:tc>
          <w:tcPr>
            <w:tcW w:w="1731" w:type="dxa"/>
            <w:tcBorders/>
            <w:shd w:fill="auto" w:val="cle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20" w:type="dxa"/>
            <w:gridSpan w:val="2"/>
            <w:tcBorders/>
            <w:shd w:fill="auto" w:val="clear"/>
            <w:vAlign w:val="bottom"/>
          </w:tcPr>
          <w:p>
            <w:pPr>
              <w:pStyle w:val="TableContents"/>
              <w:spacing w:before="0" w:after="0"/>
              <w:ind w:left="0" w:right="0" w:hanging="0"/>
              <w:jc w:val="right"/>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752" w:type="dxa"/>
            <w:tcBorders/>
            <w:shd w:fill="auto" w:val="clear"/>
            <w:vAlign w:val="bottom"/>
          </w:tcPr>
          <w:p>
            <w:pPr>
              <w:pStyle w:val="TableContents"/>
              <w:spacing w:before="0" w:after="0"/>
              <w:ind w:left="0" w:right="0" w:hanging="0"/>
              <w:rPr/>
            </w:pPr>
            <w:r>
              <w:rPr/>
              <w:t> </w:t>
            </w:r>
          </w:p>
        </w:tc>
      </w:tr>
      <w:tr>
        <w:trPr/>
        <w:tc>
          <w:tcPr>
            <w:tcW w:w="17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92" w:type="dxa"/>
            <w:tcBorders/>
            <w:shd w:fill="CCEEFF" w:val="clear"/>
            <w:vAlign w:val="bottom"/>
          </w:tcPr>
          <w:p>
            <w:pPr>
              <w:pStyle w:val="TableContents"/>
              <w:spacing w:before="0" w:after="0"/>
              <w:ind w:left="0" w:right="0" w:hanging="0"/>
              <w:rPr/>
            </w:pPr>
            <w:r>
              <w:rPr/>
              <w:t> </w:t>
            </w:r>
          </w:p>
        </w:tc>
        <w:tc>
          <w:tcPr>
            <w:tcW w:w="2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4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16</w:t>
            </w:r>
          </w:p>
        </w:tc>
        <w:tc>
          <w:tcPr>
            <w:tcW w:w="186" w:type="dxa"/>
            <w:tcBorders/>
            <w:shd w:fill="CCEEFF" w:val="clear"/>
            <w:vAlign w:val="bottom"/>
          </w:tcPr>
          <w:p>
            <w:pPr>
              <w:pStyle w:val="TableContents"/>
              <w:spacing w:before="0" w:after="0"/>
              <w:ind w:left="0" w:right="0" w:hanging="0"/>
              <w:rPr/>
            </w:pPr>
            <w:r>
              <w:rPr/>
              <w:t> </w:t>
            </w:r>
          </w:p>
        </w:tc>
        <w:tc>
          <w:tcPr>
            <w:tcW w:w="27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3" w:type="dxa"/>
            <w:tcBorders/>
            <w:shd w:fill="CCEEFF" w:val="clear"/>
            <w:vAlign w:val="bottom"/>
          </w:tcPr>
          <w:p>
            <w:pPr>
              <w:pStyle w:val="TableContents"/>
              <w:spacing w:before="0" w:after="0"/>
              <w:ind w:left="0" w:right="0" w:hanging="0"/>
              <w:rPr/>
            </w:pPr>
            <w:r>
              <w:rPr/>
              <w:t> </w:t>
            </w:r>
          </w:p>
        </w:tc>
        <w:tc>
          <w:tcPr>
            <w:tcW w:w="2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4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64</w:t>
            </w:r>
          </w:p>
        </w:tc>
        <w:tc>
          <w:tcPr>
            <w:tcW w:w="113" w:type="dxa"/>
            <w:tcBorders/>
            <w:shd w:fill="CCEEFF" w:val="clear"/>
            <w:vAlign w:val="bottom"/>
          </w:tcPr>
          <w:p>
            <w:pPr>
              <w:pStyle w:val="TableContents"/>
              <w:spacing w:before="0" w:after="0"/>
              <w:ind w:left="0" w:right="0" w:hanging="0"/>
              <w:rPr/>
            </w:pPr>
            <w:r>
              <w:rPr/>
              <w:t> </w:t>
            </w:r>
          </w:p>
        </w:tc>
        <w:tc>
          <w:tcPr>
            <w:tcW w:w="17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4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80</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w:t>
            </w:r>
          </w:p>
        </w:tc>
        <w:tc>
          <w:tcPr>
            <w:tcW w:w="17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9" w:type="dxa"/>
            <w:tcBorders/>
            <w:shd w:fill="CCEEFF" w:val="clear"/>
            <w:vAlign w:val="bottom"/>
          </w:tcPr>
          <w:p>
            <w:pPr>
              <w:pStyle w:val="TableContents"/>
              <w:spacing w:before="0" w:after="0"/>
              <w:ind w:left="0" w:right="0" w:hanging="0"/>
              <w:rPr/>
            </w:pPr>
            <w:r>
              <w:rPr/>
              <w:t> </w:t>
            </w:r>
          </w:p>
        </w:tc>
        <w:tc>
          <w:tcPr>
            <w:tcW w:w="20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159</w:t>
            </w:r>
          </w:p>
        </w:tc>
        <w:tc>
          <w:tcPr>
            <w:tcW w:w="120"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153</w:t>
            </w:r>
          </w:p>
        </w:tc>
        <w:tc>
          <w:tcPr>
            <w:tcW w:w="75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41" w:name="PB_20_145813_7056"/>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During the three months ended June 30, 2013, we reclassified gains of approximately $1 million and $1 million from AOCI to Supply and Logistics segment revenues and Facilities segment revenues, respectively, as a result of anticipated hedged transactions that are probable of not occurring. During the six months ended June 30, 2013, we reclassified gains of approximately $3 million and $1 million from AOCI to Supply and Logistics segment revenues and Facilities segment revenues, respectively, as a result of anticipated hedged transactions that are probable of not occurring. All of our hedged transactions were deemed probable of occurring during the three and six months ended June 30,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realized and unrealized gains and losses for derivatives that did not qualify or were not designated for hedge accounting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June 30,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93"/>
        <w:gridCol w:w="192"/>
        <w:gridCol w:w="2066"/>
        <w:gridCol w:w="192"/>
        <w:gridCol w:w="178"/>
        <w:gridCol w:w="900"/>
        <w:gridCol w:w="112"/>
        <w:gridCol w:w="112"/>
        <w:gridCol w:w="112"/>
        <w:gridCol w:w="2066"/>
        <w:gridCol w:w="192"/>
        <w:gridCol w:w="164"/>
        <w:gridCol w:w="913"/>
        <w:gridCol w:w="213"/>
      </w:tblGrid>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333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12"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333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213" w:type="dxa"/>
            <w:tcBorders/>
            <w:shd w:fill="auto" w:val="clear"/>
            <w:vAlign w:val="bottom"/>
          </w:tcPr>
          <w:p>
            <w:pPr>
              <w:pStyle w:val="TableContents"/>
              <w:spacing w:before="0" w:after="0"/>
              <w:ind w:left="0" w:right="0" w:hanging="0"/>
              <w:jc w:val="center"/>
              <w:rPr/>
            </w:pPr>
            <w:r>
              <w:rPr/>
              <w:t> </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066"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2066"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0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2" w:type="dxa"/>
            <w:tcBorders/>
            <w:shd w:fill="auto" w:val="clear"/>
            <w:vAlign w:val="bottom"/>
          </w:tcPr>
          <w:p>
            <w:pPr>
              <w:pStyle w:val="TableContents"/>
              <w:spacing w:before="0" w:after="0"/>
              <w:ind w:left="0" w:right="0" w:hanging="0"/>
              <w:jc w:val="center"/>
              <w:rPr/>
            </w:pPr>
            <w:r>
              <w:rPr/>
              <w:t> </w:t>
            </w:r>
          </w:p>
        </w:tc>
        <w:tc>
          <w:tcPr>
            <w:tcW w:w="10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12"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20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2" w:type="dxa"/>
            <w:tcBorders/>
            <w:shd w:fill="auto" w:val="clear"/>
            <w:vAlign w:val="bottom"/>
          </w:tcPr>
          <w:p>
            <w:pPr>
              <w:pStyle w:val="TableContents"/>
              <w:spacing w:before="0" w:after="0"/>
              <w:ind w:left="0" w:right="0" w:hanging="0"/>
              <w:jc w:val="center"/>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13" w:type="dxa"/>
            <w:tcBorders/>
            <w:shd w:fill="auto" w:val="clear"/>
            <w:vAlign w:val="bottom"/>
          </w:tcPr>
          <w:p>
            <w:pPr>
              <w:pStyle w:val="TableContents"/>
              <w:spacing w:before="0" w:after="0"/>
              <w:ind w:left="0" w:right="0" w:hanging="0"/>
              <w:jc w:val="center"/>
              <w:rPr/>
            </w:pPr>
            <w:r>
              <w:rPr/>
              <w:t> </w:t>
            </w:r>
          </w:p>
        </w:tc>
      </w:tr>
      <w:tr>
        <w:trPr/>
        <w:tc>
          <w:tcPr>
            <w:tcW w:w="27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r>
      <w:tr>
        <w:trPr/>
        <w:tc>
          <w:tcPr>
            <w:tcW w:w="2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r>
      <w:tr>
        <w:trPr/>
        <w:tc>
          <w:tcPr>
            <w:tcW w:w="27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r>
      <w:tr>
        <w:trPr/>
        <w:tc>
          <w:tcPr>
            <w:tcW w:w="27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r>
      <w:tr>
        <w:trPr/>
        <w:tc>
          <w:tcPr>
            <w:tcW w:w="2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top w:val="double" w:sz="6"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pPr>
            <w:r>
              <w:rPr/>
              <w:t> </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top w:val="double" w:sz="6"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r>
      <w:tr>
        <w:trPr/>
        <w:tc>
          <w:tcPr>
            <w:tcW w:w="27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42" w:name="PB_21_150132_5335"/>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93"/>
        <w:gridCol w:w="192"/>
        <w:gridCol w:w="2066"/>
        <w:gridCol w:w="192"/>
        <w:gridCol w:w="178"/>
        <w:gridCol w:w="900"/>
        <w:gridCol w:w="112"/>
        <w:gridCol w:w="112"/>
        <w:gridCol w:w="112"/>
        <w:gridCol w:w="2066"/>
        <w:gridCol w:w="192"/>
        <w:gridCol w:w="164"/>
        <w:gridCol w:w="913"/>
        <w:gridCol w:w="213"/>
      </w:tblGrid>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333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336" w:type="dxa"/>
            <w:gridSpan w:val="3"/>
            <w:tcBorders/>
            <w:shd w:fill="auto" w:val="clear"/>
            <w:vAlign w:val="bottom"/>
          </w:tcPr>
          <w:p>
            <w:pPr>
              <w:pStyle w:val="TableContents"/>
              <w:spacing w:before="0" w:after="0"/>
              <w:ind w:left="0" w:right="0" w:hanging="0"/>
              <w:jc w:val="center"/>
              <w:rPr/>
            </w:pPr>
            <w:r>
              <w:rPr/>
              <w:t> </w:t>
            </w:r>
          </w:p>
        </w:tc>
        <w:tc>
          <w:tcPr>
            <w:tcW w:w="333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213" w:type="dxa"/>
            <w:tcBorders/>
            <w:shd w:fill="auto" w:val="clear"/>
            <w:vAlign w:val="bottom"/>
          </w:tcPr>
          <w:p>
            <w:pPr>
              <w:pStyle w:val="TableContents"/>
              <w:spacing w:before="0" w:after="0"/>
              <w:ind w:left="0" w:right="0" w:hanging="0"/>
              <w:jc w:val="center"/>
              <w:rPr/>
            </w:pPr>
            <w:r>
              <w:rPr/>
              <w:t> </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066"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336" w:type="dxa"/>
            <w:gridSpan w:val="3"/>
            <w:tcBorders/>
            <w:shd w:fill="auto" w:val="clear"/>
            <w:vAlign w:val="bottom"/>
          </w:tcPr>
          <w:p>
            <w:pPr>
              <w:pStyle w:val="TableContents"/>
              <w:spacing w:before="0" w:after="0"/>
              <w:ind w:left="0" w:right="0" w:hanging="0"/>
              <w:jc w:val="center"/>
              <w:rPr/>
            </w:pPr>
            <w:r>
              <w:rPr/>
              <w:t> </w:t>
            </w:r>
          </w:p>
        </w:tc>
        <w:tc>
          <w:tcPr>
            <w:tcW w:w="2066"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0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2" w:type="dxa"/>
            <w:tcBorders/>
            <w:shd w:fill="auto" w:val="clear"/>
            <w:vAlign w:val="bottom"/>
          </w:tcPr>
          <w:p>
            <w:pPr>
              <w:pStyle w:val="TableContents"/>
              <w:spacing w:before="0" w:after="0"/>
              <w:ind w:left="0" w:right="0" w:hanging="0"/>
              <w:jc w:val="center"/>
              <w:rPr/>
            </w:pPr>
            <w:r>
              <w:rPr/>
              <w:t> </w:t>
            </w:r>
          </w:p>
        </w:tc>
        <w:tc>
          <w:tcPr>
            <w:tcW w:w="10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336" w:type="dxa"/>
            <w:gridSpan w:val="3"/>
            <w:tcBorders/>
            <w:shd w:fill="auto" w:val="clear"/>
            <w:vAlign w:val="bottom"/>
          </w:tcPr>
          <w:p>
            <w:pPr>
              <w:pStyle w:val="TableContents"/>
              <w:spacing w:before="0" w:after="0"/>
              <w:ind w:left="0" w:right="0" w:hanging="0"/>
              <w:jc w:val="center"/>
              <w:rPr/>
            </w:pPr>
            <w:r>
              <w:rPr/>
              <w:t> </w:t>
            </w:r>
          </w:p>
        </w:tc>
        <w:tc>
          <w:tcPr>
            <w:tcW w:w="20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2" w:type="dxa"/>
            <w:tcBorders/>
            <w:shd w:fill="auto" w:val="clear"/>
            <w:vAlign w:val="bottom"/>
          </w:tcPr>
          <w:p>
            <w:pPr>
              <w:pStyle w:val="TableContents"/>
              <w:spacing w:before="0" w:after="0"/>
              <w:ind w:left="0" w:right="0" w:hanging="0"/>
              <w:jc w:val="center"/>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13" w:type="dxa"/>
            <w:tcBorders/>
            <w:shd w:fill="auto" w:val="clear"/>
            <w:vAlign w:val="bottom"/>
          </w:tcPr>
          <w:p>
            <w:pPr>
              <w:pStyle w:val="TableContents"/>
              <w:spacing w:before="0" w:after="0"/>
              <w:ind w:left="0" w:right="0" w:hanging="0"/>
              <w:jc w:val="center"/>
              <w:rPr/>
            </w:pPr>
            <w:r>
              <w:rPr/>
              <w:t> </w:t>
            </w:r>
          </w:p>
        </w:tc>
      </w:tr>
      <w:tr>
        <w:trPr/>
        <w:tc>
          <w:tcPr>
            <w:tcW w:w="27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r>
      <w:tr>
        <w:trPr/>
        <w:tc>
          <w:tcPr>
            <w:tcW w:w="2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r>
      <w:tr>
        <w:trPr/>
        <w:tc>
          <w:tcPr>
            <w:tcW w:w="27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7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r>
      <w:tr>
        <w:trPr/>
        <w:tc>
          <w:tcPr>
            <w:tcW w:w="279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pPr>
            <w:r>
              <w:rPr/>
              <w:t> </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r>
      <w:tr>
        <w:trPr/>
        <w:tc>
          <w:tcPr>
            <w:tcW w:w="27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2"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2"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2"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3"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rPr/>
            </w:pPr>
            <w:r>
              <w:rPr/>
              <w:t> </w:t>
            </w:r>
          </w:p>
        </w:tc>
        <w:tc>
          <w:tcPr>
            <w:tcW w:w="10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2066" w:type="dxa"/>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r>
      <w:tr>
        <w:trPr/>
        <w:tc>
          <w:tcPr>
            <w:tcW w:w="27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9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2066" w:type="dxa"/>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June 30, 2013, we had a net broker receivable of approximately $70 million (consisting of initial margin of $78 million reduced by $8 million of variation margin that had been returned to us).  As of December 31, 2012, we had a net broker receivable of approximately $41 million (consisting of initial margin of $69 million reduced by $28 million of variation margin that had been returned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information about derivatives and financial assets and liabilities that are subject to offsetting, including enforceable master netting arrangements at June 30, 2013 and December 31, 2012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43" w:name="PB_22_151638_7056"/>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31"/>
        <w:gridCol w:w="164"/>
        <w:gridCol w:w="256"/>
        <w:gridCol w:w="1113"/>
        <w:gridCol w:w="180"/>
        <w:gridCol w:w="273"/>
        <w:gridCol w:w="1273"/>
        <w:gridCol w:w="121"/>
        <w:gridCol w:w="105"/>
        <w:gridCol w:w="256"/>
        <w:gridCol w:w="1113"/>
        <w:gridCol w:w="192"/>
        <w:gridCol w:w="271"/>
        <w:gridCol w:w="1273"/>
        <w:gridCol w:w="484"/>
      </w:tblGrid>
      <w:tr>
        <w:trPr/>
        <w:tc>
          <w:tcPr>
            <w:tcW w:w="3131"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309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226" w:type="dxa"/>
            <w:gridSpan w:val="2"/>
            <w:tcBorders/>
            <w:shd w:fill="auto" w:val="clear"/>
            <w:vAlign w:val="bottom"/>
          </w:tcPr>
          <w:p>
            <w:pPr>
              <w:pStyle w:val="TableContents"/>
              <w:spacing w:before="0" w:after="0"/>
              <w:ind w:left="0" w:right="0" w:hanging="0"/>
              <w:jc w:val="center"/>
              <w:rPr/>
            </w:pPr>
            <w:r>
              <w:rPr/>
              <w:t> </w:t>
            </w:r>
          </w:p>
        </w:tc>
        <w:tc>
          <w:tcPr>
            <w:tcW w:w="31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484" w:type="dxa"/>
            <w:tcBorders/>
            <w:shd w:fill="auto" w:val="clear"/>
            <w:vAlign w:val="bottom"/>
          </w:tcPr>
          <w:p>
            <w:pPr>
              <w:pStyle w:val="TableContents"/>
              <w:spacing w:before="0" w:after="0"/>
              <w:ind w:left="0" w:right="0" w:hanging="0"/>
              <w:jc w:val="center"/>
              <w:rPr/>
            </w:pPr>
            <w:r>
              <w:rPr/>
              <w:t> </w:t>
            </w:r>
          </w:p>
        </w:tc>
      </w:tr>
      <w:tr>
        <w:trPr/>
        <w:tc>
          <w:tcPr>
            <w:tcW w:w="3131"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13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180" w:type="dxa"/>
            <w:tcBorders/>
            <w:shd w:fill="auto" w:val="clear"/>
            <w:vAlign w:val="bottom"/>
          </w:tcPr>
          <w:p>
            <w:pPr>
              <w:pStyle w:val="TableContents"/>
              <w:spacing w:before="0" w:after="0"/>
              <w:ind w:left="0" w:right="0" w:hanging="0"/>
              <w:jc w:val="center"/>
              <w:rPr/>
            </w:pPr>
            <w:r>
              <w:rPr/>
              <w:t> </w:t>
            </w:r>
          </w:p>
        </w:tc>
        <w:tc>
          <w:tcPr>
            <w:tcW w:w="154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26" w:type="dxa"/>
            <w:gridSpan w:val="2"/>
            <w:tcBorders/>
            <w:shd w:fill="auto" w:val="clear"/>
            <w:vAlign w:val="bottom"/>
          </w:tcPr>
          <w:p>
            <w:pPr>
              <w:pStyle w:val="TableContents"/>
              <w:spacing w:before="0" w:after="0"/>
              <w:ind w:left="0" w:right="0" w:hanging="0"/>
              <w:jc w:val="center"/>
              <w:rPr/>
            </w:pPr>
            <w:r>
              <w:rPr/>
              <w:t> </w:t>
            </w:r>
          </w:p>
        </w:tc>
        <w:tc>
          <w:tcPr>
            <w:tcW w:w="13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192" w:type="dxa"/>
            <w:tcBorders/>
            <w:shd w:fill="auto" w:val="clear"/>
            <w:vAlign w:val="bottom"/>
          </w:tcPr>
          <w:p>
            <w:pPr>
              <w:pStyle w:val="TableContents"/>
              <w:spacing w:before="0" w:after="0"/>
              <w:ind w:left="0" w:right="0" w:hanging="0"/>
              <w:jc w:val="center"/>
              <w:rPr/>
            </w:pPr>
            <w:r>
              <w:rPr/>
              <w:t> </w:t>
            </w:r>
          </w:p>
        </w:tc>
        <w:tc>
          <w:tcPr>
            <w:tcW w:w="154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484" w:type="dxa"/>
            <w:tcBorders/>
            <w:shd w:fill="auto" w:val="clear"/>
            <w:vAlign w:val="bottom"/>
          </w:tcPr>
          <w:p>
            <w:pPr>
              <w:pStyle w:val="TableContents"/>
              <w:spacing w:before="0" w:after="0"/>
              <w:ind w:left="0" w:right="0" w:hanging="0"/>
              <w:jc w:val="center"/>
              <w:rPr/>
            </w:pPr>
            <w:r>
              <w:rPr/>
              <w:t> </w:t>
            </w:r>
          </w:p>
        </w:tc>
      </w:tr>
      <w:tr>
        <w:trPr/>
        <w:tc>
          <w:tcPr>
            <w:tcW w:w="3131"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13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Positions</w:t>
            </w:r>
          </w:p>
        </w:tc>
        <w:tc>
          <w:tcPr>
            <w:tcW w:w="180" w:type="dxa"/>
            <w:tcBorders/>
            <w:shd w:fill="auto" w:val="clear"/>
            <w:vAlign w:val="bottom"/>
          </w:tcPr>
          <w:p>
            <w:pPr>
              <w:pStyle w:val="TableContents"/>
              <w:spacing w:before="0" w:after="0"/>
              <w:ind w:left="0" w:right="0" w:hanging="0"/>
              <w:jc w:val="center"/>
              <w:rPr/>
            </w:pPr>
            <w:r>
              <w:rPr/>
              <w:t> </w:t>
            </w:r>
          </w:p>
        </w:tc>
        <w:tc>
          <w:tcPr>
            <w:tcW w:w="15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Positions</w:t>
            </w:r>
          </w:p>
        </w:tc>
        <w:tc>
          <w:tcPr>
            <w:tcW w:w="226" w:type="dxa"/>
            <w:gridSpan w:val="2"/>
            <w:tcBorders/>
            <w:shd w:fill="auto" w:val="clear"/>
            <w:vAlign w:val="bottom"/>
          </w:tcPr>
          <w:p>
            <w:pPr>
              <w:pStyle w:val="TableContents"/>
              <w:spacing w:before="0" w:after="0"/>
              <w:ind w:left="0" w:right="0" w:hanging="0"/>
              <w:jc w:val="center"/>
              <w:rPr/>
            </w:pPr>
            <w:r>
              <w:rPr/>
              <w:t> </w:t>
            </w:r>
          </w:p>
        </w:tc>
        <w:tc>
          <w:tcPr>
            <w:tcW w:w="13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Positions</w:t>
            </w:r>
          </w:p>
        </w:tc>
        <w:tc>
          <w:tcPr>
            <w:tcW w:w="192" w:type="dxa"/>
            <w:tcBorders/>
            <w:shd w:fill="auto" w:val="clear"/>
            <w:vAlign w:val="bottom"/>
          </w:tcPr>
          <w:p>
            <w:pPr>
              <w:pStyle w:val="TableContents"/>
              <w:spacing w:before="0" w:after="0"/>
              <w:ind w:left="0" w:right="0" w:hanging="0"/>
              <w:jc w:val="center"/>
              <w:rPr/>
            </w:pPr>
            <w:r>
              <w:rPr/>
              <w:t> </w:t>
            </w:r>
          </w:p>
        </w:tc>
        <w:tc>
          <w:tcPr>
            <w:tcW w:w="15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Positions</w:t>
            </w:r>
          </w:p>
        </w:tc>
        <w:tc>
          <w:tcPr>
            <w:tcW w:w="484" w:type="dxa"/>
            <w:tcBorders/>
            <w:shd w:fill="auto" w:val="clear"/>
            <w:vAlign w:val="bottom"/>
          </w:tcPr>
          <w:p>
            <w:pPr>
              <w:pStyle w:val="TableContents"/>
              <w:spacing w:before="0" w:after="0"/>
              <w:ind w:left="0" w:right="0" w:hanging="0"/>
              <w:jc w:val="center"/>
              <w:rPr/>
            </w:pPr>
            <w:r>
              <w:rPr/>
              <w:t> </w:t>
            </w:r>
          </w:p>
        </w:tc>
      </w:tr>
      <w:tr>
        <w:trPr/>
        <w:tc>
          <w:tcPr>
            <w:tcW w:w="3131"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pPr>
            <w:r>
              <w:rPr/>
              <w:t> </w:t>
            </w:r>
          </w:p>
        </w:tc>
        <w:tc>
          <w:tcPr>
            <w:tcW w:w="1369"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546" w:type="dxa"/>
            <w:gridSpan w:val="2"/>
            <w:tcBorders/>
            <w:shd w:fill="auto" w:val="clear"/>
            <w:vAlign w:val="bottom"/>
          </w:tcPr>
          <w:p>
            <w:pPr>
              <w:pStyle w:val="TableContents"/>
              <w:spacing w:before="0" w:after="0"/>
              <w:ind w:left="0" w:right="0" w:hanging="0"/>
              <w:jc w:val="right"/>
              <w:rPr/>
            </w:pPr>
            <w:r>
              <w:rPr/>
              <w:t> </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369"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544" w:type="dxa"/>
            <w:gridSpan w:val="2"/>
            <w:tcBorders/>
            <w:shd w:fill="auto" w:val="clear"/>
            <w:vAlign w:val="bottom"/>
          </w:tcPr>
          <w:p>
            <w:pPr>
              <w:pStyle w:val="TableContents"/>
              <w:spacing w:before="0" w:after="0"/>
              <w:ind w:left="0" w:right="0" w:hanging="0"/>
              <w:jc w:val="right"/>
              <w:rPr/>
            </w:pPr>
            <w:r>
              <w:rPr/>
              <w:t> </w:t>
            </w:r>
          </w:p>
        </w:tc>
        <w:tc>
          <w:tcPr>
            <w:tcW w:w="484" w:type="dxa"/>
            <w:tcBorders/>
            <w:shd w:fill="auto" w:val="clear"/>
            <w:vAlign w:val="bottom"/>
          </w:tcPr>
          <w:p>
            <w:pPr>
              <w:pStyle w:val="TableContents"/>
              <w:spacing w:before="0" w:after="0"/>
              <w:ind w:left="0" w:right="0" w:hanging="0"/>
              <w:rPr/>
            </w:pPr>
            <w:r>
              <w:rPr/>
              <w:t> </w:t>
            </w:r>
          </w:p>
        </w:tc>
      </w:tr>
      <w:tr>
        <w:trPr/>
        <w:tc>
          <w:tcPr>
            <w:tcW w:w="31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Netting Adjustments:</w:t>
            </w:r>
          </w:p>
        </w:tc>
        <w:tc>
          <w:tcPr>
            <w:tcW w:w="164" w:type="dxa"/>
            <w:tcBorders/>
            <w:shd w:fill="CCEEFF" w:val="clear"/>
            <w:vAlign w:val="bottom"/>
          </w:tcPr>
          <w:p>
            <w:pPr>
              <w:pStyle w:val="TableContents"/>
              <w:spacing w:before="0" w:after="0"/>
              <w:ind w:left="0" w:right="0" w:hanging="0"/>
              <w:rPr/>
            </w:pPr>
            <w:r>
              <w:rPr/>
              <w:t> </w:t>
            </w:r>
          </w:p>
        </w:tc>
        <w:tc>
          <w:tcPr>
            <w:tcW w:w="1369"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546" w:type="dxa"/>
            <w:gridSpan w:val="2"/>
            <w:tcBorders/>
            <w:shd w:fill="CCEEFF" w:val="clear"/>
            <w:vAlign w:val="bottom"/>
          </w:tcPr>
          <w:p>
            <w:pPr>
              <w:pStyle w:val="TableContents"/>
              <w:spacing w:before="0" w:after="0"/>
              <w:ind w:left="0" w:right="0" w:hanging="0"/>
              <w:jc w:val="right"/>
              <w:rPr/>
            </w:pPr>
            <w:r>
              <w:rPr/>
              <w:t> </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369"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544" w:type="dxa"/>
            <w:gridSpan w:val="2"/>
            <w:tcBorders/>
            <w:shd w:fill="CCEEFF" w:val="clear"/>
            <w:vAlign w:val="bottom"/>
          </w:tcPr>
          <w:p>
            <w:pPr>
              <w:pStyle w:val="TableContents"/>
              <w:spacing w:before="0" w:after="0"/>
              <w:ind w:left="0" w:right="0" w:hanging="0"/>
              <w:jc w:val="right"/>
              <w:rPr/>
            </w:pPr>
            <w:r>
              <w:rPr/>
              <w:t> </w:t>
            </w:r>
          </w:p>
        </w:tc>
        <w:tc>
          <w:tcPr>
            <w:tcW w:w="484" w:type="dxa"/>
            <w:tcBorders/>
            <w:shd w:fill="CCEEFF" w:val="clear"/>
            <w:vAlign w:val="bottom"/>
          </w:tcPr>
          <w:p>
            <w:pPr>
              <w:pStyle w:val="TableContents"/>
              <w:spacing w:before="0" w:after="0"/>
              <w:ind w:left="0" w:right="0" w:hanging="0"/>
              <w:rPr/>
            </w:pPr>
            <w:r>
              <w:rPr/>
              <w:t> </w:t>
            </w:r>
          </w:p>
        </w:tc>
      </w:tr>
      <w:tr>
        <w:trPr/>
        <w:tc>
          <w:tcPr>
            <w:tcW w:w="3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Gross position - asset/(liability)</w:t>
            </w:r>
          </w:p>
        </w:tc>
        <w:tc>
          <w:tcPr>
            <w:tcW w:w="164"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180" w:type="dxa"/>
            <w:tcBorders/>
            <w:shd w:fill="auto" w:val="clear"/>
            <w:vAlign w:val="bottom"/>
          </w:tcPr>
          <w:p>
            <w:pPr>
              <w:pStyle w:val="TableContents"/>
              <w:spacing w:before="0" w:after="0"/>
              <w:ind w:left="0" w:right="0" w:hanging="0"/>
              <w:rPr/>
            </w:pPr>
            <w:r>
              <w:rPr/>
              <w:t> </w:t>
            </w:r>
          </w:p>
        </w:tc>
        <w:tc>
          <w:tcPr>
            <w:tcW w:w="2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92"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4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Netting adjustment</w:t>
            </w:r>
          </w:p>
        </w:tc>
        <w:tc>
          <w:tcPr>
            <w:tcW w:w="164" w:type="dxa"/>
            <w:tcBorders/>
            <w:shd w:fill="CCEEFF" w:val="clear"/>
            <w:vAlign w:val="bottom"/>
          </w:tcPr>
          <w:p>
            <w:pPr>
              <w:pStyle w:val="TableContents"/>
              <w:spacing w:before="0" w:after="0"/>
              <w:ind w:left="0" w:right="0" w:hanging="0"/>
              <w:rPr/>
            </w:pPr>
            <w:r>
              <w:rPr/>
              <w:t> </w:t>
            </w:r>
          </w:p>
        </w:tc>
        <w:tc>
          <w:tcPr>
            <w:tcW w:w="13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3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484" w:type="dxa"/>
            <w:tcBorders/>
            <w:shd w:fill="CCEEFF" w:val="clear"/>
            <w:vAlign w:val="bottom"/>
          </w:tcPr>
          <w:p>
            <w:pPr>
              <w:pStyle w:val="TableContents"/>
              <w:spacing w:before="0" w:after="0"/>
              <w:ind w:left="0" w:right="0" w:hanging="0"/>
              <w:rPr/>
            </w:pPr>
            <w:r>
              <w:rPr/>
              <w:t> </w:t>
            </w:r>
          </w:p>
        </w:tc>
      </w:tr>
      <w:tr>
        <w:trPr/>
        <w:tc>
          <w:tcPr>
            <w:tcW w:w="3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collateral paid/(received)</w:t>
            </w:r>
          </w:p>
        </w:tc>
        <w:tc>
          <w:tcPr>
            <w:tcW w:w="164" w:type="dxa"/>
            <w:tcBorders/>
            <w:shd w:fill="auto" w:val="clear"/>
            <w:vAlign w:val="bottom"/>
          </w:tcPr>
          <w:p>
            <w:pPr>
              <w:pStyle w:val="TableContents"/>
              <w:spacing w:before="0" w:after="0"/>
              <w:ind w:left="0" w:right="0" w:hanging="0"/>
              <w:rPr/>
            </w:pPr>
            <w:r>
              <w:rPr/>
              <w:t> </w:t>
            </w:r>
          </w:p>
        </w:tc>
        <w:tc>
          <w:tcPr>
            <w:tcW w:w="13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80" w:type="dxa"/>
            <w:tcBorders/>
            <w:shd w:fill="auto" w:val="clear"/>
            <w:vAlign w:val="bottom"/>
          </w:tcPr>
          <w:p>
            <w:pPr>
              <w:pStyle w:val="TableContents"/>
              <w:spacing w:before="0" w:after="0"/>
              <w:ind w:left="0" w:right="0" w:hanging="0"/>
              <w:rPr/>
            </w:pPr>
            <w:r>
              <w:rPr/>
              <w:t> </w:t>
            </w:r>
          </w:p>
        </w:tc>
        <w:tc>
          <w:tcPr>
            <w:tcW w:w="15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3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92" w:type="dxa"/>
            <w:tcBorders/>
            <w:shd w:fill="auto" w:val="clear"/>
            <w:vAlign w:val="bottom"/>
          </w:tcPr>
          <w:p>
            <w:pPr>
              <w:pStyle w:val="TableContents"/>
              <w:spacing w:before="0" w:after="0"/>
              <w:ind w:left="0" w:right="0" w:hanging="0"/>
              <w:rPr/>
            </w:pPr>
            <w:r>
              <w:rPr/>
              <w:t> </w:t>
            </w:r>
          </w:p>
        </w:tc>
        <w:tc>
          <w:tcPr>
            <w:tcW w:w="15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84" w:type="dxa"/>
            <w:tcBorders/>
            <w:shd w:fill="auto" w:val="clear"/>
            <w:vAlign w:val="bottom"/>
          </w:tcPr>
          <w:p>
            <w:pPr>
              <w:pStyle w:val="TableContents"/>
              <w:spacing w:before="0" w:after="0"/>
              <w:ind w:left="0" w:right="0" w:hanging="0"/>
              <w:rPr/>
            </w:pPr>
            <w:r>
              <w:rPr/>
              <w:t> </w:t>
            </w:r>
          </w:p>
        </w:tc>
      </w:tr>
      <w:tr>
        <w:trPr/>
        <w:tc>
          <w:tcPr>
            <w:tcW w:w="3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position - asset/(liability)</w:t>
            </w:r>
          </w:p>
        </w:tc>
        <w:tc>
          <w:tcPr>
            <w:tcW w:w="164" w:type="dxa"/>
            <w:tcBorders/>
            <w:shd w:fill="CCEEFF" w:val="clear"/>
            <w:vAlign w:val="bottom"/>
          </w:tcPr>
          <w:p>
            <w:pPr>
              <w:pStyle w:val="TableContents"/>
              <w:spacing w:before="0" w:after="0"/>
              <w:ind w:left="0" w:right="0" w:hanging="0"/>
              <w:rPr/>
            </w:pPr>
            <w:r>
              <w:rPr/>
              <w:t> </w:t>
            </w:r>
          </w:p>
        </w:tc>
        <w:tc>
          <w:tcPr>
            <w:tcW w:w="2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80" w:type="dxa"/>
            <w:tcBorders/>
            <w:shd w:fill="CCEEFF" w:val="clear"/>
            <w:vAlign w:val="bottom"/>
          </w:tcPr>
          <w:p>
            <w:pPr>
              <w:pStyle w:val="TableContents"/>
              <w:spacing w:before="0" w:after="0"/>
              <w:ind w:left="0" w:right="0" w:hanging="0"/>
              <w:rPr/>
            </w:pPr>
            <w:r>
              <w:rPr/>
              <w:t> </w:t>
            </w:r>
          </w:p>
        </w:tc>
        <w:tc>
          <w:tcPr>
            <w:tcW w:w="27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c>
          <w:tcPr>
            <w:tcW w:w="2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2" w:type="dxa"/>
            <w:tcBorders/>
            <w:shd w:fill="CCEEFF" w:val="clear"/>
            <w:vAlign w:val="bottom"/>
          </w:tcPr>
          <w:p>
            <w:pPr>
              <w:pStyle w:val="TableContents"/>
              <w:spacing w:before="0" w:after="0"/>
              <w:ind w:left="0" w:right="0" w:hanging="0"/>
              <w:rPr/>
            </w:pPr>
            <w:r>
              <w:rPr/>
              <w:t> </w:t>
            </w:r>
          </w:p>
        </w:tc>
        <w:tc>
          <w:tcPr>
            <w:tcW w:w="2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4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1"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pPr>
            <w:r>
              <w:rPr/>
              <w:t> </w:t>
            </w:r>
          </w:p>
        </w:tc>
        <w:tc>
          <w:tcPr>
            <w:tcW w:w="1369"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546" w:type="dxa"/>
            <w:gridSpan w:val="2"/>
            <w:tcBorders/>
            <w:shd w:fill="auto" w:val="clear"/>
            <w:vAlign w:val="bottom"/>
          </w:tcPr>
          <w:p>
            <w:pPr>
              <w:pStyle w:val="TableContents"/>
              <w:spacing w:before="0" w:after="0"/>
              <w:ind w:left="0" w:right="0" w:hanging="0"/>
              <w:jc w:val="right"/>
              <w:rPr/>
            </w:pPr>
            <w:r>
              <w:rPr/>
              <w:t> </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369"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544" w:type="dxa"/>
            <w:gridSpan w:val="2"/>
            <w:tcBorders/>
            <w:shd w:fill="auto" w:val="clear"/>
            <w:vAlign w:val="bottom"/>
          </w:tcPr>
          <w:p>
            <w:pPr>
              <w:pStyle w:val="TableContents"/>
              <w:spacing w:before="0" w:after="0"/>
              <w:ind w:left="0" w:right="0" w:hanging="0"/>
              <w:jc w:val="right"/>
              <w:rPr/>
            </w:pPr>
            <w:r>
              <w:rPr/>
              <w:t> </w:t>
            </w:r>
          </w:p>
        </w:tc>
        <w:tc>
          <w:tcPr>
            <w:tcW w:w="484" w:type="dxa"/>
            <w:tcBorders/>
            <w:shd w:fill="auto" w:val="clear"/>
            <w:vAlign w:val="bottom"/>
          </w:tcPr>
          <w:p>
            <w:pPr>
              <w:pStyle w:val="TableContents"/>
              <w:spacing w:before="0" w:after="0"/>
              <w:ind w:left="0" w:right="0" w:hanging="0"/>
              <w:rPr/>
            </w:pPr>
            <w:r>
              <w:rPr/>
              <w:t> </w:t>
            </w:r>
          </w:p>
        </w:tc>
      </w:tr>
      <w:tr>
        <w:trPr/>
        <w:tc>
          <w:tcPr>
            <w:tcW w:w="31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Balance Sheet Location After Netting Adjustments:</w:t>
            </w:r>
          </w:p>
        </w:tc>
        <w:tc>
          <w:tcPr>
            <w:tcW w:w="164" w:type="dxa"/>
            <w:tcBorders/>
            <w:shd w:fill="CCEEFF" w:val="clear"/>
            <w:vAlign w:val="bottom"/>
          </w:tcPr>
          <w:p>
            <w:pPr>
              <w:pStyle w:val="TableContents"/>
              <w:spacing w:before="0" w:after="0"/>
              <w:ind w:left="0" w:right="0" w:hanging="0"/>
              <w:rPr/>
            </w:pPr>
            <w:r>
              <w:rPr/>
              <w:t> </w:t>
            </w:r>
          </w:p>
        </w:tc>
        <w:tc>
          <w:tcPr>
            <w:tcW w:w="1369"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546" w:type="dxa"/>
            <w:gridSpan w:val="2"/>
            <w:tcBorders/>
            <w:shd w:fill="CCEEFF" w:val="clear"/>
            <w:vAlign w:val="bottom"/>
          </w:tcPr>
          <w:p>
            <w:pPr>
              <w:pStyle w:val="TableContents"/>
              <w:spacing w:before="0" w:after="0"/>
              <w:ind w:left="0" w:right="0" w:hanging="0"/>
              <w:jc w:val="right"/>
              <w:rPr/>
            </w:pPr>
            <w:r>
              <w:rPr/>
              <w:t> </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369"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544" w:type="dxa"/>
            <w:gridSpan w:val="2"/>
            <w:tcBorders/>
            <w:shd w:fill="CCEEFF" w:val="clear"/>
            <w:vAlign w:val="bottom"/>
          </w:tcPr>
          <w:p>
            <w:pPr>
              <w:pStyle w:val="TableContents"/>
              <w:spacing w:before="0" w:after="0"/>
              <w:ind w:left="0" w:right="0" w:hanging="0"/>
              <w:jc w:val="right"/>
              <w:rPr/>
            </w:pPr>
            <w:r>
              <w:rPr/>
              <w:t> </w:t>
            </w:r>
          </w:p>
        </w:tc>
        <w:tc>
          <w:tcPr>
            <w:tcW w:w="484" w:type="dxa"/>
            <w:tcBorders/>
            <w:shd w:fill="CCEEFF" w:val="clear"/>
            <w:vAlign w:val="bottom"/>
          </w:tcPr>
          <w:p>
            <w:pPr>
              <w:pStyle w:val="TableContents"/>
              <w:spacing w:before="0" w:after="0"/>
              <w:ind w:left="0" w:right="0" w:hanging="0"/>
              <w:rPr/>
            </w:pPr>
            <w:r>
              <w:rPr/>
              <w:t> </w:t>
            </w:r>
          </w:p>
        </w:tc>
      </w:tr>
      <w:tr>
        <w:trPr/>
        <w:tc>
          <w:tcPr>
            <w:tcW w:w="3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64"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80" w:type="dxa"/>
            <w:tcBorders/>
            <w:shd w:fill="auto" w:val="clear"/>
            <w:vAlign w:val="bottom"/>
          </w:tcPr>
          <w:p>
            <w:pPr>
              <w:pStyle w:val="TableContents"/>
              <w:spacing w:before="0" w:after="0"/>
              <w:ind w:left="0" w:right="0" w:hanging="0"/>
              <w:rPr/>
            </w:pPr>
            <w:r>
              <w:rPr/>
              <w:t> </w:t>
            </w:r>
          </w:p>
        </w:tc>
        <w:tc>
          <w:tcPr>
            <w:tcW w:w="2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92"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84" w:type="dxa"/>
            <w:tcBorders/>
            <w:shd w:fill="auto" w:val="clear"/>
            <w:vAlign w:val="bottom"/>
          </w:tcPr>
          <w:p>
            <w:pPr>
              <w:pStyle w:val="TableContents"/>
              <w:spacing w:before="0" w:after="0"/>
              <w:ind w:left="0" w:right="0" w:hanging="0"/>
              <w:rPr/>
            </w:pPr>
            <w:r>
              <w:rPr/>
              <w:t> </w:t>
            </w:r>
          </w:p>
        </w:tc>
      </w:tr>
      <w:tr>
        <w:trPr/>
        <w:tc>
          <w:tcPr>
            <w:tcW w:w="3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64" w:type="dxa"/>
            <w:tcBorders/>
            <w:shd w:fill="CCEEFF" w:val="clear"/>
            <w:vAlign w:val="bottom"/>
          </w:tcPr>
          <w:p>
            <w:pPr>
              <w:pStyle w:val="TableContents"/>
              <w:spacing w:before="0" w:after="0"/>
              <w:ind w:left="0" w:right="0" w:hanging="0"/>
              <w:rPr/>
            </w:pPr>
            <w:r>
              <w:rPr/>
              <w:t> </w:t>
            </w:r>
          </w:p>
        </w:tc>
        <w:tc>
          <w:tcPr>
            <w:tcW w:w="13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0" w:type="dxa"/>
            <w:tcBorders/>
            <w:shd w:fill="CCEEFF" w:val="clear"/>
            <w:vAlign w:val="bottom"/>
          </w:tcPr>
          <w:p>
            <w:pPr>
              <w:pStyle w:val="TableContents"/>
              <w:spacing w:before="0" w:after="0"/>
              <w:ind w:left="0" w:right="0" w:hanging="0"/>
              <w:rPr/>
            </w:pPr>
            <w:r>
              <w:rPr/>
              <w:t> </w:t>
            </w:r>
          </w:p>
        </w:tc>
        <w:tc>
          <w:tcPr>
            <w:tcW w:w="15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3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2" w:type="dxa"/>
            <w:tcBorders/>
            <w:shd w:fill="CCEEFF" w:val="clear"/>
            <w:vAlign w:val="bottom"/>
          </w:tcPr>
          <w:p>
            <w:pPr>
              <w:pStyle w:val="TableContents"/>
              <w:spacing w:before="0" w:after="0"/>
              <w:ind w:left="0" w:right="0" w:hanging="0"/>
              <w:rPr/>
            </w:pPr>
            <w:r>
              <w:rPr/>
              <w:t> </w:t>
            </w:r>
          </w:p>
        </w:tc>
        <w:tc>
          <w:tcPr>
            <w:tcW w:w="15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84" w:type="dxa"/>
            <w:tcBorders/>
            <w:shd w:fill="CCEEFF" w:val="clear"/>
            <w:vAlign w:val="bottom"/>
          </w:tcPr>
          <w:p>
            <w:pPr>
              <w:pStyle w:val="TableContents"/>
              <w:spacing w:before="0" w:after="0"/>
              <w:ind w:left="0" w:right="0" w:hanging="0"/>
              <w:rPr/>
            </w:pPr>
            <w:r>
              <w:rPr/>
              <w:t> </w:t>
            </w:r>
          </w:p>
        </w:tc>
      </w:tr>
      <w:tr>
        <w:trPr/>
        <w:tc>
          <w:tcPr>
            <w:tcW w:w="3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64" w:type="dxa"/>
            <w:tcBorders/>
            <w:shd w:fill="auto" w:val="clear"/>
            <w:vAlign w:val="bottom"/>
          </w:tcPr>
          <w:p>
            <w:pPr>
              <w:pStyle w:val="TableContents"/>
              <w:spacing w:before="0" w:after="0"/>
              <w:ind w:left="0" w:right="0" w:hanging="0"/>
              <w:rPr/>
            </w:pPr>
            <w:r>
              <w:rPr/>
              <w:t> </w:t>
            </w:r>
          </w:p>
        </w:tc>
        <w:tc>
          <w:tcPr>
            <w:tcW w:w="13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15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c>
          <w:tcPr>
            <w:tcW w:w="13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auto" w:val="clear"/>
            <w:vAlign w:val="bottom"/>
          </w:tcPr>
          <w:p>
            <w:pPr>
              <w:pStyle w:val="TableContents"/>
              <w:spacing w:before="0" w:after="0"/>
              <w:ind w:left="0" w:right="0" w:hanging="0"/>
              <w:rPr/>
            </w:pPr>
            <w:r>
              <w:rPr/>
              <w:t> </w:t>
            </w:r>
          </w:p>
        </w:tc>
        <w:tc>
          <w:tcPr>
            <w:tcW w:w="15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4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64" w:type="dxa"/>
            <w:tcBorders/>
            <w:shd w:fill="CCEEFF" w:val="clear"/>
            <w:vAlign w:val="bottom"/>
          </w:tcPr>
          <w:p>
            <w:pPr>
              <w:pStyle w:val="TableContents"/>
              <w:spacing w:before="0" w:after="0"/>
              <w:ind w:left="0" w:right="0" w:hanging="0"/>
              <w:rPr/>
            </w:pPr>
            <w:r>
              <w:rPr/>
              <w:t> </w:t>
            </w:r>
          </w:p>
        </w:tc>
        <w:tc>
          <w:tcPr>
            <w:tcW w:w="13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5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c>
          <w:tcPr>
            <w:tcW w:w="13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CCEEFF" w:val="clear"/>
            <w:vAlign w:val="bottom"/>
          </w:tcPr>
          <w:p>
            <w:pPr>
              <w:pStyle w:val="TableContents"/>
              <w:spacing w:before="0" w:after="0"/>
              <w:ind w:left="0" w:right="0" w:hanging="0"/>
              <w:rPr/>
            </w:pPr>
            <w:r>
              <w:rPr/>
              <w:t> </w:t>
            </w:r>
          </w:p>
        </w:tc>
        <w:tc>
          <w:tcPr>
            <w:tcW w:w="15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4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1"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pPr>
            <w:r>
              <w:rPr/>
              <w:t> </w:t>
            </w:r>
          </w:p>
        </w:tc>
        <w:tc>
          <w:tcPr>
            <w:tcW w:w="2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80" w:type="dxa"/>
            <w:tcBorders/>
            <w:shd w:fill="auto" w:val="clear"/>
            <w:vAlign w:val="bottom"/>
          </w:tcPr>
          <w:p>
            <w:pPr>
              <w:pStyle w:val="TableContents"/>
              <w:spacing w:before="0" w:after="0"/>
              <w:ind w:left="0" w:right="0" w:hanging="0"/>
              <w:rPr/>
            </w:pPr>
            <w:r>
              <w:rPr/>
              <w:t> </w:t>
            </w:r>
          </w:p>
        </w:tc>
        <w:tc>
          <w:tcPr>
            <w:tcW w:w="27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c>
          <w:tcPr>
            <w:tcW w:w="2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2" w:type="dxa"/>
            <w:tcBorders/>
            <w:shd w:fill="auto" w:val="clear"/>
            <w:vAlign w:val="bottom"/>
          </w:tcPr>
          <w:p>
            <w:pPr>
              <w:pStyle w:val="TableContents"/>
              <w:spacing w:before="0" w:after="0"/>
              <w:ind w:left="0" w:right="0" w:hanging="0"/>
              <w:rPr/>
            </w:pPr>
            <w:r>
              <w:rPr/>
              <w:t> </w:t>
            </w:r>
          </w:p>
        </w:tc>
        <w:tc>
          <w:tcPr>
            <w:tcW w:w="2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4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June 30, 2013, there was a net loss of approximately $74 million deferred in AOCI including tax effects.  The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June 30, 2013, we expect to reclassify a net gain of approximately $14 million to earnings in the next twelve months.  Of the remaining deferred loss in AOCI, a net gain of approximately $1 million is expected to be reclassified to earnings prior to 2016 with the remaining deferred loss of approximately $89 million being reclassified to earnings through 2045. A portion of these amounts are based on market prices as of June 30, 2013; thus, actual amounts to be reclassified will differ and could vary materially as a result of changes in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net deferred gain/(loss), including tax effects, recognized in AOCI for derivatives during the three and six months ended June 30, 2013 and 2012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53"/>
        <w:gridCol w:w="211"/>
        <w:gridCol w:w="167"/>
        <w:gridCol w:w="1057"/>
        <w:gridCol w:w="224"/>
        <w:gridCol w:w="167"/>
        <w:gridCol w:w="1162"/>
        <w:gridCol w:w="220"/>
        <w:gridCol w:w="166"/>
        <w:gridCol w:w="1055"/>
        <w:gridCol w:w="224"/>
        <w:gridCol w:w="166"/>
        <w:gridCol w:w="1097"/>
        <w:gridCol w:w="136"/>
      </w:tblGrid>
      <w:tr>
        <w:trPr/>
        <w:tc>
          <w:tcPr>
            <w:tcW w:w="415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77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20" w:type="dxa"/>
            <w:tcBorders/>
            <w:shd w:fill="auto" w:val="clear"/>
            <w:vAlign w:val="bottom"/>
          </w:tcPr>
          <w:p>
            <w:pPr>
              <w:pStyle w:val="TableContents"/>
              <w:spacing w:before="0" w:after="0"/>
              <w:ind w:left="0" w:right="0" w:hanging="0"/>
              <w:jc w:val="center"/>
              <w:rPr/>
            </w:pPr>
            <w:r>
              <w:rPr/>
              <w:t> </w:t>
            </w:r>
          </w:p>
        </w:tc>
        <w:tc>
          <w:tcPr>
            <w:tcW w:w="270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36" w:type="dxa"/>
            <w:tcBorders/>
            <w:shd w:fill="auto" w:val="clear"/>
            <w:vAlign w:val="bottom"/>
          </w:tcPr>
          <w:p>
            <w:pPr>
              <w:pStyle w:val="TableContents"/>
              <w:spacing w:before="0" w:after="0"/>
              <w:ind w:left="0" w:right="0" w:hanging="0"/>
              <w:jc w:val="center"/>
              <w:rPr/>
            </w:pPr>
            <w:r>
              <w:rPr/>
              <w:t> </w:t>
            </w:r>
          </w:p>
        </w:tc>
      </w:tr>
      <w:tr>
        <w:trPr/>
        <w:tc>
          <w:tcPr>
            <w:tcW w:w="415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77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20" w:type="dxa"/>
            <w:tcBorders/>
            <w:shd w:fill="auto" w:val="clear"/>
            <w:vAlign w:val="bottom"/>
          </w:tcPr>
          <w:p>
            <w:pPr>
              <w:pStyle w:val="TableContents"/>
              <w:spacing w:before="0" w:after="0"/>
              <w:ind w:left="0" w:right="0" w:hanging="0"/>
              <w:jc w:val="center"/>
              <w:rPr/>
            </w:pPr>
            <w:r>
              <w:rPr/>
              <w:t> </w:t>
            </w:r>
          </w:p>
        </w:tc>
        <w:tc>
          <w:tcPr>
            <w:tcW w:w="27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36" w:type="dxa"/>
            <w:tcBorders/>
            <w:shd w:fill="auto" w:val="clear"/>
            <w:vAlign w:val="bottom"/>
          </w:tcPr>
          <w:p>
            <w:pPr>
              <w:pStyle w:val="TableContents"/>
              <w:spacing w:before="0" w:after="0"/>
              <w:ind w:left="0" w:right="0" w:hanging="0"/>
              <w:jc w:val="center"/>
              <w:rPr/>
            </w:pPr>
            <w:r>
              <w:rPr/>
              <w:t> </w:t>
            </w:r>
          </w:p>
        </w:tc>
      </w:tr>
      <w:tr>
        <w:trPr/>
        <w:tc>
          <w:tcPr>
            <w:tcW w:w="415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4" w:type="dxa"/>
            <w:tcBorders/>
            <w:shd w:fill="auto" w:val="clear"/>
            <w:vAlign w:val="bottom"/>
          </w:tcPr>
          <w:p>
            <w:pPr>
              <w:pStyle w:val="TableContents"/>
              <w:spacing w:before="0" w:after="0"/>
              <w:ind w:left="0" w:right="0" w:hanging="0"/>
              <w:jc w:val="center"/>
              <w:rPr/>
            </w:pPr>
            <w:r>
              <w:rPr/>
              <w:t> </w:t>
            </w:r>
          </w:p>
        </w:tc>
        <w:tc>
          <w:tcPr>
            <w:tcW w:w="132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0" w:type="dxa"/>
            <w:tcBorders/>
            <w:shd w:fill="auto" w:val="clear"/>
            <w:vAlign w:val="bottom"/>
          </w:tcPr>
          <w:p>
            <w:pPr>
              <w:pStyle w:val="TableContents"/>
              <w:spacing w:before="0" w:after="0"/>
              <w:ind w:left="0" w:right="0" w:hanging="0"/>
              <w:jc w:val="center"/>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4" w:type="dxa"/>
            <w:tcBorders/>
            <w:shd w:fill="auto" w:val="clear"/>
            <w:vAlign w:val="bottom"/>
          </w:tcPr>
          <w:p>
            <w:pPr>
              <w:pStyle w:val="TableContents"/>
              <w:spacing w:before="0" w:after="0"/>
              <w:ind w:left="0" w:right="0" w:hanging="0"/>
              <w:jc w:val="center"/>
              <w:rPr/>
            </w:pPr>
            <w:r>
              <w:rPr/>
              <w:t> </w:t>
            </w:r>
          </w:p>
        </w:tc>
        <w:tc>
          <w:tcPr>
            <w:tcW w:w="12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6" w:type="dxa"/>
            <w:tcBorders/>
            <w:shd w:fill="auto" w:val="clear"/>
            <w:vAlign w:val="bottom"/>
          </w:tcPr>
          <w:p>
            <w:pPr>
              <w:pStyle w:val="TableContents"/>
              <w:spacing w:before="0" w:after="0"/>
              <w:ind w:left="0" w:right="0" w:hanging="0"/>
              <w:jc w:val="center"/>
              <w:rPr/>
            </w:pPr>
            <w:r>
              <w:rPr/>
              <w:t> </w:t>
            </w:r>
          </w:p>
        </w:tc>
      </w:tr>
      <w:tr>
        <w:trPr/>
        <w:tc>
          <w:tcPr>
            <w:tcW w:w="4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 net</w:t>
            </w:r>
          </w:p>
        </w:tc>
        <w:tc>
          <w:tcPr>
            <w:tcW w:w="211"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4"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4"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6" w:type="dxa"/>
            <w:tcBorders/>
            <w:shd w:fill="CCEEFF" w:val="clear"/>
            <w:vAlign w:val="bottom"/>
          </w:tcPr>
          <w:p>
            <w:pPr>
              <w:pStyle w:val="TableContents"/>
              <w:spacing w:before="0" w:after="0"/>
              <w:ind w:left="0" w:right="0" w:hanging="0"/>
              <w:rPr/>
            </w:pPr>
            <w:r>
              <w:rPr/>
              <w:t> </w:t>
            </w:r>
          </w:p>
        </w:tc>
      </w:tr>
      <w:tr>
        <w:trPr/>
        <w:tc>
          <w:tcPr>
            <w:tcW w:w="4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 net</w:t>
            </w:r>
          </w:p>
        </w:tc>
        <w:tc>
          <w:tcPr>
            <w:tcW w:w="211"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4" w:type="dxa"/>
            <w:tcBorders/>
            <w:shd w:fill="auto" w:val="clear"/>
            <w:vAlign w:val="bottom"/>
          </w:tcPr>
          <w:p>
            <w:pPr>
              <w:pStyle w:val="TableContents"/>
              <w:spacing w:before="0" w:after="0"/>
              <w:ind w:left="0" w:right="0" w:hanging="0"/>
              <w:rPr/>
            </w:pPr>
            <w:r>
              <w:rPr/>
              <w:t> </w:t>
            </w:r>
          </w:p>
        </w:tc>
        <w:tc>
          <w:tcPr>
            <w:tcW w:w="13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24" w:type="dxa"/>
            <w:tcBorders/>
            <w:shd w:fill="auto" w:val="clear"/>
            <w:vAlign w:val="bottom"/>
          </w:tcPr>
          <w:p>
            <w:pPr>
              <w:pStyle w:val="TableContents"/>
              <w:spacing w:before="0" w:after="0"/>
              <w:ind w:left="0" w:right="0" w:hanging="0"/>
              <w:rPr/>
            </w:pPr>
            <w:r>
              <w:rPr/>
              <w:t> </w:t>
            </w:r>
          </w:p>
        </w:tc>
        <w:tc>
          <w:tcPr>
            <w:tcW w:w="12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4"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4"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June 30, 2013 and December 31, 2012,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Recurring Fair Value Measurements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Derivative Financial Assets and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June 30, 2013 and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10"/>
        <w:gridCol w:w="148"/>
        <w:gridCol w:w="175"/>
        <w:gridCol w:w="482"/>
        <w:gridCol w:w="163"/>
        <w:gridCol w:w="175"/>
        <w:gridCol w:w="482"/>
        <w:gridCol w:w="184"/>
        <w:gridCol w:w="227"/>
        <w:gridCol w:w="430"/>
        <w:gridCol w:w="162"/>
        <w:gridCol w:w="165"/>
        <w:gridCol w:w="467"/>
        <w:gridCol w:w="112"/>
        <w:gridCol w:w="97"/>
        <w:gridCol w:w="227"/>
        <w:gridCol w:w="430"/>
        <w:gridCol w:w="179"/>
        <w:gridCol w:w="192"/>
        <w:gridCol w:w="513"/>
        <w:gridCol w:w="204"/>
        <w:gridCol w:w="227"/>
        <w:gridCol w:w="429"/>
        <w:gridCol w:w="179"/>
        <w:gridCol w:w="192"/>
        <w:gridCol w:w="517"/>
        <w:gridCol w:w="637"/>
      </w:tblGrid>
      <w:tr>
        <w:trPr/>
        <w:tc>
          <w:tcPr>
            <w:tcW w:w="2810"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jc w:val="center"/>
              <w:rPr/>
            </w:pPr>
            <w:r>
              <w:rPr/>
              <w:t> </w:t>
            </w:r>
          </w:p>
        </w:tc>
        <w:tc>
          <w:tcPr>
            <w:tcW w:w="311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June 30, 2013</w:t>
            </w:r>
          </w:p>
        </w:tc>
        <w:tc>
          <w:tcPr>
            <w:tcW w:w="112" w:type="dxa"/>
            <w:tcBorders/>
            <w:shd w:fill="auto" w:val="clear"/>
            <w:vAlign w:val="bottom"/>
          </w:tcPr>
          <w:p>
            <w:pPr>
              <w:pStyle w:val="TableContents"/>
              <w:spacing w:before="0" w:after="0"/>
              <w:ind w:left="0" w:right="0" w:hanging="0"/>
              <w:jc w:val="center"/>
              <w:rPr/>
            </w:pPr>
            <w:r>
              <w:rPr/>
              <w:t> </w:t>
            </w:r>
          </w:p>
        </w:tc>
        <w:tc>
          <w:tcPr>
            <w:tcW w:w="97" w:type="dxa"/>
            <w:tcBorders/>
            <w:shd w:fill="auto" w:val="clear"/>
            <w:vAlign w:val="bottom"/>
          </w:tcPr>
          <w:p>
            <w:pPr>
              <w:pStyle w:val="TableContents"/>
              <w:spacing w:before="0" w:after="0"/>
              <w:ind w:left="0" w:right="0" w:hanging="0"/>
              <w:jc w:val="center"/>
              <w:rPr/>
            </w:pPr>
            <w:r>
              <w:rPr/>
              <w:t> </w:t>
            </w:r>
          </w:p>
        </w:tc>
        <w:tc>
          <w:tcPr>
            <w:tcW w:w="3289"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December 31, 2012</w:t>
            </w:r>
          </w:p>
        </w:tc>
        <w:tc>
          <w:tcPr>
            <w:tcW w:w="637" w:type="dxa"/>
            <w:tcBorders/>
            <w:shd w:fill="auto" w:val="clear"/>
            <w:vAlign w:val="bottom"/>
          </w:tcPr>
          <w:p>
            <w:pPr>
              <w:pStyle w:val="TableContents"/>
              <w:spacing w:before="0" w:after="0"/>
              <w:ind w:left="0" w:right="0" w:hanging="0"/>
              <w:jc w:val="center"/>
              <w:rPr/>
            </w:pPr>
            <w:r>
              <w:rPr/>
              <w:t> </w:t>
            </w:r>
          </w:p>
        </w:tc>
      </w:tr>
      <w:tr>
        <w:trPr/>
        <w:tc>
          <w:tcPr>
            <w:tcW w:w="2810"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 </w:t>
            </w:r>
            <w:r>
              <w:rPr>
                <w:b/>
                <w:sz w:val="8"/>
              </w:rPr>
              <w:t>(1)</w:t>
            </w:r>
          </w:p>
        </w:tc>
        <w:tc>
          <w:tcPr>
            <w:tcW w:w="148" w:type="dxa"/>
            <w:tcBorders/>
            <w:shd w:fill="auto" w:val="clear"/>
            <w:vAlign w:val="bottom"/>
          </w:tcPr>
          <w:p>
            <w:pPr>
              <w:pStyle w:val="TableContents"/>
              <w:spacing w:before="0" w:after="0"/>
              <w:ind w:left="0" w:right="0" w:hanging="0"/>
              <w:jc w:val="center"/>
              <w:rPr/>
            </w:pPr>
            <w:r>
              <w:rPr/>
              <w:t> </w:t>
            </w:r>
          </w:p>
        </w:tc>
        <w:tc>
          <w:tcPr>
            <w:tcW w:w="6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6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6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2" w:type="dxa"/>
            <w:tcBorders/>
            <w:shd w:fill="auto" w:val="clear"/>
            <w:vAlign w:val="bottom"/>
          </w:tcPr>
          <w:p>
            <w:pPr>
              <w:pStyle w:val="TableContents"/>
              <w:spacing w:before="0" w:after="0"/>
              <w:ind w:left="0" w:right="0" w:hanging="0"/>
              <w:jc w:val="center"/>
              <w:rPr/>
            </w:pPr>
            <w:r>
              <w:rPr/>
              <w:t> </w:t>
            </w:r>
          </w:p>
        </w:tc>
        <w:tc>
          <w:tcPr>
            <w:tcW w:w="97" w:type="dxa"/>
            <w:tcBorders/>
            <w:shd w:fill="auto" w:val="clear"/>
            <w:vAlign w:val="bottom"/>
          </w:tcPr>
          <w:p>
            <w:pPr>
              <w:pStyle w:val="TableContents"/>
              <w:spacing w:before="0" w:after="0"/>
              <w:ind w:left="0" w:right="0" w:hanging="0"/>
              <w:jc w:val="center"/>
              <w:rPr/>
            </w:pPr>
            <w:r>
              <w:rPr/>
              <w:t> </w:t>
            </w:r>
          </w:p>
        </w:tc>
        <w:tc>
          <w:tcPr>
            <w:tcW w:w="6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79" w:type="dxa"/>
            <w:tcBorders/>
            <w:shd w:fill="auto" w:val="clear"/>
            <w:vAlign w:val="bottom"/>
          </w:tcPr>
          <w:p>
            <w:pPr>
              <w:pStyle w:val="TableContents"/>
              <w:spacing w:before="0" w:after="0"/>
              <w:ind w:left="0" w:right="0" w:hanging="0"/>
              <w:jc w:val="center"/>
              <w:rPr/>
            </w:pPr>
            <w:r>
              <w:rPr/>
              <w:t> </w:t>
            </w:r>
          </w:p>
        </w:tc>
        <w:tc>
          <w:tcPr>
            <w:tcW w:w="7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204" w:type="dxa"/>
            <w:tcBorders/>
            <w:shd w:fill="auto" w:val="clear"/>
            <w:vAlign w:val="bottom"/>
          </w:tcPr>
          <w:p>
            <w:pPr>
              <w:pStyle w:val="TableContents"/>
              <w:spacing w:before="0" w:after="0"/>
              <w:ind w:left="0" w:right="0" w:hanging="0"/>
              <w:jc w:val="center"/>
              <w:rPr/>
            </w:pPr>
            <w:r>
              <w:rPr/>
              <w:t> </w:t>
            </w:r>
          </w:p>
        </w:tc>
        <w:tc>
          <w:tcPr>
            <w:tcW w:w="6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79" w:type="dxa"/>
            <w:tcBorders/>
            <w:shd w:fill="auto" w:val="clear"/>
            <w:vAlign w:val="bottom"/>
          </w:tcPr>
          <w:p>
            <w:pPr>
              <w:pStyle w:val="TableContents"/>
              <w:spacing w:before="0" w:after="0"/>
              <w:ind w:left="0" w:right="0" w:hanging="0"/>
              <w:jc w:val="center"/>
              <w:rPr/>
            </w:pPr>
            <w:r>
              <w:rPr/>
              <w:t> </w:t>
            </w:r>
          </w:p>
        </w:tc>
        <w:tc>
          <w:tcPr>
            <w:tcW w:w="70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637" w:type="dxa"/>
            <w:tcBorders/>
            <w:shd w:fill="auto" w:val="clear"/>
            <w:vAlign w:val="bottom"/>
          </w:tcPr>
          <w:p>
            <w:pPr>
              <w:pStyle w:val="TableContents"/>
              <w:spacing w:before="0" w:after="0"/>
              <w:ind w:left="0" w:right="0" w:hanging="0"/>
              <w:jc w:val="center"/>
              <w:rPr/>
            </w:pPr>
            <w:r>
              <w:rPr/>
              <w:t> </w:t>
            </w:r>
          </w:p>
        </w:tc>
      </w:tr>
      <w:tr>
        <w:trPr/>
        <w:tc>
          <w:tcPr>
            <w:tcW w:w="28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48"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63"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84"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2"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7"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4"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2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9" w:type="dxa"/>
            <w:tcBorders/>
            <w:shd w:fill="CCEEFF" w:val="cle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637" w:type="dxa"/>
            <w:tcBorders/>
            <w:shd w:fill="CCEEFF" w:val="clear"/>
            <w:vAlign w:val="bottom"/>
          </w:tcPr>
          <w:p>
            <w:pPr>
              <w:pStyle w:val="TableContents"/>
              <w:spacing w:before="0" w:after="0"/>
              <w:ind w:left="0" w:right="0" w:hanging="0"/>
              <w:rPr/>
            </w:pPr>
            <w:r>
              <w:rPr/>
              <w:t> </w:t>
            </w:r>
          </w:p>
        </w:tc>
      </w:tr>
      <w:tr>
        <w:trPr/>
        <w:tc>
          <w:tcPr>
            <w:tcW w:w="28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48" w:type="dxa"/>
            <w:tcBorders/>
            <w:shd w:fill="auto" w:val="clear"/>
            <w:vAlign w:val="bottom"/>
          </w:tcPr>
          <w:p>
            <w:pPr>
              <w:pStyle w:val="TableContents"/>
              <w:spacing w:before="0" w:after="0"/>
              <w:ind w:left="0" w:right="0" w:hanging="0"/>
              <w:rPr/>
            </w:pPr>
            <w:r>
              <w:rPr/>
              <w:t> </w:t>
            </w:r>
          </w:p>
        </w:tc>
        <w:tc>
          <w:tcPr>
            <w:tcW w:w="6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auto" w:val="clear"/>
            <w:vAlign w:val="bottom"/>
          </w:tcPr>
          <w:p>
            <w:pPr>
              <w:pStyle w:val="TableContents"/>
              <w:spacing w:before="0" w:after="0"/>
              <w:ind w:left="0" w:right="0" w:hanging="0"/>
              <w:rPr/>
            </w:pPr>
            <w:r>
              <w:rPr/>
              <w:t> </w:t>
            </w:r>
          </w:p>
        </w:tc>
        <w:tc>
          <w:tcPr>
            <w:tcW w:w="6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4" w:type="dxa"/>
            <w:tcBorders/>
            <w:shd w:fill="auto" w:val="clear"/>
            <w:vAlign w:val="bottom"/>
          </w:tcPr>
          <w:p>
            <w:pPr>
              <w:pStyle w:val="TableContents"/>
              <w:spacing w:before="0" w:after="0"/>
              <w:ind w:left="0" w:right="0" w:hanging="0"/>
              <w:rPr/>
            </w:pPr>
            <w:r>
              <w:rPr/>
              <w:t> </w:t>
            </w:r>
          </w:p>
        </w:tc>
        <w:tc>
          <w:tcPr>
            <w:tcW w:w="6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auto" w:val="clear"/>
            <w:vAlign w:val="bottom"/>
          </w:tcPr>
          <w:p>
            <w:pPr>
              <w:pStyle w:val="TableContents"/>
              <w:spacing w:before="0" w:after="0"/>
              <w:ind w:left="0" w:right="0" w:hanging="0"/>
              <w:rPr/>
            </w:pPr>
            <w:r>
              <w:rPr/>
              <w:t> </w:t>
            </w:r>
          </w:p>
        </w:tc>
        <w:tc>
          <w:tcPr>
            <w:tcW w:w="6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7" w:type="dxa"/>
            <w:tcBorders/>
            <w:shd w:fill="auto" w:val="clear"/>
            <w:vAlign w:val="bottom"/>
          </w:tcPr>
          <w:p>
            <w:pPr>
              <w:pStyle w:val="TableContents"/>
              <w:spacing w:before="0" w:after="0"/>
              <w:ind w:left="0" w:right="0" w:hanging="0"/>
              <w:rPr/>
            </w:pPr>
            <w:r>
              <w:rPr/>
              <w:t> </w:t>
            </w:r>
          </w:p>
        </w:tc>
        <w:tc>
          <w:tcPr>
            <w:tcW w:w="6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auto" w:val="clear"/>
            <w:vAlign w:val="bottom"/>
          </w:tcPr>
          <w:p>
            <w:pPr>
              <w:pStyle w:val="TableContents"/>
              <w:spacing w:before="0" w:after="0"/>
              <w:ind w:left="0" w:right="0" w:hanging="0"/>
              <w:rPr/>
            </w:pPr>
            <w:r>
              <w:rPr/>
              <w:t> </w:t>
            </w:r>
          </w:p>
        </w:tc>
        <w:tc>
          <w:tcPr>
            <w:tcW w:w="7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6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48" w:type="dxa"/>
            <w:tcBorders/>
            <w:shd w:fill="CCEEFF" w:val="clear"/>
            <w:vAlign w:val="bottom"/>
          </w:tcPr>
          <w:p>
            <w:pPr>
              <w:pStyle w:val="TableContents"/>
              <w:spacing w:before="0" w:after="0"/>
              <w:ind w:left="0" w:right="0" w:hanging="0"/>
              <w:rPr/>
            </w:pPr>
            <w:r>
              <w:rPr/>
              <w:t> </w:t>
            </w:r>
          </w:p>
        </w:tc>
        <w:tc>
          <w:tcPr>
            <w:tcW w:w="6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6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pPr>
            <w:r>
              <w:rPr/>
              <w:t> </w:t>
            </w:r>
          </w:p>
        </w:tc>
        <w:tc>
          <w:tcPr>
            <w:tcW w:w="6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 w:type="dxa"/>
            <w:tcBorders/>
            <w:shd w:fill="CCEEFF" w:val="clear"/>
            <w:vAlign w:val="bottom"/>
          </w:tcPr>
          <w:p>
            <w:pPr>
              <w:pStyle w:val="TableContents"/>
              <w:spacing w:before="0" w:after="0"/>
              <w:ind w:left="0" w:right="0" w:hanging="0"/>
              <w:rPr/>
            </w:pPr>
            <w:r>
              <w:rPr/>
              <w:t> </w:t>
            </w:r>
          </w:p>
        </w:tc>
        <w:tc>
          <w:tcPr>
            <w:tcW w:w="6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7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37" w:type="dxa"/>
            <w:tcBorders/>
            <w:shd w:fill="CCEEFF" w:val="clear"/>
            <w:vAlign w:val="bottom"/>
          </w:tcPr>
          <w:p>
            <w:pPr>
              <w:pStyle w:val="TableContents"/>
              <w:spacing w:before="0" w:after="0"/>
              <w:ind w:left="0" w:right="0" w:hanging="0"/>
              <w:rPr/>
            </w:pPr>
            <w:r>
              <w:rPr/>
              <w:t> </w:t>
            </w:r>
          </w:p>
        </w:tc>
      </w:tr>
      <w:tr>
        <w:trPr/>
        <w:tc>
          <w:tcPr>
            <w:tcW w:w="28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48" w:type="dxa"/>
            <w:tcBorders/>
            <w:shd w:fill="auto" w:val="clear"/>
            <w:vAlign w:val="bottom"/>
          </w:tcPr>
          <w:p>
            <w:pPr>
              <w:pStyle w:val="TableContents"/>
              <w:spacing w:before="0" w:after="0"/>
              <w:ind w:left="0" w:right="0" w:hanging="0"/>
              <w:rPr/>
            </w:pPr>
            <w:r>
              <w:rPr/>
              <w:t> </w:t>
            </w:r>
          </w:p>
        </w:tc>
        <w:tc>
          <w:tcPr>
            <w:tcW w:w="1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63" w:type="dxa"/>
            <w:tcBorders/>
            <w:shd w:fill="auto" w:val="clear"/>
            <w:vAlign w:val="bottom"/>
          </w:tcPr>
          <w:p>
            <w:pPr>
              <w:pStyle w:val="TableContents"/>
              <w:spacing w:before="0" w:after="0"/>
              <w:ind w:left="0" w:right="0" w:hanging="0"/>
              <w:rPr/>
            </w:pPr>
            <w:r>
              <w:rPr/>
              <w:t> </w:t>
            </w:r>
          </w:p>
        </w:tc>
        <w:tc>
          <w:tcPr>
            <w:tcW w:w="17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4" w:type="dxa"/>
            <w:tcBorders/>
            <w:shd w:fill="auto" w:val="clear"/>
            <w:vAlign w:val="bottom"/>
          </w:tcPr>
          <w:p>
            <w:pPr>
              <w:pStyle w:val="TableContents"/>
              <w:spacing w:before="0" w:after="0"/>
              <w:ind w:left="0" w:right="0" w:hanging="0"/>
              <w:rPr/>
            </w:pPr>
            <w:r>
              <w:rPr/>
              <w:t> </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2" w:type="dxa"/>
            <w:tcBorders/>
            <w:shd w:fill="auto" w:val="clear"/>
            <w:vAlign w:val="bottom"/>
          </w:tcPr>
          <w:p>
            <w:pPr>
              <w:pStyle w:val="TableContents"/>
              <w:spacing w:before="0" w:after="0"/>
              <w:ind w:left="0" w:right="0" w:hanging="0"/>
              <w:rPr/>
            </w:pPr>
            <w:r>
              <w:rPr/>
              <w:t> </w:t>
            </w:r>
          </w:p>
        </w:tc>
        <w:tc>
          <w:tcPr>
            <w:tcW w:w="16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1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7" w:type="dxa"/>
            <w:tcBorders/>
            <w:shd w:fill="auto" w:val="clear"/>
            <w:vAlign w:val="bottom"/>
          </w:tcPr>
          <w:p>
            <w:pPr>
              <w:pStyle w:val="TableContents"/>
              <w:spacing w:before="0" w:after="0"/>
              <w:ind w:left="0" w:right="0" w:hanging="0"/>
              <w:rPr/>
            </w:pPr>
            <w:r>
              <w:rPr/>
              <w:t> </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auto" w:val="clear"/>
            <w:vAlign w:val="bottom"/>
          </w:tcPr>
          <w:p>
            <w:pPr>
              <w:pStyle w:val="TableContents"/>
              <w:spacing w:before="0" w:after="0"/>
              <w:ind w:left="0" w:right="0" w:hanging="0"/>
              <w:rPr/>
            </w:pPr>
            <w:r>
              <w:rPr/>
              <w:t> </w:t>
            </w:r>
          </w:p>
        </w:tc>
        <w:tc>
          <w:tcPr>
            <w:tcW w:w="19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2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9" w:type="dxa"/>
            <w:tcBorders/>
            <w:shd w:fill="auto" w:val="clear"/>
            <w:vAlign w:val="bottom"/>
          </w:tcPr>
          <w:p>
            <w:pPr>
              <w:pStyle w:val="TableContents"/>
              <w:spacing w:before="0" w:after="0"/>
              <w:ind w:left="0" w:right="0" w:hanging="0"/>
              <w:rPr/>
            </w:pPr>
            <w:r>
              <w:rPr/>
              <w:t> </w:t>
            </w:r>
          </w:p>
        </w:tc>
        <w:tc>
          <w:tcPr>
            <w:tcW w:w="19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63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Derivative assets and liabilities are presented above on a net basis but do not include related cash margin deposits.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44" w:name="PB_23_151952_5796"/>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1 of the fair value hierarchy includes exchange-traded commodity derivatives such as futures and options.  The fair value of exchange-traded commodity derivatives is based on unadjusted quoted prices in active markets.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Asset/(Liability)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10"/>
        <w:gridCol w:w="205"/>
        <w:gridCol w:w="236"/>
        <w:gridCol w:w="984"/>
        <w:gridCol w:w="249"/>
        <w:gridCol w:w="236"/>
        <w:gridCol w:w="1109"/>
        <w:gridCol w:w="218"/>
        <w:gridCol w:w="213"/>
        <w:gridCol w:w="961"/>
        <w:gridCol w:w="260"/>
        <w:gridCol w:w="212"/>
        <w:gridCol w:w="1069"/>
        <w:gridCol w:w="143"/>
      </w:tblGrid>
      <w:tr>
        <w:trPr/>
        <w:tc>
          <w:tcPr>
            <w:tcW w:w="411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81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jc w:val="center"/>
              <w:rPr/>
            </w:pPr>
            <w:r>
              <w:rPr/>
              <w:t> </w:t>
            </w:r>
          </w:p>
        </w:tc>
        <w:tc>
          <w:tcPr>
            <w:tcW w:w="271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43" w:type="dxa"/>
            <w:tcBorders/>
            <w:shd w:fill="auto" w:val="clear"/>
            <w:vAlign w:val="bottom"/>
          </w:tcPr>
          <w:p>
            <w:pPr>
              <w:pStyle w:val="TableContents"/>
              <w:spacing w:before="0" w:after="0"/>
              <w:ind w:left="0" w:right="0" w:hanging="0"/>
              <w:jc w:val="center"/>
              <w:rPr/>
            </w:pPr>
            <w:r>
              <w:rPr/>
              <w:t> </w:t>
            </w:r>
          </w:p>
        </w:tc>
      </w:tr>
      <w:tr>
        <w:trPr/>
        <w:tc>
          <w:tcPr>
            <w:tcW w:w="411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81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8" w:type="dxa"/>
            <w:tcBorders/>
            <w:shd w:fill="auto" w:val="clear"/>
            <w:vAlign w:val="bottom"/>
          </w:tcPr>
          <w:p>
            <w:pPr>
              <w:pStyle w:val="TableContents"/>
              <w:spacing w:before="0" w:after="0"/>
              <w:ind w:left="0" w:right="0" w:hanging="0"/>
              <w:jc w:val="center"/>
              <w:rPr/>
            </w:pPr>
            <w:r>
              <w:rPr/>
              <w:t> </w:t>
            </w:r>
          </w:p>
        </w:tc>
        <w:tc>
          <w:tcPr>
            <w:tcW w:w="271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43" w:type="dxa"/>
            <w:tcBorders/>
            <w:shd w:fill="auto" w:val="clear"/>
            <w:vAlign w:val="bottom"/>
          </w:tcPr>
          <w:p>
            <w:pPr>
              <w:pStyle w:val="TableContents"/>
              <w:spacing w:before="0" w:after="0"/>
              <w:ind w:left="0" w:right="0" w:hanging="0"/>
              <w:jc w:val="center"/>
              <w:rPr/>
            </w:pPr>
            <w:r>
              <w:rPr/>
              <w:t> </w:t>
            </w:r>
          </w:p>
        </w:tc>
      </w:tr>
      <w:tr>
        <w:trPr/>
        <w:tc>
          <w:tcPr>
            <w:tcW w:w="411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49" w:type="dxa"/>
            <w:tcBorders/>
            <w:shd w:fill="auto" w:val="clear"/>
            <w:vAlign w:val="bottom"/>
          </w:tcPr>
          <w:p>
            <w:pPr>
              <w:pStyle w:val="TableContents"/>
              <w:spacing w:before="0" w:after="0"/>
              <w:ind w:left="0" w:right="0" w:hanging="0"/>
              <w:jc w:val="center"/>
              <w:rPr/>
            </w:pPr>
            <w:r>
              <w:rPr/>
              <w:t> </w:t>
            </w:r>
          </w:p>
        </w:tc>
        <w:tc>
          <w:tcPr>
            <w:tcW w:w="134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shd w:fill="auto" w:val="clear"/>
            <w:vAlign w:val="bottom"/>
          </w:tcPr>
          <w:p>
            <w:pPr>
              <w:pStyle w:val="TableContents"/>
              <w:spacing w:before="0" w:after="0"/>
              <w:ind w:left="0" w:right="0" w:hanging="0"/>
              <w:jc w:val="center"/>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60" w:type="dxa"/>
            <w:tcBorders/>
            <w:shd w:fill="auto" w:val="clear"/>
            <w:vAlign w:val="bottom"/>
          </w:tcPr>
          <w:p>
            <w:pPr>
              <w:pStyle w:val="TableContents"/>
              <w:spacing w:before="0" w:after="0"/>
              <w:ind w:left="0" w:right="0" w:hanging="0"/>
              <w:jc w:val="center"/>
              <w:rPr/>
            </w:pPr>
            <w:r>
              <w:rPr/>
              <w:t> </w:t>
            </w:r>
          </w:p>
        </w:tc>
        <w:tc>
          <w:tcPr>
            <w:tcW w:w="12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43" w:type="dxa"/>
            <w:tcBorders/>
            <w:shd w:fill="auto" w:val="clear"/>
            <w:vAlign w:val="bottom"/>
          </w:tcPr>
          <w:p>
            <w:pPr>
              <w:pStyle w:val="TableContents"/>
              <w:spacing w:before="0" w:after="0"/>
              <w:ind w:left="0" w:right="0" w:hanging="0"/>
              <w:jc w:val="center"/>
              <w:rPr/>
            </w:pPr>
            <w:r>
              <w:rPr/>
              <w:t> </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5" w:type="dxa"/>
            <w:tcBorders/>
            <w:shd w:fill="CCEEFF" w:val="clear"/>
            <w:vAlign w:val="bottom"/>
          </w:tcPr>
          <w:p>
            <w:pPr>
              <w:pStyle w:val="TableContents"/>
              <w:spacing w:before="0" w:after="0"/>
              <w:ind w:left="0" w:right="0" w:hanging="0"/>
              <w:rPr/>
            </w:pPr>
            <w:r>
              <w:rPr/>
              <w:t> </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9" w:type="dxa"/>
            <w:tcBorders/>
            <w:shd w:fill="CCEEFF" w:val="clear"/>
            <w:vAlign w:val="bottom"/>
          </w:tcPr>
          <w:p>
            <w:pPr>
              <w:pStyle w:val="TableContents"/>
              <w:spacing w:before="0" w:after="0"/>
              <w:ind w:left="0" w:right="0" w:hanging="0"/>
              <w:rPr/>
            </w:pPr>
            <w:r>
              <w:rPr/>
              <w:t> </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60"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43" w:type="dxa"/>
            <w:tcBorders/>
            <w:shd w:fill="CCEEFF" w:val="clear"/>
            <w:vAlign w:val="bottom"/>
          </w:tcPr>
          <w:p>
            <w:pPr>
              <w:pStyle w:val="TableContents"/>
              <w:spacing w:before="0" w:after="0"/>
              <w:ind w:left="0" w:right="0" w:hanging="0"/>
              <w:rPr/>
            </w:pPr>
            <w:r>
              <w:rPr/>
              <w:t> </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Unrealized gains/(losses):</w:t>
            </w:r>
          </w:p>
        </w:tc>
        <w:tc>
          <w:tcPr>
            <w:tcW w:w="205"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jc w:val="right"/>
              <w:rPr/>
            </w:pPr>
            <w:r>
              <w:rPr/>
              <w:t> </w:t>
            </w:r>
          </w:p>
        </w:tc>
        <w:tc>
          <w:tcPr>
            <w:tcW w:w="249" w:type="dxa"/>
            <w:tcBorders/>
            <w:shd w:fill="auto" w:val="clear"/>
            <w:vAlign w:val="bottom"/>
          </w:tcPr>
          <w:p>
            <w:pPr>
              <w:pStyle w:val="TableContents"/>
              <w:spacing w:before="0" w:after="0"/>
              <w:ind w:left="0" w:right="0" w:hanging="0"/>
              <w:rPr/>
            </w:pPr>
            <w:r>
              <w:rPr/>
              <w:t> </w:t>
            </w:r>
          </w:p>
        </w:tc>
        <w:tc>
          <w:tcPr>
            <w:tcW w:w="1345"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260" w:type="dxa"/>
            <w:tcBorders/>
            <w:shd w:fill="auto" w:val="clear"/>
            <w:vAlign w:val="bottom"/>
          </w:tcPr>
          <w:p>
            <w:pPr>
              <w:pStyle w:val="TableContents"/>
              <w:spacing w:before="0" w:after="0"/>
              <w:ind w:left="0" w:right="0" w:hanging="0"/>
              <w:rPr/>
            </w:pPr>
            <w:r>
              <w:rPr/>
              <w:t> </w:t>
            </w:r>
          </w:p>
        </w:tc>
        <w:tc>
          <w:tcPr>
            <w:tcW w:w="1281" w:type="dxa"/>
            <w:gridSpan w:val="2"/>
            <w:tcBorders/>
            <w:shd w:fill="auto" w:val="clear"/>
            <w:vAlign w:val="bottom"/>
          </w:tcPr>
          <w:p>
            <w:pPr>
              <w:pStyle w:val="TableContents"/>
              <w:spacing w:before="0" w:after="0"/>
              <w:ind w:left="0" w:right="0" w:hanging="0"/>
              <w:jc w:val="right"/>
              <w:rPr/>
            </w:pPr>
            <w:r>
              <w:rPr/>
              <w:t> </w:t>
            </w:r>
          </w:p>
        </w:tc>
        <w:tc>
          <w:tcPr>
            <w:tcW w:w="143" w:type="dxa"/>
            <w:tcBorders/>
            <w:shd w:fill="auto" w:val="clear"/>
            <w:vAlign w:val="bottom"/>
          </w:tcPr>
          <w:p>
            <w:pPr>
              <w:pStyle w:val="TableContents"/>
              <w:spacing w:before="0" w:after="0"/>
              <w:ind w:left="0" w:right="0" w:hanging="0"/>
              <w:rPr/>
            </w:pPr>
            <w:r>
              <w:rPr/>
              <w:t> </w:t>
            </w:r>
          </w:p>
        </w:tc>
      </w:tr>
      <w:tr>
        <w:trPr/>
        <w:tc>
          <w:tcPr>
            <w:tcW w:w="4110" w:type="dxa"/>
            <w:tcBorders/>
            <w:shd w:fill="CCEEFF" w:val="clear"/>
            <w:vAlign w:val="bottom"/>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05"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9" w:type="dxa"/>
            <w:tcBorders/>
            <w:shd w:fill="CCEEFF" w:val="clear"/>
            <w:vAlign w:val="bottom"/>
          </w:tcPr>
          <w:p>
            <w:pPr>
              <w:pStyle w:val="TableContents"/>
              <w:spacing w:before="0" w:after="0"/>
              <w:ind w:left="0" w:right="0" w:hanging="0"/>
              <w:rPr/>
            </w:pPr>
            <w:r>
              <w:rPr/>
              <w:t> </w:t>
            </w:r>
          </w:p>
        </w:tc>
        <w:tc>
          <w:tcPr>
            <w:tcW w:w="13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8"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60" w:type="dxa"/>
            <w:tcBorders/>
            <w:shd w:fill="CCEEFF" w:val="clear"/>
            <w:vAlign w:val="bottom"/>
          </w:tcPr>
          <w:p>
            <w:pPr>
              <w:pStyle w:val="TableContents"/>
              <w:spacing w:before="0" w:after="0"/>
              <w:ind w:left="0" w:right="0" w:hanging="0"/>
              <w:rPr/>
            </w:pPr>
            <w:r>
              <w:rPr/>
              <w:t> </w:t>
            </w:r>
          </w:p>
        </w:tc>
        <w:tc>
          <w:tcPr>
            <w:tcW w:w="12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43" w:type="dxa"/>
            <w:tcBorders/>
            <w:shd w:fill="CCEEFF" w:val="clear"/>
            <w:vAlign w:val="bottom"/>
          </w:tcPr>
          <w:p>
            <w:pPr>
              <w:pStyle w:val="TableContents"/>
              <w:spacing w:before="0" w:after="0"/>
              <w:ind w:left="0" w:right="0" w:hanging="0"/>
              <w:rPr/>
            </w:pPr>
            <w:r>
              <w:rPr/>
              <w:t> </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05"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9" w:type="dxa"/>
            <w:tcBorders/>
            <w:shd w:fill="auto" w:val="clear"/>
            <w:vAlign w:val="bottom"/>
          </w:tcPr>
          <w:p>
            <w:pPr>
              <w:pStyle w:val="TableContents"/>
              <w:spacing w:before="0" w:after="0"/>
              <w:ind w:left="0" w:right="0" w:hanging="0"/>
              <w:rPr/>
            </w:pPr>
            <w:r>
              <w:rPr/>
              <w:t> </w:t>
            </w:r>
          </w:p>
        </w:tc>
        <w:tc>
          <w:tcPr>
            <w:tcW w:w="13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60" w:type="dxa"/>
            <w:tcBorders/>
            <w:shd w:fill="auto" w:val="clear"/>
            <w:vAlign w:val="bottom"/>
          </w:tcPr>
          <w:p>
            <w:pPr>
              <w:pStyle w:val="TableContents"/>
              <w:spacing w:before="0" w:after="0"/>
              <w:ind w:left="0" w:right="0" w:hanging="0"/>
              <w:rPr/>
            </w:pPr>
            <w:r>
              <w:rPr/>
              <w:t> </w:t>
            </w:r>
          </w:p>
        </w:tc>
        <w:tc>
          <w:tcPr>
            <w:tcW w:w="12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43" w:type="dxa"/>
            <w:tcBorders/>
            <w:shd w:fill="auto" w:val="clear"/>
            <w:vAlign w:val="bottom"/>
          </w:tcPr>
          <w:p>
            <w:pPr>
              <w:pStyle w:val="TableContents"/>
              <w:spacing w:before="0" w:after="0"/>
              <w:ind w:left="0" w:right="0" w:hanging="0"/>
              <w:rPr/>
            </w:pPr>
            <w:r>
              <w:rPr/>
              <w:t> </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Settlements </w:t>
            </w:r>
          </w:p>
        </w:tc>
        <w:tc>
          <w:tcPr>
            <w:tcW w:w="205"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9" w:type="dxa"/>
            <w:tcBorders/>
            <w:shd w:fill="CCEEFF" w:val="clear"/>
            <w:vAlign w:val="bottom"/>
          </w:tcPr>
          <w:p>
            <w:pPr>
              <w:pStyle w:val="TableContents"/>
              <w:spacing w:before="0" w:after="0"/>
              <w:ind w:left="0" w:right="0" w:hanging="0"/>
              <w:rPr/>
            </w:pPr>
            <w:r>
              <w:rPr/>
              <w:t> </w:t>
            </w:r>
          </w:p>
        </w:tc>
        <w:tc>
          <w:tcPr>
            <w:tcW w:w="13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Derivatives entered into during the period</w:t>
            </w:r>
          </w:p>
        </w:tc>
        <w:tc>
          <w:tcPr>
            <w:tcW w:w="205"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49" w:type="dxa"/>
            <w:tcBorders/>
            <w:shd w:fill="auto" w:val="clear"/>
            <w:vAlign w:val="bottom"/>
          </w:tcPr>
          <w:p>
            <w:pPr>
              <w:pStyle w:val="TableContents"/>
              <w:spacing w:before="0" w:after="0"/>
              <w:ind w:left="0" w:right="0" w:hanging="0"/>
              <w:rPr/>
            </w:pPr>
            <w:r>
              <w:rPr/>
              <w:t> </w:t>
            </w:r>
          </w:p>
        </w:tc>
        <w:tc>
          <w:tcPr>
            <w:tcW w:w="13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8"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60" w:type="dxa"/>
            <w:tcBorders/>
            <w:shd w:fill="auto" w:val="clear"/>
            <w:vAlign w:val="bottom"/>
          </w:tcPr>
          <w:p>
            <w:pPr>
              <w:pStyle w:val="TableContents"/>
              <w:spacing w:before="0" w:after="0"/>
              <w:ind w:left="0" w:right="0" w:hanging="0"/>
              <w:rPr/>
            </w:pPr>
            <w:r>
              <w:rPr/>
              <w:t> </w:t>
            </w:r>
          </w:p>
        </w:tc>
        <w:tc>
          <w:tcPr>
            <w:tcW w:w="12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43" w:type="dxa"/>
            <w:tcBorders/>
            <w:shd w:fill="auto" w:val="clear"/>
            <w:vAlign w:val="bottom"/>
          </w:tcPr>
          <w:p>
            <w:pPr>
              <w:pStyle w:val="TableContents"/>
              <w:spacing w:before="0" w:after="0"/>
              <w:ind w:left="0" w:right="0" w:hanging="0"/>
              <w:rPr/>
            </w:pPr>
            <w:r>
              <w:rPr/>
              <w:t> </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Transfers out of level 3</w:t>
            </w:r>
          </w:p>
        </w:tc>
        <w:tc>
          <w:tcPr>
            <w:tcW w:w="205" w:type="dxa"/>
            <w:tcBorders/>
            <w:shd w:fill="CCEEFF" w:val="clear"/>
            <w:vAlign w:val="bottom"/>
          </w:tcPr>
          <w:p>
            <w:pPr>
              <w:pStyle w:val="TableContents"/>
              <w:spacing w:before="0" w:after="0"/>
              <w:ind w:left="0" w:right="0" w:hanging="0"/>
              <w:rPr/>
            </w:pPr>
            <w:r>
              <w:rPr/>
              <w:t> </w:t>
            </w:r>
          </w:p>
        </w:tc>
        <w:tc>
          <w:tcPr>
            <w:tcW w:w="12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9" w:type="dxa"/>
            <w:tcBorders/>
            <w:shd w:fill="CCEEFF" w:val="clear"/>
            <w:vAlign w:val="bottom"/>
          </w:tcPr>
          <w:p>
            <w:pPr>
              <w:pStyle w:val="TableContents"/>
              <w:spacing w:before="0" w:after="0"/>
              <w:ind w:left="0" w:right="0" w:hanging="0"/>
              <w:rPr/>
            </w:pPr>
            <w:r>
              <w:rPr/>
              <w:t> </w:t>
            </w:r>
          </w:p>
        </w:tc>
        <w:tc>
          <w:tcPr>
            <w:tcW w:w="13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8"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60" w:type="dxa"/>
            <w:tcBorders/>
            <w:shd w:fill="CCEEFF" w:val="clear"/>
            <w:vAlign w:val="bottom"/>
          </w:tcPr>
          <w:p>
            <w:pPr>
              <w:pStyle w:val="TableContents"/>
              <w:spacing w:before="0" w:after="0"/>
              <w:ind w:left="0" w:right="0" w:hanging="0"/>
              <w:rPr/>
            </w:pPr>
            <w:r>
              <w:rPr/>
              <w:t> </w:t>
            </w:r>
          </w:p>
        </w:tc>
        <w:tc>
          <w:tcPr>
            <w:tcW w:w="12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43" w:type="dxa"/>
            <w:tcBorders/>
            <w:shd w:fill="CCEEFF" w:val="clear"/>
            <w:vAlign w:val="bottom"/>
          </w:tcPr>
          <w:p>
            <w:pPr>
              <w:pStyle w:val="TableContents"/>
              <w:spacing w:before="0" w:after="0"/>
              <w:ind w:left="0" w:right="0" w:hanging="0"/>
              <w:rPr/>
            </w:pPr>
            <w:r>
              <w:rPr/>
              <w:t> </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Ending Balance </w:t>
            </w:r>
          </w:p>
        </w:tc>
        <w:tc>
          <w:tcPr>
            <w:tcW w:w="205" w:type="dxa"/>
            <w:tcBorders/>
            <w:shd w:fill="auto" w:val="clear"/>
            <w:vAlign w:val="bottom"/>
          </w:tcPr>
          <w:p>
            <w:pPr>
              <w:pStyle w:val="TableContents"/>
              <w:spacing w:before="0" w:after="0"/>
              <w:ind w:left="0" w:right="0" w:hanging="0"/>
              <w:rPr/>
            </w:pPr>
            <w:r>
              <w:rPr/>
              <w:t> </w:t>
            </w:r>
          </w:p>
        </w:tc>
        <w:tc>
          <w:tcPr>
            <w:tcW w:w="2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49" w:type="dxa"/>
            <w:tcBorders/>
            <w:shd w:fill="auto" w:val="clear"/>
            <w:vAlign w:val="bottom"/>
          </w:tcPr>
          <w:p>
            <w:pPr>
              <w:pStyle w:val="TableContents"/>
              <w:spacing w:before="0" w:after="0"/>
              <w:ind w:left="0" w:right="0" w:hanging="0"/>
              <w:rPr/>
            </w:pPr>
            <w:r>
              <w:rPr/>
              <w:t> </w:t>
            </w:r>
          </w:p>
        </w:tc>
        <w:tc>
          <w:tcPr>
            <w:tcW w:w="2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8"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60" w:type="dxa"/>
            <w:tcBorders/>
            <w:shd w:fill="auto" w:val="clear"/>
            <w:vAlign w:val="bottom"/>
          </w:tcPr>
          <w:p>
            <w:pPr>
              <w:pStyle w:val="TableContents"/>
              <w:spacing w:before="0" w:after="0"/>
              <w:ind w:left="0" w:right="0" w:hanging="0"/>
              <w:rPr/>
            </w:pPr>
            <w:r>
              <w:rPr/>
              <w:t> </w:t>
            </w:r>
          </w:p>
        </w:tc>
        <w:tc>
          <w:tcPr>
            <w:tcW w:w="2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43" w:type="dxa"/>
            <w:tcBorders/>
            <w:shd w:fill="auto" w:val="clear"/>
            <w:vAlign w:val="bottom"/>
          </w:tcPr>
          <w:p>
            <w:pPr>
              <w:pStyle w:val="TableContents"/>
              <w:spacing w:before="0" w:after="0"/>
              <w:ind w:left="0" w:right="0" w:hanging="0"/>
              <w:rPr/>
            </w:pPr>
            <w:r>
              <w:rPr/>
              <w:t> </w:t>
            </w:r>
          </w:p>
        </w:tc>
      </w:tr>
      <w:tr>
        <w:trPr/>
        <w:tc>
          <w:tcPr>
            <w:tcW w:w="4110"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pPr>
            <w:r>
              <w:rPr/>
              <w:t> </w:t>
            </w:r>
          </w:p>
        </w:tc>
        <w:tc>
          <w:tcPr>
            <w:tcW w:w="249" w:type="dxa"/>
            <w:tcBorders/>
            <w:shd w:fill="CCEEFF" w:val="clear"/>
            <w:vAlign w:val="bottom"/>
          </w:tcPr>
          <w:p>
            <w:pPr>
              <w:pStyle w:val="TableContents"/>
              <w:spacing w:before="0" w:after="0"/>
              <w:ind w:left="0" w:right="0" w:hanging="0"/>
              <w:rPr/>
            </w:pPr>
            <w:r>
              <w:rPr/>
              <w:t> </w:t>
            </w:r>
          </w:p>
        </w:tc>
        <w:tc>
          <w:tcPr>
            <w:tcW w:w="134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260" w:type="dxa"/>
            <w:tcBorders/>
            <w:shd w:fill="CCEEFF" w:val="clear"/>
            <w:vAlign w:val="bottom"/>
          </w:tcPr>
          <w:p>
            <w:pPr>
              <w:pStyle w:val="TableContents"/>
              <w:spacing w:before="0" w:after="0"/>
              <w:ind w:left="0" w:right="0" w:hanging="0"/>
              <w:rPr/>
            </w:pPr>
            <w:r>
              <w:rPr/>
              <w:t> </w:t>
            </w:r>
          </w:p>
        </w:tc>
        <w:tc>
          <w:tcPr>
            <w:tcW w:w="1281" w:type="dxa"/>
            <w:gridSpan w:val="2"/>
            <w:tcBorders/>
            <w:shd w:fill="CCEEFF" w:val="clear"/>
            <w:vAlign w:val="bottom"/>
          </w:tcPr>
          <w:p>
            <w:pPr>
              <w:pStyle w:val="TableContents"/>
              <w:spacing w:before="0" w:after="0"/>
              <w:ind w:left="0" w:right="0" w:hanging="0"/>
              <w:jc w:val="right"/>
              <w:rPr/>
            </w:pPr>
            <w:r>
              <w:rPr/>
              <w:t> </w:t>
            </w:r>
          </w:p>
        </w:tc>
        <w:tc>
          <w:tcPr>
            <w:tcW w:w="143" w:type="dxa"/>
            <w:tcBorders/>
            <w:shd w:fill="CCEEFF" w:val="clear"/>
            <w:vAlign w:val="bottom"/>
          </w:tcPr>
          <w:p>
            <w:pPr>
              <w:pStyle w:val="TableContents"/>
              <w:spacing w:before="0" w:after="0"/>
              <w:ind w:left="0" w:right="0" w:hanging="0"/>
              <w:rPr/>
            </w:pPr>
            <w:r>
              <w:rPr/>
              <w:t> </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 held at the end of the periods</w:t>
            </w:r>
          </w:p>
        </w:tc>
        <w:tc>
          <w:tcPr>
            <w:tcW w:w="205" w:type="dxa"/>
            <w:tcBorders/>
            <w:shd w:fill="auto" w:val="clear"/>
            <w:vAlign w:val="bottom"/>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9" w:type="dxa"/>
            <w:tcBorders/>
            <w:shd w:fill="auto" w:val="clear"/>
            <w:vAlign w:val="bottom"/>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8"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6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4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reported unrealized gains and losses associated with level 3 commodity derivatives in our condensed consolidated statements of operations as Supply and Logistics segment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quarter of 2012, we transferred commodity derivatives with an aggregate fair value of a $5 million loss from level 3 to level 2. These derivatives consist of NGL derivatives that are cleared through the CME Clearport platform.  This transfer resulted from additional analysis regarding the CMEs pricing methodology.  Our policy is to recognize transfers between levels as of the beginning of the reporting period in which the transfer occurred.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45" w:name="PB_24_152111_2897"/>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12Commitments and Contingencies</w:t>
      </w:r>
      <w:bookmarkStart w:id="46" w:name="Note12commitmentsAndContingencies_152114"/>
      <w:bookmarkEnd w:id="46"/>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and including the general and environmental legal proceedings described below, will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Pemex Exploración y Producción v. Big Star Gathering Ltd L.L.P. et al. </w:t>
      </w:r>
      <w:r>
        <w:rPr>
          <w:rFonts w:ascii="Times New Roman" w:hAnsi="Times New Roman"/>
          <w:sz w:val="17"/>
        </w:rPr>
        <w:t>In two cases filed in the Texas Southern District Court in May 2011 and 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 In February 2013, the Court granted Plains Marketing, L.P.s motion to be dismissed from the April 2012 lawsuit and Plains Marketing, L.P. filed a motion for summary judgment in the May 2011 lawsuit.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June 30, 2013, our estimated undiscounted reserve for environmental liabilities totaled approximately $110  million, of which approximately $17 million was classified as short-term and approximately $93 million was classified as long-term.  At December 31, 2012, our reserve for environmental liabilities totaled approximately $96 million, of which approximately $13 million was classified as short-term and approximately $83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2013 and December 31, 2012, we had recorded receivables totaling approximately $15 million and $42 million, respectively, for amounts probable of recovery under insurance and from third parties under indemnification agreements, which are predominantly reflected in Trade accounts receivable and other receivables, net on our condensed consolidated balance sheets.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Rainbow Pipeline Release.</w:t>
      </w:r>
      <w:r>
        <w:rPr>
          <w:rFonts w:ascii="Times New Roman" w:hAnsi="Times New Roman"/>
        </w:rPr>
        <w:t xml:space="preserve">  </w:t>
      </w:r>
      <w:r>
        <w:rPr>
          <w:rFonts w:ascii="Times New Roman" w:hAnsi="Times New Roman"/>
          <w:sz w:val="17"/>
        </w:rPr>
        <w:t>On April 29, 2011, we experienced a crude oil release of approximately 28,000 barrels of crude oil on a remote section of our Rainbow Pipeline located in Alberta, Canada.  Since the release and through June 30, 2013, we spent approximately $70 million, before insurance recoveries, in connection with site clean-up, reclamation and remediation activities, and as of June 30, 2013, we did not have any material outstanding liabilities or insurance receivables relating to this release. On February 26, 2013, the Alberta Energy Regulator (formerly known as the Energy Resources Conservation Board of Alberta) (AER) issued a report detailing four enforcement actions against Plains Midstream Canada ULC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Crown Prosecutor filed civil charges under the Environmental Protection and Enhancement Act against PMC relating to the release.  To date, PMC has not been assessed any fines or penalties related to this release; however, such fines or penalties may be assessed in the future and are not reasonably estimable at this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47" w:name="PB_25_152131_3020"/>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Rangeland Pipeline Release</w:t>
      </w:r>
      <w:r>
        <w:rPr>
          <w:rFonts w:ascii="Times New Roman" w:hAnsi="Times New Roman"/>
          <w:sz w:val="17"/>
        </w:rPr>
        <w:t>. On June 7, 2012, we experienced a crude oil release on a section of our Rangeland Pipeline located near Sundre, Alberta, Canada.  Approximately 3,000 barrels were released into the Red Deer River and were contained downstream in the Gleniffer Reservoir. Remediation activities in the reservoir area were completed by June 30, 2012, remediation of the remaining impacted areas was completed by September 30, 2012 and interim closure was received from the applicable regulatory agencies.  Ongoing monitoring will continue into 2013, and a long-term monitoring plan, if required, will be developed and implemented in accordance with regulatory requirements. Through June 30, 2013, we spent approximately $45 million, before insurance recoveries, in connection with site clean-up, reclamation and remediation activities, and as of June 30, 2013, we did not have any material outstanding liabilities or insurance receivables relating to this release. This release is currently under investigation by the AER, which is also performing a full audit of PMCs operations. Although the AERs final investigation is not complete, on July 4, 2013, the AER issued a report detailing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The AER also issued an order under Section 22 of the Oil and Gas Conservation Act imposing additional regulatory requirements on PMC with respect to obtaining operating approvals under such Act during the pendency of the AERs audit. To date, no fines or penalties have been assessed against PMC with respect to this release; however, it is possible that fines or penalties may be assessed against PMC in the future and are not reasonably estimable at this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Bay Springs Pipeline Release.</w:t>
      </w:r>
      <w:r>
        <w:rPr>
          <w:rFonts w:ascii="Times New Roman" w:hAnsi="Times New Roman"/>
        </w:rPr>
        <w:t xml:space="preserve"> </w:t>
      </w:r>
      <w:r>
        <w:rPr>
          <w:rFonts w:ascii="Times New Roman" w:hAnsi="Times New Roman"/>
          <w:sz w:val="17"/>
        </w:rPr>
        <w:t xml:space="preserve">On February 5, 2013, we experienced a crude oil release of approximately 120 barrels on a portion of one of our 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and we may be subjected to a civil penalty.  The aggregate cost to clean up and remediate the site was approximately $6 million, which has been recognized in Field operating costs on our condensed consolidated statement of operations.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Kemp River Pipeline Release</w:t>
      </w:r>
      <w:r>
        <w:rPr>
          <w:rFonts w:ascii="Times New Roman" w:hAnsi="Times New Roman"/>
          <w:sz w:val="17"/>
        </w:rPr>
        <w:t>. During May and June 2013, two separate events occurred on our Kemp River pipeline in Northern Alberta, Canada that, in the aggregate, resulted in the estimated release of approximately 1,250 barrels of condensate.  Clean-up and remediation activities are being conducted in cooperation with the applicable regulatory agencies. We estimate that the aggregate clean-up and remediation costs associated with these releases will be approximately $15 million which we have accrued to Field operating costs on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13Operating Segments</w:t>
      </w:r>
      <w:bookmarkStart w:id="48" w:name="Note13operatingSegments_152142"/>
      <w:bookmarkEnd w:id="4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The following table reflects certain financial data for each segment for the periods indicated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49" w:name="PB_26_152144_7748"/>
      <w:bookmarkEnd w:id="4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852"/>
        <w:gridCol w:w="193"/>
        <w:gridCol w:w="263"/>
        <w:gridCol w:w="1249"/>
        <w:gridCol w:w="193"/>
        <w:gridCol w:w="189"/>
        <w:gridCol w:w="1052"/>
        <w:gridCol w:w="193"/>
        <w:gridCol w:w="197"/>
        <w:gridCol w:w="1228"/>
        <w:gridCol w:w="193"/>
        <w:gridCol w:w="153"/>
        <w:gridCol w:w="1123"/>
        <w:gridCol w:w="127"/>
      </w:tblGrid>
      <w:tr>
        <w:trPr/>
        <w:tc>
          <w:tcPr>
            <w:tcW w:w="3852"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93" w:type="dxa"/>
            <w:tcBorders/>
            <w:shd w:fill="auto" w:val="clear"/>
            <w:vAlign w:val="bottom"/>
          </w:tcPr>
          <w:p>
            <w:pPr>
              <w:pStyle w:val="TableContents"/>
              <w:spacing w:before="0" w:after="0"/>
              <w:ind w:left="0" w:right="0" w:hanging="0"/>
              <w:jc w:val="center"/>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br/>
              <w:t>and Logistics</w:t>
            </w:r>
          </w:p>
        </w:tc>
        <w:tc>
          <w:tcPr>
            <w:tcW w:w="193"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7" w:type="dxa"/>
            <w:tcBorders/>
            <w:shd w:fill="auto" w:val="clear"/>
            <w:vAlign w:val="bottom"/>
          </w:tcPr>
          <w:p>
            <w:pPr>
              <w:pStyle w:val="TableContents"/>
              <w:spacing w:before="0" w:after="0"/>
              <w:ind w:left="0" w:right="0" w:hanging="0"/>
              <w:jc w:val="center"/>
              <w:rPr/>
            </w:pPr>
            <w:r>
              <w:rPr/>
              <w:t> </w:t>
            </w:r>
          </w:p>
        </w:tc>
      </w:tr>
      <w:tr>
        <w:trPr/>
        <w:tc>
          <w:tcPr>
            <w:tcW w:w="385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June 30, 2013</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93"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93"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19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9,933</w:t>
            </w:r>
          </w:p>
        </w:tc>
        <w:tc>
          <w:tcPr>
            <w:tcW w:w="193"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10,295</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352</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93" w:type="dxa"/>
            <w:tcBorders/>
            <w:shd w:fill="CCEEFF" w:val="clear"/>
            <w:vAlign w:val="bottom"/>
          </w:tcPr>
          <w:p>
            <w:pPr>
              <w:pStyle w:val="TableContents"/>
              <w:spacing w:before="0" w:after="0"/>
              <w:ind w:left="0" w:right="0" w:hanging="0"/>
              <w:rPr/>
            </w:pPr>
            <w:r>
              <w:rPr/>
              <w:t> </w:t>
            </w:r>
          </w:p>
        </w:tc>
        <w:tc>
          <w:tcPr>
            <w:tcW w:w="19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9,934</w:t>
            </w:r>
          </w:p>
        </w:tc>
        <w:tc>
          <w:tcPr>
            <w:tcW w:w="193"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10,647</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93" w:type="dxa"/>
            <w:tcBorders/>
            <w:shd w:fill="CCEEFF" w:val="clear"/>
            <w:vAlign w:val="bottom"/>
          </w:tcPr>
          <w:p>
            <w:pPr>
              <w:pStyle w:val="TableContents"/>
              <w:spacing w:before="0" w:after="0"/>
              <w:ind w:left="0" w:right="0" w:hanging="0"/>
              <w:rPr/>
            </w:pPr>
            <w:r>
              <w:rPr/>
              <w:t> </w:t>
            </w:r>
          </w:p>
        </w:tc>
        <w:tc>
          <w:tcPr>
            <w:tcW w:w="19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93"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auto" w:val="clear"/>
            <w:vAlign w:val="bottom"/>
          </w:tcPr>
          <w:p>
            <w:pPr>
              <w:pStyle w:val="TableContents"/>
              <w:spacing w:before="0" w:after="0"/>
              <w:ind w:left="0" w:right="0" w:hanging="0"/>
              <w:rPr/>
            </w:pPr>
            <w:r>
              <w:rPr/>
              <w:t> </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June 30, 2012</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3" w:type="dxa"/>
            <w:tcBorders/>
            <w:shd w:fill="auto" w:val="clear"/>
            <w:vAlign w:val="bottom"/>
          </w:tcPr>
          <w:p>
            <w:pPr>
              <w:pStyle w:val="TableContents"/>
              <w:spacing w:before="0" w:after="0"/>
              <w:ind w:left="0" w:right="0" w:hanging="0"/>
              <w:rPr/>
            </w:pPr>
            <w:r>
              <w:rPr/>
              <w:t> </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9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19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193"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9,786</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93" w:type="dxa"/>
            <w:tcBorders/>
            <w:shd w:fill="auto" w:val="clear"/>
            <w:vAlign w:val="bottom"/>
          </w:tcPr>
          <w:p>
            <w:pPr>
              <w:pStyle w:val="TableContents"/>
              <w:spacing w:before="0" w:after="0"/>
              <w:ind w:left="0" w:right="0" w:hanging="0"/>
              <w:rPr/>
            </w:pPr>
            <w:r>
              <w:rPr/>
              <w:t> </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193"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10,090</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9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93" w:type="dxa"/>
            <w:tcBorders/>
            <w:shd w:fill="auto" w:val="clear"/>
            <w:vAlign w:val="bottom"/>
          </w:tcPr>
          <w:p>
            <w:pPr>
              <w:pStyle w:val="TableContents"/>
              <w:spacing w:before="0" w:after="0"/>
              <w:ind w:left="0" w:right="0" w:hanging="0"/>
              <w:rPr/>
            </w:pPr>
            <w:r>
              <w:rPr/>
              <w:t> </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93"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3" w:type="dxa"/>
            <w:tcBorders/>
            <w:shd w:fill="CCEEFF" w:val="clear"/>
            <w:vAlign w:val="bottom"/>
          </w:tcPr>
          <w:p>
            <w:pPr>
              <w:pStyle w:val="TableContents"/>
              <w:spacing w:before="0" w:after="0"/>
              <w:ind w:left="0" w:right="0" w:hanging="0"/>
              <w:rPr/>
            </w:pPr>
            <w:r>
              <w:rPr/>
              <w:t> </w:t>
            </w:r>
          </w:p>
        </w:tc>
        <w:tc>
          <w:tcPr>
            <w:tcW w:w="19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3"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852"/>
        <w:gridCol w:w="193"/>
        <w:gridCol w:w="263"/>
        <w:gridCol w:w="1249"/>
        <w:gridCol w:w="193"/>
        <w:gridCol w:w="189"/>
        <w:gridCol w:w="1052"/>
        <w:gridCol w:w="193"/>
        <w:gridCol w:w="180"/>
        <w:gridCol w:w="1245"/>
        <w:gridCol w:w="192"/>
        <w:gridCol w:w="154"/>
        <w:gridCol w:w="1123"/>
        <w:gridCol w:w="127"/>
      </w:tblGrid>
      <w:tr>
        <w:trPr/>
        <w:tc>
          <w:tcPr>
            <w:tcW w:w="3852"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93" w:type="dxa"/>
            <w:tcBorders/>
            <w:shd w:fill="auto" w:val="clear"/>
            <w:vAlign w:val="bottom"/>
          </w:tcPr>
          <w:p>
            <w:pPr>
              <w:pStyle w:val="TableContents"/>
              <w:spacing w:before="0" w:after="0"/>
              <w:ind w:left="0" w:right="0" w:hanging="0"/>
              <w:jc w:val="center"/>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br/>
              <w:t>and Logistics</w:t>
            </w:r>
          </w:p>
        </w:tc>
        <w:tc>
          <w:tcPr>
            <w:tcW w:w="192"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7" w:type="dxa"/>
            <w:tcBorders/>
            <w:shd w:fill="auto" w:val="clear"/>
            <w:vAlign w:val="bottom"/>
          </w:tcPr>
          <w:p>
            <w:pPr>
              <w:pStyle w:val="TableContents"/>
              <w:spacing w:before="0" w:after="0"/>
              <w:ind w:left="0" w:right="0" w:hanging="0"/>
              <w:jc w:val="center"/>
              <w:rPr/>
            </w:pPr>
            <w:r>
              <w:rPr/>
              <w:t> </w:t>
            </w:r>
          </w:p>
        </w:tc>
      </w:tr>
      <w:tr>
        <w:trPr/>
        <w:tc>
          <w:tcPr>
            <w:tcW w:w="3852" w:type="dxa"/>
            <w:tcBorders/>
            <w:shd w:fill="auto" w:val="clear"/>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Six Months Ended June 30, 2013</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3"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193"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w:t>
            </w:r>
          </w:p>
        </w:tc>
        <w:tc>
          <w:tcPr>
            <w:tcW w:w="193"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20,157</w:t>
            </w:r>
          </w:p>
        </w:tc>
        <w:tc>
          <w:tcPr>
            <w:tcW w:w="192"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20,915</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703</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20,158</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21,593</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1,233</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Six Months Ended June 30, 2012</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3" w:type="dxa"/>
            <w:tcBorders/>
            <w:shd w:fill="auto" w:val="clear"/>
            <w:vAlign w:val="bottom"/>
          </w:tcPr>
          <w:p>
            <w:pPr>
              <w:pStyle w:val="TableContents"/>
              <w:spacing w:before="0" w:after="0"/>
              <w:ind w:left="0" w:right="0" w:hanging="0"/>
              <w:rPr/>
            </w:pPr>
            <w:r>
              <w:rPr/>
              <w:t> </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19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93"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192"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19,004</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523</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19,520</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Supply and Logistics segment profit includes interest expense (related to hedged inventory) of approximately $5 million and $4 million for the three months ended June 30, 2013 and 2012, respectively, and approximately $10 million and $6 million for the six months ended June 30, 2013 and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following table reconciles segment profit to net income attributable to Plains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50" w:name="PB_27_152450_141"/>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4469"/>
        <w:gridCol w:w="200"/>
        <w:gridCol w:w="112"/>
        <w:gridCol w:w="907"/>
        <w:gridCol w:w="203"/>
        <w:gridCol w:w="112"/>
        <w:gridCol w:w="907"/>
        <w:gridCol w:w="203"/>
        <w:gridCol w:w="112"/>
        <w:gridCol w:w="927"/>
        <w:gridCol w:w="203"/>
        <w:gridCol w:w="112"/>
        <w:gridCol w:w="906"/>
        <w:gridCol w:w="117"/>
      </w:tblGrid>
      <w:tr>
        <w:trPr/>
        <w:tc>
          <w:tcPr>
            <w:tcW w:w="4469"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224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3" w:type="dxa"/>
            <w:tcBorders/>
            <w:shd w:fill="auto" w:val="clear"/>
            <w:vAlign w:val="bottom"/>
          </w:tcPr>
          <w:p>
            <w:pPr>
              <w:pStyle w:val="TableContents"/>
              <w:spacing w:before="0" w:after="0"/>
              <w:ind w:left="0" w:right="0" w:hanging="0"/>
              <w:jc w:val="center"/>
              <w:rPr/>
            </w:pPr>
            <w:r>
              <w:rPr/>
              <w:t> </w:t>
            </w:r>
          </w:p>
        </w:tc>
        <w:tc>
          <w:tcPr>
            <w:tcW w:w="226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17" w:type="dxa"/>
            <w:tcBorders/>
            <w:shd w:fill="auto" w:val="clear"/>
            <w:vAlign w:val="bottom"/>
          </w:tcPr>
          <w:p>
            <w:pPr>
              <w:pStyle w:val="TableContents"/>
              <w:spacing w:before="0" w:after="0"/>
              <w:ind w:left="0" w:right="0" w:hanging="0"/>
              <w:jc w:val="center"/>
              <w:rPr/>
            </w:pPr>
            <w:r>
              <w:rPr/>
              <w:t> </w:t>
            </w:r>
          </w:p>
        </w:tc>
      </w:tr>
      <w:tr>
        <w:trPr/>
        <w:tc>
          <w:tcPr>
            <w:tcW w:w="4469"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224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03" w:type="dxa"/>
            <w:tcBorders/>
            <w:shd w:fill="auto" w:val="clear"/>
            <w:vAlign w:val="bottom"/>
          </w:tcPr>
          <w:p>
            <w:pPr>
              <w:pStyle w:val="TableContents"/>
              <w:spacing w:before="0" w:after="0"/>
              <w:ind w:left="0" w:right="0" w:hanging="0"/>
              <w:jc w:val="center"/>
              <w:rPr/>
            </w:pPr>
            <w:r>
              <w:rPr/>
              <w:t> </w:t>
            </w:r>
          </w:p>
        </w:tc>
        <w:tc>
          <w:tcPr>
            <w:tcW w:w="226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7" w:type="dxa"/>
            <w:tcBorders/>
            <w:shd w:fill="auto" w:val="clear"/>
            <w:vAlign w:val="bottom"/>
          </w:tcPr>
          <w:p>
            <w:pPr>
              <w:pStyle w:val="TableContents"/>
              <w:spacing w:before="0" w:after="0"/>
              <w:ind w:left="0" w:right="0" w:hanging="0"/>
              <w:jc w:val="center"/>
              <w:rPr/>
            </w:pPr>
            <w:r>
              <w:rPr/>
              <w:t> </w:t>
            </w:r>
          </w:p>
        </w:tc>
      </w:tr>
      <w:tr>
        <w:trPr/>
        <w:tc>
          <w:tcPr>
            <w:tcW w:w="4469"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3" w:type="dxa"/>
            <w:tcBorders/>
            <w:shd w:fill="auto" w:val="clear"/>
            <w:vAlign w:val="bottom"/>
          </w:tcPr>
          <w:p>
            <w:pPr>
              <w:pStyle w:val="TableContents"/>
              <w:spacing w:before="0" w:after="0"/>
              <w:ind w:left="0" w:right="0" w:hanging="0"/>
              <w:jc w:val="center"/>
              <w:rPr/>
            </w:pPr>
            <w:r>
              <w:rPr/>
              <w:t> </w:t>
            </w:r>
          </w:p>
        </w:tc>
        <w:tc>
          <w:tcPr>
            <w:tcW w:w="101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3" w:type="dxa"/>
            <w:tcBorders/>
            <w:shd w:fill="auto" w:val="clear"/>
            <w:vAlign w:val="bottom"/>
          </w:tcPr>
          <w:p>
            <w:pPr>
              <w:pStyle w:val="TableContents"/>
              <w:spacing w:before="0" w:after="0"/>
              <w:ind w:left="0" w:right="0" w:hanging="0"/>
              <w:jc w:val="center"/>
              <w:rPr/>
            </w:pPr>
            <w:r>
              <w:rPr/>
              <w:t> </w:t>
            </w:r>
          </w:p>
        </w:tc>
        <w:tc>
          <w:tcPr>
            <w:tcW w:w="10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3" w:type="dxa"/>
            <w:tcBorders/>
            <w:shd w:fill="auto" w:val="clear"/>
            <w:vAlign w:val="bottom"/>
          </w:tcPr>
          <w:p>
            <w:pPr>
              <w:pStyle w:val="TableContents"/>
              <w:spacing w:before="0" w:after="0"/>
              <w:ind w:left="0" w:right="0" w:hanging="0"/>
              <w:jc w:val="center"/>
              <w:rPr/>
            </w:pPr>
            <w:r>
              <w:rPr/>
              <w:t> </w:t>
            </w:r>
          </w:p>
        </w:tc>
        <w:tc>
          <w:tcPr>
            <w:tcW w:w="10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7" w:type="dxa"/>
            <w:tcBorders/>
            <w:shd w:fill="auto" w:val="clear"/>
            <w:vAlign w:val="bottom"/>
          </w:tcPr>
          <w:p>
            <w:pPr>
              <w:pStyle w:val="TableContents"/>
              <w:spacing w:before="0" w:after="0"/>
              <w:ind w:left="0" w:right="0" w:hanging="0"/>
              <w:jc w:val="center"/>
              <w:rPr/>
            </w:pPr>
            <w:r>
              <w:rPr/>
              <w:t> </w:t>
            </w:r>
          </w:p>
        </w:tc>
      </w:tr>
      <w:tr>
        <w:trPr/>
        <w:tc>
          <w:tcPr>
            <w:tcW w:w="44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0"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w:t>
            </w:r>
          </w:p>
        </w:tc>
        <w:tc>
          <w:tcPr>
            <w:tcW w:w="20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0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1,233</w:t>
            </w:r>
          </w:p>
        </w:tc>
        <w:tc>
          <w:tcPr>
            <w:tcW w:w="20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w:t>
            </w:r>
          </w:p>
        </w:tc>
        <w:tc>
          <w:tcPr>
            <w:tcW w:w="117" w:type="dxa"/>
            <w:tcBorders/>
            <w:shd w:fill="CCEEFF" w:val="clear"/>
            <w:vAlign w:val="bottom"/>
          </w:tcPr>
          <w:p>
            <w:pPr>
              <w:pStyle w:val="TableContents"/>
              <w:spacing w:before="0" w:after="0"/>
              <w:ind w:left="0" w:right="0" w:hanging="0"/>
              <w:rPr/>
            </w:pPr>
            <w:r>
              <w:rPr/>
              <w:t> </w:t>
            </w:r>
          </w:p>
        </w:tc>
      </w:tr>
      <w:tr>
        <w:trPr/>
        <w:tc>
          <w:tcPr>
            <w:tcW w:w="44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00"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0"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00"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auto" w:val="clear"/>
            <w:vAlign w:val="bottom"/>
          </w:tcPr>
          <w:p>
            <w:pPr>
              <w:pStyle w:val="TableContents"/>
              <w:spacing w:before="0" w:after="0"/>
              <w:ind w:left="0" w:right="0" w:hanging="0"/>
              <w:rPr/>
            </w:pPr>
            <w:r>
              <w:rPr/>
              <w:t> </w:t>
            </w:r>
          </w:p>
        </w:tc>
        <w:tc>
          <w:tcPr>
            <w:tcW w:w="10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7" w:type="dxa"/>
            <w:tcBorders/>
            <w:shd w:fill="auto" w:val="clear"/>
            <w:vAlign w:val="bottom"/>
          </w:tcPr>
          <w:p>
            <w:pPr>
              <w:pStyle w:val="TableContents"/>
              <w:spacing w:before="0" w:after="0"/>
              <w:ind w:left="0" w:right="0" w:hanging="0"/>
              <w:rPr/>
            </w:pPr>
            <w:r>
              <w:rPr/>
              <w:t> </w:t>
            </w:r>
          </w:p>
        </w:tc>
      </w:tr>
      <w:tr>
        <w:trPr/>
        <w:tc>
          <w:tcPr>
            <w:tcW w:w="44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00" w:type="dxa"/>
            <w:tcBorders/>
            <w:shd w:fill="CCEEFF"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00"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03"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03" w:type="dxa"/>
            <w:tcBorders/>
            <w:shd w:fill="auto" w:val="clear"/>
            <w:vAlign w:val="bottom"/>
          </w:tcPr>
          <w:p>
            <w:pPr>
              <w:pStyle w:val="TableContents"/>
              <w:spacing w:before="0" w:after="0"/>
              <w:ind w:left="0" w:right="0" w:hanging="0"/>
              <w:rPr/>
            </w:pPr>
            <w:r>
              <w:rPr/>
              <w:t> </w:t>
            </w:r>
          </w:p>
        </w:tc>
        <w:tc>
          <w:tcPr>
            <w:tcW w:w="10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203" w:type="dxa"/>
            <w:tcBorders/>
            <w:shd w:fill="auto" w:val="clear"/>
            <w:vAlign w:val="bottom"/>
          </w:tcPr>
          <w:p>
            <w:pPr>
              <w:pStyle w:val="TableContents"/>
              <w:spacing w:before="0" w:after="0"/>
              <w:ind w:left="0" w:right="0" w:hanging="0"/>
              <w:rPr/>
            </w:pPr>
            <w:r>
              <w:rPr/>
              <w:t> </w:t>
            </w:r>
          </w:p>
        </w:tc>
        <w:tc>
          <w:tcPr>
            <w:tcW w:w="10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117" w:type="dxa"/>
            <w:tcBorders/>
            <w:shd w:fill="auto" w:val="clear"/>
            <w:vAlign w:val="bottom"/>
          </w:tcPr>
          <w:p>
            <w:pPr>
              <w:pStyle w:val="TableContents"/>
              <w:spacing w:before="0" w:after="0"/>
              <w:ind w:left="0" w:right="0" w:hanging="0"/>
              <w:rPr/>
            </w:pPr>
            <w:r>
              <w:rPr/>
              <w:t> </w:t>
            </w:r>
          </w:p>
        </w:tc>
      </w:tr>
      <w:tr>
        <w:trPr/>
        <w:tc>
          <w:tcPr>
            <w:tcW w:w="44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00" w:type="dxa"/>
            <w:tcBorders/>
            <w:shd w:fill="CCEEFF"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0"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0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0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0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1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14Related Party Transactions</w:t>
      </w:r>
      <w:bookmarkStart w:id="51" w:name="Note14relatedPartyTransactions_152545"/>
      <w:bookmarkEnd w:id="5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14 to our Consolidated Financial Statements included in Part IV of our 2012 Annual Report on Form 10-K for a complete discussion of our related party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 xml:space="preserve">Occidental Petroleum Corporation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June 30, 2013, a subsidiary of Occidental Petroleum Corporation (Oxy) owned approximately 35% of our general partner interest and had a representative on the board of directors of Plains All American GP LLC. During the three and six months ended June 30, 2013 and 2012, we recognized sales and transportation revenues and purchased petroleum products from companies affiliated with Oxy. These transactions were conducted at posted tariff rates or prices that we believe approximate market. See detail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56"/>
        <w:gridCol w:w="213"/>
        <w:gridCol w:w="160"/>
        <w:gridCol w:w="1118"/>
        <w:gridCol w:w="224"/>
        <w:gridCol w:w="160"/>
        <w:gridCol w:w="1119"/>
        <w:gridCol w:w="213"/>
        <w:gridCol w:w="144"/>
        <w:gridCol w:w="1076"/>
        <w:gridCol w:w="214"/>
        <w:gridCol w:w="144"/>
        <w:gridCol w:w="1139"/>
        <w:gridCol w:w="125"/>
      </w:tblGrid>
      <w:tr>
        <w:trPr/>
        <w:tc>
          <w:tcPr>
            <w:tcW w:w="4156"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78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3" w:type="dxa"/>
            <w:tcBorders/>
            <w:shd w:fill="auto" w:val="clear"/>
            <w:vAlign w:val="bottom"/>
          </w:tcPr>
          <w:p>
            <w:pPr>
              <w:pStyle w:val="TableContents"/>
              <w:spacing w:before="0" w:after="0"/>
              <w:ind w:left="0" w:right="0" w:hanging="0"/>
              <w:jc w:val="center"/>
              <w:rPr/>
            </w:pPr>
            <w:r>
              <w:rPr/>
              <w:t> </w:t>
            </w:r>
          </w:p>
        </w:tc>
        <w:tc>
          <w:tcPr>
            <w:tcW w:w="271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 Ended</w:t>
            </w:r>
          </w:p>
        </w:tc>
        <w:tc>
          <w:tcPr>
            <w:tcW w:w="125" w:type="dxa"/>
            <w:tcBorders/>
            <w:shd w:fill="auto" w:val="clear"/>
            <w:vAlign w:val="bottom"/>
          </w:tcPr>
          <w:p>
            <w:pPr>
              <w:pStyle w:val="TableContents"/>
              <w:spacing w:before="0" w:after="0"/>
              <w:ind w:left="0" w:right="0" w:hanging="0"/>
              <w:jc w:val="center"/>
              <w:rPr/>
            </w:pPr>
            <w:r>
              <w:rPr/>
              <w:t> </w:t>
            </w:r>
          </w:p>
        </w:tc>
      </w:tr>
      <w:tr>
        <w:trPr/>
        <w:tc>
          <w:tcPr>
            <w:tcW w:w="4156"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7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3" w:type="dxa"/>
            <w:tcBorders/>
            <w:shd w:fill="auto" w:val="clear"/>
            <w:vAlign w:val="bottom"/>
          </w:tcPr>
          <w:p>
            <w:pPr>
              <w:pStyle w:val="TableContents"/>
              <w:spacing w:before="0" w:after="0"/>
              <w:ind w:left="0" w:right="0" w:hanging="0"/>
              <w:jc w:val="center"/>
              <w:rPr/>
            </w:pPr>
            <w:r>
              <w:rPr/>
              <w:t> </w:t>
            </w:r>
          </w:p>
        </w:tc>
        <w:tc>
          <w:tcPr>
            <w:tcW w:w="271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125" w:type="dxa"/>
            <w:tcBorders/>
            <w:shd w:fill="auto" w:val="clear"/>
            <w:vAlign w:val="bottom"/>
          </w:tcPr>
          <w:p>
            <w:pPr>
              <w:pStyle w:val="TableContents"/>
              <w:spacing w:before="0" w:after="0"/>
              <w:ind w:left="0" w:right="0" w:hanging="0"/>
              <w:jc w:val="center"/>
              <w:rPr/>
            </w:pPr>
            <w:r>
              <w:rPr/>
              <w:t> </w:t>
            </w:r>
          </w:p>
        </w:tc>
      </w:tr>
      <w:tr>
        <w:trPr/>
        <w:tc>
          <w:tcPr>
            <w:tcW w:w="4156"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4" w:type="dxa"/>
            <w:tcBorders/>
            <w:shd w:fill="auto" w:val="clear"/>
            <w:vAlign w:val="bottom"/>
          </w:tcPr>
          <w:p>
            <w:pPr>
              <w:pStyle w:val="TableContents"/>
              <w:spacing w:before="0" w:after="0"/>
              <w:ind w:left="0" w:right="0" w:hanging="0"/>
              <w:jc w:val="center"/>
              <w:rPr/>
            </w:pPr>
            <w:r>
              <w:rPr/>
              <w:t> </w:t>
            </w:r>
          </w:p>
        </w:tc>
        <w:tc>
          <w:tcPr>
            <w:tcW w:w="12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3" w:type="dxa"/>
            <w:tcBorders/>
            <w:shd w:fill="auto" w:val="clear"/>
            <w:vAlign w:val="bottom"/>
          </w:tcPr>
          <w:p>
            <w:pPr>
              <w:pStyle w:val="TableContents"/>
              <w:spacing w:before="0" w:after="0"/>
              <w:ind w:left="0" w:right="0" w:hanging="0"/>
              <w:jc w:val="center"/>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4" w:type="dxa"/>
            <w:tcBorders/>
            <w:shd w:fill="auto" w:val="clear"/>
            <w:vAlign w:val="bottom"/>
          </w:tcPr>
          <w:p>
            <w:pPr>
              <w:pStyle w:val="TableContents"/>
              <w:spacing w:before="0" w:after="0"/>
              <w:ind w:left="0" w:right="0" w:hanging="0"/>
              <w:jc w:val="center"/>
              <w:rPr/>
            </w:pPr>
            <w:r>
              <w:rPr/>
              <w:t> </w:t>
            </w:r>
          </w:p>
        </w:tc>
        <w:tc>
          <w:tcPr>
            <w:tcW w:w="12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5" w:type="dxa"/>
            <w:tcBorders/>
            <w:shd w:fill="auto" w:val="clear"/>
            <w:vAlign w:val="bottom"/>
          </w:tcPr>
          <w:p>
            <w:pPr>
              <w:pStyle w:val="TableContents"/>
              <w:spacing w:before="0" w:after="0"/>
              <w:ind w:left="0" w:right="0" w:hanging="0"/>
              <w:jc w:val="center"/>
              <w:rPr/>
            </w:pPr>
            <w:r>
              <w:rPr/>
              <w:t> </w:t>
            </w:r>
          </w:p>
        </w:tc>
      </w:tr>
      <w:tr>
        <w:trPr/>
        <w:tc>
          <w:tcPr>
            <w:tcW w:w="41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13"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424</w:t>
            </w:r>
          </w:p>
        </w:tc>
        <w:tc>
          <w:tcPr>
            <w:tcW w:w="224"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213"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694</w:t>
            </w:r>
          </w:p>
        </w:tc>
        <w:tc>
          <w:tcPr>
            <w:tcW w:w="214"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1,051</w:t>
            </w:r>
          </w:p>
        </w:tc>
        <w:tc>
          <w:tcPr>
            <w:tcW w:w="125" w:type="dxa"/>
            <w:tcBorders/>
            <w:shd w:fill="CCEEFF" w:val="clear"/>
            <w:vAlign w:val="bottom"/>
          </w:tcPr>
          <w:p>
            <w:pPr>
              <w:pStyle w:val="TableContents"/>
              <w:spacing w:before="0" w:after="0"/>
              <w:ind w:left="0" w:right="0" w:hanging="0"/>
              <w:rPr/>
            </w:pPr>
            <w:r>
              <w:rPr/>
              <w:t> </w:t>
            </w:r>
          </w:p>
        </w:tc>
      </w:tr>
      <w:tr>
        <w:trPr/>
        <w:tc>
          <w:tcPr>
            <w:tcW w:w="4156"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1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3"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24"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3"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214"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have a netting arrangement with Oxy. Our gross receivable and payable amounts with affiliates of Oxy were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884"/>
        <w:gridCol w:w="218"/>
        <w:gridCol w:w="169"/>
        <w:gridCol w:w="1124"/>
        <w:gridCol w:w="218"/>
        <w:gridCol w:w="215"/>
        <w:gridCol w:w="1245"/>
        <w:gridCol w:w="132"/>
      </w:tblGrid>
      <w:tr>
        <w:trPr/>
        <w:tc>
          <w:tcPr>
            <w:tcW w:w="688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9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18" w:type="dxa"/>
            <w:tcBorders/>
            <w:shd w:fill="auto" w:val="clear"/>
            <w:vAlign w:val="bottom"/>
          </w:tcPr>
          <w:p>
            <w:pPr>
              <w:pStyle w:val="TableContents"/>
              <w:spacing w:before="0" w:after="0"/>
              <w:ind w:left="0" w:right="0" w:hanging="0"/>
              <w:jc w:val="center"/>
              <w:rPr/>
            </w:pPr>
            <w:r>
              <w:rPr/>
              <w:t> </w:t>
            </w:r>
          </w:p>
        </w:tc>
        <w:tc>
          <w:tcPr>
            <w:tcW w:w="146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2" w:type="dxa"/>
            <w:tcBorders/>
            <w:shd w:fill="auto" w:val="clear"/>
            <w:vAlign w:val="bottom"/>
          </w:tcPr>
          <w:p>
            <w:pPr>
              <w:pStyle w:val="TableContents"/>
              <w:spacing w:before="0" w:after="0"/>
              <w:ind w:left="0" w:right="0" w:hanging="0"/>
              <w:jc w:val="center"/>
              <w:rPr/>
            </w:pPr>
            <w:r>
              <w:rPr/>
              <w:t> </w:t>
            </w:r>
          </w:p>
        </w:tc>
      </w:tr>
      <w:tr>
        <w:trPr/>
        <w:tc>
          <w:tcPr>
            <w:tcW w:w="688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8" w:type="dxa"/>
            <w:tcBorders/>
            <w:shd w:fill="auto" w:val="clear"/>
            <w:vAlign w:val="bottom"/>
          </w:tcPr>
          <w:p>
            <w:pPr>
              <w:pStyle w:val="TableContents"/>
              <w:spacing w:before="0" w:after="0"/>
              <w:ind w:left="0" w:right="0" w:hanging="0"/>
              <w:jc w:val="center"/>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2" w:type="dxa"/>
            <w:tcBorders/>
            <w:shd w:fill="auto" w:val="clear"/>
            <w:vAlign w:val="bottom"/>
          </w:tcPr>
          <w:p>
            <w:pPr>
              <w:pStyle w:val="TableContents"/>
              <w:spacing w:before="0" w:after="0"/>
              <w:ind w:left="0" w:right="0" w:hanging="0"/>
              <w:jc w:val="center"/>
              <w:rPr/>
            </w:pPr>
            <w:r>
              <w:rPr/>
              <w:t> </w:t>
            </w:r>
          </w:p>
        </w:tc>
      </w:tr>
      <w:tr>
        <w:trPr/>
        <w:tc>
          <w:tcPr>
            <w:tcW w:w="6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w:t>
            </w:r>
          </w:p>
        </w:tc>
        <w:tc>
          <w:tcPr>
            <w:tcW w:w="218"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218"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32" w:type="dxa"/>
            <w:tcBorders/>
            <w:shd w:fill="CCEEFF" w:val="clear"/>
            <w:vAlign w:val="bottom"/>
          </w:tcPr>
          <w:p>
            <w:pPr>
              <w:pStyle w:val="TableContents"/>
              <w:spacing w:before="0" w:after="0"/>
              <w:ind w:left="0" w:right="0" w:hanging="0"/>
              <w:rPr/>
            </w:pPr>
            <w:r>
              <w:rPr/>
              <w:t> </w:t>
            </w:r>
          </w:p>
        </w:tc>
      </w:tr>
      <w:tr>
        <w:trPr/>
        <w:tc>
          <w:tcPr>
            <w:tcW w:w="688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129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6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218"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8"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3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52" w:name="PB_28_152644_7608"/>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   </w:t>
      </w:r>
      <w:r>
        <w:rPr>
          <w:rFonts w:ascii="Times New Roman" w:hAnsi="Times New Roman"/>
          <w:b/>
          <w:i/>
          <w:sz w:val="17"/>
        </w:rPr>
        <w:t>Managements Discussion and Analysis of Financial Condition and Results of Operations</w:t>
      </w:r>
      <w:bookmarkStart w:id="53" w:name="Item2_managementsDiscussionAndAna_160045"/>
      <w:bookmarkEnd w:id="53"/>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2012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the processing, transportation, fractionation, storage and marketing of NGL.  Through our general partner interest and majority equity ownership position in PAA Natural Gas Storage, L.P., we also own and operate natural gas storage facilities.  We were formed in 1998, and our operations are conducted directly and indirectly through our operating subsidiaries and are managed through three operating segments: (i) Transportation, (ii) Facilities and (iii)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Overview of Operating Results, Capital Investments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six months of 2013, net income attributable to Plains was approximately $821 million, or $1.84 per diluted limited partner unit, as compared to net income attributable to Plains of approximately $609 million, or $1.44 per diluted limited partner unit, recognized during the first six months of 2012. Major items impacting the favorable performance between periods include contributions from the BP NGL and USD Rail Terminal Acquisitions, which were completed in April 2012 and December 2012, respectively, and stronger unit margins in our 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stronger unit margins in the Supply and Logistics segment were primarily due to contributions from our NGL marketing operations, which benefited from improved market conditions, as well as additional sales volumes related to the BP NGL Acquisition noted above. To a lesser extent, the stronger unit margins, which included the benefit from favorable location and quality differentials, are associated with the increased production from the development of North American crude oil and liquids-rich resource plays.  However, infrastructure additions in many of these resource plays during the second quarter of 2013 began to relieve certain of the logistical challenges that had previously created opportunities for these favorable margins. As the midstream infrastructure in these producing regions continues to be developed, we believe a normalization of these margins will continue to occur as the logistical challenges are addressed.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54" w:name="PB_29_152758_8146"/>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capital expenditures for acquisitions, internal growth projects and maintenance capital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2"/>
        <w:gridCol w:w="211"/>
        <w:gridCol w:w="111"/>
        <w:gridCol w:w="1058"/>
        <w:gridCol w:w="211"/>
        <w:gridCol w:w="111"/>
        <w:gridCol w:w="1068"/>
        <w:gridCol w:w="113"/>
      </w:tblGrid>
      <w:tr>
        <w:trPr/>
        <w:tc>
          <w:tcPr>
            <w:tcW w:w="732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13" w:type="dxa"/>
            <w:tcBorders/>
            <w:shd w:fill="auto" w:val="clear"/>
            <w:vAlign w:val="bottom"/>
          </w:tcPr>
          <w:p>
            <w:pPr>
              <w:pStyle w:val="TableContents"/>
              <w:spacing w:before="0" w:after="0"/>
              <w:ind w:left="0" w:right="0" w:hanging="0"/>
              <w:jc w:val="center"/>
              <w:rPr/>
            </w:pPr>
            <w:r>
              <w:rPr/>
              <w:t> </w:t>
            </w:r>
          </w:p>
        </w:tc>
      </w:tr>
      <w:tr>
        <w:trPr/>
        <w:tc>
          <w:tcPr>
            <w:tcW w:w="732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5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3" w:type="dxa"/>
            <w:tcBorders/>
            <w:shd w:fill="auto" w:val="clear"/>
            <w:vAlign w:val="bottom"/>
          </w:tcPr>
          <w:p>
            <w:pPr>
              <w:pStyle w:val="TableContents"/>
              <w:spacing w:before="0" w:after="0"/>
              <w:ind w:left="0" w:right="0" w:hanging="0"/>
              <w:jc w:val="center"/>
              <w:rPr/>
            </w:pPr>
            <w:r>
              <w:rPr/>
              <w:t> </w:t>
            </w:r>
          </w:p>
        </w:tc>
      </w:tr>
      <w:tr>
        <w:trPr/>
        <w:tc>
          <w:tcPr>
            <w:tcW w:w="732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1" w:type="dxa"/>
            <w:tcBorders/>
            <w:shd w:fill="auto" w:val="clear"/>
            <w:vAlign w:val="bottom"/>
          </w:tcPr>
          <w:p>
            <w:pPr>
              <w:pStyle w:val="TableContents"/>
              <w:spacing w:before="0" w:after="0"/>
              <w:ind w:left="0" w:right="0" w:hanging="0"/>
              <w:jc w:val="center"/>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3" w:type="dxa"/>
            <w:tcBorders/>
            <w:shd w:fill="auto" w:val="clear"/>
            <w:vAlign w:val="bottom"/>
          </w:tcPr>
          <w:p>
            <w:pPr>
              <w:pStyle w:val="TableContents"/>
              <w:spacing w:before="0" w:after="0"/>
              <w:ind w:left="0" w:right="0" w:hanging="0"/>
              <w:jc w:val="center"/>
              <w:rPr/>
            </w:pPr>
            <w:r>
              <w:rPr/>
              <w:t> </w:t>
            </w:r>
          </w:p>
        </w:tc>
      </w:tr>
      <w:tr>
        <w:trPr/>
        <w:tc>
          <w:tcPr>
            <w:tcW w:w="73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Acquisition capital </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1,656</w:t>
            </w:r>
          </w:p>
        </w:tc>
        <w:tc>
          <w:tcPr>
            <w:tcW w:w="113" w:type="dxa"/>
            <w:tcBorders/>
            <w:shd w:fill="CCEEFF" w:val="clear"/>
            <w:vAlign w:val="bottom"/>
          </w:tcPr>
          <w:p>
            <w:pPr>
              <w:pStyle w:val="TableContents"/>
              <w:spacing w:before="0" w:after="0"/>
              <w:ind w:left="0" w:right="0" w:hanging="0"/>
              <w:rPr/>
            </w:pPr>
            <w:r>
              <w:rPr/>
              <w:t> </w:t>
            </w:r>
          </w:p>
        </w:tc>
      </w:tr>
      <w:tr>
        <w:trPr/>
        <w:tc>
          <w:tcPr>
            <w:tcW w:w="73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11"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w:t>
            </w:r>
          </w:p>
        </w:tc>
        <w:tc>
          <w:tcPr>
            <w:tcW w:w="211"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511</w:t>
            </w:r>
          </w:p>
        </w:tc>
        <w:tc>
          <w:tcPr>
            <w:tcW w:w="113" w:type="dxa"/>
            <w:tcBorders/>
            <w:shd w:fill="auto" w:val="clear"/>
            <w:vAlign w:val="bottom"/>
          </w:tcPr>
          <w:p>
            <w:pPr>
              <w:pStyle w:val="TableContents"/>
              <w:spacing w:before="0" w:after="0"/>
              <w:ind w:left="0" w:right="0" w:hanging="0"/>
              <w:rPr/>
            </w:pPr>
            <w:r>
              <w:rPr/>
              <w:t> </w:t>
            </w:r>
          </w:p>
        </w:tc>
      </w:tr>
      <w:tr>
        <w:trPr/>
        <w:tc>
          <w:tcPr>
            <w:tcW w:w="732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1"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1" w:type="dxa"/>
            <w:tcBorders/>
            <w:shd w:fill="CCEEFF"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13" w:type="dxa"/>
            <w:tcBorders/>
            <w:shd w:fill="CCEEFF" w:val="clear"/>
            <w:vAlign w:val="bottom"/>
          </w:tcPr>
          <w:p>
            <w:pPr>
              <w:pStyle w:val="TableContents"/>
              <w:spacing w:before="0" w:after="0"/>
              <w:ind w:left="0" w:right="0" w:hanging="0"/>
              <w:rPr/>
            </w:pPr>
            <w:r>
              <w:rPr/>
              <w:t> </w:t>
            </w:r>
          </w:p>
        </w:tc>
      </w:tr>
      <w:tr>
        <w:trPr/>
        <w:tc>
          <w:tcPr>
            <w:tcW w:w="73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913</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2,243</w:t>
            </w:r>
          </w:p>
        </w:tc>
        <w:tc>
          <w:tcPr>
            <w:tcW w:w="11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following table summarizes our more notable projects in progress during 2013 and the forecasted expenditures for the year ending December 31, 2013 (in millions):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352"/>
        <w:gridCol w:w="205"/>
        <w:gridCol w:w="1546"/>
        <w:gridCol w:w="102"/>
      </w:tblGrid>
      <w:tr>
        <w:trPr/>
        <w:tc>
          <w:tcPr>
            <w:tcW w:w="835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54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r>
      <w:tr>
        <w:trPr/>
        <w:tc>
          <w:tcPr>
            <w:tcW w:w="83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Mississippian Lime Pipeline</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$170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Rainbow II Pipeline</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Yorktown Terminal Projects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Gulf Coast Pipeline</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Eagle Ford Area Pipeline Projects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White Cliffs Expansion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tcPr>
          <w:p>
            <w:pPr>
              <w:pStyle w:val="TableContents"/>
              <w:spacing w:before="0" w:after="0"/>
              <w:ind w:left="0" w:right="0" w:hanging="0"/>
              <w:rPr/>
            </w:pPr>
            <w:r>
              <w:rPr>
                <w:rFonts w:ascii="Times New Roman" w:hAnsi="Times New Roman"/>
                <w:sz w:val="17"/>
              </w:rPr>
              <w:t>Rail Terminal Projects</w:t>
            </w:r>
            <w:r>
              <w:rPr/>
              <w:t xml:space="preserve"> </w:t>
            </w:r>
            <w:r>
              <w:rPr>
                <w:sz w:val="11"/>
              </w:rPr>
              <w:t>(1)</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Cactus Pipeline</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Fort Saskatchewan Facility Expansions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Eagle Ford JV Project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 James Terminal Projects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Western Oklahoma Extension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(Multiple Projects)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44</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Spraberry Area Pipeline Projects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Gulf Coast Gas Processing Facility Enhancements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Cushing Terminal Projects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Shafter Expansion</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pPr>
            <w:r>
              <w:rPr>
                <w:rFonts w:ascii="Times New Roman" w:hAnsi="Times New Roman"/>
                <w:sz w:val="17"/>
              </w:rPr>
              <w:t>Other Projects</w:t>
            </w:r>
            <w:r>
              <w:rPr/>
              <w:t xml:space="preserve"> </w:t>
            </w:r>
            <w:r>
              <w:rPr>
                <w:sz w:val="11"/>
              </w:rPr>
              <w:t>(2)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346</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$1,600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2" w:type="dxa"/>
            <w:tcBorders/>
            <w:shd w:fill="auto" w:val="clear"/>
            <w:tcMar>
              <w:bottom w:w="0" w:type="dxa"/>
            </w:tcMar>
          </w:tcPr>
          <w:p>
            <w:pPr>
              <w:pStyle w:val="TableContents"/>
              <w:spacing w:before="0" w:after="0"/>
              <w:ind w:left="0" w:right="0" w:hanging="0"/>
              <w:rPr/>
            </w:pPr>
            <w:r>
              <w:rPr>
                <w:rFonts w:ascii="Times New Roman" w:hAnsi="Times New Roman"/>
                <w:sz w:val="17"/>
              </w:rPr>
              <w:t>Potential Adjustments for Timing/Scope Refinement</w:t>
            </w:r>
            <w:r>
              <w:rPr/>
              <w:t xml:space="preserve"> </w:t>
            </w:r>
            <w:r>
              <w:rPr>
                <w:sz w:val="11"/>
              </w:rPr>
              <w:t>(3)</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  +  $100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bottom w:val="double" w:sz="6"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$1,550  -  $1,700</w:t>
            </w:r>
          </w:p>
        </w:tc>
        <w:tc>
          <w:tcPr>
            <w:tcW w:w="102"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projects located at or near Tampa, CO, Bakersfield, CA and Van Hook, 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capital from prior year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55" w:name="PB_30_155604_7091"/>
      <w:bookmarkEnd w:id="5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included in Part IV of our 2012 Annual Report on Form 10-K for further discussion of how we evaluate segment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an overview of our consolidated financial results calculated in accordance with GAAP (in millions, except for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42"/>
        <w:gridCol w:w="222"/>
        <w:gridCol w:w="110"/>
        <w:gridCol w:w="555"/>
        <w:gridCol w:w="222"/>
        <w:gridCol w:w="110"/>
        <w:gridCol w:w="555"/>
        <w:gridCol w:w="222"/>
        <w:gridCol w:w="110"/>
        <w:gridCol w:w="555"/>
        <w:gridCol w:w="222"/>
        <w:gridCol w:w="666"/>
        <w:gridCol w:w="332"/>
        <w:gridCol w:w="222"/>
        <w:gridCol w:w="111"/>
        <w:gridCol w:w="554"/>
        <w:gridCol w:w="222"/>
        <w:gridCol w:w="111"/>
        <w:gridCol w:w="554"/>
        <w:gridCol w:w="222"/>
        <w:gridCol w:w="110"/>
        <w:gridCol w:w="555"/>
        <w:gridCol w:w="222"/>
        <w:gridCol w:w="666"/>
        <w:gridCol w:w="333"/>
      </w:tblGrid>
      <w:tr>
        <w:trPr/>
        <w:tc>
          <w:tcPr>
            <w:tcW w:w="2442"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554" w:type="dxa"/>
            <w:gridSpan w:val="2"/>
            <w:tcBorders/>
            <w:shd w:fill="auto" w:val="clear"/>
            <w:vAlign w:val="bottom"/>
          </w:tcPr>
          <w:p>
            <w:pPr>
              <w:pStyle w:val="TableContents"/>
              <w:spacing w:before="0" w:after="0"/>
              <w:ind w:left="0" w:right="0" w:hanging="0"/>
              <w:jc w:val="center"/>
              <w:rPr/>
            </w:pPr>
            <w:r>
              <w:rPr/>
              <w:t> </w:t>
            </w:r>
          </w:p>
        </w:tc>
        <w:tc>
          <w:tcPr>
            <w:tcW w:w="15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333" w:type="dxa"/>
            <w:tcBorders/>
            <w:shd w:fill="auto" w:val="clear"/>
            <w:vAlign w:val="bottom"/>
          </w:tcPr>
          <w:p>
            <w:pPr>
              <w:pStyle w:val="TableContents"/>
              <w:spacing w:before="0" w:after="0"/>
              <w:ind w:left="0" w:right="0" w:hanging="0"/>
              <w:jc w:val="center"/>
              <w:rPr/>
            </w:pPr>
            <w:r>
              <w:rPr/>
              <w:t> </w:t>
            </w:r>
          </w:p>
        </w:tc>
      </w:tr>
      <w:tr>
        <w:trPr/>
        <w:tc>
          <w:tcPr>
            <w:tcW w:w="2442"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554" w:type="dxa"/>
            <w:gridSpan w:val="2"/>
            <w:tcBorders/>
            <w:shd w:fill="auto" w:val="clear"/>
            <w:vAlign w:val="bottom"/>
          </w:tcPr>
          <w:p>
            <w:pPr>
              <w:pStyle w:val="TableContents"/>
              <w:spacing w:before="0" w:after="0"/>
              <w:ind w:left="0" w:right="0" w:hanging="0"/>
              <w:jc w:val="center"/>
              <w:rPr/>
            </w:pPr>
            <w:r>
              <w:rPr/>
              <w:t> </w:t>
            </w:r>
          </w:p>
        </w:tc>
        <w:tc>
          <w:tcPr>
            <w:tcW w:w="15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2" w:type="dxa"/>
            <w:tcBorders/>
            <w:shd w:fill="auto" w:val="clear"/>
            <w:vAlign w:val="bottom"/>
          </w:tcPr>
          <w:p>
            <w:pPr>
              <w:pStyle w:val="TableContents"/>
              <w:spacing w:before="0" w:after="0"/>
              <w:ind w:left="0" w:right="0" w:hanging="0"/>
              <w:jc w:val="center"/>
              <w:rPr/>
            </w:pPr>
            <w:r>
              <w:rPr/>
              <w:t> </w:t>
            </w:r>
          </w:p>
        </w:tc>
        <w:tc>
          <w:tcPr>
            <w:tcW w:w="155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33" w:type="dxa"/>
            <w:tcBorders/>
            <w:shd w:fill="auto" w:val="clear"/>
            <w:vAlign w:val="bottom"/>
          </w:tcPr>
          <w:p>
            <w:pPr>
              <w:pStyle w:val="TableContents"/>
              <w:spacing w:before="0" w:after="0"/>
              <w:ind w:left="0" w:right="0" w:hanging="0"/>
              <w:jc w:val="center"/>
              <w:rPr/>
            </w:pPr>
            <w:r>
              <w:rPr/>
              <w:t> </w:t>
            </w:r>
          </w:p>
        </w:tc>
      </w:tr>
      <w:tr>
        <w:trPr/>
        <w:tc>
          <w:tcPr>
            <w:tcW w:w="2442"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2" w:type="dxa"/>
            <w:tcBorders/>
            <w:shd w:fill="auto" w:val="clear"/>
            <w:vAlign w:val="bottom"/>
          </w:tcPr>
          <w:p>
            <w:pPr>
              <w:pStyle w:val="TableContents"/>
              <w:spacing w:before="0" w:after="0"/>
              <w:ind w:left="0" w:right="0" w:hanging="0"/>
              <w:jc w:val="center"/>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554" w:type="dxa"/>
            <w:gridSpan w:val="2"/>
            <w:tcBorders/>
            <w:shd w:fill="auto" w:val="clear"/>
            <w:vAlign w:val="bottom"/>
          </w:tcPr>
          <w:p>
            <w:pPr>
              <w:pStyle w:val="TableContents"/>
              <w:spacing w:before="0" w:after="0"/>
              <w:ind w:left="0" w:right="0" w:hanging="0"/>
              <w:jc w:val="center"/>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2" w:type="dxa"/>
            <w:tcBorders/>
            <w:shd w:fill="auto" w:val="clear"/>
            <w:vAlign w:val="bottom"/>
          </w:tcPr>
          <w:p>
            <w:pPr>
              <w:pStyle w:val="TableContents"/>
              <w:spacing w:before="0" w:after="0"/>
              <w:ind w:left="0" w:right="0" w:hanging="0"/>
              <w:jc w:val="center"/>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33" w:type="dxa"/>
            <w:tcBorders/>
            <w:shd w:fill="auto" w:val="clear"/>
            <w:vAlign w:val="bottom"/>
          </w:tcPr>
          <w:p>
            <w:pPr>
              <w:pStyle w:val="TableContents"/>
              <w:spacing w:before="0" w:after="0"/>
              <w:ind w:left="0" w:right="0" w:hanging="0"/>
              <w:jc w:val="center"/>
              <w:rPr/>
            </w:pPr>
            <w:r>
              <w:rPr/>
              <w:t> </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segment profit </w:t>
            </w:r>
          </w:p>
        </w:tc>
        <w:tc>
          <w:tcPr>
            <w:tcW w:w="22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2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22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3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2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2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profit </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33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3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segment profit </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33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22" w:type="dxa"/>
            <w:tcBorders/>
            <w:shd w:fill="CCEEFF" w:val="clear"/>
            <w:vAlign w:val="bottom"/>
          </w:tcPr>
          <w:p>
            <w:pPr>
              <w:pStyle w:val="TableContents"/>
              <w:spacing w:before="0" w:after="0"/>
              <w:ind w:left="0" w:right="0" w:hanging="0"/>
              <w:rPr/>
            </w:pPr>
            <w:r>
              <w:rPr/>
              <w:t> </w:t>
            </w:r>
          </w:p>
        </w:tc>
        <w:tc>
          <w:tcPr>
            <w:tcW w:w="66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3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segment profit </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33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1,233</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3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3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3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3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3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3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33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3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33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3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3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2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2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33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w:t>
            </w:r>
          </w:p>
        </w:tc>
        <w:tc>
          <w:tcPr>
            <w:tcW w:w="222"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2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222" w:type="dxa"/>
            <w:tcBorders/>
            <w:shd w:fill="CCEEFF" w:val="clear"/>
            <w:vAlign w:val="bottom"/>
          </w:tcPr>
          <w:p>
            <w:pPr>
              <w:pStyle w:val="TableContents"/>
              <w:spacing w:before="0" w:after="0"/>
              <w:ind w:left="0" w:right="0" w:hanging="0"/>
              <w:rPr/>
            </w:pPr>
            <w:r>
              <w:rPr/>
              <w:t> </w:t>
            </w:r>
          </w:p>
        </w:tc>
        <w:tc>
          <w:tcPr>
            <w:tcW w:w="6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3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pPr>
            <w:r>
              <w:rPr/>
              <w:t> </w:t>
            </w:r>
          </w:p>
        </w:tc>
        <w:tc>
          <w:tcPr>
            <w:tcW w:w="33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pPr>
            <w:r>
              <w:rPr/>
              <w:t> </w:t>
            </w:r>
          </w:p>
        </w:tc>
        <w:tc>
          <w:tcPr>
            <w:tcW w:w="333" w:type="dxa"/>
            <w:tcBorders/>
            <w:shd w:fill="auto" w:val="clear"/>
            <w:vAlign w:val="bottom"/>
          </w:tcPr>
          <w:p>
            <w:pPr>
              <w:pStyle w:val="TableContents"/>
              <w:spacing w:before="0" w:after="0"/>
              <w:ind w:left="0" w:right="0" w:hanging="0"/>
              <w:rPr/>
            </w:pPr>
            <w:r>
              <w:rPr/>
              <w:t> </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pPr>
            <w:r>
              <w:rPr/>
              <w:t> </w:t>
            </w:r>
          </w:p>
        </w:tc>
        <w:tc>
          <w:tcPr>
            <w:tcW w:w="33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pPr>
            <w:r>
              <w:rPr/>
              <w:t> </w:t>
            </w:r>
          </w:p>
        </w:tc>
        <w:tc>
          <w:tcPr>
            <w:tcW w:w="333" w:type="dxa"/>
            <w:tcBorders/>
            <w:shd w:fill="CCEEFF" w:val="clear"/>
            <w:vAlign w:val="bottom"/>
          </w:tcPr>
          <w:p>
            <w:pPr>
              <w:pStyle w:val="TableContents"/>
              <w:spacing w:before="0" w:after="0"/>
              <w:ind w:left="0" w:right="0" w:hanging="0"/>
              <w:rPr/>
            </w:pPr>
            <w:r>
              <w:rPr/>
              <w:t> </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2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2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2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33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2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2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3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2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22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w:t>
            </w:r>
          </w:p>
        </w:tc>
        <w:tc>
          <w:tcPr>
            <w:tcW w:w="22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33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2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2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3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3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22"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2" w:type="dxa"/>
            <w:tcBorders/>
            <w:shd w:fill="auto" w:val="clear"/>
            <w:vAlign w:val="bottom"/>
          </w:tcPr>
          <w:p>
            <w:pPr>
              <w:pStyle w:val="TableContents"/>
              <w:spacing w:before="0" w:after="0"/>
              <w:ind w:left="0" w:right="0" w:hanging="0"/>
              <w:rPr/>
            </w:pPr>
            <w:r>
              <w:rPr/>
              <w:t> </w:t>
            </w:r>
          </w:p>
        </w:tc>
        <w:tc>
          <w:tcPr>
            <w:tcW w:w="6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3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2"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2" w:type="dxa"/>
            <w:tcBorders/>
            <w:shd w:fill="CCEEFF" w:val="clear"/>
            <w:vAlign w:val="bottom"/>
          </w:tcPr>
          <w:p>
            <w:pPr>
              <w:pStyle w:val="TableContents"/>
              <w:spacing w:before="0" w:after="0"/>
              <w:ind w:left="0" w:right="0" w:hanging="0"/>
              <w:rPr/>
            </w:pPr>
            <w:r>
              <w:rPr/>
              <w:t> </w:t>
            </w:r>
          </w:p>
        </w:tc>
        <w:tc>
          <w:tcPr>
            <w:tcW w:w="6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earnings before interest, taxes, depreciation and amortization (adjusted EBITDA) and implied distributable cash flow (DCF).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56" w:name="PB_31_155813_455"/>
      <w:bookmarkEnd w:id="5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non-GAAP financial measures that are reconciled to the most directly comparable GAAP measures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67"/>
        <w:gridCol w:w="222"/>
        <w:gridCol w:w="112"/>
        <w:gridCol w:w="560"/>
        <w:gridCol w:w="223"/>
        <w:gridCol w:w="112"/>
        <w:gridCol w:w="560"/>
        <w:gridCol w:w="223"/>
        <w:gridCol w:w="112"/>
        <w:gridCol w:w="560"/>
        <w:gridCol w:w="223"/>
        <w:gridCol w:w="672"/>
        <w:gridCol w:w="335"/>
        <w:gridCol w:w="112"/>
        <w:gridCol w:w="112"/>
        <w:gridCol w:w="563"/>
        <w:gridCol w:w="223"/>
        <w:gridCol w:w="112"/>
        <w:gridCol w:w="560"/>
        <w:gridCol w:w="223"/>
        <w:gridCol w:w="112"/>
        <w:gridCol w:w="560"/>
        <w:gridCol w:w="223"/>
        <w:gridCol w:w="672"/>
        <w:gridCol w:w="352"/>
      </w:tblGrid>
      <w:tr>
        <w:trPr/>
        <w:tc>
          <w:tcPr>
            <w:tcW w:w="2467"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6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3" w:type="dxa"/>
            <w:tcBorders/>
            <w:shd w:fill="auto" w:val="clear"/>
            <w:vAlign w:val="bottom"/>
          </w:tcPr>
          <w:p>
            <w:pPr>
              <w:pStyle w:val="TableContents"/>
              <w:spacing w:before="0" w:after="0"/>
              <w:ind w:left="0" w:right="0" w:hanging="0"/>
              <w:jc w:val="center"/>
              <w:rPr/>
            </w:pPr>
            <w:r>
              <w:rPr/>
              <w:t> </w:t>
            </w:r>
          </w:p>
        </w:tc>
        <w:tc>
          <w:tcPr>
            <w:tcW w:w="15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447" w:type="dxa"/>
            <w:gridSpan w:val="2"/>
            <w:tcBorders/>
            <w:shd w:fill="auto" w:val="clear"/>
            <w:vAlign w:val="bottom"/>
          </w:tcPr>
          <w:p>
            <w:pPr>
              <w:pStyle w:val="TableContents"/>
              <w:spacing w:before="0" w:after="0"/>
              <w:ind w:left="0" w:right="0" w:hanging="0"/>
              <w:jc w:val="center"/>
              <w:rPr/>
            </w:pPr>
            <w:r>
              <w:rPr/>
              <w:t> </w:t>
            </w:r>
          </w:p>
        </w:tc>
        <w:tc>
          <w:tcPr>
            <w:tcW w:w="15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23" w:type="dxa"/>
            <w:tcBorders/>
            <w:shd w:fill="auto" w:val="clear"/>
            <w:vAlign w:val="bottom"/>
          </w:tcPr>
          <w:p>
            <w:pPr>
              <w:pStyle w:val="TableContents"/>
              <w:spacing w:before="0" w:after="0"/>
              <w:ind w:left="0" w:right="0" w:hanging="0"/>
              <w:jc w:val="center"/>
              <w:rPr/>
            </w:pPr>
            <w:r>
              <w:rPr/>
              <w:t> </w:t>
            </w:r>
          </w:p>
        </w:tc>
        <w:tc>
          <w:tcPr>
            <w:tcW w:w="15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352" w:type="dxa"/>
            <w:tcBorders/>
            <w:shd w:fill="auto" w:val="clear"/>
            <w:vAlign w:val="bottom"/>
          </w:tcPr>
          <w:p>
            <w:pPr>
              <w:pStyle w:val="TableContents"/>
              <w:spacing w:before="0" w:after="0"/>
              <w:ind w:left="0" w:right="0" w:hanging="0"/>
              <w:jc w:val="center"/>
              <w:rPr/>
            </w:pPr>
            <w:r>
              <w:rPr/>
              <w:t> </w:t>
            </w:r>
          </w:p>
        </w:tc>
      </w:tr>
      <w:tr>
        <w:trPr/>
        <w:tc>
          <w:tcPr>
            <w:tcW w:w="2467"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6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3" w:type="dxa"/>
            <w:tcBorders/>
            <w:shd w:fill="auto" w:val="clear"/>
            <w:vAlign w:val="bottom"/>
          </w:tcPr>
          <w:p>
            <w:pPr>
              <w:pStyle w:val="TableContents"/>
              <w:spacing w:before="0" w:after="0"/>
              <w:ind w:left="0" w:right="0" w:hanging="0"/>
              <w:jc w:val="center"/>
              <w:rPr/>
            </w:pPr>
            <w:r>
              <w:rPr/>
              <w:t> </w:t>
            </w:r>
          </w:p>
        </w:tc>
        <w:tc>
          <w:tcPr>
            <w:tcW w:w="156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447" w:type="dxa"/>
            <w:gridSpan w:val="2"/>
            <w:tcBorders/>
            <w:shd w:fill="auto" w:val="clear"/>
            <w:vAlign w:val="bottom"/>
          </w:tcPr>
          <w:p>
            <w:pPr>
              <w:pStyle w:val="TableContents"/>
              <w:spacing w:before="0" w:after="0"/>
              <w:ind w:left="0" w:right="0" w:hanging="0"/>
              <w:jc w:val="center"/>
              <w:rPr/>
            </w:pPr>
            <w:r>
              <w:rPr/>
              <w:t> </w:t>
            </w:r>
          </w:p>
        </w:tc>
        <w:tc>
          <w:tcPr>
            <w:tcW w:w="15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23" w:type="dxa"/>
            <w:tcBorders/>
            <w:shd w:fill="auto" w:val="clear"/>
            <w:vAlign w:val="bottom"/>
          </w:tcPr>
          <w:p>
            <w:pPr>
              <w:pStyle w:val="TableContents"/>
              <w:spacing w:before="0" w:after="0"/>
              <w:ind w:left="0" w:right="0" w:hanging="0"/>
              <w:jc w:val="center"/>
              <w:rPr/>
            </w:pPr>
            <w:r>
              <w:rPr/>
              <w:t> </w:t>
            </w:r>
          </w:p>
        </w:tc>
        <w:tc>
          <w:tcPr>
            <w:tcW w:w="156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52" w:type="dxa"/>
            <w:tcBorders/>
            <w:shd w:fill="auto" w:val="clear"/>
            <w:vAlign w:val="bottom"/>
          </w:tcPr>
          <w:p>
            <w:pPr>
              <w:pStyle w:val="TableContents"/>
              <w:spacing w:before="0" w:after="0"/>
              <w:ind w:left="0" w:right="0" w:hanging="0"/>
              <w:jc w:val="center"/>
              <w:rPr/>
            </w:pPr>
            <w:r>
              <w:rPr/>
              <w:t> </w:t>
            </w:r>
          </w:p>
        </w:tc>
      </w:tr>
      <w:tr>
        <w:trPr/>
        <w:tc>
          <w:tcPr>
            <w:tcW w:w="2467"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3" w:type="dxa"/>
            <w:tcBorders/>
            <w:shd w:fill="auto" w:val="clear"/>
            <w:vAlign w:val="bottom"/>
          </w:tcPr>
          <w:p>
            <w:pPr>
              <w:pStyle w:val="TableContents"/>
              <w:spacing w:before="0" w:after="0"/>
              <w:ind w:left="0" w:right="0" w:hanging="0"/>
              <w:jc w:val="center"/>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447" w:type="dxa"/>
            <w:gridSpan w:val="2"/>
            <w:tcBorders/>
            <w:shd w:fill="auto" w:val="clear"/>
            <w:vAlign w:val="bottom"/>
          </w:tcPr>
          <w:p>
            <w:pPr>
              <w:pStyle w:val="TableContents"/>
              <w:spacing w:before="0" w:after="0"/>
              <w:ind w:left="0" w:right="0" w:hanging="0"/>
              <w:jc w:val="center"/>
              <w:rPr/>
            </w:pPr>
            <w:r>
              <w:rPr/>
              <w:t> </w:t>
            </w:r>
          </w:p>
        </w:tc>
        <w:tc>
          <w:tcPr>
            <w:tcW w:w="6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3" w:type="dxa"/>
            <w:tcBorders/>
            <w:shd w:fill="auto" w:val="clear"/>
            <w:vAlign w:val="bottom"/>
          </w:tcPr>
          <w:p>
            <w:pPr>
              <w:pStyle w:val="TableContents"/>
              <w:spacing w:before="0" w:after="0"/>
              <w:ind w:left="0" w:right="0" w:hanging="0"/>
              <w:jc w:val="center"/>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52" w:type="dxa"/>
            <w:tcBorders/>
            <w:shd w:fill="auto" w:val="clear"/>
            <w:vAlign w:val="bottom"/>
          </w:tcPr>
          <w:p>
            <w:pPr>
              <w:pStyle w:val="TableContents"/>
              <w:spacing w:before="0" w:after="0"/>
              <w:ind w:left="0" w:right="0" w:hanging="0"/>
              <w:jc w:val="center"/>
              <w:rPr/>
            </w:pPr>
            <w:r>
              <w:rPr/>
              <w:t> </w:t>
            </w:r>
          </w:p>
        </w:tc>
      </w:tr>
      <w:tr>
        <w:trPr/>
        <w:tc>
          <w:tcPr>
            <w:tcW w:w="24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2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2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22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624</w:t>
            </w:r>
          </w:p>
        </w:tc>
        <w:tc>
          <w:tcPr>
            <w:tcW w:w="22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Add: </w:t>
            </w:r>
          </w:p>
        </w:tc>
        <w:tc>
          <w:tcPr>
            <w:tcW w:w="22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tcBorders/>
            <w:shd w:fill="auto" w:val="clear"/>
            <w:vAlign w:val="bottom"/>
          </w:tcPr>
          <w:p>
            <w:pPr>
              <w:pStyle w:val="TableContents"/>
              <w:spacing w:before="0" w:after="0"/>
              <w:ind w:left="0" w:right="0" w:hanging="0"/>
              <w:jc w:val="right"/>
              <w:rPr/>
            </w:pPr>
            <w:r>
              <w:rPr/>
              <w:t> </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675"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tcBorders/>
            <w:shd w:fill="auto" w:val="clear"/>
            <w:vAlign w:val="bottom"/>
          </w:tcPr>
          <w:p>
            <w:pPr>
              <w:pStyle w:val="TableContents"/>
              <w:spacing w:before="0" w:after="0"/>
              <w:ind w:left="0" w:right="0" w:hanging="0"/>
              <w:jc w:val="right"/>
              <w:rPr/>
            </w:pPr>
            <w:r>
              <w:rPr/>
              <w:t> </w:t>
            </w:r>
          </w:p>
        </w:tc>
        <w:tc>
          <w:tcPr>
            <w:tcW w:w="352" w:type="dxa"/>
            <w:tcBorders/>
            <w:shd w:fill="auto" w:val="clear"/>
            <w:vAlign w:val="bottom"/>
          </w:tcPr>
          <w:p>
            <w:pPr>
              <w:pStyle w:val="TableContents"/>
              <w:spacing w:before="0" w:after="0"/>
              <w:ind w:left="0" w:right="0" w:hanging="0"/>
              <w:rPr/>
            </w:pPr>
            <w:r>
              <w:rPr/>
              <w:t> </w:t>
            </w:r>
          </w:p>
        </w:tc>
      </w:tr>
      <w:tr>
        <w:trPr/>
        <w:tc>
          <w:tcPr>
            <w:tcW w:w="24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2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c>
          <w:tcPr>
            <w:tcW w:w="67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22"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1,232</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3" w:type="dxa"/>
            <w:tcBorders/>
            <w:shd w:fill="auto" w:val="clear"/>
            <w:vAlign w:val="bottom"/>
          </w:tcPr>
          <w:p>
            <w:pPr>
              <w:pStyle w:val="TableContents"/>
              <w:spacing w:before="0" w:after="0"/>
              <w:ind w:left="0" w:right="0" w:hanging="0"/>
              <w:rPr/>
            </w:pPr>
            <w:r>
              <w:rPr/>
              <w:t> </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CCEEFF" w:val="clear"/>
            <w:vAlign w:val="bottom"/>
          </w:tcPr>
          <w:p>
            <w:pPr>
              <w:pStyle w:val="TableContents"/>
              <w:spacing w:before="0" w:after="0"/>
              <w:ind w:left="0" w:right="0" w:hanging="0"/>
              <w:rPr/>
            </w:pPr>
            <w:r>
              <w:rPr/>
              <w:t> </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pPr>
            <w:r>
              <w:rPr/>
              <w:t> </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pPr>
            <w:r>
              <w:rPr/>
              <w:t> </w:t>
            </w:r>
          </w:p>
        </w:tc>
        <w:tc>
          <w:tcPr>
            <w:tcW w:w="352" w:type="dxa"/>
            <w:tcBorders/>
            <w:shd w:fill="CCEEFF" w:val="clear"/>
            <w:vAlign w:val="bottom"/>
          </w:tcPr>
          <w:p>
            <w:pPr>
              <w:pStyle w:val="TableContents"/>
              <w:spacing w:before="0" w:after="0"/>
              <w:ind w:left="0" w:right="0" w:hanging="0"/>
              <w:rPr/>
            </w:pPr>
            <w:r>
              <w:rPr/>
              <w:t> </w:t>
            </w:r>
          </w:p>
        </w:tc>
      </w:tr>
      <w:tr>
        <w:trPr/>
        <w:tc>
          <w:tcPr>
            <w:tcW w:w="246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of EBITDA</w:t>
            </w:r>
          </w:p>
        </w:tc>
        <w:tc>
          <w:tcPr>
            <w:tcW w:w="22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tcBorders/>
            <w:shd w:fill="auto" w:val="clear"/>
            <w:vAlign w:val="bottom"/>
          </w:tcPr>
          <w:p>
            <w:pPr>
              <w:pStyle w:val="TableContents"/>
              <w:spacing w:before="0" w:after="0"/>
              <w:ind w:left="0" w:right="0" w:hanging="0"/>
              <w:jc w:val="right"/>
              <w:rPr/>
            </w:pPr>
            <w:r>
              <w:rPr/>
              <w:t> </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675"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672" w:type="dxa"/>
            <w:tcBorders/>
            <w:shd w:fill="auto" w:val="clear"/>
            <w:vAlign w:val="bottom"/>
          </w:tcPr>
          <w:p>
            <w:pPr>
              <w:pStyle w:val="TableContents"/>
              <w:spacing w:before="0" w:after="0"/>
              <w:ind w:left="0" w:right="0" w:hanging="0"/>
              <w:jc w:val="right"/>
              <w:rPr/>
            </w:pPr>
            <w:r>
              <w:rPr/>
              <w:t> </w:t>
            </w:r>
          </w:p>
        </w:tc>
        <w:tc>
          <w:tcPr>
            <w:tcW w:w="352" w:type="dxa"/>
            <w:tcBorders/>
            <w:shd w:fill="auto" w:val="clear"/>
            <w:vAlign w:val="bottom"/>
          </w:tcPr>
          <w:p>
            <w:pPr>
              <w:pStyle w:val="TableContents"/>
              <w:spacing w:before="0" w:after="0"/>
              <w:ind w:left="0" w:right="0" w:hanging="0"/>
              <w:rPr/>
            </w:pPr>
            <w:r>
              <w:rPr/>
              <w:t> </w:t>
            </w:r>
          </w:p>
        </w:tc>
      </w:tr>
      <w:tr>
        <w:trPr/>
        <w:tc>
          <w:tcPr>
            <w:tcW w:w="2467" w:type="dxa"/>
            <w:tcBorders/>
            <w:shd w:fill="CCEEFF" w:val="clear"/>
            <w:vAlign w:val="bottom"/>
          </w:tcPr>
          <w:p>
            <w:pPr>
              <w:pStyle w:val="TableContents"/>
              <w:spacing w:before="0" w:after="0"/>
              <w:ind w:left="0" w:right="0" w:hanging="0"/>
              <w:rPr/>
            </w:pPr>
            <w:r>
              <w:rPr>
                <w:rFonts w:ascii="Times New Roman" w:hAnsi="Times New Roman"/>
                <w:sz w:val="17"/>
              </w:rPr>
              <w:t>Gains/(losses) from derivative activities net of inventory valuation adjustments</w:t>
            </w:r>
            <w:r>
              <w:rPr>
                <w:sz w:val="11"/>
              </w:rPr>
              <w:t>(1)</w:t>
            </w:r>
          </w:p>
        </w:tc>
        <w:tc>
          <w:tcPr>
            <w:tcW w:w="22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2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w:t>
            </w:r>
            <w:r>
              <w:rPr>
                <w:sz w:val="11"/>
              </w:rPr>
              <w:t>(2)</w:t>
            </w:r>
          </w:p>
        </w:tc>
        <w:tc>
          <w:tcPr>
            <w:tcW w:w="22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CCEEFF" w:val="clear"/>
            <w:vAlign w:val="bottom"/>
          </w:tcPr>
          <w:p>
            <w:pPr>
              <w:pStyle w:val="TableContents"/>
              <w:spacing w:before="0" w:after="0"/>
              <w:ind w:left="0" w:right="0" w:hanging="0"/>
              <w:rPr/>
            </w:pPr>
            <w:r>
              <w:rPr>
                <w:rFonts w:ascii="Times New Roman" w:hAnsi="Times New Roman"/>
                <w:sz w:val="17"/>
              </w:rPr>
              <w:t xml:space="preserve">Net gain/(loss) on foreign currency revaluation </w:t>
            </w:r>
            <w:r>
              <w:rPr>
                <w:sz w:val="11"/>
              </w:rPr>
              <w:t>(3)</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2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3" w:type="dxa"/>
            <w:tcBorders/>
            <w:shd w:fill="auto" w:val="clear"/>
            <w:vAlign w:val="bottom"/>
          </w:tcPr>
          <w:p>
            <w:pPr>
              <w:pStyle w:val="TableContents"/>
              <w:spacing w:before="0" w:after="0"/>
              <w:ind w:left="0" w:right="0" w:hanging="0"/>
              <w:rPr/>
            </w:pPr>
            <w:r>
              <w:rPr/>
              <w:t> </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3" w:type="dxa"/>
            <w:tcBorders/>
            <w:shd w:fill="auto" w:val="clear"/>
            <w:vAlign w:val="bottom"/>
          </w:tcPr>
          <w:p>
            <w:pPr>
              <w:pStyle w:val="TableContents"/>
              <w:spacing w:before="0" w:after="0"/>
              <w:ind w:left="0" w:right="0" w:hanging="0"/>
              <w:rPr/>
            </w:pPr>
            <w:r>
              <w:rPr/>
              <w:t> </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CCEEFF" w:val="clear"/>
            <w:vAlign w:val="bottom"/>
          </w:tcPr>
          <w:p>
            <w:pPr>
              <w:pStyle w:val="TableContents"/>
              <w:spacing w:before="0" w:after="0"/>
              <w:ind w:left="0" w:right="0" w:hanging="0"/>
              <w:rPr/>
            </w:pPr>
            <w:r>
              <w:rPr>
                <w:rFonts w:ascii="Times New Roman" w:hAnsi="Times New Roman"/>
                <w:sz w:val="17"/>
              </w:rPr>
              <w:t>Other</w:t>
            </w:r>
            <w:r>
              <w:rPr/>
              <w:t xml:space="preserve"> </w:t>
            </w:r>
            <w:r>
              <w:rPr>
                <w:sz w:val="11"/>
              </w:rPr>
              <w:t>(4)</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c>
          <w:tcPr>
            <w:tcW w:w="67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pPr>
            <w:r>
              <w:rPr/>
              <w:t> </w:t>
            </w:r>
          </w:p>
        </w:tc>
        <w:tc>
          <w:tcPr>
            <w:tcW w:w="67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222"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23" w:type="dxa"/>
            <w:tcBorders/>
            <w:shd w:fill="auto" w:val="clear"/>
            <w:vAlign w:val="bottom"/>
          </w:tcPr>
          <w:p>
            <w:pPr>
              <w:pStyle w:val="TableContents"/>
              <w:spacing w:before="0" w:after="0"/>
              <w:ind w:left="0" w:right="0" w:hanging="0"/>
              <w:rPr/>
            </w:pPr>
            <w:r>
              <w:rPr/>
              <w:t> </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CCEEFF" w:val="clear"/>
            <w:vAlign w:val="bottom"/>
          </w:tcPr>
          <w:p>
            <w:pPr>
              <w:pStyle w:val="TableContents"/>
              <w:spacing w:before="0" w:after="0"/>
              <w:ind w:left="0" w:right="0" w:hanging="0"/>
              <w:rPr/>
            </w:pPr>
            <w:r>
              <w:rPr/>
              <w:t> </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pPr>
            <w:r>
              <w:rPr/>
              <w:t> </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pPr>
            <w:r>
              <w:rPr/>
              <w:t> </w:t>
            </w:r>
          </w:p>
        </w:tc>
        <w:tc>
          <w:tcPr>
            <w:tcW w:w="352" w:type="dxa"/>
            <w:tcBorders/>
            <w:shd w:fill="CCEEFF" w:val="clear"/>
            <w:vAlign w:val="bottom"/>
          </w:tcPr>
          <w:p>
            <w:pPr>
              <w:pStyle w:val="TableContents"/>
              <w:spacing w:before="0" w:after="0"/>
              <w:ind w:left="0" w:right="0" w:hanging="0"/>
              <w:rPr/>
            </w:pPr>
            <w:r>
              <w:rPr/>
              <w:t> </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2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223"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23"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1,232</w:t>
            </w:r>
          </w:p>
        </w:tc>
        <w:tc>
          <w:tcPr>
            <w:tcW w:w="223"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223"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3" w:type="dxa"/>
            <w:tcBorders/>
            <w:shd w:fill="auto" w:val="clear"/>
            <w:vAlign w:val="bottom"/>
          </w:tcPr>
          <w:p>
            <w:pPr>
              <w:pStyle w:val="TableContents"/>
              <w:spacing w:before="0" w:after="0"/>
              <w:ind w:left="0" w:right="0" w:hanging="0"/>
              <w:rPr/>
            </w:pPr>
            <w:r>
              <w:rPr/>
              <w:t> </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23" w:type="dxa"/>
            <w:tcBorders/>
            <w:shd w:fill="CCEEFF" w:val="clear"/>
            <w:vAlign w:val="bottom"/>
          </w:tcPr>
          <w:p>
            <w:pPr>
              <w:pStyle w:val="TableContents"/>
              <w:spacing w:before="0" w:after="0"/>
              <w:ind w:left="0" w:right="0" w:hanging="0"/>
              <w:rPr/>
            </w:pPr>
            <w:r>
              <w:rPr/>
              <w:t> </w:t>
            </w:r>
          </w:p>
        </w:tc>
        <w:tc>
          <w:tcPr>
            <w:tcW w:w="67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22"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23" w:type="dxa"/>
            <w:tcBorders/>
            <w:shd w:fill="auto" w:val="clear"/>
            <w:vAlign w:val="bottom"/>
          </w:tcPr>
          <w:p>
            <w:pPr>
              <w:pStyle w:val="TableContents"/>
              <w:spacing w:before="0" w:after="0"/>
              <w:ind w:left="0" w:right="0" w:hanging="0"/>
              <w:rPr/>
            </w:pPr>
            <w:r>
              <w:rPr/>
              <w:t> </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CCEEFF" w:val="clear"/>
            <w:vAlign w:val="bottom"/>
          </w:tcPr>
          <w:p>
            <w:pPr>
              <w:pStyle w:val="TableContents"/>
              <w:spacing w:before="0" w:after="0"/>
              <w:ind w:left="0" w:right="0" w:hanging="0"/>
              <w:rPr/>
            </w:pPr>
            <w:r>
              <w:rPr/>
              <w:t> </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pPr>
            <w:r>
              <w:rPr/>
              <w:t> </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pPr>
            <w:r>
              <w:rPr/>
              <w:t> </w:t>
            </w:r>
          </w:p>
        </w:tc>
        <w:tc>
          <w:tcPr>
            <w:tcW w:w="352" w:type="dxa"/>
            <w:tcBorders/>
            <w:shd w:fill="CCEEFF" w:val="clear"/>
            <w:vAlign w:val="bottom"/>
          </w:tcPr>
          <w:p>
            <w:pPr>
              <w:pStyle w:val="TableContents"/>
              <w:spacing w:before="0" w:after="0"/>
              <w:ind w:left="0" w:right="0" w:hanging="0"/>
              <w:rPr/>
            </w:pPr>
            <w:r>
              <w:rPr/>
              <w:t> </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2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223"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23"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w:t>
            </w:r>
          </w:p>
        </w:tc>
        <w:tc>
          <w:tcPr>
            <w:tcW w:w="223"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23"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23" w:type="dxa"/>
            <w:tcBorders/>
            <w:shd w:fill="auto" w:val="clear"/>
            <w:vAlign w:val="bottom"/>
          </w:tcPr>
          <w:p>
            <w:pPr>
              <w:pStyle w:val="TableContents"/>
              <w:spacing w:before="0" w:after="0"/>
              <w:ind w:left="0" w:right="0" w:hanging="0"/>
              <w:rPr/>
            </w:pPr>
            <w:r>
              <w:rPr/>
              <w:t> </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2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auto" w:val="clear"/>
            <w:vAlign w:val="bottom"/>
          </w:tcPr>
          <w:p>
            <w:pPr>
              <w:pStyle w:val="TableContents"/>
              <w:spacing w:before="0" w:after="0"/>
              <w:ind w:left="0" w:right="0" w:hanging="0"/>
              <w:rPr/>
            </w:pPr>
            <w:r>
              <w:rPr/>
              <w:t> </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2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52" w:type="dxa"/>
            <w:tcBorders/>
            <w:shd w:fill="auto" w:val="clear"/>
            <w:vAlign w:val="bottom"/>
          </w:tcPr>
          <w:p>
            <w:pPr>
              <w:pStyle w:val="TableContents"/>
              <w:spacing w:before="0" w:after="0"/>
              <w:ind w:left="0" w:right="0" w:hanging="0"/>
              <w:rPr/>
            </w:pPr>
            <w:r>
              <w:rPr/>
              <w:t> </w:t>
            </w:r>
          </w:p>
        </w:tc>
      </w:tr>
      <w:tr>
        <w:trPr/>
        <w:tc>
          <w:tcPr>
            <w:tcW w:w="2467" w:type="dxa"/>
            <w:tcBorders/>
            <w:shd w:fill="CCEEFF" w:val="clear"/>
            <w:vAlign w:val="bottom"/>
          </w:tcPr>
          <w:p>
            <w:pPr>
              <w:pStyle w:val="TableContents"/>
              <w:spacing w:before="0" w:after="0"/>
              <w:ind w:left="0" w:right="0" w:hanging="0"/>
              <w:rPr/>
            </w:pPr>
            <w:r>
              <w:rPr>
                <w:rFonts w:ascii="Times New Roman" w:hAnsi="Times New Roman"/>
                <w:sz w:val="17"/>
              </w:rPr>
              <w:t xml:space="preserve">Distributions to noncontrolling interests </w:t>
            </w:r>
            <w:r>
              <w:rPr>
                <w:sz w:val="11"/>
              </w:rPr>
              <w:t>(5)</w:t>
            </w:r>
          </w:p>
        </w:tc>
        <w:tc>
          <w:tcPr>
            <w:tcW w:w="222"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3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22"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3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w:t>
            </w:r>
          </w:p>
        </w:tc>
        <w:tc>
          <w:tcPr>
            <w:tcW w:w="22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23" w:type="dxa"/>
            <w:tcBorders/>
            <w:shd w:fill="auto" w:val="clear"/>
            <w:vAlign w:val="bottom"/>
          </w:tcPr>
          <w:p>
            <w:pPr>
              <w:pStyle w:val="TableContents"/>
              <w:spacing w:before="0" w:after="0"/>
              <w:ind w:left="0" w:right="0" w:hanging="0"/>
              <w:rPr/>
            </w:pPr>
            <w:r>
              <w:rPr/>
              <w:t> </w:t>
            </w:r>
          </w:p>
        </w:tc>
        <w:tc>
          <w:tcPr>
            <w:tcW w:w="6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net of inventory valuation adjustments. See Note 11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compensation expense associated with these awards is shown as a selected item impacting comparability in the table above.  The portion of compensation expense associated with awards that are certain to be settled in cash are not considered a selected item impacting comparability.  See Note 15 to our Consolidated Financial Statements included in Part IV of our 2012 Annual Report on Form 10-K for a comprehensive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During the three and six months ended June 30, 2013 and 2012, there were fluctuations in the value of the Canadian dollar to the U.S dollar, resulting in net gains and losses that were not related to our core operating results for the period and were thus classified as selected items impacting comparability. See Note 11 to our condensed consolidated financial statements for further discussion regarding our currency exchange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other immaterial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Includes distributions that pertain to the current periods net income and are paid in the subsequent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57" w:name="PB_32_160036_4141"/>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40"/>
        <w:gridCol w:w="99"/>
        <w:gridCol w:w="114"/>
        <w:gridCol w:w="677"/>
        <w:gridCol w:w="105"/>
        <w:gridCol w:w="114"/>
        <w:gridCol w:w="510"/>
        <w:gridCol w:w="105"/>
        <w:gridCol w:w="115"/>
        <w:gridCol w:w="533"/>
        <w:gridCol w:w="105"/>
        <w:gridCol w:w="581"/>
        <w:gridCol w:w="293"/>
        <w:gridCol w:w="99"/>
        <w:gridCol w:w="114"/>
        <w:gridCol w:w="428"/>
        <w:gridCol w:w="104"/>
        <w:gridCol w:w="114"/>
        <w:gridCol w:w="510"/>
        <w:gridCol w:w="105"/>
        <w:gridCol w:w="115"/>
        <w:gridCol w:w="533"/>
        <w:gridCol w:w="105"/>
        <w:gridCol w:w="664"/>
        <w:gridCol w:w="1223"/>
      </w:tblGrid>
      <w:tr>
        <w:trPr/>
        <w:tc>
          <w:tcPr>
            <w:tcW w:w="2740"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520" w:type="dxa"/>
            <w:gridSpan w:val="5"/>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33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92" w:type="dxa"/>
            <w:gridSpan w:val="2"/>
            <w:tcBorders/>
            <w:shd w:fill="auto" w:val="clear"/>
            <w:vAlign w:val="bottom"/>
          </w:tcPr>
          <w:p>
            <w:pPr>
              <w:pStyle w:val="TableContents"/>
              <w:spacing w:before="0" w:after="0"/>
              <w:ind w:left="0" w:right="0" w:hanging="0"/>
              <w:jc w:val="center"/>
              <w:rPr/>
            </w:pPr>
            <w:r>
              <w:rPr/>
              <w:t> </w:t>
            </w:r>
          </w:p>
        </w:tc>
        <w:tc>
          <w:tcPr>
            <w:tcW w:w="1270" w:type="dxa"/>
            <w:gridSpan w:val="5"/>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41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1223"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52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05" w:type="dxa"/>
            <w:tcBorders/>
            <w:shd w:fill="auto" w:val="clear"/>
            <w:vAlign w:val="bottom"/>
          </w:tcPr>
          <w:p>
            <w:pPr>
              <w:pStyle w:val="TableContents"/>
              <w:spacing w:before="0" w:after="0"/>
              <w:ind w:left="0" w:right="0" w:hanging="0"/>
              <w:jc w:val="center"/>
              <w:rPr/>
            </w:pPr>
            <w:r>
              <w:rPr/>
              <w:t> </w:t>
            </w:r>
          </w:p>
        </w:tc>
        <w:tc>
          <w:tcPr>
            <w:tcW w:w="133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92" w:type="dxa"/>
            <w:gridSpan w:val="2"/>
            <w:tcBorders/>
            <w:shd w:fill="auto" w:val="clear"/>
            <w:vAlign w:val="bottom"/>
          </w:tcPr>
          <w:p>
            <w:pPr>
              <w:pStyle w:val="TableContents"/>
              <w:spacing w:before="0" w:after="0"/>
              <w:ind w:left="0" w:right="0" w:hanging="0"/>
              <w:jc w:val="center"/>
              <w:rPr/>
            </w:pPr>
            <w:r>
              <w:rPr/>
              <w:t> </w:t>
            </w:r>
          </w:p>
        </w:tc>
        <w:tc>
          <w:tcPr>
            <w:tcW w:w="12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05" w:type="dxa"/>
            <w:tcBorders/>
            <w:shd w:fill="auto" w:val="clear"/>
            <w:vAlign w:val="bottom"/>
          </w:tcPr>
          <w:p>
            <w:pPr>
              <w:pStyle w:val="TableContents"/>
              <w:spacing w:before="0" w:after="0"/>
              <w:ind w:left="0" w:right="0" w:hanging="0"/>
              <w:jc w:val="center"/>
              <w:rPr/>
            </w:pPr>
            <w:r>
              <w:rPr/>
              <w:t> </w:t>
            </w:r>
          </w:p>
        </w:tc>
        <w:tc>
          <w:tcPr>
            <w:tcW w:w="141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1223"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rFonts w:ascii="Times New Roman" w:hAnsi="Times New Roman"/>
                <w:b/>
                <w:sz w:val="13"/>
              </w:rPr>
              <w:t>Operating Results</w:t>
            </w:r>
            <w:r>
              <w:rPr/>
              <w:t> </w:t>
            </w:r>
            <w:r>
              <w:rPr>
                <w:b/>
                <w:sz w:val="8"/>
              </w:rPr>
              <w:t>(1)  </w:t>
            </w:r>
          </w:p>
        </w:tc>
        <w:tc>
          <w:tcPr>
            <w:tcW w:w="99" w:type="dxa"/>
            <w:tcBorders/>
            <w:shd w:fill="auto" w:val="clear"/>
            <w:vAlign w:val="bottom"/>
          </w:tcPr>
          <w:p>
            <w:pPr>
              <w:pStyle w:val="TableContents"/>
              <w:spacing w:before="0" w:after="0"/>
              <w:ind w:left="0" w:right="0" w:hanging="0"/>
              <w:jc w:val="center"/>
              <w:rPr/>
            </w:pPr>
            <w:r>
              <w:rPr/>
              <w:t> </w:t>
            </w:r>
          </w:p>
        </w:tc>
        <w:tc>
          <w:tcPr>
            <w:tcW w:w="152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05" w:type="dxa"/>
            <w:tcBorders/>
            <w:shd w:fill="auto" w:val="clear"/>
            <w:vAlign w:val="bottom"/>
          </w:tcPr>
          <w:p>
            <w:pPr>
              <w:pStyle w:val="TableContents"/>
              <w:spacing w:before="0" w:after="0"/>
              <w:ind w:left="0" w:right="0" w:hanging="0"/>
              <w:jc w:val="center"/>
              <w:rPr/>
            </w:pPr>
            <w:r>
              <w:rPr/>
              <w:t> </w:t>
            </w:r>
          </w:p>
        </w:tc>
        <w:tc>
          <w:tcPr>
            <w:tcW w:w="133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92" w:type="dxa"/>
            <w:gridSpan w:val="2"/>
            <w:tcBorders/>
            <w:shd w:fill="auto" w:val="clear"/>
            <w:vAlign w:val="bottom"/>
          </w:tcPr>
          <w:p>
            <w:pPr>
              <w:pStyle w:val="TableContents"/>
              <w:spacing w:before="0" w:after="0"/>
              <w:ind w:left="0" w:right="0" w:hanging="0"/>
              <w:jc w:val="center"/>
              <w:rPr/>
            </w:pPr>
            <w:r>
              <w:rPr/>
              <w:t> </w:t>
            </w:r>
          </w:p>
        </w:tc>
        <w:tc>
          <w:tcPr>
            <w:tcW w:w="12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05" w:type="dxa"/>
            <w:tcBorders/>
            <w:shd w:fill="auto" w:val="clear"/>
            <w:vAlign w:val="bottom"/>
          </w:tcPr>
          <w:p>
            <w:pPr>
              <w:pStyle w:val="TableContents"/>
              <w:spacing w:before="0" w:after="0"/>
              <w:ind w:left="0" w:right="0" w:hanging="0"/>
              <w:jc w:val="center"/>
              <w:rPr/>
            </w:pPr>
            <w:r>
              <w:rPr/>
              <w:t> </w:t>
            </w:r>
          </w:p>
        </w:tc>
        <w:tc>
          <w:tcPr>
            <w:tcW w:w="141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223" w:type="dxa"/>
            <w:tcBorders/>
            <w:shd w:fill="auto" w:val="clear"/>
            <w:vAlign w:val="bottom"/>
          </w:tcPr>
          <w:p>
            <w:pPr>
              <w:pStyle w:val="TableContents"/>
              <w:spacing w:before="0" w:after="0"/>
              <w:ind w:left="0" w:right="0" w:hanging="0"/>
              <w:jc w:val="center"/>
              <w:rPr/>
            </w:pPr>
            <w:r>
              <w:rPr/>
              <w:t> </w:t>
            </w:r>
          </w:p>
        </w:tc>
      </w:tr>
      <w:tr>
        <w:trPr/>
        <w:tc>
          <w:tcPr>
            <w:tcW w:w="274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99" w:type="dxa"/>
            <w:tcBorders/>
            <w:shd w:fill="auto" w:val="clear"/>
            <w:vAlign w:val="bottom"/>
          </w:tcPr>
          <w:p>
            <w:pPr>
              <w:pStyle w:val="TableContents"/>
              <w:spacing w:before="0" w:after="0"/>
              <w:ind w:left="0" w:right="0" w:hanging="0"/>
              <w:jc w:val="center"/>
              <w:rPr/>
            </w:pPr>
            <w:r>
              <w:rPr/>
              <w:t> </w:t>
            </w:r>
          </w:p>
        </w:tc>
        <w:tc>
          <w:tcPr>
            <w:tcW w:w="7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2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5" w:type="dxa"/>
            <w:tcBorders/>
            <w:shd w:fill="auto" w:val="clear"/>
            <w:vAlign w:val="bottom"/>
          </w:tcPr>
          <w:p>
            <w:pPr>
              <w:pStyle w:val="TableContents"/>
              <w:spacing w:before="0" w:after="0"/>
              <w:ind w:left="0" w:right="0" w:hanging="0"/>
              <w:jc w:val="center"/>
              <w:rPr/>
            </w:pPr>
            <w:r>
              <w:rPr/>
              <w:t> </w:t>
            </w:r>
          </w:p>
        </w:tc>
        <w:tc>
          <w:tcPr>
            <w:tcW w:w="6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8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92" w:type="dxa"/>
            <w:gridSpan w:val="2"/>
            <w:tcBorders/>
            <w:shd w:fill="auto" w:val="clear"/>
            <w:vAlign w:val="bottom"/>
          </w:tcPr>
          <w:p>
            <w:pPr>
              <w:pStyle w:val="TableContents"/>
              <w:spacing w:before="0" w:after="0"/>
              <w:ind w:left="0" w:right="0" w:hanging="0"/>
              <w:jc w:val="center"/>
              <w:rPr/>
            </w:pPr>
            <w:r>
              <w:rPr/>
              <w:t> </w:t>
            </w:r>
          </w:p>
        </w:tc>
        <w:tc>
          <w:tcPr>
            <w:tcW w:w="5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2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5" w:type="dxa"/>
            <w:tcBorders/>
            <w:shd w:fill="auto" w:val="clear"/>
            <w:vAlign w:val="bottom"/>
          </w:tcPr>
          <w:p>
            <w:pPr>
              <w:pStyle w:val="TableContents"/>
              <w:spacing w:before="0" w:after="0"/>
              <w:ind w:left="0" w:right="0" w:hanging="0"/>
              <w:jc w:val="center"/>
              <w:rPr/>
            </w:pPr>
            <w:r>
              <w:rPr/>
              <w:t> </w:t>
            </w:r>
          </w:p>
        </w:tc>
        <w:tc>
          <w:tcPr>
            <w:tcW w:w="6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223" w:type="dxa"/>
            <w:tcBorders/>
            <w:shd w:fill="auto" w:val="clear"/>
            <w:vAlign w:val="bottom"/>
          </w:tcPr>
          <w:p>
            <w:pPr>
              <w:pStyle w:val="TableContents"/>
              <w:spacing w:before="0" w:after="0"/>
              <w:ind w:left="0" w:right="0" w:hanging="0"/>
              <w:jc w:val="center"/>
              <w:rPr/>
            </w:pPr>
            <w:r>
              <w:rPr/>
              <w:t> </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 xml:space="preserve">(1)  </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581" w:type="dxa"/>
            <w:tcBorders/>
            <w:shd w:fill="CCEEFF" w:val="clear"/>
            <w:vAlign w:val="bottom"/>
          </w:tcPr>
          <w:p>
            <w:pPr>
              <w:pStyle w:val="TableContents"/>
              <w:spacing w:before="0" w:after="0"/>
              <w:ind w:left="0" w:right="0" w:hanging="0"/>
              <w:jc w:val="right"/>
              <w:rPr/>
            </w:pPr>
            <w:r>
              <w:rPr/>
              <w:t> </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pPr>
            <w:r>
              <w:rPr/>
              <w:t> </w:t>
            </w:r>
          </w:p>
        </w:tc>
        <w:tc>
          <w:tcPr>
            <w:tcW w:w="1223" w:type="dxa"/>
            <w:tcBorders/>
            <w:shd w:fill="CCEEFF" w:val="clear"/>
            <w:vAlign w:val="bottom"/>
          </w:tcPr>
          <w:p>
            <w:pPr>
              <w:pStyle w:val="TableContents"/>
              <w:spacing w:before="0" w:after="0"/>
              <w:ind w:left="0" w:right="0" w:hanging="0"/>
              <w:rPr/>
            </w:pPr>
            <w:r>
              <w:rPr/>
              <w:t> </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99"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05"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0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629</w:t>
            </w:r>
          </w:p>
        </w:tc>
        <w:tc>
          <w:tcPr>
            <w:tcW w:w="10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w:t>
            </w:r>
          </w:p>
        </w:tc>
        <w:tc>
          <w:tcPr>
            <w:tcW w:w="105"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5" w:type="dxa"/>
            <w:tcBorders/>
            <w:shd w:fill="CCEEFF" w:val="clear"/>
            <w:vAlign w:val="bottom"/>
          </w:tcPr>
          <w:p>
            <w:pPr>
              <w:pStyle w:val="TableContents"/>
              <w:spacing w:before="0" w:after="0"/>
              <w:ind w:left="0" w:right="0" w:hanging="0"/>
              <w:rPr/>
            </w:pPr>
            <w:r>
              <w:rPr/>
              <w:t> </w:t>
            </w:r>
          </w:p>
        </w:tc>
        <w:tc>
          <w:tcPr>
            <w:tcW w:w="58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5" w:type="dxa"/>
            <w:tcBorders/>
            <w:shd w:fill="CCEEFF" w:val="clear"/>
            <w:vAlign w:val="bottom"/>
          </w:tcPr>
          <w:p>
            <w:pPr>
              <w:pStyle w:val="TableContents"/>
              <w:spacing w:before="0" w:after="0"/>
              <w:ind w:left="0" w:right="0" w:hanging="0"/>
              <w:rPr/>
            </w:pPr>
            <w:r>
              <w:rPr/>
              <w:t> </w:t>
            </w:r>
          </w:p>
        </w:tc>
        <w:tc>
          <w:tcPr>
            <w:tcW w:w="66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5" w:type="dxa"/>
            <w:tcBorders/>
            <w:shd w:fill="auto" w:val="clear"/>
            <w:vAlign w:val="bottom"/>
          </w:tcPr>
          <w:p>
            <w:pPr>
              <w:pStyle w:val="TableContents"/>
              <w:spacing w:before="0" w:after="0"/>
              <w:ind w:left="0" w:right="0" w:hanging="0"/>
              <w:rPr/>
            </w:pPr>
            <w:r>
              <w:rPr/>
              <w:t> </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581" w:type="dxa"/>
            <w:tcBorders/>
            <w:shd w:fill="CCEEFF" w:val="clear"/>
            <w:vAlign w:val="bottom"/>
          </w:tcPr>
          <w:p>
            <w:pPr>
              <w:pStyle w:val="TableContents"/>
              <w:spacing w:before="0" w:after="0"/>
              <w:ind w:left="0" w:right="0" w:hanging="0"/>
              <w:jc w:val="right"/>
              <w:rPr/>
            </w:pPr>
            <w:r>
              <w:rPr/>
              <w:t> </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pPr>
            <w:r>
              <w:rPr/>
              <w:t> </w:t>
            </w:r>
          </w:p>
        </w:tc>
        <w:tc>
          <w:tcPr>
            <w:tcW w:w="1223" w:type="dxa"/>
            <w:tcBorders/>
            <w:shd w:fill="CCEEFF" w:val="clear"/>
            <w:vAlign w:val="bottom"/>
          </w:tcPr>
          <w:p>
            <w:pPr>
              <w:pStyle w:val="TableContents"/>
              <w:spacing w:before="0" w:after="0"/>
              <w:ind w:left="0" w:right="0" w:hanging="0"/>
              <w:rPr/>
            </w:pPr>
            <w:r>
              <w:rPr/>
              <w:t> </w:t>
            </w:r>
          </w:p>
        </w:tc>
      </w:tr>
      <w:tr>
        <w:trPr/>
        <w:tc>
          <w:tcPr>
            <w:tcW w:w="2740" w:type="dxa"/>
            <w:tcBorders/>
            <w:shd w:fill="auto" w:val="clear"/>
            <w:vAlign w:val="bottom"/>
          </w:tcPr>
          <w:p>
            <w:pPr>
              <w:pStyle w:val="TableContents"/>
              <w:spacing w:before="0" w:after="0"/>
              <w:ind w:left="0" w:right="0" w:hanging="0"/>
              <w:rPr/>
            </w:pPr>
            <w:r>
              <w:rPr>
                <w:rFonts w:ascii="Times New Roman" w:hAnsi="Times New Roman"/>
                <w:sz w:val="17"/>
              </w:rPr>
              <w:t xml:space="preserve">Costs and Expenses </w:t>
            </w:r>
            <w:r>
              <w:rPr>
                <w:sz w:val="11"/>
              </w:rPr>
              <w:t xml:space="preserve">(1)  </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581" w:type="dxa"/>
            <w:tcBorders/>
            <w:shd w:fill="auto" w:val="clear"/>
            <w:vAlign w:val="bottom"/>
          </w:tcPr>
          <w:p>
            <w:pPr>
              <w:pStyle w:val="TableContents"/>
              <w:spacing w:before="0" w:after="0"/>
              <w:ind w:left="0" w:right="0" w:hanging="0"/>
              <w:jc w:val="right"/>
              <w:rPr/>
            </w:pPr>
            <w:r>
              <w:rPr/>
              <w:t> </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pPr>
            <w:r>
              <w:rPr/>
              <w:t> </w:t>
            </w:r>
          </w:p>
        </w:tc>
        <w:tc>
          <w:tcPr>
            <w:tcW w:w="1223" w:type="dxa"/>
            <w:tcBorders/>
            <w:shd w:fill="auto" w:val="clear"/>
            <w:vAlign w:val="bottom"/>
          </w:tcPr>
          <w:p>
            <w:pPr>
              <w:pStyle w:val="TableContents"/>
              <w:spacing w:before="0" w:after="0"/>
              <w:ind w:left="0" w:right="0" w:hanging="0"/>
              <w:rPr/>
            </w:pPr>
            <w:r>
              <w:rPr/>
              <w:t> </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indexed compensation expense)</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Equity-indexed compensation expense - operations</w:t>
            </w:r>
            <w:r>
              <w:rPr/>
              <w:t xml:space="preserve"> </w:t>
            </w:r>
            <w:r>
              <w:rPr>
                <w:sz w:val="11"/>
              </w:rPr>
              <w:t>(2)</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pPr>
            <w:r>
              <w:rPr>
                <w:rFonts w:ascii="Times New Roman" w:hAnsi="Times New Roman"/>
                <w:sz w:val="17"/>
              </w:rPr>
              <w:t xml:space="preserve">Segment general and administrative expenses </w:t>
            </w:r>
            <w:r>
              <w:rPr>
                <w:sz w:val="11"/>
              </w:rPr>
              <w:t xml:space="preserve">(3) </w:t>
            </w:r>
            <w:r>
              <w:rPr>
                <w:sz w:val="17"/>
              </w:rPr>
              <w:t>(excluding equity-indexed compensation expense)</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5" w:type="dxa"/>
            <w:tcBorders/>
            <w:shd w:fill="auto" w:val="clear"/>
            <w:vAlign w:val="bottom"/>
          </w:tcPr>
          <w:p>
            <w:pPr>
              <w:pStyle w:val="TableContents"/>
              <w:spacing w:before="0" w:after="0"/>
              <w:ind w:left="0" w:right="0" w:hanging="0"/>
              <w:rPr/>
            </w:pPr>
            <w:r>
              <w:rPr/>
              <w:t> </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pPr>
            <w:r>
              <w:rPr>
                <w:rFonts w:ascii="Times New Roman" w:hAnsi="Times New Roman"/>
                <w:sz w:val="17"/>
              </w:rPr>
              <w:t xml:space="preserve">Equity-indexed compensation expense - general and administrative </w:t>
            </w:r>
            <w:r>
              <w:rPr>
                <w:sz w:val="11"/>
              </w:rPr>
              <w:t>(2)</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5" w:type="dxa"/>
            <w:tcBorders/>
            <w:shd w:fill="auto" w:val="clear"/>
            <w:vAlign w:val="bottom"/>
          </w:tcPr>
          <w:p>
            <w:pPr>
              <w:pStyle w:val="TableContents"/>
              <w:spacing w:before="0" w:after="0"/>
              <w:ind w:left="0" w:right="0" w:hanging="0"/>
              <w:rPr/>
            </w:pPr>
            <w:r>
              <w:rPr/>
              <w:t> </w:t>
            </w:r>
          </w:p>
        </w:tc>
        <w:tc>
          <w:tcPr>
            <w:tcW w:w="58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5" w:type="dxa"/>
            <w:tcBorders/>
            <w:shd w:fill="auto" w:val="clear"/>
            <w:vAlign w:val="bottom"/>
          </w:tcPr>
          <w:p>
            <w:pPr>
              <w:pStyle w:val="TableContents"/>
              <w:spacing w:before="0" w:after="0"/>
              <w:ind w:left="0" w:right="0" w:hanging="0"/>
              <w:rPr/>
            </w:pPr>
            <w:r>
              <w:rPr/>
              <w:t> </w:t>
            </w:r>
          </w:p>
        </w:tc>
        <w:tc>
          <w:tcPr>
            <w:tcW w:w="66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99"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05"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0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2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10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0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99"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5"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0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5" w:type="dxa"/>
            <w:tcBorders/>
            <w:shd w:fill="auto" w:val="clear"/>
            <w:vAlign w:val="bottom"/>
          </w:tcPr>
          <w:p>
            <w:pPr>
              <w:pStyle w:val="TableContents"/>
              <w:spacing w:before="0" w:after="0"/>
              <w:ind w:left="0" w:right="0" w:hanging="0"/>
              <w:rPr/>
            </w:pPr>
            <w:r>
              <w:rPr/>
              <w:t> </w:t>
            </w:r>
          </w:p>
        </w:tc>
        <w:tc>
          <w:tcPr>
            <w:tcW w:w="5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4"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0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99"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0.49</w:t>
            </w:r>
          </w:p>
        </w:tc>
        <w:tc>
          <w:tcPr>
            <w:tcW w:w="105"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0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0.49</w:t>
            </w:r>
          </w:p>
        </w:tc>
        <w:tc>
          <w:tcPr>
            <w:tcW w:w="104"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10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(0.05</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520" w:type="dxa"/>
            <w:gridSpan w:val="5"/>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334" w:type="dxa"/>
            <w:gridSpan w:val="4"/>
            <w:tcBorders/>
            <w:shd w:fill="auto" w:val="clear"/>
            <w:vAlign w:val="bottom"/>
          </w:tcPr>
          <w:p>
            <w:pPr>
              <w:pStyle w:val="TableContents"/>
              <w:spacing w:before="0" w:after="0"/>
              <w:ind w:left="0" w:right="0" w:hanging="0"/>
              <w:jc w:val="center"/>
              <w:rPr/>
            </w:pPr>
            <w:r>
              <w:rPr/>
              <w:t> </w:t>
            </w:r>
          </w:p>
        </w:tc>
        <w:tc>
          <w:tcPr>
            <w:tcW w:w="293" w:type="dxa"/>
            <w:tcBorders/>
            <w:shd w:fill="auto" w:val="clear"/>
            <w:vAlign w:val="bottom"/>
          </w:tcPr>
          <w:p>
            <w:pPr>
              <w:pStyle w:val="TableContents"/>
              <w:spacing w:before="0" w:after="0"/>
              <w:ind w:left="0" w:right="0" w:hanging="0"/>
              <w:jc w:val="center"/>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70" w:type="dxa"/>
            <w:gridSpan w:val="5"/>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417" w:type="dxa"/>
            <w:gridSpan w:val="4"/>
            <w:tcBorders/>
            <w:shd w:fill="auto" w:val="clear"/>
            <w:vAlign w:val="bottom"/>
          </w:tcPr>
          <w:p>
            <w:pPr>
              <w:pStyle w:val="TableContents"/>
              <w:spacing w:before="0" w:after="0"/>
              <w:ind w:left="0" w:right="0" w:hanging="0"/>
              <w:jc w:val="center"/>
              <w:rPr/>
            </w:pPr>
            <w:r>
              <w:rPr/>
              <w:t> </w:t>
            </w:r>
          </w:p>
        </w:tc>
        <w:tc>
          <w:tcPr>
            <w:tcW w:w="1223"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520" w:type="dxa"/>
            <w:gridSpan w:val="5"/>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33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93" w:type="dxa"/>
            <w:tcBorders/>
            <w:shd w:fill="auto" w:val="clear"/>
            <w:vAlign w:val="bottom"/>
          </w:tcPr>
          <w:p>
            <w:pPr>
              <w:pStyle w:val="TableContents"/>
              <w:spacing w:before="0" w:after="0"/>
              <w:ind w:left="0" w:right="0" w:hanging="0"/>
              <w:jc w:val="center"/>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70" w:type="dxa"/>
            <w:gridSpan w:val="5"/>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41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223"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52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05" w:type="dxa"/>
            <w:tcBorders/>
            <w:shd w:fill="auto" w:val="clear"/>
            <w:vAlign w:val="bottom"/>
          </w:tcPr>
          <w:p>
            <w:pPr>
              <w:pStyle w:val="TableContents"/>
              <w:spacing w:before="0" w:after="0"/>
              <w:ind w:left="0" w:right="0" w:hanging="0"/>
              <w:jc w:val="center"/>
              <w:rPr/>
            </w:pPr>
            <w:r>
              <w:rPr/>
              <w:t> </w:t>
            </w:r>
          </w:p>
        </w:tc>
        <w:tc>
          <w:tcPr>
            <w:tcW w:w="133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93" w:type="dxa"/>
            <w:tcBorders/>
            <w:shd w:fill="auto" w:val="clear"/>
            <w:vAlign w:val="bottom"/>
          </w:tcPr>
          <w:p>
            <w:pPr>
              <w:pStyle w:val="TableContents"/>
              <w:spacing w:before="0" w:after="0"/>
              <w:ind w:left="0" w:right="0" w:hanging="0"/>
              <w:jc w:val="center"/>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05" w:type="dxa"/>
            <w:tcBorders/>
            <w:shd w:fill="auto" w:val="clear"/>
            <w:vAlign w:val="bottom"/>
          </w:tcPr>
          <w:p>
            <w:pPr>
              <w:pStyle w:val="TableContents"/>
              <w:spacing w:before="0" w:after="0"/>
              <w:ind w:left="0" w:right="0" w:hanging="0"/>
              <w:jc w:val="center"/>
              <w:rPr/>
            </w:pPr>
            <w:r>
              <w:rPr/>
              <w:t> </w:t>
            </w:r>
          </w:p>
        </w:tc>
        <w:tc>
          <w:tcPr>
            <w:tcW w:w="141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1223" w:type="dxa"/>
            <w:tcBorders/>
            <w:shd w:fill="auto" w:val="clear"/>
            <w:vAlign w:val="bottom"/>
          </w:tcPr>
          <w:p>
            <w:pPr>
              <w:pStyle w:val="TableContents"/>
              <w:spacing w:before="0" w:after="0"/>
              <w:ind w:left="0" w:right="0" w:hanging="0"/>
              <w:jc w:val="center"/>
              <w:rPr/>
            </w:pPr>
            <w:r>
              <w:rPr/>
              <w:t> </w:t>
            </w:r>
          </w:p>
        </w:tc>
      </w:tr>
      <w:tr>
        <w:trPr/>
        <w:tc>
          <w:tcPr>
            <w:tcW w:w="2740"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99" w:type="dxa"/>
            <w:tcBorders/>
            <w:shd w:fill="auto" w:val="clear"/>
            <w:vAlign w:val="bottom"/>
          </w:tcPr>
          <w:p>
            <w:pPr>
              <w:pStyle w:val="TableContents"/>
              <w:spacing w:before="0" w:after="0"/>
              <w:ind w:left="0" w:right="0" w:hanging="0"/>
              <w:jc w:val="center"/>
              <w:rPr/>
            </w:pPr>
            <w:r>
              <w:rPr/>
              <w:t> </w:t>
            </w:r>
          </w:p>
        </w:tc>
        <w:tc>
          <w:tcPr>
            <w:tcW w:w="152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05" w:type="dxa"/>
            <w:tcBorders/>
            <w:shd w:fill="auto" w:val="clear"/>
            <w:vAlign w:val="bottom"/>
          </w:tcPr>
          <w:p>
            <w:pPr>
              <w:pStyle w:val="TableContents"/>
              <w:spacing w:before="0" w:after="0"/>
              <w:ind w:left="0" w:right="0" w:hanging="0"/>
              <w:jc w:val="center"/>
              <w:rPr/>
            </w:pPr>
            <w:r>
              <w:rPr/>
              <w:t> </w:t>
            </w:r>
          </w:p>
        </w:tc>
        <w:tc>
          <w:tcPr>
            <w:tcW w:w="133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93" w:type="dxa"/>
            <w:tcBorders/>
            <w:shd w:fill="auto" w:val="clear"/>
            <w:vAlign w:val="bottom"/>
          </w:tcPr>
          <w:p>
            <w:pPr>
              <w:pStyle w:val="TableContents"/>
              <w:spacing w:before="0" w:after="0"/>
              <w:ind w:left="0" w:right="0" w:hanging="0"/>
              <w:jc w:val="center"/>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05" w:type="dxa"/>
            <w:tcBorders/>
            <w:shd w:fill="auto" w:val="clear"/>
            <w:vAlign w:val="bottom"/>
          </w:tcPr>
          <w:p>
            <w:pPr>
              <w:pStyle w:val="TableContents"/>
              <w:spacing w:before="0" w:after="0"/>
              <w:ind w:left="0" w:right="0" w:hanging="0"/>
              <w:jc w:val="center"/>
              <w:rPr/>
            </w:pPr>
            <w:r>
              <w:rPr/>
              <w:t> </w:t>
            </w:r>
          </w:p>
        </w:tc>
        <w:tc>
          <w:tcPr>
            <w:tcW w:w="141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1223" w:type="dxa"/>
            <w:tcBorders/>
            <w:shd w:fill="auto" w:val="clear"/>
            <w:vAlign w:val="bottom"/>
          </w:tcPr>
          <w:p>
            <w:pPr>
              <w:pStyle w:val="TableContents"/>
              <w:spacing w:before="0" w:after="0"/>
              <w:ind w:left="0" w:right="0" w:hanging="0"/>
              <w:jc w:val="center"/>
              <w:rPr/>
            </w:pPr>
            <w:r>
              <w:rPr/>
              <w:t> </w:t>
            </w:r>
          </w:p>
        </w:tc>
      </w:tr>
      <w:tr>
        <w:trPr/>
        <w:tc>
          <w:tcPr>
            <w:tcW w:w="2740"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(in thousands of barrels per day)</w:t>
            </w:r>
            <w:r>
              <w:rPr/>
              <w:t> </w:t>
            </w:r>
            <w:r>
              <w:rPr>
                <w:b/>
                <w:sz w:val="8"/>
              </w:rPr>
              <w:t>(4)</w:t>
            </w:r>
          </w:p>
        </w:tc>
        <w:tc>
          <w:tcPr>
            <w:tcW w:w="99" w:type="dxa"/>
            <w:tcBorders/>
            <w:shd w:fill="auto" w:val="clear"/>
            <w:vAlign w:val="bottom"/>
          </w:tcPr>
          <w:p>
            <w:pPr>
              <w:pStyle w:val="TableContents"/>
              <w:spacing w:before="0" w:after="0"/>
              <w:ind w:left="0" w:right="0" w:hanging="0"/>
              <w:jc w:val="center"/>
              <w:rPr/>
            </w:pPr>
            <w:r>
              <w:rPr/>
              <w:t> </w:t>
            </w:r>
          </w:p>
        </w:tc>
        <w:tc>
          <w:tcPr>
            <w:tcW w:w="7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2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5" w:type="dxa"/>
            <w:tcBorders/>
            <w:shd w:fill="auto" w:val="clear"/>
            <w:vAlign w:val="bottom"/>
          </w:tcPr>
          <w:p>
            <w:pPr>
              <w:pStyle w:val="TableContents"/>
              <w:spacing w:before="0" w:after="0"/>
              <w:ind w:left="0" w:right="0" w:hanging="0"/>
              <w:jc w:val="center"/>
              <w:rPr/>
            </w:pPr>
            <w:r>
              <w:rPr/>
              <w:t> </w:t>
            </w:r>
          </w:p>
        </w:tc>
        <w:tc>
          <w:tcPr>
            <w:tcW w:w="6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8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93" w:type="dxa"/>
            <w:tcBorders/>
            <w:shd w:fill="auto" w:val="clear"/>
            <w:vAlign w:val="bottom"/>
          </w:tcPr>
          <w:p>
            <w:pPr>
              <w:pStyle w:val="TableContents"/>
              <w:spacing w:before="0" w:after="0"/>
              <w:ind w:left="0" w:right="0" w:hanging="0"/>
              <w:jc w:val="center"/>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5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2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5" w:type="dxa"/>
            <w:tcBorders/>
            <w:shd w:fill="auto" w:val="clear"/>
            <w:vAlign w:val="bottom"/>
          </w:tcPr>
          <w:p>
            <w:pPr>
              <w:pStyle w:val="TableContents"/>
              <w:spacing w:before="0" w:after="0"/>
              <w:ind w:left="0" w:right="0" w:hanging="0"/>
              <w:jc w:val="center"/>
              <w:rPr/>
            </w:pPr>
            <w:r>
              <w:rPr/>
              <w:t> </w:t>
            </w:r>
          </w:p>
        </w:tc>
        <w:tc>
          <w:tcPr>
            <w:tcW w:w="6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223" w:type="dxa"/>
            <w:tcBorders/>
            <w:shd w:fill="auto" w:val="clear"/>
            <w:vAlign w:val="bottom"/>
          </w:tcPr>
          <w:p>
            <w:pPr>
              <w:pStyle w:val="TableContents"/>
              <w:spacing w:before="0" w:after="0"/>
              <w:ind w:left="0" w:right="0" w:hanging="0"/>
              <w:jc w:val="center"/>
              <w:rPr/>
            </w:pPr>
            <w:r>
              <w:rPr/>
              <w:t> </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581" w:type="dxa"/>
            <w:tcBorders/>
            <w:shd w:fill="CCEEFF" w:val="clear"/>
            <w:vAlign w:val="bottom"/>
          </w:tcPr>
          <w:p>
            <w:pPr>
              <w:pStyle w:val="TableContents"/>
              <w:spacing w:before="0" w:after="0"/>
              <w:ind w:left="0" w:right="0" w:hanging="0"/>
              <w:jc w:val="right"/>
              <w:rPr/>
            </w:pPr>
            <w:r>
              <w:rPr/>
              <w:t> </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pPr>
            <w:r>
              <w:rPr/>
              <w:t> </w:t>
            </w:r>
          </w:p>
        </w:tc>
        <w:tc>
          <w:tcPr>
            <w:tcW w:w="1223" w:type="dxa"/>
            <w:tcBorders/>
            <w:shd w:fill="CCEEFF" w:val="clear"/>
            <w:vAlign w:val="bottom"/>
          </w:tcPr>
          <w:p>
            <w:pPr>
              <w:pStyle w:val="TableContents"/>
              <w:spacing w:before="0" w:after="0"/>
              <w:ind w:left="0" w:right="0" w:hanging="0"/>
              <w:rPr/>
            </w:pPr>
            <w:r>
              <w:rPr/>
              <w:t> </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581" w:type="dxa"/>
            <w:tcBorders/>
            <w:shd w:fill="auto" w:val="clear"/>
            <w:vAlign w:val="bottom"/>
          </w:tcPr>
          <w:p>
            <w:pPr>
              <w:pStyle w:val="TableContents"/>
              <w:spacing w:before="0" w:after="0"/>
              <w:ind w:left="0" w:right="0" w:hanging="0"/>
              <w:jc w:val="right"/>
              <w:rPr/>
            </w:pPr>
            <w:r>
              <w:rPr/>
              <w:t> </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pPr>
            <w:r>
              <w:rPr/>
              <w:t> </w:t>
            </w:r>
          </w:p>
        </w:tc>
        <w:tc>
          <w:tcPr>
            <w:tcW w:w="1223" w:type="dxa"/>
            <w:tcBorders/>
            <w:shd w:fill="auto" w:val="clear"/>
            <w:vAlign w:val="bottom"/>
          </w:tcPr>
          <w:p>
            <w:pPr>
              <w:pStyle w:val="TableContents"/>
              <w:spacing w:before="0" w:after="0"/>
              <w:ind w:left="0" w:right="0" w:hanging="0"/>
              <w:rPr/>
            </w:pPr>
            <w:r>
              <w:rPr/>
              <w:t> </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5" w:type="dxa"/>
            <w:tcBorders/>
            <w:shd w:fill="CCEEFF" w:val="clear"/>
            <w:vAlign w:val="bottom"/>
          </w:tcPr>
          <w:p>
            <w:pPr>
              <w:pStyle w:val="TableContents"/>
              <w:spacing w:before="0" w:after="0"/>
              <w:ind w:left="0" w:right="0" w:hanging="0"/>
              <w:rPr/>
            </w:pPr>
            <w:r>
              <w:rPr/>
              <w:t> </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Bakken Area Systems </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 / Mesa</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702</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675</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5" w:type="dxa"/>
            <w:tcBorders/>
            <w:shd w:fill="auto" w:val="clear"/>
            <w:vAlign w:val="bottom"/>
          </w:tcPr>
          <w:p>
            <w:pPr>
              <w:pStyle w:val="TableContents"/>
              <w:spacing w:before="0" w:after="0"/>
              <w:ind w:left="0" w:right="0" w:hanging="0"/>
              <w:rPr/>
            </w:pPr>
            <w:r>
              <w:rPr/>
              <w:t> </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Eagle Ford Area Systems</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05" w:type="dxa"/>
            <w:tcBorders/>
            <w:shd w:fill="CCEEFF" w:val="clear"/>
            <w:vAlign w:val="bottom"/>
          </w:tcPr>
          <w:p>
            <w:pPr>
              <w:pStyle w:val="TableContents"/>
              <w:spacing w:before="0" w:after="0"/>
              <w:ind w:left="0" w:right="0" w:hanging="0"/>
              <w:rPr/>
            </w:pPr>
            <w:r>
              <w:rPr/>
              <w:t> </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 / Line 2000 </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Permian Basin Area Systems</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447</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05" w:type="dxa"/>
            <w:tcBorders/>
            <w:shd w:fill="CCEEFF" w:val="clear"/>
            <w:vAlign w:val="bottom"/>
          </w:tcPr>
          <w:p>
            <w:pPr>
              <w:pStyle w:val="TableContents"/>
              <w:spacing w:before="0" w:after="0"/>
              <w:ind w:left="0" w:right="0" w:hanging="0"/>
              <w:rPr/>
            </w:pPr>
            <w:r>
              <w:rPr/>
              <w:t> </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South Saskatchewan</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White Cliffs </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5" w:type="dxa"/>
            <w:tcBorders/>
            <w:shd w:fill="auto" w:val="clear"/>
            <w:vAlign w:val="bottom"/>
          </w:tcPr>
          <w:p>
            <w:pPr>
              <w:pStyle w:val="TableContents"/>
              <w:spacing w:before="0" w:after="0"/>
              <w:ind w:left="0" w:right="0" w:hanging="0"/>
              <w:rPr/>
            </w:pPr>
            <w:r>
              <w:rPr/>
              <w:t> </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766</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743</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5" w:type="dxa"/>
            <w:tcBorders/>
            <w:shd w:fill="CCEEFF" w:val="clear"/>
            <w:vAlign w:val="bottom"/>
          </w:tcPr>
          <w:p>
            <w:pPr>
              <w:pStyle w:val="TableContents"/>
              <w:spacing w:before="0" w:after="0"/>
              <w:ind w:left="0" w:right="0" w:hanging="0"/>
              <w:rPr/>
            </w:pPr>
            <w:r>
              <w:rPr/>
              <w:t> </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763</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735</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581" w:type="dxa"/>
            <w:tcBorders/>
            <w:shd w:fill="auto" w:val="clear"/>
            <w:vAlign w:val="bottom"/>
          </w:tcPr>
          <w:p>
            <w:pPr>
              <w:pStyle w:val="TableContents"/>
              <w:spacing w:before="0" w:after="0"/>
              <w:ind w:left="0" w:right="0" w:hanging="0"/>
              <w:jc w:val="right"/>
              <w:rPr/>
            </w:pPr>
            <w:r>
              <w:rPr/>
              <w:t> </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pPr>
            <w:r>
              <w:rPr/>
              <w:t> </w:t>
            </w:r>
          </w:p>
        </w:tc>
        <w:tc>
          <w:tcPr>
            <w:tcW w:w="1223" w:type="dxa"/>
            <w:tcBorders/>
            <w:shd w:fill="auto" w:val="clear"/>
            <w:vAlign w:val="bottom"/>
          </w:tcPr>
          <w:p>
            <w:pPr>
              <w:pStyle w:val="TableContents"/>
              <w:spacing w:before="0" w:after="0"/>
              <w:ind w:left="0" w:right="0" w:hanging="0"/>
              <w:rPr/>
            </w:pPr>
            <w:r>
              <w:rPr/>
              <w:t> </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05" w:type="dxa"/>
            <w:tcBorders/>
            <w:shd w:fill="CCEEFF" w:val="clear"/>
            <w:vAlign w:val="bottom"/>
          </w:tcPr>
          <w:p>
            <w:pPr>
              <w:pStyle w:val="TableContents"/>
              <w:spacing w:before="0" w:after="0"/>
              <w:ind w:left="0" w:right="0" w:hanging="0"/>
              <w:rPr/>
            </w:pPr>
            <w:r>
              <w:rPr/>
              <w:t> </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5" w:type="dxa"/>
            <w:tcBorders/>
            <w:shd w:fill="auto" w:val="clear"/>
            <w:vAlign w:val="bottom"/>
          </w:tcPr>
          <w:p>
            <w:pPr>
              <w:pStyle w:val="TableContents"/>
              <w:spacing w:before="0" w:after="0"/>
              <w:ind w:left="0" w:right="0" w:hanging="0"/>
              <w:rPr/>
            </w:pPr>
            <w:r>
              <w:rPr/>
              <w:t> </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Pipelines</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3,495</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3,467</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05" w:type="dxa"/>
            <w:tcBorders/>
            <w:shd w:fill="auto" w:val="clear"/>
            <w:vAlign w:val="bottom"/>
          </w:tcPr>
          <w:p>
            <w:pPr>
              <w:pStyle w:val="TableContents"/>
              <w:spacing w:before="0" w:after="0"/>
              <w:ind w:left="0" w:right="0" w:hanging="0"/>
              <w:rPr/>
            </w:pPr>
            <w:r>
              <w:rPr/>
              <w:t> </w:t>
            </w:r>
          </w:p>
        </w:tc>
        <w:tc>
          <w:tcPr>
            <w:tcW w:w="5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3,513</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3,263</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05" w:type="dxa"/>
            <w:tcBorders/>
            <w:shd w:fill="auto" w:val="clear"/>
            <w:vAlign w:val="bottom"/>
          </w:tcPr>
          <w:p>
            <w:pPr>
              <w:pStyle w:val="TableContents"/>
              <w:spacing w:before="0" w:after="0"/>
              <w:ind w:left="0" w:right="0" w:hanging="0"/>
              <w:rPr/>
            </w:pPr>
            <w:r>
              <w:rPr/>
              <w:t> </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99" w:type="dxa"/>
            <w:tcBorders/>
            <w:shd w:fill="CCEEFF" w:val="clear"/>
            <w:vAlign w:val="bottom"/>
          </w:tcPr>
          <w:p>
            <w:pPr>
              <w:pStyle w:val="TableContents"/>
              <w:spacing w:before="0" w:after="0"/>
              <w:ind w:left="0" w:right="0" w:hanging="0"/>
              <w:rPr/>
            </w:pPr>
            <w:r>
              <w:rPr/>
              <w:t> </w:t>
            </w:r>
          </w:p>
        </w:tc>
        <w:tc>
          <w:tcPr>
            <w:tcW w:w="7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05" w:type="dxa"/>
            <w:tcBorders/>
            <w:shd w:fill="CCEEFF"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5" w:type="dxa"/>
            <w:tcBorders/>
            <w:shd w:fill="CCEEFF" w:val="clear"/>
            <w:vAlign w:val="bottom"/>
          </w:tcPr>
          <w:p>
            <w:pPr>
              <w:pStyle w:val="TableContents"/>
              <w:spacing w:before="0" w:after="0"/>
              <w:ind w:left="0" w:right="0" w:hanging="0"/>
              <w:rPr/>
            </w:pPr>
            <w:r>
              <w:rPr/>
              <w:t> </w:t>
            </w:r>
          </w:p>
        </w:tc>
        <w:tc>
          <w:tcPr>
            <w:tcW w:w="58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9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5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04" w:type="dxa"/>
            <w:tcBorders/>
            <w:shd w:fill="CCEEFF"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05" w:type="dxa"/>
            <w:tcBorders/>
            <w:shd w:fill="CCEEFF" w:val="clear"/>
            <w:vAlign w:val="bottom"/>
          </w:tcPr>
          <w:p>
            <w:pPr>
              <w:pStyle w:val="TableContents"/>
              <w:spacing w:before="0" w:after="0"/>
              <w:ind w:left="0" w:right="0" w:hanging="0"/>
              <w:rPr/>
            </w:pPr>
            <w:r>
              <w:rPr/>
              <w:t> </w:t>
            </w:r>
          </w:p>
        </w:tc>
        <w:tc>
          <w:tcPr>
            <w:tcW w:w="6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5" w:type="dxa"/>
            <w:tcBorders/>
            <w:shd w:fill="CCEEFF" w:val="clear"/>
            <w:vAlign w:val="bottom"/>
          </w:tcPr>
          <w:p>
            <w:pPr>
              <w:pStyle w:val="TableContents"/>
              <w:spacing w:before="0" w:after="0"/>
              <w:ind w:left="0" w:right="0" w:hanging="0"/>
              <w:rPr/>
            </w:pPr>
            <w:r>
              <w:rPr/>
              <w:t> </w:t>
            </w:r>
          </w:p>
        </w:tc>
        <w:tc>
          <w:tcPr>
            <w:tcW w:w="66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w:t>
            </w:r>
          </w:p>
        </w:tc>
        <w:tc>
          <w:tcPr>
            <w:tcW w:w="99" w:type="dxa"/>
            <w:tcBorders/>
            <w:shd w:fill="auto" w:val="clear"/>
            <w:vAlign w:val="bottom"/>
          </w:tcPr>
          <w:p>
            <w:pPr>
              <w:pStyle w:val="TableContents"/>
              <w:spacing w:before="0" w:after="0"/>
              <w:ind w:left="0" w:right="0" w:hanging="0"/>
              <w:rPr/>
            </w:pPr>
            <w:r>
              <w:rPr/>
              <w:t> </w:t>
            </w:r>
          </w:p>
        </w:tc>
        <w:tc>
          <w:tcPr>
            <w:tcW w:w="7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3,603</w:t>
            </w:r>
          </w:p>
        </w:tc>
        <w:tc>
          <w:tcPr>
            <w:tcW w:w="105" w:type="dxa"/>
            <w:tcBorders/>
            <w:shd w:fill="auto" w:val="clear"/>
            <w:vAlign w:val="bottom"/>
          </w:tcPr>
          <w:p>
            <w:pPr>
              <w:pStyle w:val="TableContents"/>
              <w:spacing w:before="0" w:after="0"/>
              <w:ind w:left="0" w:right="0" w:hanging="0"/>
              <w:rPr/>
            </w:pPr>
            <w:r>
              <w:rPr/>
              <w:t> </w:t>
            </w:r>
          </w:p>
        </w:tc>
        <w:tc>
          <w:tcPr>
            <w:tcW w:w="62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3,563</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05" w:type="dxa"/>
            <w:tcBorders/>
            <w:shd w:fill="auto" w:val="clear"/>
            <w:vAlign w:val="bottom"/>
          </w:tcPr>
          <w:p>
            <w:pPr>
              <w:pStyle w:val="TableContents"/>
              <w:spacing w:before="0" w:after="0"/>
              <w:ind w:left="0" w:right="0" w:hanging="0"/>
              <w:rPr/>
            </w:pPr>
            <w:r>
              <w:rPr/>
              <w:t> </w:t>
            </w:r>
          </w:p>
        </w:tc>
        <w:tc>
          <w:tcPr>
            <w:tcW w:w="5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9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c>
          <w:tcPr>
            <w:tcW w:w="54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3,622</w:t>
            </w:r>
          </w:p>
        </w:tc>
        <w:tc>
          <w:tcPr>
            <w:tcW w:w="104" w:type="dxa"/>
            <w:tcBorders/>
            <w:shd w:fill="auto" w:val="clear"/>
            <w:vAlign w:val="bottom"/>
          </w:tcPr>
          <w:p>
            <w:pPr>
              <w:pStyle w:val="TableContents"/>
              <w:spacing w:before="0" w:after="0"/>
              <w:ind w:left="0" w:right="0" w:hanging="0"/>
              <w:rPr/>
            </w:pPr>
            <w:r>
              <w:rPr/>
              <w:t> </w:t>
            </w:r>
          </w:p>
        </w:tc>
        <w:tc>
          <w:tcPr>
            <w:tcW w:w="62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3,365</w:t>
            </w:r>
          </w:p>
        </w:tc>
        <w:tc>
          <w:tcPr>
            <w:tcW w:w="105" w:type="dxa"/>
            <w:tcBorders/>
            <w:shd w:fill="auto" w:val="clear"/>
            <w:vAlign w:val="bottom"/>
          </w:tcPr>
          <w:p>
            <w:pPr>
              <w:pStyle w:val="TableContents"/>
              <w:spacing w:before="0" w:after="0"/>
              <w:ind w:left="0" w:right="0" w:hanging="0"/>
              <w:rPr/>
            </w:pPr>
            <w:r>
              <w:rPr/>
              <w:t> </w:t>
            </w:r>
          </w:p>
        </w:tc>
        <w:tc>
          <w:tcPr>
            <w:tcW w:w="6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05" w:type="dxa"/>
            <w:tcBorders/>
            <w:shd w:fill="auto" w:val="clear"/>
            <w:vAlign w:val="bottom"/>
          </w:tcPr>
          <w:p>
            <w:pPr>
              <w:pStyle w:val="TableContents"/>
              <w:spacing w:before="0" w:after="0"/>
              <w:ind w:left="0" w:right="0" w:hanging="0"/>
              <w:rPr/>
            </w:pPr>
            <w:r>
              <w:rPr/>
              <w:t> </w:t>
            </w:r>
          </w:p>
        </w:tc>
        <w:tc>
          <w:tcPr>
            <w:tcW w:w="6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58" w:name="PB_33_161049_5796"/>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Equity-indexed compensation expense shown in the table above includes expenses associated with awards that will or may be settled in units and awards that will or may be settled in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Volumes associated with acquisitions represent total volumes (attributable to our interest)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Transportation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As noted in the tables above, our total Transportation segment revenues, net of trucking costs, and volumes remained relatively consistent for the three months ended June 30, 2013 compared to the three months ended June 30, 2012, while net revenues and volumes increased for the six months ended June 30, 2013 compared to the six months ended June 30, 2012. Although total volumes and revenues remained relatively consistent over the three-month comparative periods, we experienced volume and revenue variances among our individual pipelines and pipeline systems. The following factors contributed to the variances in revenues and volumes between the comparative periods and the variances among our individual pipelines and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North American Crude Oil Production and Related Expansion Projects  For the six-month comparative period, the favorable volume and revenue variances experienced were primarily due to increased producer drilling activities as well as the completion of certain of our expansion projects, most notably on our Basin, Mesa and White Cliffs pipelines and our Permian Basin, Mid-Continent and Eagle Ford Area Systems.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three-month comparative period, the favorable volume and revenue variances were primarily on our Permian Basin and Eagle Ford Area Systems and White Cliffs pipeline, while volumes and revenues on our Basin and Mesa pipelines were unfavorable compared to the second quarter of 2012. The Permian Basin Area Systems benefited from increased movements to new third-party pipelines connected to the Gulf Coast; however, these movements caused unfavorable volume and revenue variances on our Basin and Mesa pipelines.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that increased production combined with our phased-in expansion projects increased revenues by over $7 million and $18 million for the three and six month periods of 2013 over the comparable three and six month 2012 periods,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Rate Changes  Revenues on our pipelines are impacted by various rate changes that occur during the period.  These rate changes primarily include the upward indexing of rates on our FERC regulated pipelines, rate increases or decreases on our intrastate and Canadian pipelines or other negotiated rate changes.  The upward indexing that was effective July 1, 2012 had a favorable impact on revenues from our FERC regulated pipelines during the quarter and year-to-date periods of 2013 compared to the quarter and year-to-date periods of 2012. Revenues were also favorably impacted by increasing tariff rates on certain of our non-FERC regulated pipelines. We estimate that the collective impact of these favorable rate changes increased revenues by over $18 million and $36 million, respectively, for the three and six months ended June 30, 2013 compared to the three and six months ended June 30,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  We acquired pipelines through the BP NGL Acquisition completed on April 1, 2012. During the first quarter of 2013, we benefited from a full period of ownership of these assets, which contributed approximately $27 million of aggregate revenues and approximately 264,000 barrels per day during the three-month period ended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Weather-Related Downtime  During the second quarter of 2013, our Rangeland, South Saskatchewan and Co-Ed pipeline systems in Canada were shut down due to high river flow rates and flooding in the surrounding area. We estimate that the downtime on these pipelines impacted revenues by approximately $9 million and decreased volumes by approximately 44,000 and 22,000 barrels per day for the three- and six-month periods ended June 30, 2013,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59" w:name="PB_34_161149_2897"/>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Rail Impact  For both the three- and six-month comparable periods, volumes on our Bakken Area, Manito and Rainbow systems were negatively impacted by producer decisions to deliver more crude to rail loading facilities in the area.  We estimate that the impact to revenues was approximately $5 million and $10 million for the three- and six-month periods ended June 30, 2013, respectively, and that volumes decreased by approximately 30,000 to 35,000 barrels per day for each of the respective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approximately $14 million and $23 million, respectively, for the three and six months ended June 30, 2013 compared to the three and six months ended June 30, 2012, primarily due to a lower average realized price per barrel (including the impact of gains and losses from derivative-related activities) and lower volumes, during each of the 2013 periods as compared to 2012 periods.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noteworthy volume and revenue variances for the three and six months ended June 30, 2013 compared to the three and six months ended June 30, 2012 include (i) increased volumes and revenues on our All American pipeline due to increased production in 2013 and maintenance activities at the production facilities during 2012, (ii)  decreases on both the Salt Lake City system and Line 63 due to lower refinery demand for pipeline barrels; however, revenues were consistent with the prior years quarter due to movements on higher tariff segments on Line 63 and the receipt of contract payments on the Salt Lake City system and (iii) increased trucking volumes and revenues due to increased demand for production transported to rail and hauls from pipeline disruptions.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equity-indexed compensation expense) increased during the three and six months ended June 30, 2013 compared to the three and six months ended June 30, 2012 primarily due to (i) higher environmental response, remediation and related repair expenses associated with pipeline releases of approximately $6 million and $22 million, respectively, for the three and six months ended June 30, 2013 over the three and six months ended June 30, 2012, (ii) higher payroll costs, primarily due to the BP NGL Acquisition, and (iii) approximately $4 million of cost incurred during the six months ended June 30, 2013 associated with the testing of certain lines that we considered bringing back into service. Excluding the impacts of the environmental response and remediation expenses, field operating costs in general remained relatively consistent on a per barrel basis during the comparable three-and six-month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Equity-Indexed Compensation Expense.</w:t>
      </w:r>
      <w:r>
        <w:rPr>
          <w:rFonts w:ascii="Times New Roman" w:hAnsi="Times New Roman"/>
        </w:rPr>
        <w:t xml:space="preserve"> </w:t>
      </w:r>
      <w:r>
        <w:rPr>
          <w:rFonts w:ascii="Times New Roman" w:hAnsi="Times New Roman"/>
          <w:sz w:val="17"/>
        </w:rPr>
        <w:t>Equity-indexed compensation expense increased for the three months ended June 30, 2013 compared to the three months ended June 30, 2012, primarily due to (i) a greater number of units deemed probable of vesting for the three months ended June 30, 2013 than for the three months ended June 30, 2012 and (ii) a higher average fair value per unit in 2013 for those units deemed probable of vesting.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Equity-indexed compensation expense increased for the six months ended June 30, 2013 compared to the six months ended June 30, 2012, primarily due to (i) a more significant impact of the increase in unit price during the first half of 2013 compared to the impact of the increase during the first half of 2012, (ii) a greater number of units deemed probable of vesting for the first half of 2013 compared to the first half of 2012 and (iii) a higher average fair value per unit for those units deemed probable of vesting, partially offset by a less significant impact during the first half of 2013 compared to the increase during the first half of 2012 of the change in assumption of probable distribution levels. See Note 15 to our Consolidated Financial Statements included in Part IV of our 2012 Annual Report on Form 10-K for further information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decrease in maintenance capital during the three months ended June 30, 2013 compared to the three months ended June 30, 2012 is primarily due to the reclassification of certain 2012 expansion projects initially classified as maintenance capital.  The increase in maintenance capital during the six months ended June 30, 2013 compared to the six months ended June 30, 2012 is primarily due to increased investment on pipeline integrity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Earnings in Unconsolidated Entities</w:t>
      </w:r>
      <w:r>
        <w:rPr>
          <w:rFonts w:ascii="Times New Roman" w:hAnsi="Times New Roman"/>
          <w:sz w:val="17"/>
        </w:rPr>
        <w:t>. The favorable variance in equity earnings in unconsolidated entities for the three and six months ended June 30, 2013 compared to the three and six months ended June 30, 2012 was primarily due to increased earnings from our equity method investments as a result of (i) increased throughput on the White Cliffs pipeline, as discussed above, and (ii) increased capacity related to vessel additions and increased rates on services provided by Settoon Towing.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60" w:name="PB_35_161210_3020"/>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natural gas and NGL, NGL fractionation and isomerization services and natural gas and condensate processing services. The Facilities segment generates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Facilities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67"/>
        <w:gridCol w:w="113"/>
        <w:gridCol w:w="126"/>
        <w:gridCol w:w="580"/>
        <w:gridCol w:w="118"/>
        <w:gridCol w:w="126"/>
        <w:gridCol w:w="580"/>
        <w:gridCol w:w="118"/>
        <w:gridCol w:w="131"/>
        <w:gridCol w:w="596"/>
        <w:gridCol w:w="118"/>
        <w:gridCol w:w="767"/>
        <w:gridCol w:w="237"/>
        <w:gridCol w:w="113"/>
        <w:gridCol w:w="126"/>
        <w:gridCol w:w="580"/>
        <w:gridCol w:w="118"/>
        <w:gridCol w:w="126"/>
        <w:gridCol w:w="580"/>
        <w:gridCol w:w="118"/>
        <w:gridCol w:w="131"/>
        <w:gridCol w:w="596"/>
        <w:gridCol w:w="117"/>
        <w:gridCol w:w="768"/>
        <w:gridCol w:w="355"/>
      </w:tblGrid>
      <w:tr>
        <w:trPr/>
        <w:tc>
          <w:tcPr>
            <w:tcW w:w="2867"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50" w:type="dxa"/>
            <w:gridSpan w:val="2"/>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55" w:type="dxa"/>
            <w:tcBorders/>
            <w:shd w:fill="auto" w:val="clear"/>
            <w:vAlign w:val="bottom"/>
          </w:tcPr>
          <w:p>
            <w:pPr>
              <w:pStyle w:val="TableContents"/>
              <w:spacing w:before="0" w:after="0"/>
              <w:ind w:left="0" w:right="0" w:hanging="0"/>
              <w:jc w:val="center"/>
              <w:rPr/>
            </w:pPr>
            <w:r>
              <w:rPr/>
              <w:t> </w:t>
            </w:r>
          </w:p>
        </w:tc>
      </w:tr>
      <w:tr>
        <w:trPr/>
        <w:tc>
          <w:tcPr>
            <w:tcW w:w="2867"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50" w:type="dxa"/>
            <w:gridSpan w:val="2"/>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55" w:type="dxa"/>
            <w:tcBorders/>
            <w:shd w:fill="auto" w:val="clear"/>
            <w:vAlign w:val="bottom"/>
          </w:tcPr>
          <w:p>
            <w:pPr>
              <w:pStyle w:val="TableContents"/>
              <w:spacing w:before="0" w:after="0"/>
              <w:ind w:left="0" w:right="0" w:hanging="0"/>
              <w:jc w:val="center"/>
              <w:rPr/>
            </w:pPr>
            <w:r>
              <w:rPr/>
              <w:t> </w:t>
            </w:r>
          </w:p>
        </w:tc>
      </w:tr>
      <w:tr>
        <w:trPr/>
        <w:tc>
          <w:tcPr>
            <w:tcW w:w="2867"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50" w:type="dxa"/>
            <w:gridSpan w:val="2"/>
            <w:tcBorders/>
            <w:shd w:fill="auto" w:val="clear"/>
            <w:vAlign w:val="bottom"/>
          </w:tcPr>
          <w:p>
            <w:pPr>
              <w:pStyle w:val="TableContents"/>
              <w:spacing w:before="0" w:after="0"/>
              <w:ind w:left="0" w:right="0" w:hanging="0"/>
              <w:jc w:val="center"/>
              <w:rPr/>
            </w:pPr>
            <w:r>
              <w:rPr/>
              <w:t> </w:t>
            </w:r>
          </w:p>
        </w:tc>
        <w:tc>
          <w:tcPr>
            <w:tcW w:w="15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55" w:type="dxa"/>
            <w:tcBorders/>
            <w:shd w:fill="auto" w:val="clear"/>
            <w:vAlign w:val="bottom"/>
          </w:tcPr>
          <w:p>
            <w:pPr>
              <w:pStyle w:val="TableContents"/>
              <w:spacing w:before="0" w:after="0"/>
              <w:ind w:left="0" w:right="0" w:hanging="0"/>
              <w:jc w:val="center"/>
              <w:rPr/>
            </w:pPr>
            <w:r>
              <w:rPr/>
              <w:t> </w:t>
            </w:r>
          </w:p>
        </w:tc>
      </w:tr>
      <w:tr>
        <w:trPr/>
        <w:tc>
          <w:tcPr>
            <w:tcW w:w="286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13" w:type="dxa"/>
            <w:tcBorders/>
            <w:shd w:fill="auto" w:val="clear"/>
            <w:vAlign w:val="bottom"/>
          </w:tcPr>
          <w:p>
            <w:pPr>
              <w:pStyle w:val="TableContents"/>
              <w:spacing w:before="0" w:after="0"/>
              <w:ind w:left="0" w:right="0" w:hanging="0"/>
              <w:jc w:val="center"/>
              <w:rPr/>
            </w:pPr>
            <w:r>
              <w:rPr/>
              <w:t> </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8" w:type="dxa"/>
            <w:tcBorders/>
            <w:shd w:fill="auto" w:val="clear"/>
            <w:vAlign w:val="bottom"/>
          </w:tcPr>
          <w:p>
            <w:pPr>
              <w:pStyle w:val="TableContents"/>
              <w:spacing w:before="0" w:after="0"/>
              <w:ind w:left="0" w:right="0" w:hanging="0"/>
              <w:jc w:val="center"/>
              <w:rPr/>
            </w:pPr>
            <w:r>
              <w:rPr/>
              <w:t> </w:t>
            </w:r>
          </w:p>
        </w:tc>
        <w:tc>
          <w:tcPr>
            <w:tcW w:w="7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50" w:type="dxa"/>
            <w:gridSpan w:val="2"/>
            <w:tcBorders/>
            <w:shd w:fill="auto" w:val="clear"/>
            <w:vAlign w:val="bottom"/>
          </w:tcPr>
          <w:p>
            <w:pPr>
              <w:pStyle w:val="TableContents"/>
              <w:spacing w:before="0" w:after="0"/>
              <w:ind w:left="0" w:right="0" w:hanging="0"/>
              <w:jc w:val="center"/>
              <w:rPr/>
            </w:pPr>
            <w:r>
              <w:rPr/>
              <w:t> </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8" w:type="dxa"/>
            <w:tcBorders/>
            <w:shd w:fill="auto" w:val="clear"/>
            <w:vAlign w:val="bottom"/>
          </w:tcPr>
          <w:p>
            <w:pPr>
              <w:pStyle w:val="TableContents"/>
              <w:spacing w:before="0" w:after="0"/>
              <w:ind w:left="0" w:right="0" w:hanging="0"/>
              <w:jc w:val="center"/>
              <w:rPr/>
            </w:pPr>
            <w:r>
              <w:rPr/>
              <w:t> </w:t>
            </w:r>
          </w:p>
        </w:tc>
        <w:tc>
          <w:tcPr>
            <w:tcW w:w="7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55" w:type="dxa"/>
            <w:tcBorders/>
            <w:shd w:fill="auto" w:val="clear"/>
            <w:vAlign w:val="bottom"/>
          </w:tcPr>
          <w:p>
            <w:pPr>
              <w:pStyle w:val="TableContents"/>
              <w:spacing w:before="0" w:after="0"/>
              <w:ind w:left="0" w:right="0" w:hanging="0"/>
              <w:jc w:val="center"/>
              <w:rPr/>
            </w:pPr>
            <w:r>
              <w:rPr/>
              <w:t> </w:t>
            </w:r>
          </w:p>
        </w:tc>
      </w:tr>
      <w:tr>
        <w:trPr/>
        <w:tc>
          <w:tcPr>
            <w:tcW w:w="2867"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13"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18"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18"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1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3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w:t>
            </w:r>
          </w:p>
        </w:tc>
        <w:tc>
          <w:tcPr>
            <w:tcW w:w="118"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w:t>
            </w:r>
          </w:p>
        </w:tc>
        <w:tc>
          <w:tcPr>
            <w:tcW w:w="118"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17" w:type="dxa"/>
            <w:tcBorders/>
            <w:shd w:fill="CCEEFF" w:val="clear"/>
            <w:vAlign w:val="bottom"/>
          </w:tcPr>
          <w:p>
            <w:pPr>
              <w:pStyle w:val="TableContents"/>
              <w:spacing w:before="0" w:after="0"/>
              <w:ind w:left="0" w:right="0" w:hanging="0"/>
              <w:rPr/>
            </w:pPr>
            <w:r>
              <w:rPr/>
              <w:t> </w:t>
            </w:r>
          </w:p>
        </w:tc>
        <w:tc>
          <w:tcPr>
            <w:tcW w:w="7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w:t>
            </w:r>
            <w:r>
              <w:rPr>
                <w:sz w:val="11"/>
              </w:rPr>
              <w:t>(2)</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18"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18" w:type="dxa"/>
            <w:tcBorders/>
            <w:shd w:fill="auto" w:val="clear"/>
            <w:vAlign w:val="bottom"/>
          </w:tcPr>
          <w:p>
            <w:pPr>
              <w:pStyle w:val="TableContents"/>
              <w:spacing w:before="0" w:after="0"/>
              <w:ind w:left="0" w:right="0" w:hanging="0"/>
              <w:rPr/>
            </w:pPr>
            <w:r>
              <w:rPr/>
              <w:t> </w:t>
            </w:r>
          </w:p>
        </w:tc>
        <w:tc>
          <w:tcPr>
            <w:tcW w:w="7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3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18"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18" w:type="dxa"/>
            <w:tcBorders/>
            <w:shd w:fill="auto" w:val="clear"/>
            <w:vAlign w:val="bottom"/>
          </w:tcPr>
          <w:p>
            <w:pPr>
              <w:pStyle w:val="TableContents"/>
              <w:spacing w:before="0" w:after="0"/>
              <w:ind w:left="0" w:right="0" w:hanging="0"/>
              <w:rPr/>
            </w:pPr>
            <w:r>
              <w:rPr/>
              <w:t> </w:t>
            </w:r>
          </w:p>
        </w:tc>
        <w:tc>
          <w:tcPr>
            <w:tcW w:w="7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17" w:type="dxa"/>
            <w:tcBorders/>
            <w:shd w:fill="auto" w:val="clear"/>
            <w:vAlign w:val="bottom"/>
          </w:tcPr>
          <w:p>
            <w:pPr>
              <w:pStyle w:val="TableContents"/>
              <w:spacing w:before="0" w:after="0"/>
              <w:ind w:left="0" w:right="0" w:hanging="0"/>
              <w:rPr/>
            </w:pPr>
            <w:r>
              <w:rPr/>
              <w:t> </w:t>
            </w:r>
          </w:p>
        </w:tc>
        <w:tc>
          <w:tcPr>
            <w:tcW w:w="7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3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related costs (natural gas related)</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3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7" w:type="dxa"/>
            <w:tcBorders/>
            <w:shd w:fill="CCEEFF" w:val="clear"/>
            <w:vAlign w:val="bottom"/>
          </w:tcPr>
          <w:p>
            <w:pPr>
              <w:pStyle w:val="TableContents"/>
              <w:spacing w:before="0" w:after="0"/>
              <w:ind w:left="0" w:right="0" w:hanging="0"/>
              <w:rPr/>
            </w:pPr>
            <w:r>
              <w:rPr/>
              <w:t> </w:t>
            </w:r>
          </w:p>
        </w:tc>
        <w:tc>
          <w:tcPr>
            <w:tcW w:w="7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costs </w:t>
            </w:r>
            <w:r>
              <w:rPr>
                <w:sz w:val="11"/>
              </w:rPr>
              <w:t>(2)</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3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3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equity-indexed compensation expense) </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operations </w:t>
            </w:r>
            <w:r>
              <w:rPr>
                <w:sz w:val="11"/>
              </w:rPr>
              <w:t>(3)</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c>
          <w:tcPr>
            <w:tcW w:w="7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auto" w:val="clear"/>
            <w:vAlign w:val="bottom"/>
          </w:tcPr>
          <w:p>
            <w:pPr>
              <w:pStyle w:val="TableContents"/>
              <w:spacing w:before="0" w:after="0"/>
              <w:ind w:left="0" w:right="0" w:hanging="0"/>
              <w:rPr/>
            </w:pPr>
            <w:r>
              <w:rPr/>
              <w:t> </w:t>
            </w:r>
          </w:p>
        </w:tc>
        <w:tc>
          <w:tcPr>
            <w:tcW w:w="7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CCEEFF" w:val="clear"/>
            <w:vAlign w:val="bottom"/>
          </w:tcPr>
          <w:p>
            <w:pPr>
              <w:pStyle w:val="TableContents"/>
              <w:spacing w:before="0" w:after="0"/>
              <w:ind w:left="0" w:right="0" w:hanging="0"/>
              <w:rPr/>
            </w:pPr>
            <w:r>
              <w:rPr>
                <w:rFonts w:ascii="Times New Roman" w:hAnsi="Times New Roman"/>
                <w:sz w:val="17"/>
              </w:rPr>
              <w:t xml:space="preserve">Segment general and administrative expenses </w:t>
            </w:r>
            <w:r>
              <w:rPr>
                <w:sz w:val="11"/>
              </w:rPr>
              <w:t xml:space="preserve">(4) </w:t>
            </w:r>
            <w:r>
              <w:rPr>
                <w:sz w:val="17"/>
              </w:rPr>
              <w:t>(excluding equity-indexed compensation expense)</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c>
          <w:tcPr>
            <w:tcW w:w="7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general and administrative </w:t>
            </w:r>
            <w:r>
              <w:rPr>
                <w:sz w:val="11"/>
              </w:rPr>
              <w:t>(3)</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3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113"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18"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18"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18" w:type="dxa"/>
            <w:tcBorders/>
            <w:shd w:fill="CCEEFF" w:val="clear"/>
            <w:vAlign w:val="bottom"/>
          </w:tcPr>
          <w:p>
            <w:pPr>
              <w:pStyle w:val="TableContents"/>
              <w:spacing w:before="0" w:after="0"/>
              <w:ind w:left="0" w:right="0" w:hanging="0"/>
              <w:rPr/>
            </w:pPr>
            <w:r>
              <w:rPr/>
              <w:t> </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3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18"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18"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17" w:type="dxa"/>
            <w:tcBorders/>
            <w:shd w:fill="CCEEFF" w:val="clear"/>
            <w:vAlign w:val="bottom"/>
          </w:tcPr>
          <w:p>
            <w:pPr>
              <w:pStyle w:val="TableContents"/>
              <w:spacing w:before="0" w:after="0"/>
              <w:ind w:left="0" w:right="0" w:hanging="0"/>
              <w:rPr/>
            </w:pPr>
            <w:r>
              <w:rPr/>
              <w:t> </w:t>
            </w:r>
          </w:p>
        </w:tc>
        <w:tc>
          <w:tcPr>
            <w:tcW w:w="7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13"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8"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8"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8"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8"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13"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118"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0.35</w:t>
            </w:r>
          </w:p>
        </w:tc>
        <w:tc>
          <w:tcPr>
            <w:tcW w:w="118"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118" w:type="dxa"/>
            <w:tcBorders/>
            <w:shd w:fill="CCEEFF" w:val="clear"/>
            <w:vAlign w:val="bottom"/>
          </w:tcPr>
          <w:p>
            <w:pPr>
              <w:pStyle w:val="TableContents"/>
              <w:spacing w:before="0" w:after="0"/>
              <w:ind w:left="0" w:right="0" w:hanging="0"/>
              <w:rPr/>
            </w:pPr>
            <w:r>
              <w:rPr/>
              <w:t> </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118"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118"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0.08</w:t>
            </w:r>
          </w:p>
        </w:tc>
        <w:tc>
          <w:tcPr>
            <w:tcW w:w="117" w:type="dxa"/>
            <w:tcBorders/>
            <w:shd w:fill="CCEEFF" w:val="clear"/>
            <w:vAlign w:val="bottom"/>
          </w:tcPr>
          <w:p>
            <w:pPr>
              <w:pStyle w:val="TableContents"/>
              <w:spacing w:before="0" w:after="0"/>
              <w:ind w:left="0" w:right="0" w:hanging="0"/>
              <w:rPr/>
            </w:pPr>
            <w:r>
              <w:rPr/>
              <w:t> </w:t>
            </w:r>
          </w:p>
        </w:tc>
        <w:tc>
          <w:tcPr>
            <w:tcW w:w="7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pPr>
            <w:r>
              <w:rPr/>
              <w:t> </w:t>
            </w:r>
          </w:p>
        </w:tc>
        <w:tc>
          <w:tcPr>
            <w:tcW w:w="237" w:type="dxa"/>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pPr>
            <w:r>
              <w:rPr/>
              <w:t> </w:t>
            </w:r>
          </w:p>
        </w:tc>
        <w:tc>
          <w:tcPr>
            <w:tcW w:w="355" w:type="dxa"/>
            <w:tcBorders/>
            <w:shd w:fill="auto" w:val="clear"/>
            <w:vAlign w:val="bottom"/>
          </w:tcPr>
          <w:p>
            <w:pPr>
              <w:pStyle w:val="TableContents"/>
              <w:spacing w:before="0" w:after="0"/>
              <w:ind w:left="0" w:right="0" w:hanging="0"/>
              <w:jc w:val="center"/>
              <w:rPr/>
            </w:pPr>
            <w:r>
              <w:rPr/>
              <w:t> </w:t>
            </w:r>
          </w:p>
        </w:tc>
      </w:tr>
      <w:tr>
        <w:trPr/>
        <w:tc>
          <w:tcPr>
            <w:tcW w:w="2867"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7" w:type="dxa"/>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55" w:type="dxa"/>
            <w:tcBorders/>
            <w:shd w:fill="auto" w:val="clear"/>
            <w:vAlign w:val="bottom"/>
          </w:tcPr>
          <w:p>
            <w:pPr>
              <w:pStyle w:val="TableContents"/>
              <w:spacing w:before="0" w:after="0"/>
              <w:ind w:left="0" w:right="0" w:hanging="0"/>
              <w:jc w:val="center"/>
              <w:rPr/>
            </w:pPr>
            <w:r>
              <w:rPr/>
              <w:t> </w:t>
            </w:r>
          </w:p>
        </w:tc>
      </w:tr>
      <w:tr>
        <w:trPr/>
        <w:tc>
          <w:tcPr>
            <w:tcW w:w="2867"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7" w:type="dxa"/>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55" w:type="dxa"/>
            <w:tcBorders/>
            <w:shd w:fill="auto" w:val="clear"/>
            <w:vAlign w:val="bottom"/>
          </w:tcPr>
          <w:p>
            <w:pPr>
              <w:pStyle w:val="TableContents"/>
              <w:spacing w:before="0" w:after="0"/>
              <w:ind w:left="0" w:right="0" w:hanging="0"/>
              <w:jc w:val="center"/>
              <w:rPr/>
            </w:pPr>
            <w:r>
              <w:rPr/>
              <w:t> </w:t>
            </w:r>
          </w:p>
        </w:tc>
      </w:tr>
      <w:tr>
        <w:trPr/>
        <w:tc>
          <w:tcPr>
            <w:tcW w:w="2867"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7" w:type="dxa"/>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5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8" w:type="dxa"/>
            <w:tcBorders/>
            <w:shd w:fill="auto" w:val="clear"/>
            <w:vAlign w:val="bottom"/>
          </w:tcPr>
          <w:p>
            <w:pPr>
              <w:pStyle w:val="TableContents"/>
              <w:spacing w:before="0" w:after="0"/>
              <w:ind w:left="0" w:right="0" w:hanging="0"/>
              <w:jc w:val="center"/>
              <w:rPr/>
            </w:pPr>
            <w:r>
              <w:rPr/>
              <w:t> </w:t>
            </w:r>
          </w:p>
        </w:tc>
        <w:tc>
          <w:tcPr>
            <w:tcW w:w="161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55" w:type="dxa"/>
            <w:tcBorders/>
            <w:shd w:fill="auto" w:val="clear"/>
            <w:vAlign w:val="bottom"/>
          </w:tcPr>
          <w:p>
            <w:pPr>
              <w:pStyle w:val="TableContents"/>
              <w:spacing w:before="0" w:after="0"/>
              <w:ind w:left="0" w:right="0" w:hanging="0"/>
              <w:jc w:val="center"/>
              <w:rPr/>
            </w:pPr>
            <w:r>
              <w:rPr/>
              <w:t> </w:t>
            </w:r>
          </w:p>
        </w:tc>
      </w:tr>
      <w:tr>
        <w:trPr/>
        <w:tc>
          <w:tcPr>
            <w:tcW w:w="2867"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Volumes </w:t>
            </w:r>
            <w:r>
              <w:rPr>
                <w:b/>
                <w:sz w:val="8"/>
              </w:rPr>
              <w:t>(5) (6)</w:t>
            </w:r>
          </w:p>
        </w:tc>
        <w:tc>
          <w:tcPr>
            <w:tcW w:w="113" w:type="dxa"/>
            <w:tcBorders/>
            <w:shd w:fill="auto" w:val="clear"/>
            <w:vAlign w:val="bottom"/>
          </w:tcPr>
          <w:p>
            <w:pPr>
              <w:pStyle w:val="TableContents"/>
              <w:spacing w:before="0" w:after="0"/>
              <w:ind w:left="0" w:right="0" w:hanging="0"/>
              <w:jc w:val="center"/>
              <w:rPr/>
            </w:pPr>
            <w:r>
              <w:rPr/>
              <w:t> </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8" w:type="dxa"/>
            <w:tcBorders/>
            <w:shd w:fill="auto" w:val="clear"/>
            <w:vAlign w:val="bottom"/>
          </w:tcPr>
          <w:p>
            <w:pPr>
              <w:pStyle w:val="TableContents"/>
              <w:spacing w:before="0" w:after="0"/>
              <w:ind w:left="0" w:right="0" w:hanging="0"/>
              <w:jc w:val="center"/>
              <w:rPr/>
            </w:pPr>
            <w:r>
              <w:rPr/>
              <w:t> </w:t>
            </w:r>
          </w:p>
        </w:tc>
        <w:tc>
          <w:tcPr>
            <w:tcW w:w="7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7" w:type="dxa"/>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8" w:type="dxa"/>
            <w:tcBorders/>
            <w:shd w:fill="auto" w:val="clear"/>
            <w:vAlign w:val="bottom"/>
          </w:tcPr>
          <w:p>
            <w:pPr>
              <w:pStyle w:val="TableContents"/>
              <w:spacing w:before="0" w:after="0"/>
              <w:ind w:left="0" w:right="0" w:hanging="0"/>
              <w:jc w:val="center"/>
              <w:rPr/>
            </w:pPr>
            <w:r>
              <w:rPr/>
              <w:t> </w:t>
            </w:r>
          </w:p>
        </w:tc>
        <w:tc>
          <w:tcPr>
            <w:tcW w:w="7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55" w:type="dxa"/>
            <w:tcBorders/>
            <w:shd w:fill="auto" w:val="clear"/>
            <w:vAlign w:val="bottom"/>
          </w:tcPr>
          <w:p>
            <w:pPr>
              <w:pStyle w:val="TableContents"/>
              <w:spacing w:before="0" w:after="0"/>
              <w:ind w:left="0" w:right="0" w:hanging="0"/>
              <w:jc w:val="center"/>
              <w:rPr/>
            </w:pPr>
            <w:r>
              <w:rPr/>
              <w:t> </w:t>
            </w:r>
          </w:p>
        </w:tc>
      </w:tr>
      <w:tr>
        <w:trPr/>
        <w:tc>
          <w:tcPr>
            <w:tcW w:w="28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terminalling and storage (average monthly capacity in millions of barrels)</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18"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18" w:type="dxa"/>
            <w:tcBorders/>
            <w:shd w:fill="CCEEFF"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CCEEFF" w:val="clear"/>
            <w:vAlign w:val="bottom"/>
          </w:tcPr>
          <w:p>
            <w:pPr>
              <w:pStyle w:val="TableContents"/>
              <w:spacing w:before="0" w:after="0"/>
              <w:ind w:left="0" w:right="0" w:hanging="0"/>
              <w:rPr/>
            </w:pPr>
            <w:r>
              <w:rPr/>
              <w:t> </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18"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18" w:type="dxa"/>
            <w:tcBorders/>
            <w:shd w:fill="CCEEFF"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7" w:type="dxa"/>
            <w:tcBorders/>
            <w:shd w:fill="CCEEFF" w:val="clear"/>
            <w:vAlign w:val="bottom"/>
          </w:tcPr>
          <w:p>
            <w:pPr>
              <w:pStyle w:val="TableContents"/>
              <w:spacing w:before="0" w:after="0"/>
              <w:ind w:left="0" w:right="0" w:hanging="0"/>
              <w:rPr/>
            </w:pPr>
            <w:r>
              <w:rPr/>
              <w:t> </w:t>
            </w:r>
          </w:p>
        </w:tc>
        <w:tc>
          <w:tcPr>
            <w:tcW w:w="7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Rail load / unload volumes (average volumes in thousands of barrels per day)</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18"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18" w:type="dxa"/>
            <w:tcBorders/>
            <w:shd w:fill="auto" w:val="clear"/>
            <w:vAlign w:val="bottom"/>
          </w:tcPr>
          <w:p>
            <w:pPr>
              <w:pStyle w:val="TableContents"/>
              <w:spacing w:before="0" w:after="0"/>
              <w:ind w:left="0" w:right="0" w:hanging="0"/>
              <w:rPr/>
            </w:pPr>
            <w:r>
              <w:rPr/>
              <w:t> </w:t>
            </w:r>
          </w:p>
        </w:tc>
        <w:tc>
          <w:tcPr>
            <w:tcW w:w="7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3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18"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17" w:type="dxa"/>
            <w:tcBorders/>
            <w:shd w:fill="auto" w:val="clear"/>
            <w:vAlign w:val="bottom"/>
          </w:tcPr>
          <w:p>
            <w:pPr>
              <w:pStyle w:val="TableContents"/>
              <w:spacing w:before="0" w:after="0"/>
              <w:ind w:left="0" w:right="0" w:hanging="0"/>
              <w:rPr/>
            </w:pPr>
            <w:r>
              <w:rPr/>
              <w:t> </w:t>
            </w:r>
          </w:p>
        </w:tc>
        <w:tc>
          <w:tcPr>
            <w:tcW w:w="7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55" w:type="dxa"/>
            <w:tcBorders/>
            <w:shd w:fill="auto" w:val="clear"/>
            <w:vAlign w:val="bottom"/>
          </w:tcPr>
          <w:p>
            <w:pPr>
              <w:pStyle w:val="TableContents"/>
              <w:spacing w:before="0" w:after="0"/>
              <w:ind w:left="0" w:right="0" w:hanging="0"/>
              <w:rPr/>
            </w:pPr>
            <w:r>
              <w:rPr/>
              <w:t> </w:t>
            </w:r>
          </w:p>
        </w:tc>
      </w:tr>
      <w:tr>
        <w:trPr/>
        <w:tc>
          <w:tcPr>
            <w:tcW w:w="28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18"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18" w:type="dxa"/>
            <w:tcBorders/>
            <w:shd w:fill="CCEEFF"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8" w:type="dxa"/>
            <w:tcBorders/>
            <w:shd w:fill="CCEEFF" w:val="clear"/>
            <w:vAlign w:val="bottom"/>
          </w:tcPr>
          <w:p>
            <w:pPr>
              <w:pStyle w:val="TableContents"/>
              <w:spacing w:before="0" w:after="0"/>
              <w:ind w:left="0" w:right="0" w:hanging="0"/>
              <w:rPr/>
            </w:pPr>
            <w:r>
              <w:rPr/>
              <w:t> </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18"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18" w:type="dxa"/>
            <w:tcBorders/>
            <w:shd w:fill="CCEEFF"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7" w:type="dxa"/>
            <w:tcBorders/>
            <w:shd w:fill="CCEEFF" w:val="clear"/>
            <w:vAlign w:val="bottom"/>
          </w:tcPr>
          <w:p>
            <w:pPr>
              <w:pStyle w:val="TableContents"/>
              <w:spacing w:before="0" w:after="0"/>
              <w:ind w:left="0" w:right="0" w:hanging="0"/>
              <w:rPr/>
            </w:pPr>
            <w:r>
              <w:rPr/>
              <w:t> </w:t>
            </w:r>
          </w:p>
        </w:tc>
        <w:tc>
          <w:tcPr>
            <w:tcW w:w="7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(average volumes in thousands of barrels per day)</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18"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18" w:type="dxa"/>
            <w:tcBorders/>
            <w:shd w:fill="auto"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18"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8" w:type="dxa"/>
            <w:tcBorders/>
            <w:shd w:fill="auto"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17" w:type="dxa"/>
            <w:tcBorders/>
            <w:shd w:fill="auto" w:val="clear"/>
            <w:vAlign w:val="bottom"/>
          </w:tcPr>
          <w:p>
            <w:pPr>
              <w:pStyle w:val="TableContents"/>
              <w:spacing w:before="0" w:after="0"/>
              <w:ind w:left="0" w:right="0" w:hanging="0"/>
              <w:rPr/>
            </w:pPr>
            <w:r>
              <w:rPr/>
              <w:t> </w:t>
            </w:r>
          </w:p>
        </w:tc>
        <w:tc>
          <w:tcPr>
            <w:tcW w:w="7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3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total (average monthly volumes in millions of barrels)</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18"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18" w:type="dxa"/>
            <w:tcBorders/>
            <w:shd w:fill="CCEEFF"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8" w:type="dxa"/>
            <w:tcBorders/>
            <w:shd w:fill="CCEEFF" w:val="clear"/>
            <w:vAlign w:val="bottom"/>
          </w:tcPr>
          <w:p>
            <w:pPr>
              <w:pStyle w:val="TableContents"/>
              <w:spacing w:before="0" w:after="0"/>
              <w:ind w:left="0" w:right="0" w:hanging="0"/>
              <w:rPr/>
            </w:pPr>
            <w:r>
              <w:rPr/>
              <w:t> </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18"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18" w:type="dxa"/>
            <w:tcBorders/>
            <w:shd w:fill="CCEEFF" w:val="clear"/>
            <w:vAlign w:val="bottom"/>
          </w:tcPr>
          <w:p>
            <w:pPr>
              <w:pStyle w:val="TableContents"/>
              <w:spacing w:before="0" w:after="0"/>
              <w:ind w:left="0" w:right="0" w:hanging="0"/>
              <w:rPr/>
            </w:pPr>
            <w:r>
              <w:rPr/>
              <w:t> </w:t>
            </w:r>
          </w:p>
        </w:tc>
        <w:tc>
          <w:tcPr>
            <w:tcW w:w="72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7" w:type="dxa"/>
            <w:tcBorders/>
            <w:shd w:fill="CCEEFF" w:val="clear"/>
            <w:vAlign w:val="bottom"/>
          </w:tcPr>
          <w:p>
            <w:pPr>
              <w:pStyle w:val="TableContents"/>
              <w:spacing w:before="0" w:after="0"/>
              <w:ind w:left="0" w:right="0" w:hanging="0"/>
              <w:rPr/>
            </w:pPr>
            <w:r>
              <w:rPr/>
              <w:t> </w:t>
            </w:r>
          </w:p>
        </w:tc>
        <w:tc>
          <w:tcPr>
            <w:tcW w:w="7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Natural gas sales and costs are attributable to the activities performed by PNGs commercial optimization group.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Equity-indexed compensation expense shown in the table above includes expenses associated with awards that will or may be settled in units and awards that will or may be settled in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61" w:name="PB_36_161755_7056"/>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Facilities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rPr>
        <w:t xml:space="preserve">  </w:t>
      </w:r>
      <w:r>
        <w:rPr>
          <w:rFonts w:ascii="Times New Roman" w:hAnsi="Times New Roman"/>
          <w:sz w:val="17"/>
        </w:rPr>
        <w:t>As noted in the tables above, our Facilities segment revenues, less storage related costs and natural gas sales costs, and volumes increased for the three and six months ended June 30, 2013 compared to the same periods of 2012.  The significant variances in revenues and average monthly volumes between the comparative periods are primarily due to our acquisitions and ongoing expansion activities as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Rail Terminal Acquisition and Expansion Projects  The USD Rail Terminal Acquisition completed in December 2012 and related internal growth projects completed during the latter portion of 2012 expanded our rail loading and unloading fee-based activities. These rail load and unload activities contributed approximately $26 million and $52 million to the increase in total revenues for the three and six months ended June 30, 2013 over the three and six months ended June 30, 2012, respectively, and increased average throughput volumes by approximately 231,000 and 223,000 barrels per day during the respective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  We acquired NGL storage facilities, fractionation plants and related assets through the BP NGL Acquisition completed on April 1, 2012.  During the first quarter of 2013, we benefited from a full period of ownership of these assets, which contributed approximately $66 million of aggregate revenues, 14 million barrels of average monthly capacity of NGL storage capacity, and 87,000 barrels per day of average NGL fractionation throughput during the three-month period ended March 31, 2013. See the bullet point below entitled Fractionation and Processing Activities for a discussion of the performance of these assets during the remainder of the 2013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Fractionation and Processing Activities  While NGL fractionation volumes decreased for the three months ended June 30, 2013 compared to the same 2012 period largely due to lower supply volumes related to the apportionment of certain third-party pipelines, we experienced favorable results in the aggregate related to these activities.  The favorable results related to both our NGL fractionation and gas processing activities of approximately $15 million for the three months ended June 30, 2013 as compared to the same period ended June 30, 2012 were primarily related to physical processing gains recognized at certain owned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Expansion Projects  We estimate that expansion projects that were completed in phases throughout recent years at some of our major terminal locations favorably impacted revenues for the three and six months ended June 30, 2013 compared to the three and six months ended June 30, 2012 by approximately $5 million and $10 million, respectively.  Such projects included completed phases of expansions at our Cushing, Patoka,  St. James and Yorktown terminals and new condensate stabilizers at our Gardendale terminal.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Natural Gas Storage Activities  While our average monthly natural gas storage capacity increased due to expansions of the Pine Prairie and Southern Pines facilities, decreased storage rates on contracts executed to replace expiring contracts on existing capacity largely offset incremental revenues from our natural gas storage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equity-indexed compensation expense) increased during the three and six months ended June 30, 2013 compared to the three and six months ended June 30, 2012 due to our growth through acquisitions, primarily the BP NGL and USD Rail Terminal Acquisitions. Additionally, the BP NGL Acquisition assets and operations typically have a higher ratio of operating costs to revenue than our historic operations in this segment.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Equity-Indexed Compensation Expense.</w:t>
      </w:r>
      <w:r>
        <w:rPr>
          <w:rFonts w:ascii="Times New Roman" w:hAnsi="Times New Roman"/>
        </w:rPr>
        <w:t xml:space="preserve"> </w:t>
      </w:r>
      <w:r>
        <w:rPr>
          <w:rFonts w:ascii="Times New Roman" w:hAnsi="Times New Roman"/>
          <w:sz w:val="17"/>
        </w:rPr>
        <w:t>On a consolidated basis, equity-indexed compensation expense increased during both the three and six months ended June 30, 2013 as compared to the three and six months ended June 30, 2012. See discussion regarding such variances under Transportation Segment above. Also, see Note 15 to our Consolidated Financial Statements included in Part IV of our 2012 Annual Report on Form 10-K for further information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revenues from supply and logistics activities reflect the sale of gathered and bulk-purchased crude oil, as well as sales of NGL volumes purchased from suppliers. These revenues also include the sale of additional barrels exchanged through buy/sell arrangements entered into to supplement the margins of the gathered and bulk-purchased volumes.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gathered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62" w:name="PB_37_211430_7056"/>
      <w:bookmarkEnd w:id="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Supply and Logistics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70"/>
        <w:gridCol w:w="118"/>
        <w:gridCol w:w="118"/>
        <w:gridCol w:w="712"/>
        <w:gridCol w:w="119"/>
        <w:gridCol w:w="118"/>
        <w:gridCol w:w="594"/>
        <w:gridCol w:w="118"/>
        <w:gridCol w:w="118"/>
        <w:gridCol w:w="594"/>
        <w:gridCol w:w="118"/>
        <w:gridCol w:w="594"/>
        <w:gridCol w:w="356"/>
        <w:gridCol w:w="236"/>
        <w:gridCol w:w="119"/>
        <w:gridCol w:w="593"/>
        <w:gridCol w:w="119"/>
        <w:gridCol w:w="118"/>
        <w:gridCol w:w="594"/>
        <w:gridCol w:w="118"/>
        <w:gridCol w:w="118"/>
        <w:gridCol w:w="594"/>
        <w:gridCol w:w="118"/>
        <w:gridCol w:w="594"/>
        <w:gridCol w:w="237"/>
      </w:tblGrid>
      <w:tr>
        <w:trPr/>
        <w:tc>
          <w:tcPr>
            <w:tcW w:w="297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830"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66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15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18" w:type="dxa"/>
            <w:tcBorders/>
            <w:shd w:fill="auto" w:val="clear"/>
            <w:vAlign w:val="bottom"/>
          </w:tcPr>
          <w:p>
            <w:pPr>
              <w:pStyle w:val="TableContents"/>
              <w:spacing w:before="0" w:after="0"/>
              <w:ind w:left="0" w:right="0" w:hanging="0"/>
              <w:jc w:val="center"/>
              <w:rPr/>
            </w:pPr>
            <w:r>
              <w:rPr/>
              <w:t> </w:t>
            </w:r>
          </w:p>
        </w:tc>
        <w:tc>
          <w:tcPr>
            <w:tcW w:w="166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15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18" w:type="dxa"/>
            <w:tcBorders/>
            <w:shd w:fill="auto" w:val="clear"/>
            <w:vAlign w:val="bottom"/>
          </w:tcPr>
          <w:p>
            <w:pPr>
              <w:pStyle w:val="TableContents"/>
              <w:spacing w:before="0" w:after="0"/>
              <w:ind w:left="0" w:right="0" w:hanging="0"/>
              <w:jc w:val="center"/>
              <w:rPr/>
            </w:pPr>
            <w:r>
              <w:rPr/>
              <w:t> </w:t>
            </w:r>
          </w:p>
        </w:tc>
        <w:tc>
          <w:tcPr>
            <w:tcW w:w="8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8"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94"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8" w:type="dxa"/>
            <w:tcBorders/>
            <w:shd w:fill="auto" w:val="clear"/>
            <w:vAlign w:val="bottom"/>
          </w:tcPr>
          <w:p>
            <w:pPr>
              <w:pStyle w:val="TableContents"/>
              <w:spacing w:before="0" w:after="0"/>
              <w:ind w:left="0" w:right="0" w:hanging="0"/>
              <w:jc w:val="center"/>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94"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18" w:type="dxa"/>
            <w:tcBorders/>
            <w:shd w:fill="CCEEFF" w:val="clear"/>
            <w:vAlign w:val="bottom"/>
          </w:tcPr>
          <w:p>
            <w:pPr>
              <w:pStyle w:val="TableContents"/>
              <w:spacing w:before="0" w:after="0"/>
              <w:ind w:left="0" w:right="0" w:hanging="0"/>
              <w:rPr/>
            </w:pPr>
            <w:r>
              <w:rPr/>
              <w:t> </w:t>
            </w:r>
          </w:p>
        </w:tc>
        <w:tc>
          <w:tcPr>
            <w:tcW w:w="118"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9,934</w:t>
            </w:r>
          </w:p>
        </w:tc>
        <w:tc>
          <w:tcPr>
            <w:tcW w:w="119" w:type="dxa"/>
            <w:tcBorders/>
            <w:shd w:fill="CCEEFF" w:val="clear"/>
            <w:vAlign w:val="bottom"/>
          </w:tcPr>
          <w:p>
            <w:pPr>
              <w:pStyle w:val="TableContents"/>
              <w:spacing w:before="0" w:after="0"/>
              <w:ind w:left="0" w:right="0" w:hanging="0"/>
              <w:rPr/>
            </w:pPr>
            <w:r>
              <w:rPr/>
              <w:t> </w:t>
            </w:r>
          </w:p>
        </w:tc>
        <w:tc>
          <w:tcPr>
            <w:tcW w:w="118"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9,442</w:t>
            </w:r>
          </w:p>
        </w:tc>
        <w:tc>
          <w:tcPr>
            <w:tcW w:w="118" w:type="dxa"/>
            <w:tcBorders/>
            <w:shd w:fill="CCEEFF" w:val="clear"/>
            <w:vAlign w:val="bottom"/>
          </w:tcPr>
          <w:p>
            <w:pPr>
              <w:pStyle w:val="TableContents"/>
              <w:spacing w:before="0" w:after="0"/>
              <w:ind w:left="0" w:right="0" w:hanging="0"/>
              <w:rPr/>
            </w:pPr>
            <w:r>
              <w:rPr/>
              <w:t> </w:t>
            </w:r>
          </w:p>
        </w:tc>
        <w:tc>
          <w:tcPr>
            <w:tcW w:w="118"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w:t>
            </w:r>
          </w:p>
        </w:tc>
        <w:tc>
          <w:tcPr>
            <w:tcW w:w="118" w:type="dxa"/>
            <w:tcBorders/>
            <w:shd w:fill="CCEEFF" w:val="clear"/>
            <w:vAlign w:val="bottom"/>
          </w:tcPr>
          <w:p>
            <w:pPr>
              <w:pStyle w:val="TableContents"/>
              <w:spacing w:before="0" w:after="0"/>
              <w:ind w:left="0" w:right="0" w:hanging="0"/>
              <w:rPr/>
            </w:pPr>
            <w:r>
              <w:rPr/>
              <w:t> </w:t>
            </w:r>
          </w:p>
        </w:tc>
        <w:tc>
          <w:tcPr>
            <w:tcW w:w="5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20,158</w:t>
            </w:r>
          </w:p>
        </w:tc>
        <w:tc>
          <w:tcPr>
            <w:tcW w:w="119" w:type="dxa"/>
            <w:tcBorders/>
            <w:shd w:fill="CCEEFF" w:val="clear"/>
            <w:vAlign w:val="bottom"/>
          </w:tcPr>
          <w:p>
            <w:pPr>
              <w:pStyle w:val="TableContents"/>
              <w:spacing w:before="0" w:after="0"/>
              <w:ind w:left="0" w:right="0" w:hanging="0"/>
              <w:rPr/>
            </w:pPr>
            <w:r>
              <w:rPr/>
              <w:t> </w:t>
            </w:r>
          </w:p>
        </w:tc>
        <w:tc>
          <w:tcPr>
            <w:tcW w:w="118"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18,319</w:t>
            </w:r>
          </w:p>
        </w:tc>
        <w:tc>
          <w:tcPr>
            <w:tcW w:w="118"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1,839</w:t>
            </w:r>
          </w:p>
        </w:tc>
        <w:tc>
          <w:tcPr>
            <w:tcW w:w="118" w:type="dxa"/>
            <w:tcBorders/>
            <w:shd w:fill="CCEEFF" w:val="clear"/>
            <w:vAlign w:val="bottom"/>
          </w:tcPr>
          <w:p>
            <w:pPr>
              <w:pStyle w:val="TableContents"/>
              <w:spacing w:before="0" w:after="0"/>
              <w:ind w:left="0" w:right="0" w:hanging="0"/>
              <w:rPr/>
            </w:pPr>
            <w:r>
              <w:rPr/>
              <w:t> </w:t>
            </w:r>
          </w:p>
        </w:tc>
        <w:tc>
          <w:tcPr>
            <w:tcW w:w="5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 </w:t>
            </w:r>
          </w:p>
        </w:tc>
        <w:tc>
          <w:tcPr>
            <w:tcW w:w="118"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(9,614</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(9,030</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(584</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5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(19,249</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(17,638</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indexed compensation expense)</w:t>
            </w:r>
          </w:p>
        </w:tc>
        <w:tc>
          <w:tcPr>
            <w:tcW w:w="118"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operations </w:t>
            </w:r>
            <w:r>
              <w:rPr>
                <w:sz w:val="11"/>
              </w:rPr>
              <w:t>(3)</w:t>
            </w:r>
          </w:p>
        </w:tc>
        <w:tc>
          <w:tcPr>
            <w:tcW w:w="118"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c>
          <w:tcPr>
            <w:tcW w:w="5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CCEEFF" w:val="clear"/>
            <w:vAlign w:val="bottom"/>
          </w:tcPr>
          <w:p>
            <w:pPr>
              <w:pStyle w:val="TableContents"/>
              <w:spacing w:before="0" w:after="0"/>
              <w:ind w:left="0" w:right="0" w:hanging="0"/>
              <w:rPr/>
            </w:pPr>
            <w:r>
              <w:rPr>
                <w:rFonts w:ascii="Times New Roman" w:hAnsi="Times New Roman"/>
                <w:sz w:val="17"/>
              </w:rPr>
              <w:t>Segment general and administrative expenses </w:t>
            </w:r>
            <w:r>
              <w:rPr>
                <w:sz w:val="11"/>
              </w:rPr>
              <w:t xml:space="preserve">(4) </w:t>
            </w:r>
            <w:r>
              <w:rPr>
                <w:sz w:val="17"/>
              </w:rPr>
              <w:t xml:space="preserve">(excluding equity-indexed compensation expense) </w:t>
            </w:r>
          </w:p>
        </w:tc>
        <w:tc>
          <w:tcPr>
            <w:tcW w:w="118"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pPr>
            <w:r>
              <w:rPr/>
              <w:t> </w:t>
            </w:r>
          </w:p>
        </w:tc>
        <w:tc>
          <w:tcPr>
            <w:tcW w:w="5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pPr>
            <w:r>
              <w:rPr/>
              <w:t> </w:t>
            </w:r>
          </w:p>
        </w:tc>
        <w:tc>
          <w:tcPr>
            <w:tcW w:w="5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auto" w:val="clear"/>
            <w:vAlign w:val="bottom"/>
          </w:tcPr>
          <w:p>
            <w:pPr>
              <w:pStyle w:val="TableContents"/>
              <w:spacing w:before="0" w:after="0"/>
              <w:ind w:left="0" w:right="0" w:hanging="0"/>
              <w:rPr/>
            </w:pPr>
            <w:r>
              <w:rPr>
                <w:rFonts w:ascii="Times New Roman" w:hAnsi="Times New Roman"/>
                <w:sz w:val="17"/>
              </w:rPr>
              <w:t>Equity-indexed compensation expense - general and administrative</w:t>
            </w:r>
            <w:r>
              <w:rPr/>
              <w:t xml:space="preserve"> </w:t>
            </w:r>
            <w:r>
              <w:rPr>
                <w:sz w:val="11"/>
              </w:rPr>
              <w:t>(3)</w:t>
            </w:r>
          </w:p>
        </w:tc>
        <w:tc>
          <w:tcPr>
            <w:tcW w:w="118" w:type="dxa"/>
            <w:tcBorders/>
            <w:shd w:fill="auto" w:val="clear"/>
            <w:vAlign w:val="bottom"/>
          </w:tcPr>
          <w:p>
            <w:pPr>
              <w:pStyle w:val="TableContents"/>
              <w:spacing w:before="0" w:after="0"/>
              <w:ind w:left="0" w:right="0" w:hanging="0"/>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35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18"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19"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18"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3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w:t>
            </w:r>
          </w:p>
        </w:tc>
        <w:tc>
          <w:tcPr>
            <w:tcW w:w="119"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18"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18" w:type="dxa"/>
            <w:tcBorders/>
            <w:shd w:fill="CCEEFF" w:val="clear"/>
            <w:vAlign w:val="bottom"/>
          </w:tcPr>
          <w:p>
            <w:pPr>
              <w:pStyle w:val="TableContents"/>
              <w:spacing w:before="0" w:after="0"/>
              <w:ind w:left="0" w:right="0" w:hanging="0"/>
              <w:rPr/>
            </w:pPr>
            <w:r>
              <w:rPr/>
              <w:t> </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18"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9"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8"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35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9"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8"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18"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19"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18"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3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119"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18"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118" w:type="dxa"/>
            <w:tcBorders/>
            <w:shd w:fill="CCEEFF" w:val="clear"/>
            <w:vAlign w:val="bottom"/>
          </w:tcPr>
          <w:p>
            <w:pPr>
              <w:pStyle w:val="TableContents"/>
              <w:spacing w:before="0" w:after="0"/>
              <w:ind w:left="0" w:right="0" w:hanging="0"/>
              <w:rPr/>
            </w:pPr>
            <w:r>
              <w:rPr/>
              <w:t> </w:t>
            </w:r>
          </w:p>
        </w:tc>
        <w:tc>
          <w:tcPr>
            <w:tcW w:w="5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830"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594" w:type="dxa"/>
            <w:tcBorders/>
            <w:shd w:fill="auto" w:val="clear"/>
            <w:vAlign w:val="bottom"/>
          </w:tcPr>
          <w:p>
            <w:pPr>
              <w:pStyle w:val="TableContents"/>
              <w:spacing w:before="0" w:after="0"/>
              <w:ind w:left="0" w:right="0" w:hanging="0"/>
              <w:jc w:val="center"/>
              <w:rPr/>
            </w:pPr>
            <w:r>
              <w:rPr/>
              <w:t> </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594" w:type="dxa"/>
            <w:tcBorders/>
            <w:shd w:fill="auto" w:val="clear"/>
            <w:vAlign w:val="bottom"/>
          </w:tcPr>
          <w:p>
            <w:pPr>
              <w:pStyle w:val="TableContents"/>
              <w:spacing w:before="0" w:after="0"/>
              <w:ind w:left="0" w:right="0" w:hanging="0"/>
              <w:jc w:val="center"/>
              <w:rPr/>
            </w:pPr>
            <w:r>
              <w:rPr/>
              <w:t> </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830"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594" w:type="dxa"/>
            <w:tcBorders/>
            <w:shd w:fill="auto" w:val="clear"/>
            <w:vAlign w:val="bottom"/>
          </w:tcPr>
          <w:p>
            <w:pPr>
              <w:pStyle w:val="TableContents"/>
              <w:spacing w:before="0" w:after="0"/>
              <w:ind w:left="0" w:right="0" w:hanging="0"/>
              <w:jc w:val="center"/>
              <w:rPr/>
            </w:pPr>
            <w:r>
              <w:rPr/>
              <w:t> </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594" w:type="dxa"/>
            <w:tcBorders/>
            <w:shd w:fill="auto" w:val="clear"/>
            <w:vAlign w:val="bottom"/>
          </w:tcPr>
          <w:p>
            <w:pPr>
              <w:pStyle w:val="TableContents"/>
              <w:spacing w:before="0" w:after="0"/>
              <w:ind w:left="0" w:right="0" w:hanging="0"/>
              <w:jc w:val="center"/>
              <w:rPr/>
            </w:pPr>
            <w:r>
              <w:rPr/>
              <w:t> </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830"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1543" w:type="dxa"/>
            <w:gridSpan w:val="5"/>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jc w:val="center"/>
              <w:rPr/>
            </w:pPr>
            <w:r>
              <w:rPr/>
              <w:t> </w:t>
            </w:r>
          </w:p>
        </w:tc>
        <w:tc>
          <w:tcPr>
            <w:tcW w:w="166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15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118" w:type="dxa"/>
            <w:tcBorders/>
            <w:shd w:fill="auto" w:val="clear"/>
            <w:vAlign w:val="bottom"/>
          </w:tcPr>
          <w:p>
            <w:pPr>
              <w:pStyle w:val="TableContents"/>
              <w:spacing w:before="0" w:after="0"/>
              <w:ind w:left="0" w:right="0" w:hanging="0"/>
              <w:jc w:val="center"/>
              <w:rPr/>
            </w:pPr>
            <w:r>
              <w:rPr/>
              <w:t> </w:t>
            </w:r>
          </w:p>
        </w:tc>
        <w:tc>
          <w:tcPr>
            <w:tcW w:w="166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15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118" w:type="dxa"/>
            <w:tcBorders/>
            <w:shd w:fill="auto" w:val="clear"/>
            <w:vAlign w:val="bottom"/>
          </w:tcPr>
          <w:p>
            <w:pPr>
              <w:pStyle w:val="TableContents"/>
              <w:spacing w:before="0" w:after="0"/>
              <w:ind w:left="0" w:right="0" w:hanging="0"/>
              <w:jc w:val="center"/>
              <w:rPr/>
            </w:pPr>
            <w:r>
              <w:rPr/>
              <w:t> </w:t>
            </w:r>
          </w:p>
        </w:tc>
        <w:tc>
          <w:tcPr>
            <w:tcW w:w="142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 </w:t>
            </w:r>
          </w:p>
        </w:tc>
        <w:tc>
          <w:tcPr>
            <w:tcW w:w="118" w:type="dxa"/>
            <w:tcBorders/>
            <w:shd w:fill="auto" w:val="clear"/>
            <w:vAlign w:val="bottom"/>
          </w:tcPr>
          <w:p>
            <w:pPr>
              <w:pStyle w:val="TableContents"/>
              <w:spacing w:before="0" w:after="0"/>
              <w:ind w:left="0" w:right="0" w:hanging="0"/>
              <w:jc w:val="center"/>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8" w:type="dxa"/>
            <w:tcBorders/>
            <w:shd w:fill="auto" w:val="clear"/>
            <w:vAlign w:val="bottom"/>
          </w:tcPr>
          <w:p>
            <w:pPr>
              <w:pStyle w:val="TableContents"/>
              <w:spacing w:before="0" w:after="0"/>
              <w:ind w:left="0" w:right="0" w:hanging="0"/>
              <w:jc w:val="center"/>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9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56" w:type="dxa"/>
            <w:tcBorders/>
            <w:shd w:fill="auto" w:val="clear"/>
            <w:vAlign w:val="bottom"/>
          </w:tcPr>
          <w:p>
            <w:pPr>
              <w:pStyle w:val="TableContents"/>
              <w:spacing w:before="0" w:after="0"/>
              <w:ind w:left="0" w:right="0" w:hanging="0"/>
              <w:jc w:val="center"/>
              <w:rPr/>
            </w:pPr>
            <w:r>
              <w:rPr/>
              <w:t> </w:t>
            </w:r>
          </w:p>
        </w:tc>
        <w:tc>
          <w:tcPr>
            <w:tcW w:w="236" w:type="dxa"/>
            <w:tcBorders/>
            <w:shd w:fill="auto" w:val="clear"/>
            <w:vAlign w:val="bottom"/>
          </w:tcPr>
          <w:p>
            <w:pPr>
              <w:pStyle w:val="TableContents"/>
              <w:spacing w:before="0" w:after="0"/>
              <w:ind w:left="0" w:right="0" w:hanging="0"/>
              <w:jc w:val="center"/>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8" w:type="dxa"/>
            <w:tcBorders/>
            <w:shd w:fill="auto" w:val="clear"/>
            <w:vAlign w:val="bottom"/>
          </w:tcPr>
          <w:p>
            <w:pPr>
              <w:pStyle w:val="TableContents"/>
              <w:spacing w:before="0" w:after="0"/>
              <w:ind w:left="0" w:right="0" w:hanging="0"/>
              <w:jc w:val="center"/>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9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7" w:type="dxa"/>
            <w:tcBorders/>
            <w:shd w:fill="auto" w:val="clear"/>
            <w:vAlign w:val="bottom"/>
          </w:tcPr>
          <w:p>
            <w:pPr>
              <w:pStyle w:val="TableContents"/>
              <w:spacing w:before="0" w:after="0"/>
              <w:ind w:left="0" w:right="0" w:hanging="0"/>
              <w:jc w:val="center"/>
              <w:rPr/>
            </w:pPr>
            <w:r>
              <w:rPr/>
              <w:t> </w:t>
            </w:r>
          </w:p>
        </w:tc>
      </w:tr>
      <w:tr>
        <w:trPr/>
        <w:tc>
          <w:tcPr>
            <w:tcW w:w="2970"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118"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853</w:t>
            </w:r>
          </w:p>
        </w:tc>
        <w:tc>
          <w:tcPr>
            <w:tcW w:w="119"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w:t>
            </w:r>
          </w:p>
        </w:tc>
        <w:tc>
          <w:tcPr>
            <w:tcW w:w="118"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18" w:type="dxa"/>
            <w:tcBorders/>
            <w:shd w:fill="CCEEFF" w:val="clear"/>
            <w:vAlign w:val="bottom"/>
          </w:tcPr>
          <w:p>
            <w:pPr>
              <w:pStyle w:val="TableContents"/>
              <w:spacing w:before="0" w:after="0"/>
              <w:ind w:left="0" w:right="0" w:hanging="0"/>
              <w:rPr/>
            </w:pPr>
            <w:r>
              <w:rPr/>
              <w:t> </w:t>
            </w:r>
          </w:p>
        </w:tc>
        <w:tc>
          <w:tcPr>
            <w:tcW w:w="5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119"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w:t>
            </w:r>
          </w:p>
        </w:tc>
        <w:tc>
          <w:tcPr>
            <w:tcW w:w="118"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8" w:type="dxa"/>
            <w:tcBorders/>
            <w:shd w:fill="CCEEFF" w:val="clear"/>
            <w:vAlign w:val="bottom"/>
          </w:tcPr>
          <w:p>
            <w:pPr>
              <w:pStyle w:val="TableContents"/>
              <w:spacing w:before="0" w:after="0"/>
              <w:ind w:left="0" w:right="0" w:hanging="0"/>
              <w:rPr/>
            </w:pPr>
            <w:r>
              <w:rPr/>
              <w:t> </w:t>
            </w:r>
          </w:p>
        </w:tc>
        <w:tc>
          <w:tcPr>
            <w:tcW w:w="5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sales</w:t>
            </w:r>
          </w:p>
        </w:tc>
        <w:tc>
          <w:tcPr>
            <w:tcW w:w="118"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19"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18"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8" w:type="dxa"/>
            <w:tcBorders/>
            <w:shd w:fill="auto" w:val="clear"/>
            <w:vAlign w:val="bottom"/>
          </w:tcPr>
          <w:p>
            <w:pPr>
              <w:pStyle w:val="TableContents"/>
              <w:spacing w:before="0" w:after="0"/>
              <w:ind w:left="0" w:right="0" w:hanging="0"/>
              <w:rPr/>
            </w:pPr>
            <w:r>
              <w:rPr/>
              <w:t> </w:t>
            </w:r>
          </w:p>
        </w:tc>
        <w:tc>
          <w:tcPr>
            <w:tcW w:w="5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5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19"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18"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18" w:type="dxa"/>
            <w:tcBorders/>
            <w:shd w:fill="auto" w:val="clear"/>
            <w:vAlign w:val="bottom"/>
          </w:tcPr>
          <w:p>
            <w:pPr>
              <w:pStyle w:val="TableContents"/>
              <w:spacing w:before="0" w:after="0"/>
              <w:ind w:left="0" w:right="0" w:hanging="0"/>
              <w:rPr/>
            </w:pPr>
            <w:r>
              <w:rPr/>
              <w:t> </w:t>
            </w:r>
          </w:p>
        </w:tc>
        <w:tc>
          <w:tcPr>
            <w:tcW w:w="5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118" w:type="dxa"/>
            <w:tcBorders/>
            <w:shd w:fill="CCEEFF" w:val="clear"/>
            <w:vAlign w:val="bottom"/>
          </w:tcPr>
          <w:p>
            <w:pPr>
              <w:pStyle w:val="TableContents"/>
              <w:spacing w:before="0" w:after="0"/>
              <w:ind w:left="0" w:right="0" w:hanging="0"/>
              <w:rPr/>
            </w:pPr>
            <w:r>
              <w:rPr/>
              <w:t> </w:t>
            </w:r>
          </w:p>
        </w:tc>
        <w:tc>
          <w:tcPr>
            <w:tcW w:w="8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9" w:type="dxa"/>
            <w:tcBorders/>
            <w:shd w:fill="CCEEFF"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8" w:type="dxa"/>
            <w:tcBorders/>
            <w:shd w:fill="CCEEFF"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8" w:type="dxa"/>
            <w:tcBorders/>
            <w:shd w:fill="CCEEFF" w:val="clear"/>
            <w:vAlign w:val="bottom"/>
          </w:tcPr>
          <w:p>
            <w:pPr>
              <w:pStyle w:val="TableContents"/>
              <w:spacing w:before="0" w:after="0"/>
              <w:ind w:left="0" w:right="0" w:hanging="0"/>
              <w:rPr/>
            </w:pPr>
            <w:r>
              <w:rPr/>
              <w:t> </w:t>
            </w:r>
          </w:p>
        </w:tc>
        <w:tc>
          <w:tcPr>
            <w:tcW w:w="59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3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9" w:type="dxa"/>
            <w:tcBorders/>
            <w:shd w:fill="CCEEFF"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tcBorders/>
            <w:shd w:fill="CCEEFF"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8" w:type="dxa"/>
            <w:tcBorders/>
            <w:shd w:fill="CCEEFF" w:val="clear"/>
            <w:vAlign w:val="bottom"/>
          </w:tcPr>
          <w:p>
            <w:pPr>
              <w:pStyle w:val="TableContents"/>
              <w:spacing w:before="0" w:after="0"/>
              <w:ind w:left="0" w:right="0" w:hanging="0"/>
              <w:rPr/>
            </w:pPr>
            <w:r>
              <w:rPr/>
              <w:t> </w:t>
            </w:r>
          </w:p>
        </w:tc>
        <w:tc>
          <w:tcPr>
            <w:tcW w:w="59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total</w:t>
            </w:r>
          </w:p>
        </w:tc>
        <w:tc>
          <w:tcPr>
            <w:tcW w:w="118" w:type="dxa"/>
            <w:tcBorders/>
            <w:shd w:fill="auto" w:val="clear"/>
            <w:vAlign w:val="bottom"/>
          </w:tcPr>
          <w:p>
            <w:pPr>
              <w:pStyle w:val="TableContents"/>
              <w:spacing w:before="0" w:after="0"/>
              <w:ind w:left="0" w:right="0" w:hanging="0"/>
              <w:rPr/>
            </w:pPr>
            <w:r>
              <w:rPr/>
              <w:t> </w:t>
            </w:r>
          </w:p>
        </w:tc>
        <w:tc>
          <w:tcPr>
            <w:tcW w:w="83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1,020</w:t>
            </w:r>
          </w:p>
        </w:tc>
        <w:tc>
          <w:tcPr>
            <w:tcW w:w="119" w:type="dxa"/>
            <w:tcBorders/>
            <w:shd w:fill="auto" w:val="clear"/>
            <w:vAlign w:val="bottom"/>
          </w:tcPr>
          <w:p>
            <w:pPr>
              <w:pStyle w:val="TableContents"/>
              <w:spacing w:before="0" w:after="0"/>
              <w:ind w:left="0" w:right="0" w:hanging="0"/>
              <w:rPr/>
            </w:pPr>
            <w:r>
              <w:rPr/>
              <w:t> </w:t>
            </w:r>
          </w:p>
        </w:tc>
        <w:tc>
          <w:tcPr>
            <w:tcW w:w="71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971</w:t>
            </w:r>
          </w:p>
        </w:tc>
        <w:tc>
          <w:tcPr>
            <w:tcW w:w="118" w:type="dxa"/>
            <w:tcBorders/>
            <w:shd w:fill="auto" w:val="clear"/>
            <w:vAlign w:val="bottom"/>
          </w:tcPr>
          <w:p>
            <w:pPr>
              <w:pStyle w:val="TableContents"/>
              <w:spacing w:before="0" w:after="0"/>
              <w:ind w:left="0" w:right="0" w:hanging="0"/>
              <w:rPr/>
            </w:pPr>
            <w:r>
              <w:rPr/>
              <w:t> </w:t>
            </w:r>
          </w:p>
        </w:tc>
        <w:tc>
          <w:tcPr>
            <w:tcW w:w="71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8" w:type="dxa"/>
            <w:tcBorders/>
            <w:shd w:fill="auto" w:val="clear"/>
            <w:vAlign w:val="bottom"/>
          </w:tcPr>
          <w:p>
            <w:pPr>
              <w:pStyle w:val="TableContents"/>
              <w:spacing w:before="0" w:after="0"/>
              <w:ind w:left="0" w:right="0" w:hanging="0"/>
              <w:rPr/>
            </w:pPr>
            <w:r>
              <w:rPr/>
              <w:t> </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5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71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1,082</w:t>
            </w:r>
          </w:p>
        </w:tc>
        <w:tc>
          <w:tcPr>
            <w:tcW w:w="119" w:type="dxa"/>
            <w:tcBorders/>
            <w:shd w:fill="auto" w:val="clear"/>
            <w:vAlign w:val="bottom"/>
          </w:tcPr>
          <w:p>
            <w:pPr>
              <w:pStyle w:val="TableContents"/>
              <w:spacing w:before="0" w:after="0"/>
              <w:ind w:left="0" w:right="0" w:hanging="0"/>
              <w:rPr/>
            </w:pPr>
            <w:r>
              <w:rPr/>
              <w:t> </w:t>
            </w:r>
          </w:p>
        </w:tc>
        <w:tc>
          <w:tcPr>
            <w:tcW w:w="71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952</w:t>
            </w:r>
          </w:p>
        </w:tc>
        <w:tc>
          <w:tcPr>
            <w:tcW w:w="118" w:type="dxa"/>
            <w:tcBorders/>
            <w:shd w:fill="auto" w:val="clear"/>
            <w:vAlign w:val="bottom"/>
          </w:tcPr>
          <w:p>
            <w:pPr>
              <w:pStyle w:val="TableContents"/>
              <w:spacing w:before="0" w:after="0"/>
              <w:ind w:left="0" w:right="0" w:hanging="0"/>
              <w:rPr/>
            </w:pPr>
            <w:r>
              <w:rPr/>
              <w:t> </w:t>
            </w:r>
          </w:p>
        </w:tc>
        <w:tc>
          <w:tcPr>
            <w:tcW w:w="71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18" w:type="dxa"/>
            <w:tcBorders/>
            <w:shd w:fill="auto" w:val="clear"/>
            <w:vAlign w:val="bottom"/>
          </w:tcPr>
          <w:p>
            <w:pPr>
              <w:pStyle w:val="TableContents"/>
              <w:spacing w:before="0" w:after="0"/>
              <w:ind w:left="0" w:right="0" w:hanging="0"/>
              <w:rPr/>
            </w:pPr>
            <w:r>
              <w:rPr/>
              <w:t> </w:t>
            </w:r>
          </w:p>
        </w:tc>
        <w:tc>
          <w:tcPr>
            <w:tcW w:w="5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Purchases and related costs include interest expense (related to hedged crude oil and NGL inventory) of approximately $5 million and $10 million for the three and six months ended June 30, 2013 compared to $4 million and $6 million for the three and six months ended June 30,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Equity-indexed compensation expense shown in the table above includes expenses associated with awards that will or may be settled in units and awards that will or may be settled in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NYMEX benchmark price of crude oil ranged from approximately $86 to $99 per barrel and $77 to $106  per barrel during the three months ended June 30, 2013 and 2012, respectively, and from $86 to $99 per barrel and $77 to $111 per barrel during the six months ended June 30, 2013 and 2012,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six months ended June 30, 2013 and 2012 primarily from increased volumes in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 to period may have a significant effect on NGL demand and thus our financial performance.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3" w:name="PB_38_162819_2897"/>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Supply and Logistics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Our Supply and Logistics segment revenues, net of purchases and related costs and excluding gains and losses from derivative activities (see the Impact from Derivative Activities section below), increased for the six months ended June 30, 2013 compared to the six months ended June 30, 2012; however, such results decreased for the comparative three-month periods ended June 30, 2013 and 2012.  The following factors contributed to the variances in revenues and volumes between the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North American Crude Oil Production and Related Market Economics  The increasing production of oil and liquids-rich gas in North America over the last several years generally created supply and demand imbalances that increased the volatility of historical differentials for various grades of crude oil and also impacted the historical pricing relationship between NGL and crude oil. Lack of existing pipeline takeaway capacity and associated logistical challenges in certain of these producing regions created market conditions and opportunities that were favorable to our supply and logistics activities. However, infrastructure additions in many of these resource plays during the second quarter of 2013 began to relieve certain of the transportation constraints that had previously created opportunities for these favorable crude oil margins. For the six months ended June 30, 2013, we had higher net revenues associated with our crude oil activities than in the comparable 2012 period.  During the first quarter of 2013, as well as the second quarter of 2012, the conditions described above provided opportunities for increased margins related to opportunities in certain producing regions where crude oil production volumes exceeded existing takeaway capacity and where there were associated logistical challenges. In addition, we benefited from higher volumes and opportunities from more favorable crude oil quality and location differentials. During the second quarter of 2013, we continued to have higher volumes than in the comparable prior year period, but experienced fewer opportunities for favorable crude oil margins resulting in lower overall results from our crude oil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We believe the fundamentals of our business remain strong; however, as the midstream infrastructure in these producing regions continues to be developed, we believe a normalization of margins will continue to occur as the logistics challenges are addressed.  (See Items 1 and 2 Business and PropertiesDescription of Segments and Associated Assets</w:t>
      </w:r>
      <w:r>
        <w:rPr>
          <w:rFonts w:ascii="Times New Roman" w:hAnsi="Times New Roman"/>
          <w:i/>
          <w:sz w:val="17"/>
        </w:rPr>
        <w:t>Supply and Logistics Segment</w:t>
      </w:r>
      <w:r>
        <w:rPr>
          <w:rFonts w:ascii="Times New Roman" w:hAnsi="Times New Roman"/>
          <w:sz w:val="17"/>
        </w:rPr>
        <w:t>Impact of Commodity Price Volatility and Dynamic Market Conditions on Our Business Model included in Part I of our 2012 Annual Report on Form 10-K for further discussion regarding our business model, including diversification and utilization of our asset base among varying demand- and supply-driven markets.)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NGL Marketing Operations  Revenues and volumes from our NGL marketing operations increased during the three and six months ended June 30, 2013 as compared to the three and six months ended June 30, 2012 primarily due to more favorable market prices and higher demand related to (i) increases in export activity that reduced overall product availability in the market and (ii) petrochemical demand as well as more favorable supply contracts. Additionally, NGL margins during the three-month 2012 period were negatively impacted by the sale of NGL product at points in time where spot prices were less than our weighted average inventory cost, primarily associated with inventory acquired in the BP NGL Acquisition on April 1, 2012. The six-month comparative periods further benefited from higher demand related to heating requirements during an extended winter season.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NGL sales volumes increased during the six months ended June 30, 2013 over the six months ended June 30, 2012 primarily due to increased demand as discussed above, as well as the impact from our BP NGL Acquisition completed on April 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Impact from Derivative Activities.</w:t>
      </w:r>
      <w:r>
        <w:rPr>
          <w:rFonts w:ascii="Times New Roman" w:hAnsi="Times New Roman"/>
        </w:rPr>
        <w:t xml:space="preserve"> </w:t>
      </w:r>
      <w:r>
        <w:rPr>
          <w:rFonts w:ascii="Times New Roman" w:hAnsi="Times New Roman"/>
          <w:sz w:val="17"/>
        </w:rPr>
        <w:t>The mark-to-market valuation of our derivative activities impacted our net revenues for the three and six months ended June 30, 2013 compared to the three and six months ended June 30, 2012 as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24"/>
        <w:gridCol w:w="206"/>
        <w:gridCol w:w="167"/>
        <w:gridCol w:w="836"/>
        <w:gridCol w:w="215"/>
        <w:gridCol w:w="167"/>
        <w:gridCol w:w="839"/>
        <w:gridCol w:w="206"/>
        <w:gridCol w:w="179"/>
        <w:gridCol w:w="912"/>
        <w:gridCol w:w="131"/>
        <w:gridCol w:w="119"/>
        <w:gridCol w:w="167"/>
        <w:gridCol w:w="750"/>
        <w:gridCol w:w="216"/>
        <w:gridCol w:w="167"/>
        <w:gridCol w:w="838"/>
        <w:gridCol w:w="206"/>
        <w:gridCol w:w="198"/>
        <w:gridCol w:w="893"/>
        <w:gridCol w:w="69"/>
      </w:tblGrid>
      <w:tr>
        <w:trPr/>
        <w:tc>
          <w:tcPr>
            <w:tcW w:w="272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22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6" w:type="dxa"/>
            <w:tcBorders/>
            <w:shd w:fill="auto" w:val="clear"/>
            <w:vAlign w:val="bottom"/>
          </w:tcPr>
          <w:p>
            <w:pPr>
              <w:pStyle w:val="TableContents"/>
              <w:spacing w:before="0" w:after="0"/>
              <w:ind w:left="0" w:right="0" w:hanging="0"/>
              <w:jc w:val="center"/>
              <w:rPr/>
            </w:pPr>
            <w:r>
              <w:rPr/>
              <w:t> </w:t>
            </w:r>
          </w:p>
        </w:tc>
        <w:tc>
          <w:tcPr>
            <w:tcW w:w="1091" w:type="dxa"/>
            <w:gridSpan w:val="2"/>
            <w:tcBorders/>
            <w:shd w:fill="auto" w:val="clear"/>
            <w:vAlign w:val="bottom"/>
          </w:tcPr>
          <w:p>
            <w:pPr>
              <w:pStyle w:val="TableContents"/>
              <w:spacing w:before="0" w:after="0"/>
              <w:ind w:left="0" w:right="0" w:hanging="0"/>
              <w:jc w:val="center"/>
              <w:rPr/>
            </w:pPr>
            <w:r>
              <w:rPr/>
              <w:t> </w:t>
            </w:r>
          </w:p>
        </w:tc>
        <w:tc>
          <w:tcPr>
            <w:tcW w:w="131" w:type="dxa"/>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213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06" w:type="dxa"/>
            <w:tcBorders/>
            <w:shd w:fill="auto" w:val="clear"/>
            <w:vAlign w:val="bottom"/>
          </w:tcPr>
          <w:p>
            <w:pPr>
              <w:pStyle w:val="TableContents"/>
              <w:spacing w:before="0" w:after="0"/>
              <w:ind w:left="0" w:right="0" w:hanging="0"/>
              <w:jc w:val="center"/>
              <w:rPr/>
            </w:pPr>
            <w:r>
              <w:rPr/>
              <w:t> </w:t>
            </w:r>
          </w:p>
        </w:tc>
        <w:tc>
          <w:tcPr>
            <w:tcW w:w="1091" w:type="dxa"/>
            <w:gridSpan w:val="2"/>
            <w:tcBorders/>
            <w:shd w:fill="auto" w:val="clear"/>
            <w:vAlign w:val="bottom"/>
          </w:tcPr>
          <w:p>
            <w:pPr>
              <w:pStyle w:val="TableContents"/>
              <w:spacing w:before="0" w:after="0"/>
              <w:ind w:left="0" w:right="0" w:hanging="0"/>
              <w:jc w:val="center"/>
              <w:rPr/>
            </w:pPr>
            <w:r>
              <w:rPr/>
              <w:t> </w:t>
            </w:r>
          </w:p>
        </w:tc>
        <w:tc>
          <w:tcPr>
            <w:tcW w:w="69" w:type="dxa"/>
            <w:tcBorders/>
            <w:shd w:fill="auto" w:val="clear"/>
            <w:vAlign w:val="bottom"/>
          </w:tcPr>
          <w:p>
            <w:pPr>
              <w:pStyle w:val="TableContents"/>
              <w:spacing w:before="0" w:after="0"/>
              <w:ind w:left="0" w:right="0" w:hanging="0"/>
              <w:jc w:val="center"/>
              <w:rPr/>
            </w:pPr>
            <w:r>
              <w:rPr/>
              <w:t> </w:t>
            </w:r>
          </w:p>
        </w:tc>
      </w:tr>
      <w:tr>
        <w:trPr/>
        <w:tc>
          <w:tcPr>
            <w:tcW w:w="272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22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06" w:type="dxa"/>
            <w:tcBorders/>
            <w:shd w:fill="auto" w:val="clear"/>
            <w:vAlign w:val="bottom"/>
          </w:tcPr>
          <w:p>
            <w:pPr>
              <w:pStyle w:val="TableContents"/>
              <w:spacing w:before="0" w:after="0"/>
              <w:ind w:left="0" w:right="0" w:hanging="0"/>
              <w:jc w:val="center"/>
              <w:rPr/>
            </w:pPr>
            <w:r>
              <w:rPr/>
              <w:t> </w:t>
            </w:r>
          </w:p>
        </w:tc>
        <w:tc>
          <w:tcPr>
            <w:tcW w:w="1091" w:type="dxa"/>
            <w:gridSpan w:val="2"/>
            <w:tcBorders/>
            <w:shd w:fill="auto" w:val="clear"/>
            <w:vAlign w:val="bottom"/>
          </w:tcPr>
          <w:p>
            <w:pPr>
              <w:pStyle w:val="TableContents"/>
              <w:spacing w:before="0" w:after="0"/>
              <w:ind w:left="0" w:right="0" w:hanging="0"/>
              <w:jc w:val="center"/>
              <w:rPr/>
            </w:pPr>
            <w:r>
              <w:rPr/>
              <w:t> </w:t>
            </w:r>
          </w:p>
        </w:tc>
        <w:tc>
          <w:tcPr>
            <w:tcW w:w="131" w:type="dxa"/>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213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June 30,</w:t>
            </w:r>
          </w:p>
        </w:tc>
        <w:tc>
          <w:tcPr>
            <w:tcW w:w="206" w:type="dxa"/>
            <w:tcBorders/>
            <w:shd w:fill="auto" w:val="clear"/>
            <w:vAlign w:val="bottom"/>
          </w:tcPr>
          <w:p>
            <w:pPr>
              <w:pStyle w:val="TableContents"/>
              <w:spacing w:before="0" w:after="0"/>
              <w:ind w:left="0" w:right="0" w:hanging="0"/>
              <w:jc w:val="center"/>
              <w:rPr/>
            </w:pPr>
            <w:r>
              <w:rPr/>
              <w:t> </w:t>
            </w:r>
          </w:p>
        </w:tc>
        <w:tc>
          <w:tcPr>
            <w:tcW w:w="1091" w:type="dxa"/>
            <w:gridSpan w:val="2"/>
            <w:tcBorders/>
            <w:shd w:fill="auto" w:val="clear"/>
            <w:vAlign w:val="bottom"/>
          </w:tcPr>
          <w:p>
            <w:pPr>
              <w:pStyle w:val="TableContents"/>
              <w:spacing w:before="0" w:after="0"/>
              <w:ind w:left="0" w:right="0" w:hanging="0"/>
              <w:jc w:val="center"/>
              <w:rPr/>
            </w:pPr>
            <w:r>
              <w:rPr/>
              <w:t> </w:t>
            </w:r>
          </w:p>
        </w:tc>
        <w:tc>
          <w:tcPr>
            <w:tcW w:w="69" w:type="dxa"/>
            <w:tcBorders/>
            <w:shd w:fill="auto" w:val="clear"/>
            <w:vAlign w:val="bottom"/>
          </w:tcPr>
          <w:p>
            <w:pPr>
              <w:pStyle w:val="TableContents"/>
              <w:spacing w:before="0" w:after="0"/>
              <w:ind w:left="0" w:right="0" w:hanging="0"/>
              <w:jc w:val="center"/>
              <w:rPr/>
            </w:pPr>
            <w:r>
              <w:rPr/>
              <w:t> </w:t>
            </w:r>
          </w:p>
        </w:tc>
      </w:tr>
      <w:tr>
        <w:trPr/>
        <w:tc>
          <w:tcPr>
            <w:tcW w:w="272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0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5" w:type="dxa"/>
            <w:tcBorders/>
            <w:shd w:fill="auto" w:val="clear"/>
            <w:vAlign w:val="bottom"/>
          </w:tcPr>
          <w:p>
            <w:pPr>
              <w:pStyle w:val="TableContents"/>
              <w:spacing w:before="0" w:after="0"/>
              <w:ind w:left="0" w:right="0" w:hanging="0"/>
              <w:jc w:val="center"/>
              <w:rPr/>
            </w:pPr>
            <w:r>
              <w:rPr/>
              <w:t> </w:t>
            </w:r>
          </w:p>
        </w:tc>
        <w:tc>
          <w:tcPr>
            <w:tcW w:w="10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shd w:fill="auto" w:val="clear"/>
            <w:vAlign w:val="bottom"/>
          </w:tcPr>
          <w:p>
            <w:pPr>
              <w:pStyle w:val="TableContents"/>
              <w:spacing w:before="0" w:after="0"/>
              <w:ind w:left="0" w:right="0" w:hanging="0"/>
              <w:jc w:val="center"/>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31" w:type="dxa"/>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c>
          <w:tcPr>
            <w:tcW w:w="9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shd w:fill="auto" w:val="clear"/>
            <w:vAlign w:val="bottom"/>
          </w:tcPr>
          <w:p>
            <w:pPr>
              <w:pStyle w:val="TableContents"/>
              <w:spacing w:before="0" w:after="0"/>
              <w:ind w:left="0" w:right="0" w:hanging="0"/>
              <w:jc w:val="center"/>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69" w:type="dxa"/>
            <w:tcBorders/>
            <w:shd w:fill="auto" w:val="clear"/>
            <w:vAlign w:val="bottom"/>
          </w:tcPr>
          <w:p>
            <w:pPr>
              <w:pStyle w:val="TableContents"/>
              <w:spacing w:before="0" w:after="0"/>
              <w:ind w:left="0" w:right="0" w:hanging="0"/>
              <w:jc w:val="center"/>
              <w:rPr/>
            </w:pPr>
            <w:r>
              <w:rPr/>
              <w:t> </w:t>
            </w:r>
          </w:p>
        </w:tc>
      </w:tr>
      <w:tr>
        <w:trPr/>
        <w:tc>
          <w:tcPr>
            <w:tcW w:w="2724"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derivative activities </w:t>
            </w:r>
            <w:r>
              <w:rPr>
                <w:sz w:val="11"/>
              </w:rPr>
              <w:t>(1)</w:t>
            </w:r>
          </w:p>
        </w:tc>
        <w:tc>
          <w:tcPr>
            <w:tcW w:w="206"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5"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6"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3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6"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6"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69" w:type="dxa"/>
            <w:tcBorders/>
            <w:shd w:fill="CCEEFF" w:val="clear"/>
            <w:vAlign w:val="bottom"/>
          </w:tcPr>
          <w:p>
            <w:pPr>
              <w:pStyle w:val="TableContents"/>
              <w:spacing w:before="0" w:after="0"/>
              <w:ind w:left="0" w:right="0" w:hanging="0"/>
              <w:rPr/>
            </w:pPr>
            <w:r>
              <w:rPr/>
              <w:t> </w:t>
            </w:r>
          </w:p>
        </w:tc>
      </w:tr>
      <w:tr>
        <w:trPr/>
        <w:tc>
          <w:tcPr>
            <w:tcW w:w="27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11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(excluding equity-indexed compensation expense) increased in the three and six months ended June 30, 2013 compared to the three and six months ended June 30, 2012 primarily related to increased lease gathered volumes, particularly in West Texas and Oklahoma.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4" w:name="PB_39_162930_3020"/>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Equity-Indexed Compensation Expense.</w:t>
      </w:r>
      <w:r>
        <w:rPr>
          <w:rFonts w:ascii="Times New Roman" w:hAnsi="Times New Roman"/>
        </w:rPr>
        <w:t xml:space="preserve"> </w:t>
      </w:r>
      <w:r>
        <w:rPr>
          <w:rFonts w:ascii="Times New Roman" w:hAnsi="Times New Roman"/>
          <w:sz w:val="17"/>
        </w:rPr>
        <w:t>On a consolidated basis, equity-indexed compensation expense increased during both the three and six months ended June 30, 2013 as compared to the three and six months ended June 30, 2012. See discussion regarding such variances under Transportation Segment above. Also, see Note 15 to our Consolidated Financial Statements included in Part IV of our 2012 Annual Report on Form 10-K for further information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Depreciation and amortization expense was approximately $91 million and $173 million for the three and six months ended June 30, 2013, respectively, compared to approximately $86 million and $146 million for the three and six months ended June 30, 2012, respectively. The increase in the 2013 periods over the comparative 2012 periods were primarily the result of an increased amount of assets resulting from acquisition activities, as well as various internal growth projects in both years.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increased by approximately $12 million for the six months ended June 30, 2013 compared to the six months ended June 30, 2012, primarily as a result of the issuance of approximately $1.25 billion of senior notes in March 2012, the proceeds of which were used to fund the BP NGL Acquisition, and the issuance of approximately $750 million of senior notes in December 2012, the proceeds of which were used primarily to fund our growth through acquisitions and our ongoing capital program. The resulting increases in interest expense were partially offset by the maturity of our $500 million, 4.25% senior notes in September 2012.</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Tax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for the three months ended June 30, 2013 compared to the three months ended June 30, 2012 increased by approximately $8 million, primarily as a result of increased earnings of our existing Canadian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for the six months ended June 30, 2013 compared to the six months ended June 30, 2012 increased by approximately $40 million, primarily as a result of the BP NGL Acquisition, as well as the strength of our existing operations, both of which increased the proportion of earnings subject to Canadian federal and provincial taxes. Canadian withholding taxes also increased on interest from our Canadian entities to other affiliates.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primary sources of liquidity are (i) our cash flows from operating activities, (ii) borrowings under our credit facilities and (iii) funds received from sales of equity and debt securities. Our primary cash requirements include, but are not limited to, (i) ordinary course of business uses, such as the payment of amounts related to the purchase of crude oil and other products and other expenses and interest payments on our outstanding debt, (ii) maintenance and expansion activities, (iii) acquisitions of assets or businesses, (iv) repayment of principal on our long-term debt and (v) distributions to our unitholders and general partner. We generally expect to fund our short-term cash requirements through our primary sources of liquidity. In addition, we generally expect to fund our long-term needs, such as those resulting from expansion activities or acquisitions and refinancing our long-term debt, through a variety of sources (either separately or in combination), which may include operating cash flows, borrowings under our credit facilities, and/or the issuance of additional equity or debt securities. As of June 30, 2013, we had a working capital deficit of approximately $83 million and approximately $2.57 billion of liquidity available to meet our other ongoing operating, investing and financing needs as noted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415"/>
        <w:gridCol w:w="219"/>
        <w:gridCol w:w="176"/>
        <w:gridCol w:w="1269"/>
        <w:gridCol w:w="126"/>
      </w:tblGrid>
      <w:tr>
        <w:trPr/>
        <w:tc>
          <w:tcPr>
            <w:tcW w:w="8415"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14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w:t>
            </w:r>
          </w:p>
        </w:tc>
        <w:tc>
          <w:tcPr>
            <w:tcW w:w="126" w:type="dxa"/>
            <w:tcBorders/>
            <w:shd w:fill="auto" w:val="clear"/>
            <w:vAlign w:val="bottom"/>
          </w:tcPr>
          <w:p>
            <w:pPr>
              <w:pStyle w:val="TableContents"/>
              <w:spacing w:before="0" w:after="0"/>
              <w:ind w:left="0" w:right="0" w:hanging="0"/>
              <w:jc w:val="center"/>
              <w:rPr/>
            </w:pPr>
            <w:r>
              <w:rPr/>
              <w:t> </w:t>
            </w:r>
          </w:p>
        </w:tc>
      </w:tr>
      <w:tr>
        <w:trPr/>
        <w:tc>
          <w:tcPr>
            <w:tcW w:w="8415"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14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126" w:type="dxa"/>
            <w:tcBorders/>
            <w:shd w:fill="auto" w:val="clear"/>
            <w:vAlign w:val="bottom"/>
          </w:tcPr>
          <w:p>
            <w:pPr>
              <w:pStyle w:val="TableContents"/>
              <w:spacing w:before="0" w:after="0"/>
              <w:ind w:left="0" w:right="0" w:hanging="0"/>
              <w:jc w:val="center"/>
              <w:rPr/>
            </w:pPr>
            <w:r>
              <w:rPr/>
              <w:t> </w:t>
            </w:r>
          </w:p>
        </w:tc>
      </w:tr>
      <w:tr>
        <w:trPr/>
        <w:tc>
          <w:tcPr>
            <w:tcW w:w="84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unsecured revolving credit facility</w:t>
            </w:r>
          </w:p>
        </w:tc>
        <w:tc>
          <w:tcPr>
            <w:tcW w:w="219"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1,548</w:t>
            </w:r>
          </w:p>
        </w:tc>
        <w:tc>
          <w:tcPr>
            <w:tcW w:w="126" w:type="dxa"/>
            <w:tcBorders/>
            <w:shd w:fill="CCEEFF" w:val="clear"/>
            <w:vAlign w:val="bottom"/>
          </w:tcPr>
          <w:p>
            <w:pPr>
              <w:pStyle w:val="TableContents"/>
              <w:spacing w:before="0" w:after="0"/>
              <w:ind w:left="0" w:right="0" w:hanging="0"/>
              <w:rPr/>
            </w:pPr>
            <w:r>
              <w:rPr/>
              <w:t> </w:t>
            </w:r>
          </w:p>
        </w:tc>
      </w:tr>
      <w:tr>
        <w:trPr/>
        <w:tc>
          <w:tcPr>
            <w:tcW w:w="84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secured hedged inventory facility</w:t>
            </w:r>
          </w:p>
        </w:tc>
        <w:tc>
          <w:tcPr>
            <w:tcW w:w="219" w:type="dxa"/>
            <w:tcBorders/>
            <w:shd w:fill="auto" w:val="clear"/>
            <w:vAlign w:val="bottom"/>
          </w:tcPr>
          <w:p>
            <w:pPr>
              <w:pStyle w:val="TableContents"/>
              <w:spacing w:before="0" w:after="0"/>
              <w:ind w:left="0" w:right="0" w:hanging="0"/>
              <w:rPr/>
            </w:pPr>
            <w:r>
              <w:rPr/>
              <w:t> </w:t>
            </w:r>
          </w:p>
        </w:tc>
        <w:tc>
          <w:tcPr>
            <w:tcW w:w="14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802</w:t>
            </w:r>
          </w:p>
        </w:tc>
        <w:tc>
          <w:tcPr>
            <w:tcW w:w="126" w:type="dxa"/>
            <w:tcBorders/>
            <w:shd w:fill="auto" w:val="clear"/>
            <w:vAlign w:val="bottom"/>
          </w:tcPr>
          <w:p>
            <w:pPr>
              <w:pStyle w:val="TableContents"/>
              <w:spacing w:before="0" w:after="0"/>
              <w:ind w:left="0" w:right="0" w:hanging="0"/>
              <w:rPr/>
            </w:pPr>
            <w:r>
              <w:rPr/>
              <w:t> </w:t>
            </w:r>
          </w:p>
        </w:tc>
      </w:tr>
      <w:tr>
        <w:trPr/>
        <w:tc>
          <w:tcPr>
            <w:tcW w:w="84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Availability under PNG senior unsecured revolving credit facility </w:t>
            </w:r>
          </w:p>
        </w:tc>
        <w:tc>
          <w:tcPr>
            <w:tcW w:w="219" w:type="dxa"/>
            <w:tcBorders/>
            <w:shd w:fill="CCEEFF" w:val="clear"/>
            <w:vAlign w:val="bottom"/>
          </w:tcPr>
          <w:p>
            <w:pPr>
              <w:pStyle w:val="TableContents"/>
              <w:spacing w:before="0" w:after="0"/>
              <w:ind w:left="0" w:right="0" w:hanging="0"/>
              <w:rPr/>
            </w:pPr>
            <w:r>
              <w:rPr/>
              <w:t> </w:t>
            </w:r>
          </w:p>
        </w:tc>
        <w:tc>
          <w:tcPr>
            <w:tcW w:w="14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26" w:type="dxa"/>
            <w:tcBorders/>
            <w:shd w:fill="CCEEFF" w:val="clear"/>
            <w:vAlign w:val="bottom"/>
          </w:tcPr>
          <w:p>
            <w:pPr>
              <w:pStyle w:val="TableContents"/>
              <w:spacing w:before="0" w:after="0"/>
              <w:ind w:left="0" w:right="0" w:hanging="0"/>
              <w:rPr/>
            </w:pPr>
            <w:r>
              <w:rPr/>
              <w:t> </w:t>
            </w:r>
          </w:p>
        </w:tc>
      </w:tr>
      <w:tr>
        <w:trPr/>
        <w:tc>
          <w:tcPr>
            <w:tcW w:w="84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19" w:type="dxa"/>
            <w:tcBorders/>
            <w:shd w:fill="auto" w:val="clear"/>
            <w:vAlign w:val="bottom"/>
          </w:tcPr>
          <w:p>
            <w:pPr>
              <w:pStyle w:val="TableContents"/>
              <w:spacing w:before="0" w:after="0"/>
              <w:ind w:left="0" w:right="0" w:hanging="0"/>
              <w:rPr/>
            </w:pPr>
            <w:r>
              <w:rPr/>
              <w:t> </w:t>
            </w:r>
          </w:p>
        </w:tc>
        <w:tc>
          <w:tcPr>
            <w:tcW w:w="14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6" w:type="dxa"/>
            <w:tcBorders/>
            <w:shd w:fill="auto" w:val="clear"/>
            <w:vAlign w:val="bottom"/>
          </w:tcPr>
          <w:p>
            <w:pPr>
              <w:pStyle w:val="TableContents"/>
              <w:spacing w:before="0" w:after="0"/>
              <w:ind w:left="0" w:right="0" w:hanging="0"/>
              <w:rPr/>
            </w:pPr>
            <w:r>
              <w:rPr/>
              <w:t> </w:t>
            </w:r>
          </w:p>
        </w:tc>
      </w:tr>
      <w:tr>
        <w:trPr/>
        <w:tc>
          <w:tcPr>
            <w:tcW w:w="84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9" w:type="dxa"/>
            <w:tcBorders/>
            <w:shd w:fill="CCEEFF" w:val="clear"/>
            <w:vAlign w:val="bottom"/>
          </w:tcPr>
          <w:p>
            <w:pPr>
              <w:pStyle w:val="TableContents"/>
              <w:spacing w:before="0" w:after="0"/>
              <w:ind w:left="0" w:right="0" w:hanging="0"/>
              <w:rPr/>
            </w:pPr>
            <w:r>
              <w:rPr/>
              <w:t> </w:t>
            </w:r>
          </w:p>
        </w:tc>
        <w:tc>
          <w:tcPr>
            <w:tcW w:w="17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2,570</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We believe that we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2012 Annual Report on Form 10-K for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65" w:name="PB_40_163006_7748"/>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further discussion regarding such risks that may impact our liquidity and capital resources.  Usage of our credit facilities is subject to ongoing compliance with covenants.  We are currently in compliance with all 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comprehensive discussion of the primary drivers of our cash flow from operating activities, including the impact of varying market conditions and the timing of settlement of our derivative activities, see Liquidity and Capital ResourcesCash Flow from Operations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provided by operating activities for the first six months of 2013 was approximately $1.337 billion. The cash provided by operating activities reflects cash generated by our recurring operations, and can also be significantly impacted in periods when we are increasing or decreasing the amount of inventory in storage.  During the first half of 2013, we decreased the amount of our inventory.  The decrease in inventory was primarily due to the sale of NGL inventory related to higher product demand caused by increases in (i) heating requirements during an extended winter season, (ii) export activity that reduced overall product availability in the market and (iii) petrochemical demand, as well as the sale of crude oil inventory that had been stored during the contango market.  The net proceeds received from liquidation of such inventory during the quarter were used to repay borrowings under our credit facilities and favorably impacted our 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provided by operating activities for the first six months of 2012 was approximately $348 million, primarily resulting from earnings from our operations. Cash flows from earnings were partially offset by increases in our crude oil and NGL inventory levels.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funding acquisitions and internal capital projects and short-term working capital and hedged inventory borrowings related to our NGL business and contango market activities, as well as refinancing of our debt maturities.  Our financing activities have primarily consisted of equity offerings, senior notes offerings and borrowings and repayments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Registration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periodically access the capital markets for both equity and debt financing.  We have filed with the SEC a universal shelf 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June 30, 2013, we had approximately $1.6 billion of unsold securities available under the Traditional Shelf.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have access to a universal shelf registration statement (WKSI Shelf), which provides us with the ability to offer and sell an unlimited amount of debt and equity securities, subject to market conditions and our capital needs.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has filed with the SEC a universal shelf registration statement (PNG Shelf) that, subject to effectiveness at the time of use, allows PNG to issue up to an aggregate of $1.0 billion of debt or equity securities. All issuances of equity securities associated with PNGs continuous offering program, as discussed further below, have been issued pursuant to the PNG Shelf. At June 30, 2013, PNG had approximately $969 million of unsold securities available under the PNG Shelf.</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PAA Continuous Offering Programs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six months ended June 30, 2013, we issued an aggregate of approximately 5.9 million common units under our continuous offering programs, generating net proceeds of approximately $331 million, including our general partners proportionate capital contribution. The net proceeds from sales were used for general partnership purposes.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66" w:name="PB_41_163021_141"/>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March 18, 2013, PNG entered into an equity distribution agreement with a financial institution pursuant to which PNG may offer and sell, through its sales agent, common units representing limited partner interests having an aggregate offering price of up to $75 million. Through June 30, 2013, PNG has issued an aggregate of approximately 1.4 million common units under this agreement, generating net proceeds of approximately $30 million, excluding our proportionate capital contribution for our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Credit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w:t>
      </w:r>
      <w:r>
        <w:rPr>
          <w:rFonts w:ascii="Times New Roman" w:hAnsi="Times New Roman"/>
          <w:sz w:val="17"/>
        </w:rPr>
        <w:t>During the six months ended June 30, 2013, we had net repayments on our credit agreements, which include our revolving credit facilities and our hedged inventory facility, in the aggregate of approximately $186 million. These net repayments resulted primarily from cash flows from operating activities, such as sales of crude oil and NGL inventory that was liquidated during the period, as well as our equity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six months ended June 30, 2012, we had net borrowings on our credit agreements in the aggregate of approximately $345 million. These net borrowings resulted primarily when we increased our crude oil inventory levels related to storing barrels in the contango market. For further discussion related to our credit facilities and long-term debt, see Cash Flows from Operating Activities above and Liquidity and Capital ResourcesCredit Facilities and Indentures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Acquisitions and Capital Expenditures and Distributions Paid to Our Unitholders, General Partner and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use cash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the operating and financing activities discussed above.  See Internal Growth Projects above and Acquisitions and Internal Growth Projects under Item 7 of our 2012 Annual Report on Form 10-K for further discussion of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Acquisitions.  </w:t>
      </w:r>
      <w:r>
        <w:rPr>
          <w:rFonts w:ascii="Times New Roman" w:hAnsi="Times New Roman"/>
          <w:sz w:val="17"/>
        </w:rPr>
        <w:t>The price of acquisitions includes cash paid, assumed liabilities and net working capital items.  Because of the non-cash items included in the total price of acquisitions and the timing of certain cash payments, the net cash paid may differ significantly from the total price of acquisitions completed during the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our unitholders and general partner.</w:t>
      </w:r>
      <w:r>
        <w:rPr>
          <w:rFonts w:ascii="Times New Roman" w:hAnsi="Times New Roman"/>
        </w:rPr>
        <w:t xml:space="preserve">  </w:t>
      </w: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August 14, 2013, we will pay a quarterly distribution of $0.5875 per limited partner unit.  This distribution represents a year-over-year distribution increase of approximately 10.3%.  See Note 9 to our condensed consolidated financial statements for details of distributions paid.  Also, see Item 5. Market for Registrants Common Units, Related Unitholder Matters and Issuer Purchases of Equity SecuritiesCash Distribution Policy included in our 2012 Annual Report on Form 10-K for additional discussion on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noncontrolling interests.</w:t>
      </w:r>
      <w:r>
        <w:rPr>
          <w:rFonts w:ascii="Times New Roman" w:hAnsi="Times New Roman"/>
        </w:rPr>
        <w:t xml:space="preserve">  </w:t>
      </w:r>
      <w:r>
        <w:rPr>
          <w:rFonts w:ascii="Times New Roman" w:hAnsi="Times New Roman"/>
          <w:sz w:val="17"/>
        </w:rPr>
        <w:t>We paid approximately $24 million for distributions to noncontrolling interests during each of the six months ended June 30, 2013 and 2012.  These amounts represent distributions paid on interests in PNG and SLC that are not owned by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67" w:name="PB_42_163027_7608"/>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contingencies that may impact us, see Note 12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NGL from third parties under contracts, the majority of which range in term from thirty-day evergreen to five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June 30,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79"/>
        <w:gridCol w:w="206"/>
        <w:gridCol w:w="113"/>
        <w:gridCol w:w="650"/>
        <w:gridCol w:w="206"/>
        <w:gridCol w:w="113"/>
        <w:gridCol w:w="650"/>
        <w:gridCol w:w="206"/>
        <w:gridCol w:w="113"/>
        <w:gridCol w:w="650"/>
        <w:gridCol w:w="205"/>
        <w:gridCol w:w="113"/>
        <w:gridCol w:w="650"/>
        <w:gridCol w:w="206"/>
        <w:gridCol w:w="113"/>
        <w:gridCol w:w="650"/>
        <w:gridCol w:w="206"/>
        <w:gridCol w:w="114"/>
        <w:gridCol w:w="664"/>
        <w:gridCol w:w="206"/>
        <w:gridCol w:w="113"/>
        <w:gridCol w:w="662"/>
        <w:gridCol w:w="117"/>
      </w:tblGrid>
      <w:tr>
        <w:trPr/>
        <w:tc>
          <w:tcPr>
            <w:tcW w:w="3279"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763"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763"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763"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763"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763" w:type="dxa"/>
            <w:gridSpan w:val="2"/>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77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 and</w:t>
            </w:r>
          </w:p>
        </w:tc>
        <w:tc>
          <w:tcPr>
            <w:tcW w:w="206" w:type="dxa"/>
            <w:tcBorders/>
            <w:shd w:fill="auto" w:val="clear"/>
            <w:vAlign w:val="bottom"/>
          </w:tcPr>
          <w:p>
            <w:pPr>
              <w:pStyle w:val="TableContents"/>
              <w:spacing w:before="0" w:after="0"/>
              <w:ind w:left="0" w:right="0" w:hanging="0"/>
              <w:jc w:val="center"/>
              <w:rPr/>
            </w:pPr>
            <w:r>
              <w:rPr/>
              <w:t> </w:t>
            </w:r>
          </w:p>
        </w:tc>
        <w:tc>
          <w:tcPr>
            <w:tcW w:w="775" w:type="dxa"/>
            <w:gridSpan w:val="2"/>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r>
      <w:tr>
        <w:trPr/>
        <w:tc>
          <w:tcPr>
            <w:tcW w:w="3279"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7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6" w:type="dxa"/>
            <w:tcBorders/>
            <w:shd w:fill="auto" w:val="clear"/>
            <w:vAlign w:val="bottom"/>
          </w:tcPr>
          <w:p>
            <w:pPr>
              <w:pStyle w:val="TableContents"/>
              <w:spacing w:before="0" w:after="0"/>
              <w:ind w:left="0" w:right="0" w:hanging="0"/>
              <w:jc w:val="center"/>
              <w:rPr/>
            </w:pPr>
            <w:r>
              <w:rPr/>
              <w:t> </w:t>
            </w:r>
          </w:p>
        </w:tc>
        <w:tc>
          <w:tcPr>
            <w:tcW w:w="7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6" w:type="dxa"/>
            <w:tcBorders/>
            <w:shd w:fill="auto" w:val="clear"/>
            <w:vAlign w:val="bottom"/>
          </w:tcPr>
          <w:p>
            <w:pPr>
              <w:pStyle w:val="TableContents"/>
              <w:spacing w:before="0" w:after="0"/>
              <w:ind w:left="0" w:right="0" w:hanging="0"/>
              <w:jc w:val="center"/>
              <w:rPr/>
            </w:pPr>
            <w:r>
              <w:rPr/>
              <w:t> </w:t>
            </w:r>
          </w:p>
        </w:tc>
        <w:tc>
          <w:tcPr>
            <w:tcW w:w="7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5" w:type="dxa"/>
            <w:tcBorders/>
            <w:shd w:fill="auto" w:val="clear"/>
            <w:vAlign w:val="bottom"/>
          </w:tcPr>
          <w:p>
            <w:pPr>
              <w:pStyle w:val="TableContents"/>
              <w:spacing w:before="0" w:after="0"/>
              <w:ind w:left="0" w:right="0" w:hanging="0"/>
              <w:jc w:val="center"/>
              <w:rPr/>
            </w:pPr>
            <w:r>
              <w:rPr/>
              <w:t> </w:t>
            </w:r>
          </w:p>
        </w:tc>
        <w:tc>
          <w:tcPr>
            <w:tcW w:w="7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w:t>
            </w:r>
          </w:p>
        </w:tc>
        <w:tc>
          <w:tcPr>
            <w:tcW w:w="206" w:type="dxa"/>
            <w:tcBorders/>
            <w:shd w:fill="auto" w:val="clear"/>
            <w:vAlign w:val="bottom"/>
          </w:tcPr>
          <w:p>
            <w:pPr>
              <w:pStyle w:val="TableContents"/>
              <w:spacing w:before="0" w:after="0"/>
              <w:ind w:left="0" w:right="0" w:hanging="0"/>
              <w:jc w:val="center"/>
              <w:rPr/>
            </w:pPr>
            <w:r>
              <w:rPr/>
              <w:t> </w:t>
            </w:r>
          </w:p>
        </w:tc>
        <w:tc>
          <w:tcPr>
            <w:tcW w:w="7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206" w:type="dxa"/>
            <w:tcBorders/>
            <w:shd w:fill="auto" w:val="clear"/>
            <w:vAlign w:val="bottom"/>
          </w:tcPr>
          <w:p>
            <w:pPr>
              <w:pStyle w:val="TableContents"/>
              <w:spacing w:before="0" w:after="0"/>
              <w:ind w:left="0" w:right="0" w:hanging="0"/>
              <w:jc w:val="center"/>
              <w:rPr/>
            </w:pPr>
            <w:r>
              <w:rPr/>
              <w:t> </w:t>
            </w:r>
          </w:p>
        </w:tc>
        <w:tc>
          <w:tcPr>
            <w:tcW w:w="7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206" w:type="dxa"/>
            <w:tcBorders/>
            <w:shd w:fill="auto" w:val="clear"/>
            <w:vAlign w:val="bottom"/>
          </w:tcPr>
          <w:p>
            <w:pPr>
              <w:pStyle w:val="TableContents"/>
              <w:spacing w:before="0" w:after="0"/>
              <w:ind w:left="0" w:right="0" w:hanging="0"/>
              <w:jc w:val="center"/>
              <w:rPr/>
            </w:pPr>
            <w:r>
              <w:rPr/>
              <w:t> </w:t>
            </w:r>
          </w:p>
        </w:tc>
        <w:tc>
          <w:tcPr>
            <w:tcW w:w="7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7" w:type="dxa"/>
            <w:tcBorders/>
            <w:shd w:fill="auto" w:val="clear"/>
            <w:vAlign w:val="bottom"/>
          </w:tcPr>
          <w:p>
            <w:pPr>
              <w:pStyle w:val="TableContents"/>
              <w:spacing w:before="0" w:after="0"/>
              <w:ind w:left="0" w:right="0" w:hanging="0"/>
              <w:jc w:val="center"/>
              <w:rPr/>
            </w:pPr>
            <w:r>
              <w:rPr/>
              <w:t> </w:t>
            </w:r>
          </w:p>
        </w:tc>
      </w:tr>
      <w:tr>
        <w:trPr/>
        <w:tc>
          <w:tcPr>
            <w:tcW w:w="3279" w:type="dxa"/>
            <w:tcBorders/>
            <w:shd w:fill="CCEEFF" w:val="clear"/>
          </w:tcPr>
          <w:p>
            <w:pPr>
              <w:pStyle w:val="TableContents"/>
              <w:spacing w:before="0" w:after="0"/>
              <w:ind w:left="0" w:right="0" w:hanging="0"/>
              <w:rPr/>
            </w:pPr>
            <w:r>
              <w:rPr>
                <w:rFonts w:ascii="Times New Roman" w:hAnsi="Times New Roman"/>
                <w:sz w:val="17"/>
              </w:rPr>
              <w:t>Long-term debt, including current maturities and related interest payments </w:t>
            </w:r>
            <w:r>
              <w:rPr>
                <w:sz w:val="11"/>
              </w:rPr>
              <w:t>(1)</w:t>
            </w:r>
          </w:p>
        </w:tc>
        <w:tc>
          <w:tcPr>
            <w:tcW w:w="206"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w:t>
            </w:r>
          </w:p>
        </w:tc>
        <w:tc>
          <w:tcPr>
            <w:tcW w:w="206"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06"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873</w:t>
            </w:r>
          </w:p>
        </w:tc>
        <w:tc>
          <w:tcPr>
            <w:tcW w:w="205"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773</w:t>
            </w:r>
          </w:p>
        </w:tc>
        <w:tc>
          <w:tcPr>
            <w:tcW w:w="206"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666</w:t>
            </w:r>
          </w:p>
        </w:tc>
        <w:tc>
          <w:tcPr>
            <w:tcW w:w="206"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7,359</w:t>
            </w:r>
          </w:p>
        </w:tc>
        <w:tc>
          <w:tcPr>
            <w:tcW w:w="206"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10,425</w:t>
            </w:r>
          </w:p>
        </w:tc>
        <w:tc>
          <w:tcPr>
            <w:tcW w:w="117" w:type="dxa"/>
            <w:tcBorders/>
            <w:shd w:fill="CCEEFF" w:val="clear"/>
            <w:vAlign w:val="bottom"/>
          </w:tcPr>
          <w:p>
            <w:pPr>
              <w:pStyle w:val="TableContents"/>
              <w:spacing w:before="0" w:after="0"/>
              <w:ind w:left="0" w:right="0" w:hanging="0"/>
              <w:rPr/>
            </w:pPr>
            <w:r>
              <w:rPr/>
              <w:t> </w:t>
            </w:r>
          </w:p>
        </w:tc>
      </w:tr>
      <w:tr>
        <w:trPr/>
        <w:tc>
          <w:tcPr>
            <w:tcW w:w="3279" w:type="dxa"/>
            <w:tcBorders/>
            <w:shd w:fill="auto" w:val="clear"/>
            <w:vAlign w:val="center"/>
          </w:tcPr>
          <w:p>
            <w:pPr>
              <w:pStyle w:val="TableContents"/>
              <w:spacing w:before="0" w:after="0"/>
              <w:ind w:left="0" w:right="0" w:hanging="0"/>
              <w:rPr/>
            </w:pPr>
            <w:r>
              <w:rPr>
                <w:rFonts w:ascii="Times New Roman" w:hAnsi="Times New Roman"/>
                <w:sz w:val="17"/>
              </w:rPr>
              <w:t xml:space="preserve">Leases </w:t>
            </w:r>
            <w:r>
              <w:rPr>
                <w:sz w:val="11"/>
              </w:rPr>
              <w:t>(2)</w:t>
            </w:r>
          </w:p>
        </w:tc>
        <w:tc>
          <w:tcPr>
            <w:tcW w:w="206"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06"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6"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5"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06"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06" w:type="dxa"/>
            <w:tcBorders/>
            <w:shd w:fill="auto" w:val="clear"/>
            <w:vAlign w:val="bottom"/>
          </w:tcPr>
          <w:p>
            <w:pPr>
              <w:pStyle w:val="TableContents"/>
              <w:spacing w:before="0" w:after="0"/>
              <w:ind w:left="0" w:right="0" w:hanging="0"/>
              <w:rPr/>
            </w:pPr>
            <w:r>
              <w:rPr/>
              <w:t> </w:t>
            </w:r>
          </w:p>
        </w:tc>
        <w:tc>
          <w:tcPr>
            <w:tcW w:w="7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399</w:t>
            </w:r>
          </w:p>
        </w:tc>
        <w:tc>
          <w:tcPr>
            <w:tcW w:w="206"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911</w:t>
            </w:r>
          </w:p>
        </w:tc>
        <w:tc>
          <w:tcPr>
            <w:tcW w:w="117" w:type="dxa"/>
            <w:tcBorders/>
            <w:shd w:fill="auto" w:val="clear"/>
            <w:vAlign w:val="bottom"/>
          </w:tcPr>
          <w:p>
            <w:pPr>
              <w:pStyle w:val="TableContents"/>
              <w:spacing w:before="0" w:after="0"/>
              <w:ind w:left="0" w:right="0" w:hanging="0"/>
              <w:rPr/>
            </w:pPr>
            <w:r>
              <w:rPr/>
              <w:t> </w:t>
            </w:r>
          </w:p>
        </w:tc>
      </w:tr>
      <w:tr>
        <w:trPr/>
        <w:tc>
          <w:tcPr>
            <w:tcW w:w="3279" w:type="dxa"/>
            <w:tcBorders/>
            <w:shd w:fill="CCEEFF" w:val="clear"/>
            <w:vAlign w:val="center"/>
          </w:tcPr>
          <w:p>
            <w:pPr>
              <w:pStyle w:val="TableContents"/>
              <w:spacing w:before="0" w:after="0"/>
              <w:ind w:left="0" w:right="0" w:hanging="0"/>
              <w:rPr/>
            </w:pPr>
            <w:r>
              <w:rPr>
                <w:rFonts w:ascii="Times New Roman" w:hAnsi="Times New Roman"/>
                <w:sz w:val="17"/>
              </w:rPr>
              <w:t xml:space="preserve">Other obligations </w:t>
            </w:r>
            <w:r>
              <w:rPr>
                <w:sz w:val="11"/>
              </w:rPr>
              <w:t>(3)</w:t>
            </w:r>
          </w:p>
        </w:tc>
        <w:tc>
          <w:tcPr>
            <w:tcW w:w="206"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6"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6"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5"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6"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6" w:type="dxa"/>
            <w:tcBorders/>
            <w:shd w:fill="CCEEFF" w:val="clear"/>
            <w:vAlign w:val="bottom"/>
          </w:tcPr>
          <w:p>
            <w:pPr>
              <w:pStyle w:val="TableContents"/>
              <w:spacing w:before="0" w:after="0"/>
              <w:ind w:left="0" w:right="0" w:hanging="0"/>
              <w:rPr/>
            </w:pPr>
            <w:r>
              <w:rPr/>
              <w:t> </w:t>
            </w:r>
          </w:p>
        </w:tc>
        <w:tc>
          <w:tcPr>
            <w:tcW w:w="7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6" w:type="dxa"/>
            <w:tcBorders/>
            <w:shd w:fill="CCEEFF" w:val="clear"/>
            <w:vAlign w:val="bottom"/>
          </w:tcPr>
          <w:p>
            <w:pPr>
              <w:pStyle w:val="TableContents"/>
              <w:spacing w:before="0" w:after="0"/>
              <w:ind w:left="0" w:right="0" w:hanging="0"/>
              <w:rPr/>
            </w:pPr>
            <w:r>
              <w:rPr/>
              <w:t> </w:t>
            </w:r>
          </w:p>
        </w:tc>
        <w:tc>
          <w:tcPr>
            <w:tcW w:w="7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17" w:type="dxa"/>
            <w:tcBorders/>
            <w:shd w:fill="CCEEFF" w:val="clear"/>
            <w:vAlign w:val="bottom"/>
          </w:tcPr>
          <w:p>
            <w:pPr>
              <w:pStyle w:val="TableContents"/>
              <w:spacing w:before="0" w:after="0"/>
              <w:ind w:left="0" w:right="0" w:hanging="0"/>
              <w:rPr/>
            </w:pPr>
            <w:r>
              <w:rPr/>
              <w:t> </w:t>
            </w:r>
          </w:p>
        </w:tc>
      </w:tr>
      <w:tr>
        <w:trPr/>
        <w:tc>
          <w:tcPr>
            <w:tcW w:w="327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06"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629</w:t>
            </w:r>
          </w:p>
        </w:tc>
        <w:tc>
          <w:tcPr>
            <w:tcW w:w="206"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567</w:t>
            </w:r>
          </w:p>
        </w:tc>
        <w:tc>
          <w:tcPr>
            <w:tcW w:w="206"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1,056</w:t>
            </w:r>
          </w:p>
        </w:tc>
        <w:tc>
          <w:tcPr>
            <w:tcW w:w="205"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w:t>
            </w:r>
          </w:p>
        </w:tc>
        <w:tc>
          <w:tcPr>
            <w:tcW w:w="206"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773</w:t>
            </w:r>
          </w:p>
        </w:tc>
        <w:tc>
          <w:tcPr>
            <w:tcW w:w="206" w:type="dxa"/>
            <w:tcBorders/>
            <w:shd w:fill="auto" w:val="clear"/>
            <w:vAlign w:val="bottom"/>
          </w:tcPr>
          <w:p>
            <w:pPr>
              <w:pStyle w:val="TableContents"/>
              <w:spacing w:before="0" w:after="0"/>
              <w:ind w:left="0" w:right="0" w:hanging="0"/>
              <w:rPr/>
            </w:pPr>
            <w:r>
              <w:rPr/>
              <w:t> </w:t>
            </w:r>
          </w:p>
        </w:tc>
        <w:tc>
          <w:tcPr>
            <w:tcW w:w="7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7,905</w:t>
            </w:r>
          </w:p>
        </w:tc>
        <w:tc>
          <w:tcPr>
            <w:tcW w:w="206"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11,846</w:t>
            </w:r>
          </w:p>
        </w:tc>
        <w:tc>
          <w:tcPr>
            <w:tcW w:w="117" w:type="dxa"/>
            <w:tcBorders/>
            <w:shd w:fill="auto" w:val="clear"/>
            <w:vAlign w:val="bottom"/>
          </w:tcPr>
          <w:p>
            <w:pPr>
              <w:pStyle w:val="TableContents"/>
              <w:spacing w:before="0" w:after="0"/>
              <w:ind w:left="0" w:right="0" w:hanging="0"/>
              <w:rPr/>
            </w:pPr>
            <w:r>
              <w:rPr/>
              <w:t> </w:t>
            </w:r>
          </w:p>
        </w:tc>
      </w:tr>
      <w:tr>
        <w:trPr/>
        <w:tc>
          <w:tcPr>
            <w:tcW w:w="3279" w:type="dxa"/>
            <w:tcBorders/>
            <w:shd w:fill="CCEEFF" w:val="clear"/>
            <w:vAlign w:val="bottom"/>
          </w:tcPr>
          <w:p>
            <w:pPr>
              <w:pStyle w:val="TableContents"/>
              <w:spacing w:before="0" w:after="0"/>
              <w:ind w:left="0" w:right="0" w:hanging="0"/>
              <w:rPr/>
            </w:pPr>
            <w:r>
              <w:rPr>
                <w:rFonts w:ascii="Times New Roman" w:hAnsi="Times New Roman"/>
                <w:sz w:val="17"/>
              </w:rPr>
              <w:t xml:space="preserve">Crude oil, natural gas, NGL and other purchases </w:t>
            </w:r>
            <w:r>
              <w:rPr>
                <w:sz w:val="11"/>
              </w:rPr>
              <w:t>(4)</w:t>
            </w:r>
          </w:p>
        </w:tc>
        <w:tc>
          <w:tcPr>
            <w:tcW w:w="206"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5,649</w:t>
            </w:r>
          </w:p>
        </w:tc>
        <w:tc>
          <w:tcPr>
            <w:tcW w:w="206"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2,492</w:t>
            </w:r>
          </w:p>
        </w:tc>
        <w:tc>
          <w:tcPr>
            <w:tcW w:w="206"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1,736</w:t>
            </w:r>
          </w:p>
        </w:tc>
        <w:tc>
          <w:tcPr>
            <w:tcW w:w="205"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1,564</w:t>
            </w:r>
          </w:p>
        </w:tc>
        <w:tc>
          <w:tcPr>
            <w:tcW w:w="206" w:type="dxa"/>
            <w:tcBorders/>
            <w:shd w:fill="CCEEFF"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1,119</w:t>
            </w:r>
          </w:p>
        </w:tc>
        <w:tc>
          <w:tcPr>
            <w:tcW w:w="206" w:type="dxa"/>
            <w:tcBorders/>
            <w:shd w:fill="CCEEFF" w:val="clear"/>
            <w:vAlign w:val="bottom"/>
          </w:tcPr>
          <w:p>
            <w:pPr>
              <w:pStyle w:val="TableContents"/>
              <w:spacing w:before="0" w:after="0"/>
              <w:ind w:left="0" w:right="0" w:hanging="0"/>
              <w:rPr/>
            </w:pPr>
            <w:r>
              <w:rPr/>
              <w:t> </w:t>
            </w:r>
          </w:p>
        </w:tc>
        <w:tc>
          <w:tcPr>
            <w:tcW w:w="7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2,387</w:t>
            </w:r>
          </w:p>
        </w:tc>
        <w:tc>
          <w:tcPr>
            <w:tcW w:w="206" w:type="dxa"/>
            <w:tcBorders/>
            <w:shd w:fill="CCEEFF" w:val="clear"/>
            <w:vAlign w:val="bottom"/>
          </w:tcPr>
          <w:p>
            <w:pPr>
              <w:pStyle w:val="TableContents"/>
              <w:spacing w:before="0" w:after="0"/>
              <w:ind w:left="0" w:right="0" w:hanging="0"/>
              <w:rPr/>
            </w:pPr>
            <w:r>
              <w:rPr/>
              <w:t> </w:t>
            </w:r>
          </w:p>
        </w:tc>
        <w:tc>
          <w:tcPr>
            <w:tcW w:w="7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14,947</w:t>
            </w:r>
          </w:p>
        </w:tc>
        <w:tc>
          <w:tcPr>
            <w:tcW w:w="117" w:type="dxa"/>
            <w:tcBorders/>
            <w:shd w:fill="CCEEFF" w:val="clear"/>
            <w:vAlign w:val="bottom"/>
          </w:tcPr>
          <w:p>
            <w:pPr>
              <w:pStyle w:val="TableContents"/>
              <w:spacing w:before="0" w:after="0"/>
              <w:ind w:left="0" w:right="0" w:hanging="0"/>
              <w:rPr/>
            </w:pPr>
            <w:r>
              <w:rPr/>
              <w:t> </w:t>
            </w:r>
          </w:p>
        </w:tc>
      </w:tr>
      <w:tr>
        <w:trPr/>
        <w:tc>
          <w:tcPr>
            <w:tcW w:w="327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6"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6,278</w:t>
            </w:r>
          </w:p>
        </w:tc>
        <w:tc>
          <w:tcPr>
            <w:tcW w:w="206"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3,059</w:t>
            </w:r>
          </w:p>
        </w:tc>
        <w:tc>
          <w:tcPr>
            <w:tcW w:w="206"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2,792</w:t>
            </w:r>
          </w:p>
        </w:tc>
        <w:tc>
          <w:tcPr>
            <w:tcW w:w="205"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2,480</w:t>
            </w:r>
          </w:p>
        </w:tc>
        <w:tc>
          <w:tcPr>
            <w:tcW w:w="206"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1,892</w:t>
            </w:r>
          </w:p>
        </w:tc>
        <w:tc>
          <w:tcPr>
            <w:tcW w:w="206"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10,292</w:t>
            </w:r>
          </w:p>
        </w:tc>
        <w:tc>
          <w:tcPr>
            <w:tcW w:w="206"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26,793</w:t>
            </w:r>
          </w:p>
        </w:tc>
        <w:tc>
          <w:tcPr>
            <w:tcW w:w="11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debt service payments, interest payments due on our senior notes, interest payments on long-term borrowings outstanding under the PNG credit agreement and the commitment fee on assumed available capacity on the PAA and PNG revolving credit facilities. Although there are outstanding short-term borrowings on the PAA and PNG revolving credit facilities at June 30, 2013, we historically repay and borrow at varying amounts.  As such, we have included only the maximum commitment fee (as if no short-term borrowings were outstanding on the facilities)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Leases are primarily for (i) surface rentals, (ii) office rent, (iii) pipeline assets and (iv) trucks, trailers and railcars.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(i) other long-term liabilities, (ii) storage and transportation agreements and (iii) commitments related to our capital expansion projects, including projected contributions for our share of the capital spending of our equity-method investments.  Excludes a long-term liability of approximately $3 million related to derivative activity included in Crude oil, natural gas, NGL and other purchases.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Amounts are primarily based on estimated volumes and market prices based on average activity during June 2013.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Letters of Credit.</w:t>
      </w:r>
      <w:r>
        <w:rPr>
          <w:rFonts w:ascii="Times New Roman" w:hAnsi="Times New Roman"/>
        </w:rPr>
        <w:t xml:space="preserve">  </w:t>
      </w:r>
      <w:r>
        <w:rPr>
          <w:rFonts w:ascii="Times New Roman" w:hAnsi="Times New Roman"/>
          <w:sz w:val="17"/>
        </w:rPr>
        <w:t>In connection with our crude oil supply and logistics activities,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June 30, 2013 and December 31, 2012, we had outstanding letters of credit of approximately $50 million and $24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off-balance sheet arrangements as defined by Item 303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68" w:name="PB_43_163237_7091"/>
      <w:bookmarkEnd w:id="6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regarding our critical accounting policies and estimates, see Critical Accounting Policies and Estimates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occurrence of a natural disaster, catastrophe, terrorist attack or other event, including attacks on our electronic and computer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tightened capital markets or other factors that increase our cost of capital or limit our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non-utilization of our assets and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69" w:name="PB_44_163251_455"/>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our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as well as factors that are unknown or unpredictable, could also have a material adverse effect on future results.  Please read Risk Factors discussed in Item 1A of our 2012 Annual Report on Form 10-K.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3.  QUANTITATIVE AND QUALITATIVE DISCLOSURES ABOUT MARKET RISK</w:t>
      </w:r>
      <w:bookmarkStart w:id="70" w:name="Item3_QuantitativeAndQualitativeD_173203"/>
      <w:bookmarkEnd w:id="7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derivative instruments to hedge commodity price risk associated with the following commodities: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Crude oil and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 traded and over-the-counter futures, forwards,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Natural gas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natural gas derivatives to hedge commodity price risk inherent in our Supply and Logistics and Facilities segments.  Our objectives for these derivatives include hedging anticipated purchases and sales and stored inventory and managing our anticipated base gas requirements.  We manage these exposures with various instruments including exchange-traded futures,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NGL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71" w:name="PB_45_163308_4141"/>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11 to our condensed consolidated financial statements for further discussion regarding our hedging strategies and 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commodity derivatives and the change in fair value as of June 30, 2013 that would be expected from a 10% price increase or decrease is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31"/>
        <w:gridCol w:w="207"/>
        <w:gridCol w:w="254"/>
        <w:gridCol w:w="1128"/>
        <w:gridCol w:w="222"/>
        <w:gridCol w:w="310"/>
        <w:gridCol w:w="1231"/>
        <w:gridCol w:w="222"/>
        <w:gridCol w:w="276"/>
        <w:gridCol w:w="1276"/>
        <w:gridCol w:w="148"/>
      </w:tblGrid>
      <w:tr>
        <w:trPr/>
        <w:tc>
          <w:tcPr>
            <w:tcW w:w="493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82" w:type="dxa"/>
            <w:gridSpan w:val="2"/>
            <w:tcBorders/>
            <w:shd w:fill="auto" w:val="clear"/>
            <w:vAlign w:val="bottom"/>
          </w:tcPr>
          <w:p>
            <w:pPr>
              <w:pStyle w:val="TableContents"/>
              <w:spacing w:before="0" w:after="0"/>
              <w:ind w:left="0" w:right="0" w:hanging="0"/>
              <w:jc w:val="center"/>
              <w:rPr/>
            </w:pPr>
            <w:r>
              <w:rPr/>
              <w:t> </w:t>
            </w:r>
          </w:p>
        </w:tc>
        <w:tc>
          <w:tcPr>
            <w:tcW w:w="222" w:type="dxa"/>
            <w:tcBorders/>
            <w:shd w:fill="auto" w:val="clear"/>
            <w:vAlign w:val="bottom"/>
          </w:tcPr>
          <w:p>
            <w:pPr>
              <w:pStyle w:val="TableContents"/>
              <w:spacing w:before="0" w:after="0"/>
              <w:ind w:left="0" w:right="0" w:hanging="0"/>
              <w:jc w:val="center"/>
              <w:rPr/>
            </w:pPr>
            <w:r>
              <w:rPr/>
              <w:t> </w:t>
            </w:r>
          </w:p>
        </w:tc>
        <w:tc>
          <w:tcPr>
            <w:tcW w:w="15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222" w:type="dxa"/>
            <w:tcBorders/>
            <w:shd w:fill="auto" w:val="clear"/>
            <w:vAlign w:val="bottom"/>
          </w:tcPr>
          <w:p>
            <w:pPr>
              <w:pStyle w:val="TableContents"/>
              <w:spacing w:before="0" w:after="0"/>
              <w:ind w:left="0" w:right="0" w:hanging="0"/>
              <w:jc w:val="center"/>
              <w:rPr/>
            </w:pPr>
            <w:r>
              <w:rPr/>
              <w:t> </w:t>
            </w:r>
          </w:p>
        </w:tc>
        <w:tc>
          <w:tcPr>
            <w:tcW w:w="15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48" w:type="dxa"/>
            <w:tcBorders/>
            <w:shd w:fill="auto" w:val="clear"/>
            <w:vAlign w:val="bottom"/>
          </w:tcPr>
          <w:p>
            <w:pPr>
              <w:pStyle w:val="TableContents"/>
              <w:spacing w:before="0" w:after="0"/>
              <w:ind w:left="0" w:right="0" w:hanging="0"/>
              <w:jc w:val="center"/>
              <w:rPr/>
            </w:pPr>
            <w:r>
              <w:rPr/>
              <w:t> </w:t>
            </w:r>
          </w:p>
        </w:tc>
      </w:tr>
      <w:tr>
        <w:trPr/>
        <w:tc>
          <w:tcPr>
            <w:tcW w:w="493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22" w:type="dxa"/>
            <w:tcBorders/>
            <w:shd w:fill="auto" w:val="clear"/>
            <w:vAlign w:val="bottom"/>
          </w:tcPr>
          <w:p>
            <w:pPr>
              <w:pStyle w:val="TableContents"/>
              <w:spacing w:before="0" w:after="0"/>
              <w:ind w:left="0" w:right="0" w:hanging="0"/>
              <w:jc w:val="center"/>
              <w:rPr/>
            </w:pPr>
            <w:r>
              <w:rPr/>
              <w:t> </w:t>
            </w:r>
          </w:p>
        </w:tc>
        <w:tc>
          <w:tcPr>
            <w:tcW w:w="15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Increase</w:t>
            </w:r>
          </w:p>
        </w:tc>
        <w:tc>
          <w:tcPr>
            <w:tcW w:w="222" w:type="dxa"/>
            <w:tcBorders/>
            <w:shd w:fill="auto" w:val="clear"/>
            <w:vAlign w:val="bottom"/>
          </w:tcPr>
          <w:p>
            <w:pPr>
              <w:pStyle w:val="TableContents"/>
              <w:spacing w:before="0" w:after="0"/>
              <w:ind w:left="0" w:right="0" w:hanging="0"/>
              <w:jc w:val="center"/>
              <w:rPr/>
            </w:pPr>
            <w:r>
              <w:rPr/>
              <w:t> </w:t>
            </w:r>
          </w:p>
        </w:tc>
        <w:tc>
          <w:tcPr>
            <w:tcW w:w="15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48" w:type="dxa"/>
            <w:tcBorders/>
            <w:shd w:fill="auto" w:val="clear"/>
            <w:vAlign w:val="bottom"/>
          </w:tcPr>
          <w:p>
            <w:pPr>
              <w:pStyle w:val="TableContents"/>
              <w:spacing w:before="0" w:after="0"/>
              <w:ind w:left="0" w:right="0" w:hanging="0"/>
              <w:jc w:val="center"/>
              <w:rPr/>
            </w:pPr>
            <w:r>
              <w:rPr/>
              <w:t> </w:t>
            </w:r>
          </w:p>
        </w:tc>
      </w:tr>
      <w:tr>
        <w:trPr/>
        <w:tc>
          <w:tcPr>
            <w:tcW w:w="49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and related products</w:t>
            </w:r>
          </w:p>
        </w:tc>
        <w:tc>
          <w:tcPr>
            <w:tcW w:w="207" w:type="dxa"/>
            <w:tcBorders/>
            <w:shd w:fill="CCEEFF" w:val="clear"/>
            <w:vAlign w:val="bottom"/>
          </w:tcPr>
          <w:p>
            <w:pPr>
              <w:pStyle w:val="TableContents"/>
              <w:spacing w:before="0" w:after="0"/>
              <w:ind w:left="0" w:right="0" w:hanging="0"/>
              <w:rPr/>
            </w:pPr>
            <w:r>
              <w:rPr/>
              <w:t> </w:t>
            </w:r>
          </w:p>
        </w:tc>
        <w:tc>
          <w:tcPr>
            <w:tcW w:w="2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2"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2" w:type="dxa"/>
            <w:tcBorders/>
            <w:shd w:fill="CCEEFF" w:val="clear"/>
            <w:vAlign w:val="bottom"/>
          </w:tcPr>
          <w:p>
            <w:pPr>
              <w:pStyle w:val="TableContents"/>
              <w:spacing w:before="0" w:after="0"/>
              <w:ind w:left="0" w:right="0" w:hanging="0"/>
              <w:rPr/>
            </w:pPr>
            <w:r>
              <w:rPr/>
              <w:t> </w:t>
            </w:r>
          </w:p>
        </w:tc>
        <w:tc>
          <w:tcPr>
            <w:tcW w:w="2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w:t>
            </w:r>
          </w:p>
        </w:tc>
        <w:tc>
          <w:tcPr>
            <w:tcW w:w="20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48" w:type="dxa"/>
            <w:tcBorders/>
            <w:shd w:fill="auto" w:val="clear"/>
            <w:vAlign w:val="bottom"/>
          </w:tcPr>
          <w:p>
            <w:pPr>
              <w:pStyle w:val="TableContents"/>
              <w:spacing w:before="0" w:after="0"/>
              <w:ind w:left="0" w:right="0" w:hanging="0"/>
              <w:rPr/>
            </w:pPr>
            <w:r>
              <w:rPr/>
              <w:t> </w:t>
            </w:r>
          </w:p>
        </w:tc>
      </w:tr>
      <w:tr>
        <w:trPr/>
        <w:tc>
          <w:tcPr>
            <w:tcW w:w="49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and other</w:t>
            </w:r>
          </w:p>
        </w:tc>
        <w:tc>
          <w:tcPr>
            <w:tcW w:w="207"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22"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CCEEFF" w:val="clear"/>
            <w:vAlign w:val="bottom"/>
          </w:tcPr>
          <w:p>
            <w:pPr>
              <w:pStyle w:val="TableContents"/>
              <w:spacing w:before="0" w:after="0"/>
              <w:ind w:left="0" w:right="0" w:hanging="0"/>
              <w:rPr/>
            </w:pPr>
            <w:r>
              <w:rPr/>
              <w:t> </w:t>
            </w:r>
          </w:p>
        </w:tc>
        <w:tc>
          <w:tcPr>
            <w:tcW w:w="2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07" w:type="dxa"/>
            <w:tcBorders/>
            <w:shd w:fill="auto" w:val="clear"/>
            <w:vAlign w:val="bottom"/>
          </w:tcPr>
          <w:p>
            <w:pPr>
              <w:pStyle w:val="TableContents"/>
              <w:spacing w:before="0" w:after="0"/>
              <w:ind w:left="0" w:right="0" w:hanging="0"/>
              <w:rPr/>
            </w:pPr>
            <w:r>
              <w:rPr/>
              <w:t> </w:t>
            </w:r>
          </w:p>
        </w:tc>
        <w:tc>
          <w:tcPr>
            <w:tcW w:w="2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22" w:type="dxa"/>
            <w:tcBorders/>
            <w:shd w:fill="auto" w:val="clear"/>
            <w:vAlign w:val="bottom"/>
          </w:tcPr>
          <w:p>
            <w:pPr>
              <w:pStyle w:val="TableContents"/>
              <w:spacing w:before="0" w:after="0"/>
              <w:ind w:left="0" w:right="0" w:hanging="0"/>
              <w:rPr/>
            </w:pPr>
            <w:r>
              <w:rPr/>
              <w:t> </w:t>
            </w:r>
          </w:p>
        </w:tc>
        <w:tc>
          <w:tcPr>
            <w:tcW w:w="1541"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552" w:type="dxa"/>
            <w:gridSpan w:val="2"/>
            <w:tcBorders/>
            <w:shd w:fill="auto" w:val="clear"/>
            <w:vAlign w:val="bottom"/>
          </w:tcPr>
          <w:p>
            <w:pPr>
              <w:pStyle w:val="TableContents"/>
              <w:spacing w:before="0" w:after="0"/>
              <w:ind w:left="0" w:right="0" w:hanging="0"/>
              <w:jc w:val="right"/>
              <w:rPr/>
            </w:pPr>
            <w:r>
              <w:rPr/>
              <w:t> </w:t>
            </w:r>
          </w:p>
        </w:tc>
        <w:tc>
          <w:tcPr>
            <w:tcW w:w="14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June 30, 2013, approximately $850 million (which excludes $100 million of variable rate debt when giving consideration to our interest rate derivatives that swap floating-rate debt for fixed), is subject to interest rate re-sets, which range from one week to three months. The average interest rate of approximately 1.7% is based upon rates in effect during the six months ended June 30, 2013 without giving consideration to our interest rate swaps. The fair value of our interest rate derivatives is an unrealized gain of approximately $12 million as of June 30, 2013. A 10% increase in the forward LIBOR curve as of June 30, 2013 would result in an increase of approximately $26 million to the fair value of our interest rate derivatives. A 10% decrease in the forward LIBOR curve as of June 30, 2013 would result in a decrease of approximately $26 million to the fair value of our interest rate derivatives. See Note 11 to our condensed consolidated financial statements for a discussion of our interest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4.  CONTROLS AND PROCEDURES</w:t>
      </w:r>
      <w:bookmarkStart w:id="72" w:name="Item4_ControlsAndProcedures_163336"/>
      <w:bookmarkEnd w:id="72"/>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73" w:name="PB_46_163340_8627"/>
      <w:bookmarkEnd w:id="7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 OTHER INFORMATION</w:t>
      </w:r>
      <w:bookmarkStart w:id="74" w:name="Partii_OtherInformation_163345"/>
      <w:bookmarkEnd w:id="74"/>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LEGAL PROCEEDINGS</w:t>
      </w:r>
      <w:bookmarkStart w:id="75" w:name="Item1_LegalProceedings_163348"/>
      <w:bookmarkEnd w:id="7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required by this item is included under the caption Litigation in Note 12 to our condensed consolidated financial statements, and is incorporated herein by reference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sz w:val="17"/>
        </w:rPr>
        <w:t>RISK FACTORS</w:t>
      </w:r>
      <w:bookmarkStart w:id="76" w:name="Item1a_RiskFactors_163349"/>
      <w:bookmarkEnd w:id="7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regarding our risk factors, see Item 1A of our 2012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UNREGISTERED SALES OF EQUITY SECURITIES AND USE OF PROCEEDS</w:t>
      </w:r>
      <w:bookmarkStart w:id="77" w:name="Item2_UnregisteredSalesOfEquitySe_163349"/>
      <w:bookmarkEnd w:id="7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DEFAULTS UPON SENIOR SECURITIES</w:t>
      </w:r>
      <w:bookmarkStart w:id="78" w:name="Item3_DefaultsUponSeniorSecuritie_163350"/>
      <w:bookmarkEnd w:id="7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MINE SAFETY DISCLOSURES</w:t>
      </w:r>
      <w:bookmarkStart w:id="79" w:name="Item4_MineSafetyDisclosures_163351"/>
      <w:bookmarkEnd w:id="7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OTHER INFORMATION</w:t>
      </w:r>
      <w:bookmarkStart w:id="80" w:name="Item5_OtherInformation_163352"/>
      <w:bookmarkEnd w:id="8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EXHIBITS</w:t>
      </w:r>
      <w:bookmarkStart w:id="81" w:name="Item6_Exhibits_163352"/>
      <w:bookmarkEnd w:id="8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exhibits listed on the accompanying Exhibit Index are filed or incorporated by reference as part of this report, and such Exhibit Index is incorporated herein by reference.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82" w:name="PB_47_163356_7906"/>
      <w:bookmarkEnd w:id="8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83" w:name="Signatures_163719"/>
      <w:bookmarkEnd w:id="83"/>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7, 2013</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Chairman of the Board,</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Executive Officer and Director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Executive Officer)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7, 2013</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Al Swanson, </w:t>
            </w:r>
            <w:r>
              <w:rPr>
                <w:rFonts w:ascii="Times New Roman" w:hAnsi="Times New Roman"/>
                <w:i/>
                <w:sz w:val="17"/>
              </w:rPr>
              <w:t>Executive Vice President and</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Financial Officer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Financial Officer)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7, 2013</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CHRIS HERBOLD</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Chris Herbold, </w:t>
            </w:r>
            <w:r>
              <w:rPr>
                <w:rFonts w:ascii="Times New Roman" w:hAnsi="Times New Roman"/>
                <w:i/>
                <w:sz w:val="17"/>
              </w:rPr>
              <w:t>Vice President- Accounting and</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Accounting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84" w:name="PB_48_163713_9621"/>
      <w:bookmarkEnd w:id="8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442"/>
        <w:gridCol w:w="515"/>
        <w:gridCol w:w="8248"/>
      </w:tblGrid>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Agreement of Limited Partnership of Plains All American Pipeline, L.P. dated as of May 17, 2012 (incorporated by reference to Exhibit 3.1 to the Current Report on Form 8-K filed May 23, 2012).</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October 1, 2012 to the Fourth Amended and Restated Agreement of Limited Partnership of Plains All American Pipeline, L.P. (incorporated by reference to Exhibit 3.1 to the Current Report on Form 8-K filed October 2, 2012).</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Liability Company Agreement of Plains All American GP LLC dated December 23, 2010 (incorporated by reference to Exhibit 3.1 to the Current Report on Form 8-K filed December 30, 2010).</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Partnership Agreement of Plains AAP, L.P. dated December 23, 2010 (incorporated by reference to Exhibit 3.2 to the Current Report on Form 8-K filed December 30, 2010).</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1442"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Fifth Supplemental Indenture (Series A and Series B 5.25% Senior Notes due 2015) dated May 27, 2005 among Plains All American Pipeline, L.P., PAA Finance Corp., the Subsidiary Guarantors named therein and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85" w:name="PB_49_163824_8715"/>
      <w:bookmarkEnd w:id="8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440"/>
        <w:gridCol w:w="516"/>
        <w:gridCol w:w="8249"/>
      </w:tblGrid>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Wachovia Bank, National Association, as trustee (incorporated by reference to Exhibit 4.1 to the Current Report on Form 8-K filed May 31, 2005).</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Twentieth Supplemental Indenture (3.65% Senior Notes due 2022) dated March 22, 2012 among Plains All American Pipeline, L.P., PAA Finance Corp. and U.S. Bank National Association, as trustee (incorporated by reference to Exhibit 4.1 to the Current Report on Form 8-K filed March 26, 2012).</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Twenty-First Supplemental Indenture (5.15% Senior Notes due 2042) dated March 22, 2012 among Plains All American Pipeline, L.P., PAA Finance Corp. and U.S. Bank National Association, as trustee (incorporated by reference to Exhibit 4.3 to the Current Report on Form 8-K filed March 26, 2012).</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Twenty-Second Supplemental Indenture (2.85% Senior Notes due 2023) dated December 10, 2012, by and among Plains All American Pipeline, L.P., PAA Finance Corp., and U.S. Bank National Association, as trustee (incorporated by reference to Exhibit 4.1 to the Current Report on Form 8-K filed December 12, 2012).</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Twenty-Third Supplemental Indenture (4.30% Senior Notes due 2043) dated December 10, 2012, by and among Plains All American Pipeline, L.P., PAA Finance Corp., and U.S. Bank National Association, as trustee (incorporated by reference to Exhibit 4.3 to the Current Report on Form 8-K filed December 12, 2012).</w:t>
            </w:r>
          </w:p>
        </w:tc>
      </w:tr>
      <w:tr>
        <w:trPr/>
        <w:tc>
          <w:tcPr>
            <w:tcW w:w="1440"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10. 1</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PAA LTIP Grant Letter for Officers (February 2013) (incorporated by reference to Exhibit 10.1 to the Quarterly Report on Form 10-Q for the quarter ended March 31,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86" w:name="PB_50_163833_563"/>
      <w:bookmarkEnd w:id="8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442"/>
        <w:gridCol w:w="514"/>
        <w:gridCol w:w="8249"/>
      </w:tblGrid>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12.1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32.1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32.2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101.INS</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Instance Document</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101.SCH</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Schema Document</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101.CAL</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Calculation Linkbase Document</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101.DEF</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Definition Linkbase Document</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101.LAB</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Label Linkbase Document</w:t>
            </w:r>
          </w:p>
        </w:tc>
      </w:tr>
      <w:tr>
        <w:trPr/>
        <w:tc>
          <w:tcPr>
            <w:tcW w:w="1442"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249" w:type="dxa"/>
            <w:tcBorders/>
            <w:shd w:fill="auto" w:val="clear"/>
          </w:tcPr>
          <w:p>
            <w:pPr>
              <w:pStyle w:val="TableContents"/>
              <w:spacing w:before="0" w:after="0"/>
              <w:ind w:left="0" w:right="0" w:hanging="0"/>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101.PRE</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Presentation Linkbase Document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Furnished 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87" w:name="PB_51_163842_9497"/>
      <w:bookmarkEnd w:id="87"/>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88" w:name="a13-13463_1ex12d1.htm"/>
      <w:bookmarkStart w:id="89" w:name="ksa1313463_1ex12d1"/>
      <w:bookmarkEnd w:id="88"/>
      <w:bookmarkEnd w:id="89"/>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893"/>
        <w:gridCol w:w="201"/>
        <w:gridCol w:w="142"/>
        <w:gridCol w:w="745"/>
        <w:gridCol w:w="220"/>
        <w:gridCol w:w="130"/>
        <w:gridCol w:w="697"/>
        <w:gridCol w:w="220"/>
        <w:gridCol w:w="130"/>
        <w:gridCol w:w="697"/>
        <w:gridCol w:w="219"/>
        <w:gridCol w:w="130"/>
        <w:gridCol w:w="646"/>
        <w:gridCol w:w="220"/>
        <w:gridCol w:w="130"/>
        <w:gridCol w:w="646"/>
        <w:gridCol w:w="220"/>
        <w:gridCol w:w="130"/>
        <w:gridCol w:w="646"/>
        <w:gridCol w:w="143"/>
      </w:tblGrid>
      <w:tr>
        <w:trPr/>
        <w:tc>
          <w:tcPr>
            <w:tcW w:w="3893"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88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20" w:type="dxa"/>
            <w:tcBorders/>
            <w:shd w:fill="auto" w:val="clear"/>
            <w:vAlign w:val="bottom"/>
          </w:tcPr>
          <w:p>
            <w:pPr>
              <w:pStyle w:val="TableContents"/>
              <w:spacing w:before="0" w:after="0"/>
              <w:ind w:left="0" w:right="0" w:hanging="0"/>
              <w:jc w:val="center"/>
              <w:rPr/>
            </w:pPr>
            <w:r>
              <w:rPr/>
              <w:t> </w:t>
            </w:r>
          </w:p>
        </w:tc>
        <w:tc>
          <w:tcPr>
            <w:tcW w:w="827"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27"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776"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6"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6" w:type="dxa"/>
            <w:gridSpan w:val="2"/>
            <w:tcBorders/>
            <w:shd w:fill="auto" w:val="clear"/>
            <w:vAlign w:val="bottom"/>
          </w:tcPr>
          <w:p>
            <w:pPr>
              <w:pStyle w:val="TableContents"/>
              <w:spacing w:before="0" w:after="0"/>
              <w:ind w:left="0" w:right="0" w:hanging="0"/>
              <w:jc w:val="center"/>
              <w:rPr/>
            </w:pPr>
            <w:r>
              <w:rPr/>
              <w:t> </w:t>
            </w:r>
          </w:p>
        </w:tc>
        <w:tc>
          <w:tcPr>
            <w:tcW w:w="143" w:type="dxa"/>
            <w:tcBorders/>
            <w:shd w:fill="auto" w:val="clear"/>
            <w:vAlign w:val="bottom"/>
          </w:tcPr>
          <w:p>
            <w:pPr>
              <w:pStyle w:val="TableContents"/>
              <w:spacing w:before="0" w:after="0"/>
              <w:ind w:left="0" w:right="0" w:hanging="0"/>
              <w:jc w:val="center"/>
              <w:rPr/>
            </w:pPr>
            <w:r>
              <w:rPr/>
              <w:t> </w:t>
            </w:r>
          </w:p>
        </w:tc>
      </w:tr>
      <w:tr>
        <w:trPr/>
        <w:tc>
          <w:tcPr>
            <w:tcW w:w="3893"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88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20" w:type="dxa"/>
            <w:tcBorders/>
            <w:shd w:fill="auto" w:val="clear"/>
            <w:vAlign w:val="bottom"/>
          </w:tcPr>
          <w:p>
            <w:pPr>
              <w:pStyle w:val="TableContents"/>
              <w:spacing w:before="0" w:after="0"/>
              <w:ind w:left="0" w:right="0" w:hanging="0"/>
              <w:jc w:val="center"/>
              <w:rPr/>
            </w:pPr>
            <w:r>
              <w:rPr/>
              <w:t> </w:t>
            </w:r>
          </w:p>
        </w:tc>
        <w:tc>
          <w:tcPr>
            <w:tcW w:w="827"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27"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776"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6"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6" w:type="dxa"/>
            <w:gridSpan w:val="2"/>
            <w:tcBorders/>
            <w:shd w:fill="auto" w:val="clear"/>
            <w:vAlign w:val="bottom"/>
          </w:tcPr>
          <w:p>
            <w:pPr>
              <w:pStyle w:val="TableContents"/>
              <w:spacing w:before="0" w:after="0"/>
              <w:ind w:left="0" w:right="0" w:hanging="0"/>
              <w:jc w:val="center"/>
              <w:rPr/>
            </w:pPr>
            <w:r>
              <w:rPr/>
              <w:t> </w:t>
            </w:r>
          </w:p>
        </w:tc>
        <w:tc>
          <w:tcPr>
            <w:tcW w:w="143" w:type="dxa"/>
            <w:tcBorders/>
            <w:shd w:fill="auto" w:val="clear"/>
            <w:vAlign w:val="bottom"/>
          </w:tcPr>
          <w:p>
            <w:pPr>
              <w:pStyle w:val="TableContents"/>
              <w:spacing w:before="0" w:after="0"/>
              <w:ind w:left="0" w:right="0" w:hanging="0"/>
              <w:jc w:val="center"/>
              <w:rPr/>
            </w:pPr>
            <w:r>
              <w:rPr/>
              <w:t> </w:t>
            </w:r>
          </w:p>
        </w:tc>
      </w:tr>
      <w:tr>
        <w:trPr/>
        <w:tc>
          <w:tcPr>
            <w:tcW w:w="3893"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88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w:t>
            </w:r>
          </w:p>
        </w:tc>
        <w:tc>
          <w:tcPr>
            <w:tcW w:w="220" w:type="dxa"/>
            <w:tcBorders/>
            <w:shd w:fill="auto" w:val="clear"/>
            <w:vAlign w:val="bottom"/>
          </w:tcPr>
          <w:p>
            <w:pPr>
              <w:pStyle w:val="TableContents"/>
              <w:spacing w:before="0" w:after="0"/>
              <w:ind w:left="0" w:right="0" w:hanging="0"/>
              <w:jc w:val="center"/>
              <w:rPr/>
            </w:pPr>
            <w:r>
              <w:rPr/>
              <w:t> </w:t>
            </w:r>
          </w:p>
        </w:tc>
        <w:tc>
          <w:tcPr>
            <w:tcW w:w="4861"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43" w:type="dxa"/>
            <w:tcBorders/>
            <w:shd w:fill="auto" w:val="clear"/>
            <w:vAlign w:val="bottom"/>
          </w:tcPr>
          <w:p>
            <w:pPr>
              <w:pStyle w:val="TableContents"/>
              <w:spacing w:before="0" w:after="0"/>
              <w:ind w:left="0" w:right="0" w:hanging="0"/>
              <w:jc w:val="center"/>
              <w:rPr/>
            </w:pPr>
            <w:r>
              <w:rPr/>
              <w:t> </w:t>
            </w:r>
          </w:p>
        </w:tc>
      </w:tr>
      <w:tr>
        <w:trPr/>
        <w:tc>
          <w:tcPr>
            <w:tcW w:w="3893"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0" w:type="dxa"/>
            <w:tcBorders/>
            <w:shd w:fill="auto" w:val="clear"/>
            <w:vAlign w:val="bottom"/>
          </w:tcPr>
          <w:p>
            <w:pPr>
              <w:pStyle w:val="TableContents"/>
              <w:spacing w:before="0" w:after="0"/>
              <w:ind w:left="0" w:right="0" w:hanging="0"/>
              <w:jc w:val="center"/>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0" w:type="dxa"/>
            <w:tcBorders/>
            <w:shd w:fill="auto" w:val="clear"/>
            <w:vAlign w:val="bottom"/>
          </w:tcPr>
          <w:p>
            <w:pPr>
              <w:pStyle w:val="TableContents"/>
              <w:spacing w:before="0" w:after="0"/>
              <w:ind w:left="0" w:right="0" w:hanging="0"/>
              <w:jc w:val="center"/>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9" w:type="dxa"/>
            <w:tcBorders/>
            <w:shd w:fill="auto" w:val="clear"/>
            <w:vAlign w:val="bottom"/>
          </w:tcPr>
          <w:p>
            <w:pPr>
              <w:pStyle w:val="TableContents"/>
              <w:spacing w:before="0" w:after="0"/>
              <w:ind w:left="0" w:right="0" w:hanging="0"/>
              <w:jc w:val="center"/>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0" w:type="dxa"/>
            <w:tcBorders/>
            <w:shd w:fill="auto" w:val="clear"/>
            <w:vAlign w:val="bottom"/>
          </w:tcPr>
          <w:p>
            <w:pPr>
              <w:pStyle w:val="TableContents"/>
              <w:spacing w:before="0" w:after="0"/>
              <w:ind w:left="0" w:right="0" w:hanging="0"/>
              <w:jc w:val="center"/>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0" w:type="dxa"/>
            <w:tcBorders/>
            <w:shd w:fill="auto" w:val="clear"/>
            <w:vAlign w:val="bottom"/>
          </w:tcPr>
          <w:p>
            <w:pPr>
              <w:pStyle w:val="TableContents"/>
              <w:spacing w:before="0" w:after="0"/>
              <w:ind w:left="0" w:right="0" w:hanging="0"/>
              <w:jc w:val="center"/>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43" w:type="dxa"/>
            <w:tcBorders/>
            <w:shd w:fill="auto" w:val="clear"/>
            <w:vAlign w:val="bottom"/>
          </w:tcPr>
          <w:p>
            <w:pPr>
              <w:pStyle w:val="TableContents"/>
              <w:spacing w:before="0" w:after="0"/>
              <w:ind w:left="0" w:right="0" w:hanging="0"/>
              <w:jc w:val="center"/>
              <w:rPr/>
            </w:pPr>
            <w:r>
              <w:rPr/>
              <w:t> </w:t>
            </w:r>
          </w:p>
        </w:tc>
      </w:tr>
      <w:tr>
        <w:trPr/>
        <w:tc>
          <w:tcPr>
            <w:tcW w:w="3893" w:type="dxa"/>
            <w:tcBorders/>
            <w:shd w:fill="CCEEFF" w:val="clear"/>
            <w:vAlign w:val="bottom"/>
          </w:tcPr>
          <w:p>
            <w:pPr>
              <w:pStyle w:val="TableContents"/>
              <w:spacing w:before="0" w:after="0"/>
              <w:ind w:left="0" w:right="0" w:hanging="0"/>
              <w:rPr/>
            </w:pPr>
            <w:r>
              <w:rPr>
                <w:rFonts w:ascii="Times New Roman" w:hAnsi="Times New Roman"/>
                <w:b/>
                <w:sz w:val="17"/>
              </w:rPr>
              <w:t>EARNINGS</w:t>
            </w:r>
            <w:r>
              <w:rPr/>
              <w:t xml:space="preserve"> </w:t>
            </w:r>
            <w:r>
              <w:rPr>
                <w:b/>
                <w:sz w:val="11"/>
              </w:rPr>
              <w:t>(1)</w:t>
            </w:r>
          </w:p>
        </w:tc>
        <w:tc>
          <w:tcPr>
            <w:tcW w:w="201"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143" w:type="dxa"/>
            <w:tcBorders/>
            <w:shd w:fill="CCEEFF" w:val="clear"/>
            <w:vAlign w:val="bottom"/>
          </w:tcPr>
          <w:p>
            <w:pPr>
              <w:pStyle w:val="TableContents"/>
              <w:spacing w:before="0" w:after="0"/>
              <w:ind w:left="0" w:right="0" w:hanging="0"/>
              <w:rPr/>
            </w:pPr>
            <w:r>
              <w:rPr/>
              <w:t> </w:t>
            </w:r>
          </w:p>
        </w:tc>
      </w:tr>
      <w:tr>
        <w:trPr/>
        <w:tc>
          <w:tcPr>
            <w:tcW w:w="38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 noncontrolling interest and income from equity investees</w:t>
            </w:r>
          </w:p>
        </w:tc>
        <w:tc>
          <w:tcPr>
            <w:tcW w:w="20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884</w:t>
            </w:r>
          </w:p>
        </w:tc>
        <w:tc>
          <w:tcPr>
            <w:tcW w:w="220"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1,143</w:t>
            </w:r>
          </w:p>
        </w:tc>
        <w:tc>
          <w:tcPr>
            <w:tcW w:w="220"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219"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20"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20"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43" w:type="dxa"/>
            <w:tcBorders/>
            <w:shd w:fill="auto" w:val="clear"/>
            <w:vAlign w:val="bottom"/>
          </w:tcPr>
          <w:p>
            <w:pPr>
              <w:pStyle w:val="TableContents"/>
              <w:spacing w:before="0" w:after="0"/>
              <w:ind w:left="0" w:right="0" w:hanging="0"/>
              <w:rPr/>
            </w:pPr>
            <w:r>
              <w:rPr/>
              <w:t> </w:t>
            </w:r>
          </w:p>
        </w:tc>
      </w:tr>
      <w:tr>
        <w:trPr/>
        <w:tc>
          <w:tcPr>
            <w:tcW w:w="38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201"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1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43" w:type="dxa"/>
            <w:tcBorders/>
            <w:shd w:fill="CCEEFF" w:val="clear"/>
            <w:vAlign w:val="bottom"/>
          </w:tcPr>
          <w:p>
            <w:pPr>
              <w:pStyle w:val="TableContents"/>
              <w:spacing w:before="0" w:after="0"/>
              <w:ind w:left="0" w:right="0" w:hanging="0"/>
              <w:rPr/>
            </w:pPr>
            <w:r>
              <w:rPr/>
              <w:t> </w:t>
            </w:r>
          </w:p>
        </w:tc>
      </w:tr>
      <w:tr>
        <w:trPr/>
        <w:tc>
          <w:tcPr>
            <w:tcW w:w="38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Distributed income of equity investees</w:t>
            </w:r>
          </w:p>
        </w:tc>
        <w:tc>
          <w:tcPr>
            <w:tcW w:w="201"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0"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0"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3" w:type="dxa"/>
            <w:tcBorders/>
            <w:shd w:fill="auto" w:val="clear"/>
            <w:vAlign w:val="bottom"/>
          </w:tcPr>
          <w:p>
            <w:pPr>
              <w:pStyle w:val="TableContents"/>
              <w:spacing w:before="0" w:after="0"/>
              <w:ind w:left="0" w:right="0" w:hanging="0"/>
              <w:rPr/>
            </w:pPr>
            <w:r>
              <w:rPr/>
              <w:t> </w:t>
            </w:r>
          </w:p>
        </w:tc>
      </w:tr>
      <w:tr>
        <w:trPr/>
        <w:tc>
          <w:tcPr>
            <w:tcW w:w="38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Amortization of capitalized interest</w:t>
            </w:r>
          </w:p>
        </w:tc>
        <w:tc>
          <w:tcPr>
            <w:tcW w:w="201"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3" w:type="dxa"/>
            <w:tcBorders/>
            <w:shd w:fill="CCEEFF" w:val="clear"/>
            <w:vAlign w:val="bottom"/>
          </w:tcPr>
          <w:p>
            <w:pPr>
              <w:pStyle w:val="TableContents"/>
              <w:spacing w:before="0" w:after="0"/>
              <w:ind w:left="0" w:right="0" w:hanging="0"/>
              <w:rPr/>
            </w:pPr>
            <w:r>
              <w:rPr/>
              <w:t> </w:t>
            </w:r>
          </w:p>
        </w:tc>
      </w:tr>
      <w:tr>
        <w:trPr/>
        <w:tc>
          <w:tcPr>
            <w:tcW w:w="38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201"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20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1,095</w:t>
            </w:r>
          </w:p>
        </w:tc>
        <w:tc>
          <w:tcPr>
            <w:tcW w:w="220"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1,529</w:t>
            </w:r>
          </w:p>
        </w:tc>
        <w:tc>
          <w:tcPr>
            <w:tcW w:w="220"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1,354</w:t>
            </w:r>
          </w:p>
        </w:tc>
        <w:tc>
          <w:tcPr>
            <w:tcW w:w="219"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220"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20"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43" w:type="dxa"/>
            <w:tcBorders/>
            <w:shd w:fill="CCEEFF" w:val="clear"/>
            <w:vAlign w:val="bottom"/>
          </w:tcPr>
          <w:p>
            <w:pPr>
              <w:pStyle w:val="TableContents"/>
              <w:spacing w:before="0" w:after="0"/>
              <w:ind w:left="0" w:right="0" w:hanging="0"/>
              <w:rPr/>
            </w:pPr>
            <w:r>
              <w:rPr/>
              <w:t> </w:t>
            </w:r>
          </w:p>
        </w:tc>
      </w:tr>
      <w:tr>
        <w:trPr/>
        <w:tc>
          <w:tcPr>
            <w:tcW w:w="3893"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143" w:type="dxa"/>
            <w:tcBorders/>
            <w:shd w:fill="auto" w:val="clear"/>
            <w:vAlign w:val="bottom"/>
          </w:tcPr>
          <w:p>
            <w:pPr>
              <w:pStyle w:val="TableContents"/>
              <w:spacing w:before="0" w:after="0"/>
              <w:ind w:left="0" w:right="0" w:hanging="0"/>
              <w:rPr/>
            </w:pPr>
            <w:r>
              <w:rPr/>
              <w:t> </w:t>
            </w:r>
          </w:p>
        </w:tc>
      </w:tr>
      <w:tr>
        <w:trPr/>
        <w:tc>
          <w:tcPr>
            <w:tcW w:w="3893" w:type="dxa"/>
            <w:tcBorders/>
            <w:shd w:fill="CCEEFF" w:val="clear"/>
            <w:vAlign w:val="bottom"/>
          </w:tcPr>
          <w:p>
            <w:pPr>
              <w:pStyle w:val="TableContents"/>
              <w:spacing w:before="0" w:after="0"/>
              <w:ind w:left="0" w:right="0" w:hanging="0"/>
              <w:rPr/>
            </w:pPr>
            <w:r>
              <w:rPr>
                <w:rFonts w:ascii="Times New Roman" w:hAnsi="Times New Roman"/>
                <w:b/>
                <w:sz w:val="17"/>
              </w:rPr>
              <w:t>FIXED CHARGES</w:t>
            </w:r>
            <w:r>
              <w:rPr/>
              <w:t xml:space="preserve"> </w:t>
            </w:r>
            <w:r>
              <w:rPr>
                <w:b/>
                <w:sz w:val="11"/>
              </w:rPr>
              <w:t>(1)</w:t>
            </w:r>
          </w:p>
        </w:tc>
        <w:tc>
          <w:tcPr>
            <w:tcW w:w="201"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143" w:type="dxa"/>
            <w:tcBorders/>
            <w:shd w:fill="CCEEFF" w:val="clear"/>
            <w:vAlign w:val="bottom"/>
          </w:tcPr>
          <w:p>
            <w:pPr>
              <w:pStyle w:val="TableContents"/>
              <w:spacing w:before="0" w:after="0"/>
              <w:ind w:left="0" w:right="0" w:hanging="0"/>
              <w:rPr/>
            </w:pPr>
            <w:r>
              <w:rPr/>
              <w:t> </w:t>
            </w:r>
          </w:p>
        </w:tc>
      </w:tr>
      <w:tr>
        <w:trPr/>
        <w:tc>
          <w:tcPr>
            <w:tcW w:w="3893" w:type="dxa"/>
            <w:tcBorders/>
            <w:shd w:fill="auto" w:val="clear"/>
            <w:vAlign w:val="bottom"/>
          </w:tcPr>
          <w:p>
            <w:pPr>
              <w:pStyle w:val="TableContents"/>
              <w:spacing w:before="0" w:after="0"/>
              <w:ind w:left="0" w:right="0" w:hanging="0"/>
              <w:rPr/>
            </w:pPr>
            <w:r>
              <w:rPr>
                <w:rFonts w:ascii="Times New Roman" w:hAnsi="Times New Roman"/>
                <w:sz w:val="17"/>
              </w:rPr>
              <w:t>Interest expensed and capitalized</w:t>
            </w:r>
            <w:r>
              <w:rPr/>
              <w:t xml:space="preserve"> </w:t>
            </w:r>
            <w:r>
              <w:rPr>
                <w:sz w:val="11"/>
              </w:rPr>
              <w:t>(2)</w:t>
            </w:r>
          </w:p>
        </w:tc>
        <w:tc>
          <w:tcPr>
            <w:tcW w:w="20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20"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0"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19"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20"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20"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43" w:type="dxa"/>
            <w:tcBorders/>
            <w:shd w:fill="auto" w:val="clear"/>
            <w:vAlign w:val="bottom"/>
          </w:tcPr>
          <w:p>
            <w:pPr>
              <w:pStyle w:val="TableContents"/>
              <w:spacing w:before="0" w:after="0"/>
              <w:ind w:left="0" w:right="0" w:hanging="0"/>
              <w:rPr/>
            </w:pPr>
            <w:r>
              <w:rPr/>
              <w:t> </w:t>
            </w:r>
          </w:p>
        </w:tc>
      </w:tr>
      <w:tr>
        <w:trPr/>
        <w:tc>
          <w:tcPr>
            <w:tcW w:w="38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201"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0" w:type="dxa"/>
            <w:tcBorders/>
            <w:shd w:fill="CCEEFF" w:val="clear"/>
            <w:vAlign w:val="bottom"/>
          </w:tcPr>
          <w:p>
            <w:pPr>
              <w:pStyle w:val="TableContents"/>
              <w:spacing w:before="0" w:after="0"/>
              <w:ind w:left="0" w:right="0" w:hanging="0"/>
              <w:rPr/>
            </w:pPr>
            <w:r>
              <w:rPr/>
              <w:t> </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43" w:type="dxa"/>
            <w:tcBorders/>
            <w:shd w:fill="CCEEFF" w:val="clear"/>
            <w:vAlign w:val="bottom"/>
          </w:tcPr>
          <w:p>
            <w:pPr>
              <w:pStyle w:val="TableContents"/>
              <w:spacing w:before="0" w:after="0"/>
              <w:ind w:left="0" w:right="0" w:hanging="0"/>
              <w:rPr/>
            </w:pPr>
            <w:r>
              <w:rPr/>
              <w:t> </w:t>
            </w:r>
          </w:p>
        </w:tc>
      </w:tr>
      <w:tr>
        <w:trPr/>
        <w:tc>
          <w:tcPr>
            <w:tcW w:w="38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201"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0" w:type="dxa"/>
            <w:tcBorders/>
            <w:shd w:fill="auto"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0" w:type="dxa"/>
            <w:tcBorders/>
            <w:shd w:fill="auto"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9"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0"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20"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43" w:type="dxa"/>
            <w:tcBorders/>
            <w:shd w:fill="auto" w:val="clear"/>
            <w:vAlign w:val="bottom"/>
          </w:tcPr>
          <w:p>
            <w:pPr>
              <w:pStyle w:val="TableContents"/>
              <w:spacing w:before="0" w:after="0"/>
              <w:ind w:left="0" w:right="0" w:hanging="0"/>
              <w:rPr/>
            </w:pPr>
            <w:r>
              <w:rPr/>
              <w:t> </w:t>
            </w:r>
          </w:p>
        </w:tc>
      </w:tr>
      <w:tr>
        <w:trPr/>
        <w:tc>
          <w:tcPr>
            <w:tcW w:w="38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20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20"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20"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19"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0"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0"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43" w:type="dxa"/>
            <w:tcBorders/>
            <w:shd w:fill="CCEEFF" w:val="clear"/>
            <w:vAlign w:val="bottom"/>
          </w:tcPr>
          <w:p>
            <w:pPr>
              <w:pStyle w:val="TableContents"/>
              <w:spacing w:before="0" w:after="0"/>
              <w:ind w:left="0" w:right="0" w:hanging="0"/>
              <w:rPr/>
            </w:pPr>
            <w:r>
              <w:rPr/>
              <w:t> </w:t>
            </w:r>
          </w:p>
        </w:tc>
      </w:tr>
      <w:tr>
        <w:trPr/>
        <w:tc>
          <w:tcPr>
            <w:tcW w:w="3893"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143" w:type="dxa"/>
            <w:tcBorders/>
            <w:shd w:fill="auto" w:val="clear"/>
            <w:vAlign w:val="bottom"/>
          </w:tcPr>
          <w:p>
            <w:pPr>
              <w:pStyle w:val="TableContents"/>
              <w:spacing w:before="0" w:after="0"/>
              <w:ind w:left="0" w:right="0" w:hanging="0"/>
              <w:rPr/>
            </w:pPr>
            <w:r>
              <w:rPr/>
              <w:t> </w:t>
            </w:r>
          </w:p>
        </w:tc>
      </w:tr>
      <w:tr>
        <w:trPr/>
        <w:tc>
          <w:tcPr>
            <w:tcW w:w="3893" w:type="dxa"/>
            <w:tcBorders/>
            <w:shd w:fill="CCEEFF" w:val="clear"/>
            <w:vAlign w:val="bottom"/>
          </w:tcPr>
          <w:p>
            <w:pPr>
              <w:pStyle w:val="TableContents"/>
              <w:spacing w:before="0" w:after="0"/>
              <w:ind w:left="0" w:right="0" w:hanging="0"/>
              <w:rPr/>
            </w:pPr>
            <w:r>
              <w:rPr>
                <w:rFonts w:ascii="Times New Roman" w:hAnsi="Times New Roman"/>
                <w:b/>
                <w:sz w:val="17"/>
              </w:rPr>
              <w:t>RATIO OF EARNINGS TO FIXED CHARGES</w:t>
            </w:r>
            <w:r>
              <w:rPr/>
              <w:t xml:space="preserve"> </w:t>
            </w:r>
            <w:r>
              <w:rPr>
                <w:b/>
                <w:sz w:val="11"/>
              </w:rPr>
              <w:t>(3)</w:t>
            </w:r>
          </w:p>
        </w:tc>
        <w:tc>
          <w:tcPr>
            <w:tcW w:w="201"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11"/>
        </w:rPr>
        <w:t>(1)</w:t>
      </w:r>
      <w:r>
        <w:rPr>
          <w:rFonts w:ascii="Times New Roman" w:hAnsi="Times New Roman"/>
        </w:rPr>
        <w:t xml:space="preserve">             </w:t>
      </w: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(2)</w:t>
      </w:r>
      <w:r>
        <w:rPr>
          <w:rFonts w:ascii="Times New Roman" w:hAnsi="Times New Roman"/>
        </w:rPr>
        <w:t xml:space="preserve">             </w:t>
      </w:r>
      <w:r>
        <w:rPr>
          <w:rFonts w:ascii="Times New Roman" w:hAnsi="Times New Roman"/>
          <w:sz w:val="17"/>
        </w:rPr>
        <w:t>Includes interest costs attributable to borrowings for hedged inventory purchases of $10 million for the six months ended June 30, 2013 and $12 million, $20 million, $17 million, $11 million and $21 million for the years ended December 31, 2012, 2011, 2010, 2009 and 2008,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(3)</w:t>
      </w:r>
      <w:r>
        <w:rPr>
          <w:rFonts w:ascii="Times New Roman" w:hAnsi="Times New Roman"/>
        </w:rPr>
        <w:t xml:space="preserve">             </w:t>
      </w:r>
      <w:r>
        <w:rPr>
          <w:rFonts w:ascii="Times New Roman" w:hAnsi="Times New Roman"/>
          <w:sz w:val="17"/>
        </w:rPr>
        <w:t>Ratios may not recalculate due to rounding.</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0" w:name="a13-13463_1ex31d1.htm"/>
      <w:bookmarkStart w:id="91" w:name="ksa1313463_1ex31d1"/>
      <w:bookmarkEnd w:id="90"/>
      <w:bookmarkEnd w:id="91"/>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August 7, 2013</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5050"/>
        <w:gridCol w:w="5155"/>
      </w:tblGrid>
      <w:tr>
        <w:trPr/>
        <w:tc>
          <w:tcPr>
            <w:tcW w:w="5050"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55" w:type="dxa"/>
            <w:tcBorders/>
            <w:shd w:fill="auto" w:val="clear"/>
            <w:tcMar>
              <w:bottom w:w="0" w:type="dxa"/>
            </w:tcMar>
          </w:tcPr>
          <w:p>
            <w:pPr>
              <w:pStyle w:val="TableContents"/>
              <w:spacing w:before="0" w:after="0"/>
              <w:ind w:left="0" w:right="0" w:hanging="0"/>
              <w:rPr/>
            </w:pPr>
            <w:r>
              <w:rPr/>
              <w:t> </w:t>
            </w:r>
          </w:p>
        </w:tc>
      </w:tr>
      <w:tr>
        <w:trPr/>
        <w:tc>
          <w:tcPr>
            <w:tcW w:w="50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55" w:type="dxa"/>
            <w:tcBorders/>
            <w:shd w:fill="auto" w:val="clear"/>
            <w:tcMar>
              <w:bottom w:w="0" w:type="dxa"/>
            </w:tcMar>
          </w:tcPr>
          <w:p>
            <w:pPr>
              <w:pStyle w:val="TableContents"/>
              <w:spacing w:before="0" w:after="0"/>
              <w:ind w:left="0" w:right="0" w:hanging="0"/>
              <w:rPr/>
            </w:pPr>
            <w:r>
              <w:rPr/>
              <w:t> </w:t>
            </w:r>
          </w:p>
        </w:tc>
      </w:tr>
      <w:tr>
        <w:trPr/>
        <w:tc>
          <w:tcPr>
            <w:tcW w:w="505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5155"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2" w:name="a13-13463_1ex31d2.htm"/>
      <w:bookmarkStart w:id="93" w:name="ksa1313463_1ex31d2"/>
      <w:bookmarkEnd w:id="92"/>
      <w:bookmarkEnd w:id="93"/>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August 7, 2013</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4" w:name="a13-13463_1ex32d1.htm"/>
      <w:bookmarkStart w:id="95" w:name="ksa1313463_1ex32d1"/>
      <w:bookmarkEnd w:id="94"/>
      <w:bookmarkEnd w:id="95"/>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10-Q for the period ended June 30, 2013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7, 2013</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6" w:name="a13-13463_1ex32d2.htm"/>
      <w:bookmarkStart w:id="97" w:name="ksa1313463_1ex32d2"/>
      <w:bookmarkEnd w:id="96"/>
      <w:bookmarkEnd w:id="97"/>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10-Q for the period ended June 30, 2013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7, 2013</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29406</Words>
  <CharactersWithSpaces>183835</CharactersWithSpaces>
  <Paragraphs>10660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