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5"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40"/>
        <w:spacing w:after="0" w:line="26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-186690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54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4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42"/>
              <w:spacing w:after="0" w:line="173"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40" w:type="dxa"/>
            <w:vAlign w:val="bottom"/>
            <w:vMerge w:val="restart"/>
          </w:tcPr>
          <w:p>
            <w:pPr>
              <w:jc w:val="center"/>
              <w:ind w:right="54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5293360</wp:posOffset>
            </wp:positionH>
            <wp:positionV relativeFrom="paragraph">
              <wp:posOffset>-582295</wp:posOffset>
            </wp:positionV>
            <wp:extent cx="55880"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563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-582295</wp:posOffset>
            </wp:positionV>
            <wp:extent cx="55880"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563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-1906905</wp:posOffset>
            </wp:positionH>
            <wp:positionV relativeFrom="paragraph">
              <wp:posOffset>13970</wp:posOffset>
            </wp:positionV>
            <wp:extent cx="7330440" cy="713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0440" cy="7135495"/>
                    </a:xfrm>
                    <a:prstGeom prst="rect">
                      <a:avLst/>
                    </a:prstGeom>
                    <a:noFill/>
                  </pic:spPr>
                </pic:pic>
              </a:graphicData>
            </a:graphic>
          </wp:anchor>
        </w:drawing>
      </w:r>
    </w:p>
    <w:p>
      <w:pPr>
        <w:spacing w:after="0" w:line="96" w:lineRule="exact"/>
        <w:rPr>
          <w:sz w:val="24"/>
          <w:szCs w:val="24"/>
          <w:color w:val="auto"/>
        </w:rPr>
      </w:pPr>
    </w:p>
    <w:p>
      <w:pPr>
        <w:sectPr>
          <w:pgSz w:w="11900" w:h="16902" w:orient="portrait"/>
          <w:cols w:equalWidth="0" w:num="2">
            <w:col w:w="2280" w:space="700"/>
            <w:col w:w="8540"/>
          </w:cols>
          <w:pgMar w:left="240" w:top="216" w:right="13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DUCKETT W DAVID</w:t>
        </w:r>
      </w:hyperlink>
    </w:p>
    <w:p>
      <w:pPr>
        <w:spacing w:after="0" w:line="287"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SUITE 1400, 607 EIGHTH AVENUE S.W.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PLAINS GP HOLDINGS LP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PAGP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rPr>
          <w:sz w:val="20"/>
          <w:szCs w:val="20"/>
          <w:color w:val="auto"/>
        </w:rPr>
      </w:pPr>
      <w:r>
        <w:rPr>
          <w:rFonts w:ascii="Arial" w:cs="Arial" w:eastAsia="Arial" w:hAnsi="Arial"/>
          <w:sz w:val="16"/>
          <w:szCs w:val="16"/>
          <w:color w:val="0000FF"/>
        </w:rPr>
        <w:t>01/26/2016</w:t>
      </w:r>
    </w:p>
    <w:p>
      <w:pPr>
        <w:spacing w:after="0" w:line="20" w:lineRule="exact"/>
        <w:rPr>
          <w:sz w:val="24"/>
          <w:szCs w:val="24"/>
          <w:color w:val="auto"/>
        </w:rPr>
      </w:pPr>
      <w:r>
        <w:rPr>
          <w:sz w:val="24"/>
          <w:szCs w:val="24"/>
          <w:color w:val="auto"/>
        </w:rPr>
        <w:br w:type="column"/>
      </w:r>
    </w:p>
    <w:p>
      <w:pPr>
        <w:ind w:left="-3" w:right="960" w:firstLine="3"/>
        <w:spacing w:after="0"/>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3" w:lineRule="exact"/>
        <w:rPr>
          <w:sz w:val="24"/>
          <w:szCs w:val="24"/>
          <w:color w:val="auto"/>
        </w:rPr>
      </w:pPr>
    </w:p>
    <w:tbl>
      <w:tblPr>
        <w:tblLayout w:type="fixed"/>
        <w:tblInd w:w="217"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136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4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40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4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857"/>
        <w:spacing w:after="0"/>
        <w:rPr>
          <w:sz w:val="20"/>
          <w:szCs w:val="20"/>
          <w:color w:val="auto"/>
        </w:rPr>
      </w:pPr>
      <w:r>
        <w:rPr>
          <w:rFonts w:ascii="Arial" w:cs="Arial" w:eastAsia="Arial" w:hAnsi="Arial"/>
          <w:sz w:val="16"/>
          <w:szCs w:val="16"/>
          <w:color w:val="0000FF"/>
        </w:rPr>
        <w:t>Pres. of subsidiary - PMC</w:t>
      </w:r>
    </w:p>
    <w:p>
      <w:pPr>
        <w:spacing w:after="0" w:line="319" w:lineRule="exact"/>
        <w:rPr>
          <w:sz w:val="24"/>
          <w:szCs w:val="24"/>
          <w:color w:val="auto"/>
        </w:rPr>
      </w:pPr>
    </w:p>
    <w:p>
      <w:pPr>
        <w:sectPr>
          <w:pgSz w:w="11900" w:h="16902" w:orient="portrait"/>
          <w:cols w:equalWidth="0" w:num="3">
            <w:col w:w="3340" w:space="720"/>
            <w:col w:w="3263" w:space="720"/>
            <w:col w:w="3477"/>
          </w:cols>
          <w:pgMar w:left="240" w:top="216" w:right="139" w:bottom="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7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Borders>
              <w:top w:val="single" w:sz="8" w:color="2C2C2C"/>
            </w:tcBorders>
          </w:tcPr>
          <w:p>
            <w:pPr>
              <w:spacing w:after="0"/>
              <w:rPr>
                <w:sz w:val="14"/>
                <w:szCs w:val="14"/>
                <w:color w:val="auto"/>
              </w:rPr>
            </w:pPr>
          </w:p>
        </w:tc>
        <w:tc>
          <w:tcPr>
            <w:tcW w:w="3860" w:type="dxa"/>
            <w:vAlign w:val="bottom"/>
            <w:tcBorders>
              <w:top w:val="single" w:sz="8" w:color="2C2C2C"/>
            </w:tcBorders>
            <w:gridSpan w:val="9"/>
            <w:vMerge w:val="restart"/>
          </w:tcPr>
          <w:p>
            <w:pPr>
              <w:ind w:left="4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gridSpan w:val="2"/>
            <w:vMerge w:val="restart"/>
          </w:tcPr>
          <w:p>
            <w:pPr>
              <w:spacing w:after="0"/>
              <w:rPr>
                <w:sz w:val="20"/>
                <w:szCs w:val="20"/>
                <w:color w:val="auto"/>
              </w:rPr>
            </w:pPr>
            <w:r>
              <w:rPr>
                <w:rFonts w:ascii="Arial" w:cs="Arial" w:eastAsia="Arial" w:hAnsi="Arial"/>
                <w:sz w:val="16"/>
                <w:szCs w:val="16"/>
                <w:color w:val="0000FF"/>
              </w:rPr>
              <w:t>CALGARY</w:t>
            </w:r>
          </w:p>
        </w:tc>
        <w:tc>
          <w:tcPr>
            <w:tcW w:w="300" w:type="dxa"/>
            <w:vAlign w:val="bottom"/>
          </w:tcPr>
          <w:p>
            <w:pPr>
              <w:spacing w:after="0"/>
              <w:rPr>
                <w:sz w:val="4"/>
                <w:szCs w:val="4"/>
                <w:color w:val="auto"/>
              </w:rPr>
            </w:pPr>
          </w:p>
        </w:tc>
        <w:tc>
          <w:tcPr>
            <w:tcW w:w="1060" w:type="dxa"/>
            <w:vAlign w:val="bottom"/>
            <w:vMerge w:val="restart"/>
          </w:tcPr>
          <w:p>
            <w:pPr>
              <w:spacing w:after="0"/>
              <w:rPr>
                <w:sz w:val="20"/>
                <w:szCs w:val="20"/>
                <w:color w:val="auto"/>
              </w:rPr>
            </w:pPr>
            <w:r>
              <w:rPr>
                <w:rFonts w:ascii="Arial" w:cs="Arial" w:eastAsia="Arial" w:hAnsi="Arial"/>
                <w:sz w:val="16"/>
                <w:szCs w:val="16"/>
                <w:color w:val="0000FF"/>
              </w:rPr>
              <w:t>A0</w:t>
            </w:r>
          </w:p>
        </w:tc>
        <w:tc>
          <w:tcPr>
            <w:tcW w:w="1020" w:type="dxa"/>
            <w:vAlign w:val="bottom"/>
            <w:vMerge w:val="restart"/>
          </w:tcPr>
          <w:p>
            <w:pPr>
              <w:ind w:left="220"/>
              <w:spacing w:after="0"/>
              <w:rPr>
                <w:sz w:val="20"/>
                <w:szCs w:val="20"/>
                <w:color w:val="auto"/>
              </w:rPr>
            </w:pPr>
            <w:r>
              <w:rPr>
                <w:rFonts w:ascii="Arial" w:cs="Arial" w:eastAsia="Arial" w:hAnsi="Arial"/>
                <w:sz w:val="16"/>
                <w:szCs w:val="16"/>
                <w:color w:val="0000FF"/>
              </w:rPr>
              <w:t>T2P 0A7</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3860" w:type="dxa"/>
            <w:vAlign w:val="bottom"/>
            <w:gridSpan w:val="9"/>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6"/>
                <w:szCs w:val="16"/>
                <w:color w:val="0000FF"/>
                <w:w w:val="93"/>
              </w:rPr>
              <w:t>X</w:t>
            </w:r>
          </w:p>
        </w:tc>
        <w:tc>
          <w:tcPr>
            <w:tcW w:w="140" w:type="dxa"/>
            <w:vAlign w:val="bottom"/>
          </w:tcPr>
          <w:p>
            <w:pPr>
              <w:spacing w:after="0"/>
              <w:rPr>
                <w:sz w:val="18"/>
                <w:szCs w:val="18"/>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color w:val="auto"/>
                <w:w w:val="98"/>
              </w:rPr>
              <w:t>Form filed by One Reporting Person</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30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22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ind w:left="3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44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5"/>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3"/>
          </w:tcPr>
          <w:p>
            <w:pPr>
              <w:ind w:left="80"/>
              <w:spacing w:after="0" w:line="118"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6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6"/>
              </w:rPr>
              <w:t>Transaction</w:t>
            </w:r>
          </w:p>
        </w:tc>
        <w:tc>
          <w:tcPr>
            <w:tcW w:w="2200" w:type="dxa"/>
            <w:vAlign w:val="bottom"/>
            <w:gridSpan w:val="5"/>
          </w:tcPr>
          <w:p>
            <w:pPr>
              <w:ind w:left="180"/>
              <w:spacing w:after="0" w:line="118"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0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Form: Direct (D)</w:t>
            </w:r>
          </w:p>
        </w:tc>
        <w:tc>
          <w:tcPr>
            <w:tcW w:w="1000" w:type="dxa"/>
            <w:vAlign w:val="bottom"/>
            <w:gridSpan w:val="4"/>
          </w:tcPr>
          <w:p>
            <w:pPr>
              <w:ind w:left="20"/>
              <w:spacing w:after="0" w:line="118"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Indirect (I)</w:t>
            </w:r>
          </w:p>
        </w:tc>
        <w:tc>
          <w:tcPr>
            <w:tcW w:w="10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10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Transaction(s) (Instr.</w:t>
            </w: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3 and 4)</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3460" w:type="dxa"/>
            <w:vAlign w:val="bottom"/>
            <w:tcBorders>
              <w:bottom w:val="single" w:sz="8" w:color="2C2C2C"/>
            </w:tcBorders>
            <w:gridSpan w:val="6"/>
          </w:tcPr>
          <w:p>
            <w:pPr>
              <w:spacing w:after="0"/>
              <w:rPr>
                <w:sz w:val="3"/>
                <w:szCs w:val="3"/>
                <w:color w:val="auto"/>
              </w:rPr>
            </w:pPr>
          </w:p>
        </w:tc>
        <w:tc>
          <w:tcPr>
            <w:tcW w:w="102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w w:val="92"/>
              </w:rPr>
              <w:t>Class A Shares reprsenting limited partner interests</w:t>
            </w:r>
          </w:p>
        </w:tc>
        <w:tc>
          <w:tcPr>
            <w:tcW w:w="1020" w:type="dxa"/>
            <w:vAlign w:val="bottom"/>
            <w:tcBorders>
              <w:bottom w:val="single" w:sz="8" w:color="2C2C2C"/>
            </w:tcBorders>
            <w:gridSpan w:val="4"/>
          </w:tcPr>
          <w:p>
            <w:pPr>
              <w:ind w:left="160"/>
              <w:spacing w:after="0"/>
              <w:rPr>
                <w:sz w:val="20"/>
                <w:szCs w:val="20"/>
                <w:color w:val="auto"/>
              </w:rPr>
            </w:pPr>
            <w:r>
              <w:rPr>
                <w:rFonts w:ascii="Arial" w:cs="Arial" w:eastAsia="Arial" w:hAnsi="Arial"/>
                <w:sz w:val="16"/>
                <w:szCs w:val="16"/>
                <w:color w:val="0000FF"/>
              </w:rPr>
              <w:t>01/26/2016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(1)(2)</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2,345,327</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A</w:t>
            </w:r>
          </w:p>
        </w:tc>
        <w:tc>
          <w:tcPr>
            <w:tcW w:w="780" w:type="dxa"/>
            <w:vAlign w:val="bottom"/>
            <w:tcBorders>
              <w:bottom w:val="single" w:sz="8" w:color="2C2C2C"/>
            </w:tcBorders>
          </w:tcPr>
          <w:p>
            <w:pPr>
              <w:jc w:val="right"/>
              <w:ind w:right="1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7"/>
              </w:rPr>
              <w:t>2,345,327</w:t>
            </w:r>
          </w:p>
        </w:tc>
        <w:tc>
          <w:tcPr>
            <w:tcW w:w="1000" w:type="dxa"/>
            <w:vAlign w:val="bottom"/>
            <w:tcBorders>
              <w:bottom w:val="single" w:sz="8" w:color="2C2C2C"/>
            </w:tcBorders>
            <w:gridSpan w:val="2"/>
          </w:tcPr>
          <w:p>
            <w:pPr>
              <w:ind w:left="440"/>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60" w:type="dxa"/>
            <w:vAlign w:val="bottom"/>
            <w:gridSpan w:val="6"/>
            <w:vMerge w:val="restart"/>
          </w:tcPr>
          <w:p>
            <w:pPr>
              <w:ind w:left="60"/>
              <w:spacing w:after="0"/>
              <w:rPr>
                <w:sz w:val="20"/>
                <w:szCs w:val="20"/>
                <w:color w:val="auto"/>
              </w:rPr>
            </w:pPr>
            <w:r>
              <w:rPr>
                <w:rFonts w:ascii="Arial" w:cs="Arial" w:eastAsia="Arial" w:hAnsi="Arial"/>
                <w:sz w:val="16"/>
                <w:szCs w:val="16"/>
                <w:color w:val="0000FF"/>
                <w:w w:val="90"/>
              </w:rPr>
              <w:t>Class B Shares representing limited partner interests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1,332,144</w:t>
            </w:r>
            <w:r>
              <w:rPr>
                <w:rFonts w:ascii="Arial" w:cs="Arial" w:eastAsia="Arial" w:hAnsi="Arial"/>
                <w:sz w:val="19"/>
                <w:szCs w:val="19"/>
                <w:color w:val="008000"/>
                <w:w w:val="84"/>
                <w:vertAlign w:val="superscript"/>
              </w:rPr>
              <w:t>(3)(4)</w:t>
            </w:r>
          </w:p>
        </w:tc>
        <w:tc>
          <w:tcPr>
            <w:tcW w:w="460" w:type="dxa"/>
            <w:vAlign w:val="bottom"/>
          </w:tcPr>
          <w:p>
            <w:pPr>
              <w:spacing w:after="0"/>
              <w:rPr>
                <w:sz w:val="20"/>
                <w:szCs w:val="20"/>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0000FF"/>
              </w:rPr>
              <w:t>I</w:t>
            </w:r>
          </w:p>
        </w:tc>
        <w:tc>
          <w:tcPr>
            <w:tcW w:w="240" w:type="dxa"/>
            <w:vAlign w:val="bottom"/>
          </w:tcPr>
          <w:p>
            <w:pPr>
              <w:ind w:left="20"/>
              <w:spacing w:after="0"/>
              <w:rPr>
                <w:sz w:val="20"/>
                <w:szCs w:val="20"/>
                <w:color w:val="auto"/>
              </w:rPr>
            </w:pPr>
            <w:r>
              <w:rPr>
                <w:rFonts w:ascii="Arial" w:cs="Arial" w:eastAsia="Arial" w:hAnsi="Arial"/>
                <w:sz w:val="16"/>
                <w:szCs w:val="16"/>
                <w:color w:val="0000FF"/>
                <w:w w:val="77"/>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6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19"/>
                <w:szCs w:val="19"/>
                <w:color w:val="008000"/>
                <w:w w:val="99"/>
                <w:vertAlign w:val="superscript"/>
              </w:rPr>
              <w:t>(3)(4)</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Units in PAA GP Holdings LLC</w:t>
            </w:r>
          </w:p>
        </w:tc>
        <w:tc>
          <w:tcPr>
            <w:tcW w:w="10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6"/>
                <w:szCs w:val="16"/>
                <w:color w:val="0000FF"/>
                <w:w w:val="84"/>
              </w:rPr>
              <w:t>1,332,144</w:t>
            </w:r>
            <w:r>
              <w:rPr>
                <w:rFonts w:ascii="Arial" w:cs="Arial" w:eastAsia="Arial" w:hAnsi="Arial"/>
                <w:sz w:val="19"/>
                <w:szCs w:val="19"/>
                <w:color w:val="008000"/>
                <w:w w:val="84"/>
                <w:vertAlign w:val="superscript"/>
              </w:rPr>
              <w:t>(3)(4)</w:t>
            </w:r>
          </w:p>
        </w:tc>
        <w:tc>
          <w:tcPr>
            <w:tcW w:w="4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vMerge w:val="restart"/>
          </w:tcPr>
          <w:p>
            <w:pPr>
              <w:spacing w:after="0"/>
              <w:rPr>
                <w:sz w:val="20"/>
                <w:szCs w:val="20"/>
                <w:color w:val="auto"/>
              </w:rPr>
            </w:pPr>
            <w:r>
              <w:rPr>
                <w:rFonts w:ascii="Arial" w:cs="Arial" w:eastAsia="Arial" w:hAnsi="Arial"/>
                <w:sz w:val="16"/>
                <w:szCs w:val="16"/>
                <w:color w:val="0000FF"/>
              </w:rPr>
              <w:t>I</w:t>
            </w:r>
          </w:p>
        </w:tc>
        <w:tc>
          <w:tcPr>
            <w:tcW w:w="24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19"/>
                <w:szCs w:val="19"/>
                <w:color w:val="008000"/>
                <w:w w:val="99"/>
                <w:vertAlign w:val="superscript"/>
              </w:rPr>
              <w:t>(3)(4)</w:t>
            </w:r>
          </w:p>
        </w:tc>
        <w:tc>
          <w:tcPr>
            <w:tcW w:w="0" w:type="dxa"/>
            <w:vAlign w:val="bottom"/>
          </w:tcPr>
          <w:p>
            <w:pPr>
              <w:spacing w:after="0"/>
              <w:rPr>
                <w:sz w:val="1"/>
                <w:szCs w:val="1"/>
                <w:color w:val="auto"/>
              </w:rPr>
            </w:pPr>
          </w:p>
        </w:tc>
      </w:tr>
      <w:tr>
        <w:trPr>
          <w:trHeight w:val="140"/>
        </w:trPr>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720" w:type="dxa"/>
            <w:vAlign w:val="bottom"/>
            <w:gridSpan w:val="15"/>
          </w:tcPr>
          <w:p>
            <w:pPr>
              <w:ind w:left="5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920" w:type="dxa"/>
            <w:vAlign w:val="bottom"/>
            <w:gridSpan w:val="12"/>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3"/>
                <w:szCs w:val="13"/>
                <w:color w:val="auto"/>
              </w:rPr>
            </w:pP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3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Acquired (A) or</w:t>
            </w:r>
          </w:p>
        </w:tc>
        <w:tc>
          <w:tcPr>
            <w:tcW w:w="13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and 4)</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Direct (D)</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20"/>
              <w:spacing w:after="0" w:line="120"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6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center"/>
              <w:ind w:left="122"/>
              <w:spacing w:after="0"/>
              <w:rPr>
                <w:sz w:val="20"/>
                <w:szCs w:val="20"/>
                <w:color w:val="auto"/>
              </w:rPr>
            </w:pPr>
            <w:r>
              <w:rPr>
                <w:rFonts w:ascii="Arial" w:cs="Arial" w:eastAsia="Arial" w:hAnsi="Arial"/>
                <w:sz w:val="12"/>
                <w:szCs w:val="12"/>
                <w:color w:val="0000FF"/>
                <w:w w:val="91"/>
              </w:rPr>
              <w:t>Class B</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86"/>
              </w:rPr>
              <w:t>Shares/Class</w:t>
            </w: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restart"/>
          </w:tcPr>
          <w:p>
            <w:pPr>
              <w:ind w:left="80"/>
              <w:spacing w:after="0" w:line="203"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76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2,345,327</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line="132" w:lineRule="exact"/>
              <w:rPr>
                <w:sz w:val="20"/>
                <w:szCs w:val="20"/>
                <w:color w:val="auto"/>
              </w:rPr>
            </w:pPr>
            <w:r>
              <w:rPr>
                <w:rFonts w:ascii="Arial" w:cs="Arial" w:eastAsia="Arial" w:hAnsi="Arial"/>
                <w:sz w:val="12"/>
                <w:szCs w:val="12"/>
                <w:color w:val="0000FF"/>
                <w:w w:val="89"/>
              </w:rPr>
              <w:t>01/26/2016</w:t>
            </w:r>
          </w:p>
        </w:tc>
        <w:tc>
          <w:tcPr>
            <w:tcW w:w="10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ind w:left="380"/>
              <w:spacing w:after="0" w:line="132" w:lineRule="exact"/>
              <w:rPr>
                <w:sz w:val="20"/>
                <w:szCs w:val="20"/>
                <w:color w:val="auto"/>
              </w:rPr>
            </w:pPr>
            <w:r>
              <w:rPr>
                <w:rFonts w:ascii="Arial" w:cs="Arial" w:eastAsia="Arial" w:hAnsi="Arial"/>
                <w:sz w:val="12"/>
                <w:szCs w:val="12"/>
                <w:color w:val="0000FF"/>
              </w:rPr>
              <w:t>2,500,000</w:t>
            </w:r>
          </w:p>
        </w:tc>
        <w:tc>
          <w:tcPr>
            <w:tcW w:w="740" w:type="dxa"/>
            <w:vAlign w:val="bottom"/>
            <w:gridSpan w:val="2"/>
            <w:vMerge w:val="restart"/>
          </w:tcPr>
          <w:p>
            <w:pPr>
              <w:jc w:val="center"/>
              <w:ind w:right="27"/>
              <w:spacing w:after="0" w:line="132" w:lineRule="exact"/>
              <w:rPr>
                <w:sz w:val="20"/>
                <w:szCs w:val="20"/>
                <w:color w:val="auto"/>
              </w:rPr>
            </w:pPr>
            <w:r>
              <w:rPr>
                <w:rFonts w:ascii="Arial" w:cs="Arial" w:eastAsia="Arial" w:hAnsi="Arial"/>
                <w:sz w:val="12"/>
                <w:szCs w:val="12"/>
                <w:color w:val="0000FF"/>
                <w:w w:val="89"/>
              </w:rPr>
              <w:t>12/31/2015</w:t>
            </w:r>
          </w:p>
        </w:tc>
        <w:tc>
          <w:tcPr>
            <w:tcW w:w="620" w:type="dxa"/>
            <w:vAlign w:val="bottom"/>
            <w:vMerge w:val="continue"/>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6"/>
              </w:rPr>
              <w:t>A Units of</w:t>
            </w:r>
          </w:p>
        </w:tc>
        <w:tc>
          <w:tcPr>
            <w:tcW w:w="820" w:type="dxa"/>
            <w:vAlign w:val="bottom"/>
            <w:gridSpan w:val="2"/>
            <w:vMerge w:val="continue"/>
          </w:tcPr>
          <w:p>
            <w:pPr>
              <w:spacing w:after="0"/>
              <w:rPr>
                <w:sz w:val="5"/>
                <w:szCs w:val="5"/>
                <w:color w:val="auto"/>
              </w:rPr>
            </w:pP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4"/>
              <w:spacing w:after="0" w:line="132" w:lineRule="exact"/>
              <w:rPr>
                <w:sz w:val="20"/>
                <w:szCs w:val="20"/>
                <w:color w:val="auto"/>
              </w:rPr>
            </w:pPr>
            <w:r>
              <w:rPr>
                <w:rFonts w:ascii="Arial" w:cs="Arial" w:eastAsia="Arial" w:hAnsi="Arial"/>
                <w:sz w:val="12"/>
                <w:szCs w:val="12"/>
                <w:color w:val="0000FF"/>
                <w:w w:val="89"/>
              </w:rPr>
              <w:t>1,930,961</w:t>
            </w:r>
          </w:p>
        </w:tc>
        <w:tc>
          <w:tcPr>
            <w:tcW w:w="540" w:type="dxa"/>
            <w:vAlign w:val="bottom"/>
            <w:vMerge w:val="restart"/>
          </w:tcPr>
          <w:p>
            <w:pPr>
              <w:jc w:val="center"/>
              <w:ind w:left="180"/>
              <w:spacing w:after="0" w:line="132" w:lineRule="exact"/>
              <w:rPr>
                <w:sz w:val="20"/>
                <w:szCs w:val="20"/>
                <w:color w:val="auto"/>
              </w:rPr>
            </w:pPr>
            <w:r>
              <w:rPr>
                <w:rFonts w:ascii="Arial" w:cs="Arial" w:eastAsia="Arial" w:hAnsi="Arial"/>
                <w:sz w:val="12"/>
                <w:szCs w:val="12"/>
                <w:color w:val="0000FF"/>
              </w:rPr>
              <w:t>D</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1"/>
              </w:rPr>
              <w:t>Plains AAP,</w:t>
            </w: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vMerge w:val="restart"/>
          </w:tcPr>
          <w:p>
            <w:pPr>
              <w:jc w:val="center"/>
              <w:ind w:left="122"/>
              <w:spacing w:after="0"/>
              <w:rPr>
                <w:sz w:val="20"/>
                <w:szCs w:val="20"/>
                <w:color w:val="auto"/>
              </w:rPr>
            </w:pPr>
            <w:r>
              <w:rPr>
                <w:rFonts w:ascii="Arial" w:cs="Arial" w:eastAsia="Arial" w:hAnsi="Arial"/>
                <w:sz w:val="12"/>
                <w:szCs w:val="12"/>
                <w:color w:val="0000FF"/>
                <w:w w:val="84"/>
              </w:rPr>
              <w:t>L.P.</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01/26/2016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0000FF"/>
              </w:rPr>
              <w:t>2,345,327</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2,345,327</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9"/>
              </w:rPr>
              <w:t>2,345,327</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Shares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w w:val="95"/>
              </w:rPr>
              <w:t>representing</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01/26/2016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0000FF"/>
              </w:rPr>
              <w:t>2,345,327</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2,345,327</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9"/>
              </w:rPr>
              <w:t>2,345,327</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limited</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partner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01/26/2016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220" w:type="dxa"/>
            <w:vAlign w:val="bottom"/>
          </w:tcPr>
          <w:p>
            <w:pPr>
              <w:spacing w:after="0"/>
              <w:rPr>
                <w:sz w:val="11"/>
                <w:szCs w:val="11"/>
                <w:color w:val="auto"/>
              </w:rPr>
            </w:pPr>
          </w:p>
        </w:tc>
        <w:tc>
          <w:tcPr>
            <w:tcW w:w="960" w:type="dxa"/>
            <w:vAlign w:val="bottom"/>
            <w:vMerge w:val="restart"/>
          </w:tcPr>
          <w:p>
            <w:pPr>
              <w:ind w:left="380"/>
              <w:spacing w:after="0"/>
              <w:rPr>
                <w:sz w:val="20"/>
                <w:szCs w:val="20"/>
                <w:color w:val="auto"/>
              </w:rPr>
            </w:pPr>
            <w:r>
              <w:rPr>
                <w:rFonts w:ascii="Arial" w:cs="Arial" w:eastAsia="Arial" w:hAnsi="Arial"/>
                <w:sz w:val="12"/>
                <w:szCs w:val="12"/>
                <w:color w:val="0000FF"/>
              </w:rPr>
              <w:t>2,345,327</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2,345,327</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360" w:type="dxa"/>
            <w:vAlign w:val="bottom"/>
          </w:tcPr>
          <w:p>
            <w:pPr>
              <w:spacing w:after="0"/>
              <w:rPr>
                <w:sz w:val="11"/>
                <w:szCs w:val="11"/>
                <w:color w:val="auto"/>
              </w:rPr>
            </w:pPr>
          </w:p>
        </w:tc>
        <w:tc>
          <w:tcPr>
            <w:tcW w:w="460" w:type="dxa"/>
            <w:vAlign w:val="bottom"/>
            <w:vMerge w:val="restart"/>
          </w:tcPr>
          <w:p>
            <w:pPr>
              <w:jc w:val="center"/>
              <w:ind w:right="221"/>
              <w:spacing w:after="0"/>
              <w:rPr>
                <w:sz w:val="20"/>
                <w:szCs w:val="20"/>
                <w:color w:val="auto"/>
              </w:rPr>
            </w:pPr>
            <w:r>
              <w:rPr>
                <w:rFonts w:ascii="Arial" w:cs="Arial" w:eastAsia="Arial" w:hAnsi="Arial"/>
                <w:sz w:val="12"/>
                <w:szCs w:val="12"/>
                <w:color w:val="0000FF"/>
                <w:w w:val="89"/>
              </w:rPr>
              <w:t>0</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Shares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w w:val="95"/>
              </w:rPr>
              <w:t>representing</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01/26/2016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220" w:type="dxa"/>
            <w:vAlign w:val="bottom"/>
          </w:tcPr>
          <w:p>
            <w:pPr>
              <w:spacing w:after="0"/>
              <w:rPr>
                <w:sz w:val="11"/>
                <w:szCs w:val="11"/>
                <w:color w:val="auto"/>
              </w:rPr>
            </w:pPr>
          </w:p>
        </w:tc>
        <w:tc>
          <w:tcPr>
            <w:tcW w:w="960" w:type="dxa"/>
            <w:vAlign w:val="bottom"/>
            <w:vMerge w:val="restart"/>
          </w:tcPr>
          <w:p>
            <w:pPr>
              <w:ind w:left="380"/>
              <w:spacing w:after="0"/>
              <w:rPr>
                <w:sz w:val="20"/>
                <w:szCs w:val="20"/>
                <w:color w:val="auto"/>
              </w:rPr>
            </w:pPr>
            <w:r>
              <w:rPr>
                <w:rFonts w:ascii="Arial" w:cs="Arial" w:eastAsia="Arial" w:hAnsi="Arial"/>
                <w:sz w:val="12"/>
                <w:szCs w:val="12"/>
                <w:color w:val="0000FF"/>
              </w:rPr>
              <w:t>2,345,327</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2,345,327</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360" w:type="dxa"/>
            <w:vAlign w:val="bottom"/>
          </w:tcPr>
          <w:p>
            <w:pPr>
              <w:spacing w:after="0"/>
              <w:rPr>
                <w:sz w:val="11"/>
                <w:szCs w:val="11"/>
                <w:color w:val="auto"/>
              </w:rPr>
            </w:pPr>
          </w:p>
        </w:tc>
        <w:tc>
          <w:tcPr>
            <w:tcW w:w="460" w:type="dxa"/>
            <w:vAlign w:val="bottom"/>
            <w:vMerge w:val="restart"/>
          </w:tcPr>
          <w:p>
            <w:pPr>
              <w:jc w:val="center"/>
              <w:ind w:right="221"/>
              <w:spacing w:after="0"/>
              <w:rPr>
                <w:sz w:val="20"/>
                <w:szCs w:val="20"/>
                <w:color w:val="auto"/>
              </w:rPr>
            </w:pPr>
            <w:r>
              <w:rPr>
                <w:rFonts w:ascii="Arial" w:cs="Arial" w:eastAsia="Arial" w:hAnsi="Arial"/>
                <w:sz w:val="12"/>
                <w:szCs w:val="12"/>
                <w:color w:val="0000FF"/>
                <w:w w:val="89"/>
              </w:rPr>
              <w:t>0</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limited</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partner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17"/>
        </w:trPr>
        <w:tc>
          <w:tcPr>
            <w:tcW w:w="720" w:type="dxa"/>
            <w:vAlign w:val="bottom"/>
            <w:gridSpan w:val="2"/>
          </w:tcPr>
          <w:p>
            <w:pPr>
              <w:ind w:left="60"/>
              <w:spacing w:after="0" w:line="117"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vMerge w:val="restart"/>
          </w:tcPr>
          <w:p>
            <w:pPr>
              <w:jc w:val="center"/>
              <w:ind w:right="7"/>
              <w:spacing w:after="0"/>
              <w:rPr>
                <w:sz w:val="20"/>
                <w:szCs w:val="20"/>
                <w:color w:val="auto"/>
              </w:rPr>
            </w:pPr>
            <w:r>
              <w:rPr>
                <w:rFonts w:ascii="Arial" w:cs="Arial" w:eastAsia="Arial" w:hAnsi="Arial"/>
                <w:sz w:val="10"/>
                <w:szCs w:val="10"/>
                <w:color w:val="008000"/>
                <w:w w:val="97"/>
              </w:rPr>
              <w:t>(3)(4)</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9"/>
              </w:rPr>
              <w:t>(3)(4)</w:t>
            </w:r>
          </w:p>
        </w:tc>
        <w:tc>
          <w:tcPr>
            <w:tcW w:w="560" w:type="dxa"/>
            <w:vAlign w:val="bottom"/>
          </w:tcPr>
          <w:p>
            <w:pPr>
              <w:jc w:val="center"/>
              <w:ind w:left="122"/>
              <w:spacing w:after="0" w:line="117"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0"/>
                <w:szCs w:val="10"/>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1,332,144</w:t>
            </w:r>
            <w:r>
              <w:rPr>
                <w:rFonts w:ascii="Arial" w:cs="Arial" w:eastAsia="Arial" w:hAnsi="Arial"/>
                <w:sz w:val="19"/>
                <w:szCs w:val="19"/>
                <w:color w:val="008000"/>
                <w:w w:val="84"/>
                <w:vertAlign w:val="superscript"/>
              </w:rPr>
              <w:t>(3)(4)</w:t>
            </w:r>
          </w:p>
        </w:tc>
        <w:tc>
          <w:tcPr>
            <w:tcW w:w="640" w:type="dxa"/>
            <w:vAlign w:val="bottom"/>
          </w:tcPr>
          <w:p>
            <w:pPr>
              <w:spacing w:after="0"/>
              <w:rPr>
                <w:sz w:val="10"/>
                <w:szCs w:val="10"/>
                <w:color w:val="auto"/>
              </w:rPr>
            </w:pP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5"/>
              </w:rPr>
              <w:t>1,332,144</w:t>
            </w:r>
            <w:r>
              <w:rPr>
                <w:rFonts w:ascii="Arial" w:cs="Arial" w:eastAsia="Arial" w:hAnsi="Arial"/>
                <w:sz w:val="19"/>
                <w:szCs w:val="19"/>
                <w:color w:val="008000"/>
                <w:w w:val="85"/>
                <w:vertAlign w:val="superscript"/>
              </w:rPr>
              <w:t>(3)(4)</w:t>
            </w:r>
          </w:p>
        </w:tc>
        <w:tc>
          <w:tcPr>
            <w:tcW w:w="540" w:type="dxa"/>
            <w:vAlign w:val="bottom"/>
            <w:vMerge w:val="restart"/>
          </w:tcPr>
          <w:p>
            <w:pPr>
              <w:jc w:val="center"/>
              <w:ind w:left="20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tcPr>
          <w:p>
            <w:pPr>
              <w:jc w:val="center"/>
              <w:ind w:left="102"/>
              <w:spacing w:after="0"/>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ind w:left="20"/>
              <w:spacing w:after="0" w:line="157" w:lineRule="exact"/>
              <w:rPr>
                <w:sz w:val="20"/>
                <w:szCs w:val="20"/>
                <w:color w:val="auto"/>
              </w:rPr>
            </w:pPr>
            <w:r>
              <w:rPr>
                <w:rFonts w:ascii="Arial" w:cs="Arial" w:eastAsia="Arial" w:hAnsi="Arial"/>
                <w:sz w:val="11"/>
                <w:szCs w:val="11"/>
                <w:color w:val="0000FF"/>
                <w:w w:val="96"/>
              </w:rPr>
              <w:t>footnotes</w:t>
            </w:r>
            <w:r>
              <w:rPr>
                <w:rFonts w:ascii="Arial" w:cs="Arial" w:eastAsia="Arial" w:hAnsi="Arial"/>
                <w:sz w:val="18"/>
                <w:szCs w:val="18"/>
                <w:color w:val="008000"/>
                <w:w w:val="96"/>
                <w:vertAlign w:val="superscript"/>
              </w:rPr>
              <w:t>(3)(4)</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L.P.</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140" w:hanging="8"/>
        <w:spacing w:after="0" w:line="241"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 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On 1/26/2016 the Reporting Person exercised his right to convert 2,500,000 Class B Units into 2,345,327 Class A Units and 2,345,327 Class B shares, at the current conversion ratio of 0.938.</w:t>
      </w:r>
    </w:p>
    <w:p>
      <w:pPr>
        <w:spacing w:after="0" w:line="27" w:lineRule="exact"/>
        <w:rPr>
          <w:rFonts w:ascii="Arial" w:cs="Arial" w:eastAsia="Arial" w:hAnsi="Arial"/>
          <w:sz w:val="12"/>
          <w:szCs w:val="12"/>
          <w:color w:val="008000"/>
        </w:rPr>
      </w:pPr>
    </w:p>
    <w:p>
      <w:pPr>
        <w:ind w:left="40" w:right="400" w:hanging="8"/>
        <w:spacing w:after="0" w:line="295" w:lineRule="auto"/>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limited partnership agreement of AAP, upon conversion of Class B Units into Class A Units and Class B shares, the Class A Units and Class B shares are then together exchangeable for an equal number of Class A shares of the Issuer (the "Class A shares"). On 1/26/2016, the Reporting Person elected to exchange 2,345,327 Class A Units and 2,345,327 Class B shares for 2,345,327 Class A shares.</w:t>
      </w:r>
    </w:p>
    <w:p>
      <w:pPr>
        <w:ind w:left="40" w:right="160" w:hanging="8"/>
        <w:spacing w:after="0" w:line="238"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27" w:lineRule="exact"/>
        <w:rPr>
          <w:rFonts w:ascii="Arial" w:cs="Arial" w:eastAsia="Arial" w:hAnsi="Arial"/>
          <w:sz w:val="12"/>
          <w:szCs w:val="12"/>
          <w:color w:val="008000"/>
        </w:rPr>
      </w:pPr>
    </w:p>
    <w:p>
      <w:pPr>
        <w:ind w:left="40" w:right="180" w:hanging="8"/>
        <w:spacing w:after="0" w:line="241"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7" w:lineRule="exact"/>
        <w:rPr>
          <w:rFonts w:ascii="Arial" w:cs="Arial" w:eastAsia="Arial" w:hAnsi="Arial"/>
          <w:sz w:val="12"/>
          <w:szCs w:val="12"/>
          <w:color w:val="008000"/>
        </w:rPr>
      </w:pPr>
    </w:p>
    <w:p>
      <w:pPr>
        <w:ind w:left="40" w:right="200" w:hanging="8"/>
        <w:spacing w:after="0" w:line="254"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the rights to (a) convert Class B Units into Class A Units and Class B shares and (b) exchange Class A Units and Class B shares (acquired in a conversion from Class B Units) for Class A shares do not expire.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color w:val="0000FF"/>
                <w:w w:val="89"/>
              </w:rPr>
              <w:t>/s/ W. David Duckett</w:t>
            </w:r>
          </w:p>
        </w:tc>
        <w:tc>
          <w:tcPr>
            <w:tcW w:w="70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6"/>
                <w:szCs w:val="16"/>
                <w:color w:val="0000FF"/>
                <w:w w:val="84"/>
              </w:rPr>
              <w:t>01/28/2016</w:t>
            </w:r>
          </w:p>
        </w:tc>
      </w:tr>
      <w:tr>
        <w:trPr>
          <w:trHeight w:val="20"/>
        </w:trPr>
        <w:tc>
          <w:tcPr>
            <w:tcW w:w="6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8"/>
        </w:trPr>
        <w:tc>
          <w:tcPr>
            <w:tcW w:w="68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80"/>
              <w:spacing w:after="0"/>
              <w:rPr>
                <w:sz w:val="20"/>
                <w:szCs w:val="20"/>
                <w:color w:val="auto"/>
              </w:rPr>
            </w:pPr>
            <w:r>
              <w:rPr>
                <w:rFonts w:ascii="Arial" w:cs="Arial" w:eastAsia="Arial" w:hAnsi="Arial"/>
                <w:sz w:val="12"/>
                <w:szCs w:val="12"/>
                <w:color w:val="auto"/>
              </w:rPr>
              <w:t>Date</w:t>
            </w: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ectPr>
          <w:pgSz w:w="11900" w:h="16902" w:orient="portrait"/>
          <w:cols w:equalWidth="0" w:num="1">
            <w:col w:w="11520"/>
          </w:cols>
          <w:pgMar w:left="240" w:top="21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542"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2020-01-19T05:31:37Z</dcterms:created>
  <dcterms:modified xsi:type="dcterms:W3CDTF">2020-01-19T05:31:37Z</dcterms:modified>
</cp:coreProperties>
</file>