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h43563a1sv4za.htm"/>
        <w:bookmarkStart w:id="1" w:name="ksh43563a1sv4za"/>
        <w:bookmarkEnd w:id="0"/>
        <w:bookmarkEnd w:id="1"/>
        <w:r>
          <w:rPr>
            <w:rStyle w:val="InternetLink"/>
          </w:rPr>
          <w:t>Table of Contents</w:t>
        </w:r>
      </w:hyperlink>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As filed with the Securities and Exchange Commission on May 11, 2007</w:t>
      </w:r>
      <w:r>
        <w:rPr>
          <w:rFonts w:ascii="Times New Roman;Times" w:hAnsi="Times New Roman;Times"/>
          <w:color w:val="000000"/>
          <w:sz w:val="17"/>
          <w:highlight w:val="white"/>
        </w:rPr>
        <w:t xml:space="preserve"> </w:t>
      </w:r>
    </w:p>
    <w:p>
      <w:pPr>
        <w:pStyle w:val="TextBody"/>
        <w:spacing w:before="0" w:after="0"/>
        <w:jc w:val="right"/>
        <w:rPr>
          <w:rFonts w:ascii="Times New Roman;Times" w:hAnsi="Times New Roman;Times"/>
          <w:color w:val="000000"/>
          <w:sz w:val="17"/>
          <w:highlight w:val="white"/>
        </w:rPr>
      </w:pPr>
      <w:r>
        <w:rPr>
          <w:rFonts w:ascii="Times New Roman;Times" w:hAnsi="Times New Roman;Times"/>
          <w:b/>
          <w:color w:val="000000"/>
          <w:sz w:val="17"/>
          <w:highlight w:val="white"/>
        </w:rPr>
        <w:t>Registration No. 333-141557</w:t>
      </w:r>
      <w:r>
        <w:rPr>
          <w:rFonts w:ascii="Times New Roman;Times" w:hAnsi="Times New Roman;Times"/>
          <w:color w:val="000000"/>
          <w:sz w:val="17"/>
          <w:highlight w:val="white"/>
        </w:rPr>
        <w:t xml:space="preserve"> </w:t>
      </w:r>
    </w:p>
    <w:p>
      <w:pPr>
        <w:pStyle w:val="TextBody"/>
        <w:spacing w:before="8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SECURITIES AND EXCHANGE COMMISSION</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0"/>
          <w:highlight w:val="white"/>
        </w:rPr>
        <w:t>Washington, D.C. 20549</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12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0"/>
          <w:highlight w:val="white"/>
        </w:rPr>
        <w:t>Amendment No. 1</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0"/>
          <w:highlight w:val="white"/>
        </w:rPr>
        <w:t>to</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30"/>
          <w:highlight w:val="white"/>
        </w:rPr>
        <w:t>Form S-4</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0"/>
          <w:highlight w:val="white"/>
        </w:rPr>
        <w:t>REGISTRATION STATEMENT</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0"/>
          <w:highlight w:val="white"/>
        </w:rPr>
        <w:t>UNDER</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0"/>
          <w:highlight w:val="white"/>
        </w:rPr>
        <w:t>THE SECURITIES ACT OF 1933</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30"/>
          <w:highlight w:val="white"/>
        </w:rPr>
        <w:t>PLAINS ALL AMERICAN PIPELINE, L.P.</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30"/>
          <w:highlight w:val="white"/>
        </w:rPr>
        <w:t>PAA FINANCE CORP.*</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3471"/>
        <w:gridCol w:w="101"/>
        <w:gridCol w:w="3266"/>
        <w:gridCol w:w="101"/>
        <w:gridCol w:w="3266"/>
      </w:tblGrid>
      <w:tr>
        <w:trPr/>
        <w:tc>
          <w:tcPr>
            <w:tcW w:w="347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3266"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3266" w:type="dxa"/>
            <w:tcBorders/>
            <w:shd w:fill="FFFFFF" w:val="clear"/>
            <w:vAlign w:val="bottom"/>
          </w:tcPr>
          <w:p>
            <w:pPr>
              <w:pStyle w:val="TableContents"/>
              <w:spacing w:before="0" w:after="283"/>
              <w:rPr/>
            </w:pPr>
            <w:r>
              <w:rPr/>
              <w:t> </w:t>
            </w:r>
          </w:p>
        </w:tc>
      </w:tr>
      <w:tr>
        <w:trPr/>
        <w:tc>
          <w:tcPr>
            <w:tcW w:w="3471" w:type="dxa"/>
            <w:tcBorders/>
            <w:shd w:fill="FFFFFF" w:val="clear"/>
          </w:tcPr>
          <w:p>
            <w:pPr>
              <w:pStyle w:val="TableContents"/>
              <w:spacing w:before="0" w:after="283"/>
              <w:jc w:val="center"/>
              <w:rPr/>
            </w:pPr>
            <w:r>
              <w:rPr>
                <w:b/>
                <w:sz w:val="17"/>
              </w:rPr>
              <w:t>Delaware</w:t>
            </w:r>
            <w:r>
              <w:rPr/>
              <w:t xml:space="preserve"> </w:t>
            </w:r>
          </w:p>
        </w:tc>
        <w:tc>
          <w:tcPr>
            <w:tcW w:w="101" w:type="dxa"/>
            <w:tcBorders/>
            <w:shd w:fill="FFFFFF" w:val="clear"/>
            <w:vAlign w:val="bottom"/>
          </w:tcPr>
          <w:p>
            <w:pPr>
              <w:pStyle w:val="TableContents"/>
              <w:spacing w:before="0" w:after="283"/>
              <w:rPr/>
            </w:pPr>
            <w:r>
              <w:rPr/>
              <w:t xml:space="preserve">  </w:t>
            </w:r>
          </w:p>
        </w:tc>
        <w:tc>
          <w:tcPr>
            <w:tcW w:w="3266" w:type="dxa"/>
            <w:tcBorders/>
            <w:shd w:fill="FFFFFF" w:val="clear"/>
          </w:tcPr>
          <w:p>
            <w:pPr>
              <w:pStyle w:val="TableContents"/>
              <w:spacing w:before="0" w:after="283"/>
              <w:jc w:val="center"/>
              <w:rPr/>
            </w:pPr>
            <w:r>
              <w:rPr>
                <w:b/>
                <w:sz w:val="17"/>
              </w:rPr>
              <w:t>4610</w:t>
            </w:r>
            <w:r>
              <w:rPr/>
              <w:t xml:space="preserve"> </w:t>
            </w:r>
          </w:p>
        </w:tc>
        <w:tc>
          <w:tcPr>
            <w:tcW w:w="101" w:type="dxa"/>
            <w:tcBorders/>
            <w:shd w:fill="FFFFFF" w:val="clear"/>
            <w:vAlign w:val="bottom"/>
          </w:tcPr>
          <w:p>
            <w:pPr>
              <w:pStyle w:val="TableContents"/>
              <w:spacing w:before="0" w:after="283"/>
              <w:rPr/>
            </w:pPr>
            <w:r>
              <w:rPr/>
              <w:t xml:space="preserve">  </w:t>
            </w:r>
          </w:p>
        </w:tc>
        <w:tc>
          <w:tcPr>
            <w:tcW w:w="3266" w:type="dxa"/>
            <w:tcBorders/>
            <w:shd w:fill="FFFFFF" w:val="clear"/>
          </w:tcPr>
          <w:p>
            <w:pPr>
              <w:pStyle w:val="TableContents"/>
              <w:spacing w:before="0" w:after="283"/>
              <w:jc w:val="center"/>
              <w:rPr/>
            </w:pPr>
            <w:r>
              <w:rPr>
                <w:b/>
                <w:sz w:val="17"/>
              </w:rPr>
              <w:t>76-0582150</w:t>
            </w:r>
            <w:r>
              <w:rPr/>
              <w:t xml:space="preserve"> </w:t>
            </w:r>
          </w:p>
        </w:tc>
      </w:tr>
      <w:tr>
        <w:trPr/>
        <w:tc>
          <w:tcPr>
            <w:tcW w:w="3471" w:type="dxa"/>
            <w:tcBorders/>
            <w:shd w:fill="FFFFFF" w:val="clear"/>
          </w:tcPr>
          <w:p>
            <w:pPr>
              <w:pStyle w:val="TableContents"/>
              <w:spacing w:before="0" w:after="0"/>
              <w:ind w:left="200" w:right="0" w:hanging="200"/>
              <w:jc w:val="center"/>
              <w:rPr/>
            </w:pPr>
            <w:r>
              <w:rPr>
                <w:b/>
                <w:sz w:val="17"/>
              </w:rPr>
              <w:t>Delaware</w:t>
            </w:r>
            <w:r>
              <w:rPr/>
              <w:t xml:space="preserve"> </w:t>
            </w:r>
          </w:p>
        </w:tc>
        <w:tc>
          <w:tcPr>
            <w:tcW w:w="101" w:type="dxa"/>
            <w:tcBorders/>
            <w:shd w:fill="FFFFFF" w:val="clear"/>
            <w:vAlign w:val="bottom"/>
          </w:tcPr>
          <w:p>
            <w:pPr>
              <w:pStyle w:val="TableContents"/>
              <w:spacing w:before="0" w:after="283"/>
              <w:rPr/>
            </w:pPr>
            <w:r>
              <w:rPr/>
              <w:t xml:space="preserve">  </w:t>
            </w:r>
          </w:p>
        </w:tc>
        <w:tc>
          <w:tcPr>
            <w:tcW w:w="3266" w:type="dxa"/>
            <w:tcBorders/>
            <w:shd w:fill="FFFFFF" w:val="clear"/>
          </w:tcPr>
          <w:p>
            <w:pPr>
              <w:pStyle w:val="TableContents"/>
              <w:spacing w:before="0" w:after="283"/>
              <w:jc w:val="center"/>
              <w:rPr/>
            </w:pPr>
            <w:r>
              <w:rPr>
                <w:b/>
                <w:sz w:val="17"/>
              </w:rPr>
              <w:t>4610</w:t>
            </w:r>
            <w:r>
              <w:rPr/>
              <w:t xml:space="preserve"> </w:t>
            </w:r>
          </w:p>
        </w:tc>
        <w:tc>
          <w:tcPr>
            <w:tcW w:w="101" w:type="dxa"/>
            <w:tcBorders/>
            <w:shd w:fill="FFFFFF" w:val="clear"/>
            <w:vAlign w:val="bottom"/>
          </w:tcPr>
          <w:p>
            <w:pPr>
              <w:pStyle w:val="TableContents"/>
              <w:spacing w:before="0" w:after="283"/>
              <w:rPr/>
            </w:pPr>
            <w:r>
              <w:rPr/>
              <w:t xml:space="preserve">  </w:t>
            </w:r>
          </w:p>
        </w:tc>
        <w:tc>
          <w:tcPr>
            <w:tcW w:w="3266" w:type="dxa"/>
            <w:tcBorders/>
            <w:shd w:fill="FFFFFF" w:val="clear"/>
          </w:tcPr>
          <w:p>
            <w:pPr>
              <w:pStyle w:val="TableContents"/>
              <w:spacing w:before="0" w:after="283"/>
              <w:jc w:val="center"/>
              <w:rPr/>
            </w:pPr>
            <w:r>
              <w:rPr>
                <w:b/>
                <w:sz w:val="17"/>
              </w:rPr>
              <w:t>76-0669671</w:t>
            </w:r>
            <w:r>
              <w:rPr/>
              <w:t xml:space="preserve"> </w:t>
            </w:r>
          </w:p>
        </w:tc>
      </w:tr>
      <w:tr>
        <w:trPr/>
        <w:tc>
          <w:tcPr>
            <w:tcW w:w="3471" w:type="dxa"/>
            <w:tcBorders/>
            <w:shd w:fill="FFFFFF" w:val="clear"/>
          </w:tcPr>
          <w:p>
            <w:pPr>
              <w:pStyle w:val="TableContents"/>
              <w:spacing w:before="0" w:after="283"/>
              <w:jc w:val="center"/>
              <w:rPr/>
            </w:pPr>
            <w:r>
              <w:rPr>
                <w:i/>
                <w:sz w:val="13"/>
              </w:rPr>
              <w:t>(State or Other Jurisdiction of</w:t>
              <w:br/>
              <w:t>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3266" w:type="dxa"/>
            <w:tcBorders/>
            <w:shd w:fill="FFFFFF" w:val="clear"/>
          </w:tcPr>
          <w:p>
            <w:pPr>
              <w:pStyle w:val="TableContents"/>
              <w:spacing w:before="0" w:after="283"/>
              <w:jc w:val="center"/>
              <w:rPr/>
            </w:pPr>
            <w:r>
              <w:rPr>
                <w:i/>
                <w:sz w:val="13"/>
              </w:rPr>
              <w:t>(Primary Standard Industrial</w:t>
              <w:br/>
              <w:t>Classification Code Number)</w:t>
            </w:r>
            <w:r>
              <w:rPr/>
              <w:t xml:space="preserve"> </w:t>
            </w:r>
          </w:p>
        </w:tc>
        <w:tc>
          <w:tcPr>
            <w:tcW w:w="101" w:type="dxa"/>
            <w:tcBorders/>
            <w:shd w:fill="FFFFFF" w:val="clear"/>
            <w:vAlign w:val="bottom"/>
          </w:tcPr>
          <w:p>
            <w:pPr>
              <w:pStyle w:val="TableContents"/>
              <w:spacing w:before="0" w:after="283"/>
              <w:rPr/>
            </w:pPr>
            <w:r>
              <w:rPr/>
              <w:t xml:space="preserve">  </w:t>
            </w:r>
          </w:p>
        </w:tc>
        <w:tc>
          <w:tcPr>
            <w:tcW w:w="3266" w:type="dxa"/>
            <w:tcBorders/>
            <w:shd w:fill="FFFFFF" w:val="clear"/>
          </w:tcPr>
          <w:p>
            <w:pPr>
              <w:pStyle w:val="TableContents"/>
              <w:spacing w:before="0" w:after="283"/>
              <w:jc w:val="center"/>
              <w:rPr/>
            </w:pPr>
            <w:r>
              <w:rPr>
                <w:i/>
                <w:sz w:val="13"/>
              </w:rPr>
              <w:t>(I.R.S. Employer</w:t>
              <w:br/>
              <w:t>Identification No.)</w:t>
            </w:r>
            <w:r>
              <w:rPr/>
              <w:t xml:space="preserve"> </w:t>
            </w:r>
          </w:p>
        </w:tc>
      </w:tr>
    </w:tbl>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2"/>
        <w:gridCol w:w="102"/>
        <w:gridCol w:w="5001"/>
      </w:tblGrid>
      <w:tr>
        <w:trPr/>
        <w:tc>
          <w:tcPr>
            <w:tcW w:w="5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2" w:type="dxa"/>
            <w:tcBorders/>
            <w:shd w:fill="FFFFFF" w:val="clear"/>
          </w:tcPr>
          <w:p>
            <w:pPr>
              <w:pStyle w:val="TableContents"/>
              <w:spacing w:before="0" w:after="283"/>
              <w:jc w:val="center"/>
              <w:rPr/>
            </w:pPr>
            <w:r>
              <w:rPr>
                <w:b/>
                <w:sz w:val="17"/>
              </w:rPr>
              <w:t>333 Clay Street, Suite 1600</w:t>
              <w:br/>
              <w:t>Houston, Texas 77002</w:t>
              <w:br/>
              <w:t>(713) 646-4100</w:t>
            </w:r>
            <w:r>
              <w:rPr/>
              <w:t xml:space="preserve"> </w:t>
            </w:r>
          </w:p>
        </w:tc>
        <w:tc>
          <w:tcPr>
            <w:tcW w:w="102"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7"/>
              </w:rPr>
              <w:t>Tim Moore</w:t>
              <w:br/>
              <w:t>333 Clay Street, Suite 1600</w:t>
              <w:br/>
              <w:t>Houston, Texas 77002</w:t>
              <w:br/>
              <w:t>(713) 646-4100</w:t>
            </w:r>
            <w:r>
              <w:rPr/>
              <w:t xml:space="preserve"> </w:t>
            </w:r>
          </w:p>
        </w:tc>
      </w:tr>
      <w:tr>
        <w:trPr/>
        <w:tc>
          <w:tcPr>
            <w:tcW w:w="5102" w:type="dxa"/>
            <w:tcBorders/>
            <w:shd w:fill="FFFFFF" w:val="clear"/>
          </w:tcPr>
          <w:p>
            <w:pPr>
              <w:pStyle w:val="TableContents"/>
              <w:spacing w:before="0" w:after="0"/>
              <w:ind w:left="200" w:right="0" w:hanging="200"/>
              <w:jc w:val="center"/>
              <w:rPr/>
            </w:pPr>
            <w:r>
              <w:rPr>
                <w:i/>
                <w:sz w:val="13"/>
              </w:rPr>
              <w:t>(Address, Including Zip Code, and Telephone Number,</w:t>
              <w:br/>
              <w:t>Including Area Code, of Registrants</w:t>
              <w:br/>
              <w:t>Principal Executive Offices)</w:t>
            </w:r>
            <w:r>
              <w:rPr/>
              <w:t xml:space="preserve"> </w:t>
            </w:r>
          </w:p>
        </w:tc>
        <w:tc>
          <w:tcPr>
            <w:tcW w:w="102"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i/>
                <w:sz w:val="13"/>
              </w:rPr>
              <w:t>(Name, Address, Including Zip Code, and</w:t>
              <w:br/>
              <w:t>Telephone Number,</w:t>
              <w:br/>
              <w:t>Including Area Code, of Agent for Service)</w:t>
            </w:r>
            <w:r>
              <w:rPr/>
              <w:t xml:space="preserve"> </w:t>
            </w:r>
          </w:p>
        </w:tc>
      </w:tr>
    </w:tbl>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i/>
          <w:color w:val="000000"/>
          <w:sz w:val="17"/>
          <w:highlight w:val="white"/>
        </w:rPr>
        <w:t>Copy to:</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Alan Beck</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Vinson &amp; Elkins L.L.P.</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First City Tower</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1001 Fannin Street, Suite 2500</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Houston, Texas 77002-6760</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713-758-2222</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Approximate date of commencement of proposed sale to the public:</w:t>
      </w:r>
      <w:r>
        <w:rPr>
          <w:rFonts w:ascii="Times New Roman;Times" w:hAnsi="Times New Roman;Times"/>
          <w:color w:val="000000"/>
          <w:sz w:val="17"/>
          <w:highlight w:val="white"/>
        </w:rPr>
        <w:t xml:space="preserve">  As soon as practicable after the effective date of this Registration Statement.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If the securities being registered on this Form are being offered in connection with the formation of a holding company and there is compliance with General Instruction G, check the following box.  </w:t>
      </w:r>
      <w:r>
        <w:rPr>
          <w:rFonts w:ascii="Wingdings" w:hAnsi="Wingdings"/>
          <w:color w:val="000000"/>
          <w:sz w:val="17"/>
          <w:highlight w:val="white"/>
        </w:rPr>
        <w:t xml:space="preserve">o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If this Form is filed to register additional securities for an offering pursuant to Rule 462(b) under the Securities Act, check the following box and list the Securities Act registration number of the earlier effective registration statement for the same offering.  </w:t>
      </w:r>
      <w:r>
        <w:rPr>
          <w:rFonts w:ascii="Wingdings" w:hAnsi="Wingdings"/>
          <w:color w:val="000000"/>
          <w:sz w:val="17"/>
          <w:highlight w:val="white"/>
        </w:rPr>
        <w:t xml:space="preserve">o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If this Form is a post effective amendment filed pursuant to Rule 462(d) under the Securities Act, check the following box and list the Securities Act registration statement number of the earlier effective registration statement for the same offering.  </w:t>
      </w:r>
      <w:r>
        <w:rPr>
          <w:rFonts w:ascii="Wingdings" w:hAnsi="Wingdings"/>
          <w:color w:val="000000"/>
          <w:sz w:val="17"/>
          <w:highlight w:val="white"/>
        </w:rPr>
        <w:t xml:space="preserve">o </w:t>
      </w:r>
    </w:p>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408"/>
        <w:gridCol w:w="100"/>
        <w:gridCol w:w="9697"/>
      </w:tblGrid>
      <w:tr>
        <w:trPr/>
        <w:tc>
          <w:tcPr>
            <w:tcW w:w="408" w:type="dxa"/>
            <w:tcBorders/>
            <w:shd w:fill="FFFFFF" w:val="clear"/>
            <w:vAlign w:val="cente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jc w:val="center"/>
              <w:rPr/>
            </w:pPr>
            <w:r>
              <w:rPr/>
              <w:t xml:space="preserve">* </w:t>
            </w:r>
          </w:p>
        </w:tc>
        <w:tc>
          <w:tcPr>
            <w:tcW w:w="100"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Includes certain subsidiaries of Plains All American Pipeline, L.P. identified on the following pages.</w:t>
            </w:r>
          </w:p>
        </w:tc>
      </w:tr>
    </w:tbl>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Plains Marketing, L.P.</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Texas</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76-0587115</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Plains Pipeline, L.P.</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Texas</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76-0587185</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Plains Marketing GP Inc.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76-0684572</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Plains Marketing Canada LLC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76-0653735</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Plains Marketing Canada, L.P.</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Alberta</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75-2979793</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PMC (Nova Scotia) Company</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0"/>
        <w:gridCol w:w="5002"/>
      </w:tblGrid>
      <w:tr>
        <w:trPr/>
        <w:tc>
          <w:tcPr>
            <w:tcW w:w="5103" w:type="dxa"/>
            <w:tcBorders/>
            <w:shd w:fill="FFFFFF" w:val="clear"/>
            <w:vAlign w:val="bottom"/>
          </w:tcPr>
          <w:p>
            <w:pPr>
              <w:pStyle w:val="TableContents"/>
              <w:spacing w:before="0" w:after="283"/>
              <w:rPr/>
            </w:pPr>
            <w:r>
              <w:rPr/>
              <w:t> </w:t>
            </w:r>
          </w:p>
        </w:tc>
        <w:tc>
          <w:tcPr>
            <w:tcW w:w="100" w:type="dxa"/>
            <w:tcBorders/>
            <w:shd w:fill="FFFFFF" w:val="clear"/>
            <w:vAlign w:val="bottom"/>
          </w:tcPr>
          <w:p>
            <w:pPr>
              <w:pStyle w:val="TableContents"/>
              <w:spacing w:before="0" w:after="283"/>
              <w:rPr/>
            </w:pPr>
            <w:r>
              <w:rPr/>
              <w:t> </w:t>
            </w:r>
          </w:p>
        </w:tc>
        <w:tc>
          <w:tcPr>
            <w:tcW w:w="5002"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Nova Scotia</w:t>
            </w:r>
            <w:r>
              <w:rPr/>
              <w:t xml:space="preserve"> </w:t>
            </w:r>
          </w:p>
        </w:tc>
        <w:tc>
          <w:tcPr>
            <w:tcW w:w="100" w:type="dxa"/>
            <w:tcBorders/>
            <w:shd w:fill="FFFFFF" w:val="clear"/>
            <w:vAlign w:val="bottom"/>
          </w:tcPr>
          <w:p>
            <w:pPr>
              <w:pStyle w:val="TableContents"/>
              <w:spacing w:before="0" w:after="283"/>
              <w:rPr/>
            </w:pPr>
            <w:r>
              <w:rPr/>
              <w:t xml:space="preserve">  </w:t>
            </w:r>
          </w:p>
        </w:tc>
        <w:tc>
          <w:tcPr>
            <w:tcW w:w="5002" w:type="dxa"/>
            <w:tcBorders/>
            <w:shd w:fill="FFFFFF" w:val="clear"/>
            <w:vAlign w:val="bottom"/>
          </w:tcPr>
          <w:p>
            <w:pPr>
              <w:pStyle w:val="TableContents"/>
              <w:spacing w:before="0" w:after="283"/>
              <w:jc w:val="center"/>
              <w:rPr/>
            </w:pPr>
            <w:r>
              <w:rPr>
                <w:b/>
                <w:sz w:val="15"/>
              </w:rPr>
              <w:t>52-2316677</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0" w:type="dxa"/>
            <w:tcBorders/>
            <w:shd w:fill="FFFFFF" w:val="clear"/>
            <w:vAlign w:val="bottom"/>
          </w:tcPr>
          <w:p>
            <w:pPr>
              <w:pStyle w:val="TableContents"/>
              <w:spacing w:before="0" w:after="283"/>
              <w:rPr/>
            </w:pPr>
            <w:r>
              <w:rPr/>
              <w:t xml:space="preserve">  </w:t>
            </w:r>
          </w:p>
        </w:tc>
        <w:tc>
          <w:tcPr>
            <w:tcW w:w="5002" w:type="dxa"/>
            <w:tcBorders/>
            <w:shd w:fill="FFFFFF" w:val="clear"/>
            <w:vAlign w:val="bottom"/>
          </w:tcPr>
          <w:p>
            <w:pPr>
              <w:pStyle w:val="TableContents"/>
              <w:spacing w:before="0" w:after="283"/>
              <w:jc w:val="center"/>
              <w:rPr>
                <w:i/>
                <w:sz w:val="12"/>
              </w:rPr>
            </w:pPr>
            <w:r>
              <w:rPr>
                <w:i/>
                <w:sz w:val="12"/>
              </w:rPr>
              <w:t xml:space="preserve">(I.R.S. Employer Identification Number)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Basin Holdings GP LLC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13-4204744</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Basin Pipeline Holdings, L.P.</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13-4204757</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Rancho Holdings GP LLC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13-4204734</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Rancho Pipeline Holdings, L.P.</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13-4204750</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Plains LPG Services GP LLC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20-0046552</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Plains LPG Services, L.P.</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20-0046584</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Lone Star Trucking, LLC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2"/>
        <w:gridCol w:w="101"/>
        <w:gridCol w:w="5002"/>
      </w:tblGrid>
      <w:tr>
        <w:trPr/>
        <w:tc>
          <w:tcPr>
            <w:tcW w:w="5102"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2" w:type="dxa"/>
            <w:tcBorders/>
            <w:shd w:fill="FFFFFF" w:val="clear"/>
            <w:vAlign w:val="bottom"/>
          </w:tcPr>
          <w:p>
            <w:pPr>
              <w:pStyle w:val="TableContents"/>
              <w:spacing w:before="0" w:after="283"/>
              <w:rPr/>
            </w:pPr>
            <w:r>
              <w:rPr/>
              <w:t> </w:t>
            </w:r>
          </w:p>
        </w:tc>
      </w:tr>
      <w:tr>
        <w:trPr/>
        <w:tc>
          <w:tcPr>
            <w:tcW w:w="5102" w:type="dxa"/>
            <w:tcBorders/>
            <w:shd w:fill="FFFFFF" w:val="clear"/>
          </w:tcPr>
          <w:p>
            <w:pPr>
              <w:pStyle w:val="TableContents"/>
              <w:spacing w:before="0" w:after="283"/>
              <w:jc w:val="center"/>
              <w:rPr/>
            </w:pPr>
            <w:r>
              <w:rPr>
                <w:b/>
                <w:sz w:val="15"/>
              </w:rPr>
              <w:t>California</w:t>
            </w:r>
            <w:r>
              <w:rPr/>
              <w:t xml:space="preserve"> </w:t>
            </w:r>
          </w:p>
        </w:tc>
        <w:tc>
          <w:tcPr>
            <w:tcW w:w="101" w:type="dxa"/>
            <w:tcBorders/>
            <w:shd w:fill="FFFFFF" w:val="clear"/>
            <w:vAlign w:val="bottom"/>
          </w:tcPr>
          <w:p>
            <w:pPr>
              <w:pStyle w:val="TableContents"/>
              <w:spacing w:before="0" w:after="283"/>
              <w:rPr/>
            </w:pPr>
            <w:r>
              <w:rPr/>
              <w:t xml:space="preserve">  </w:t>
            </w:r>
          </w:p>
        </w:tc>
        <w:tc>
          <w:tcPr>
            <w:tcW w:w="5002" w:type="dxa"/>
            <w:tcBorders/>
            <w:shd w:fill="FFFFFF" w:val="clear"/>
            <w:vAlign w:val="bottom"/>
          </w:tcPr>
          <w:p>
            <w:pPr>
              <w:pStyle w:val="TableContents"/>
              <w:spacing w:before="0" w:after="283"/>
              <w:jc w:val="center"/>
              <w:rPr/>
            </w:pPr>
            <w:r>
              <w:rPr>
                <w:b/>
                <w:sz w:val="15"/>
              </w:rPr>
              <w:t>20-4648774</w:t>
            </w:r>
            <w:r>
              <w:rPr/>
              <w:t xml:space="preserve"> </w:t>
            </w:r>
          </w:p>
        </w:tc>
      </w:tr>
      <w:tr>
        <w:trPr/>
        <w:tc>
          <w:tcPr>
            <w:tcW w:w="5102"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2"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Plains Marketing International GP LLC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20-3568639</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Plains Marketing International, L.P.</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Texas</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20-3640773</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Plains LPG Marketing, L.P.</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Texas</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20-2519036</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Pacific Energy Group LLC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84-1598428</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Pacific Marketing and Transportation LLC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33-0973195</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Pacific Atlantic Terminals LLC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20-3209607</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Rocky Mountain Pipeline System LLC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84-1609139</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Ranch Pipeline LLC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84-0882739</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PEG Canada GP LLC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14-1907325</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PEG Canada, L.P.</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14-1907329</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Pacific Energy Finance Corporation</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56-2464313</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Pacific L.A. Marine Terminal LLC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20-3677976</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Rangeland Pipeline Company</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0"/>
        <w:gridCol w:w="5002"/>
      </w:tblGrid>
      <w:tr>
        <w:trPr/>
        <w:tc>
          <w:tcPr>
            <w:tcW w:w="5103" w:type="dxa"/>
            <w:tcBorders/>
            <w:shd w:fill="FFFFFF" w:val="clear"/>
            <w:vAlign w:val="bottom"/>
          </w:tcPr>
          <w:p>
            <w:pPr>
              <w:pStyle w:val="TableContents"/>
              <w:spacing w:before="0" w:after="283"/>
              <w:rPr/>
            </w:pPr>
            <w:r>
              <w:rPr/>
              <w:t> </w:t>
            </w:r>
          </w:p>
        </w:tc>
        <w:tc>
          <w:tcPr>
            <w:tcW w:w="100" w:type="dxa"/>
            <w:tcBorders/>
            <w:shd w:fill="FFFFFF" w:val="clear"/>
            <w:vAlign w:val="bottom"/>
          </w:tcPr>
          <w:p>
            <w:pPr>
              <w:pStyle w:val="TableContents"/>
              <w:spacing w:before="0" w:after="283"/>
              <w:rPr/>
            </w:pPr>
            <w:r>
              <w:rPr/>
              <w:t> </w:t>
            </w:r>
          </w:p>
        </w:tc>
        <w:tc>
          <w:tcPr>
            <w:tcW w:w="5002"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Nova Scotia</w:t>
            </w:r>
            <w:r>
              <w:rPr/>
              <w:t xml:space="preserve"> </w:t>
            </w:r>
          </w:p>
        </w:tc>
        <w:tc>
          <w:tcPr>
            <w:tcW w:w="100" w:type="dxa"/>
            <w:tcBorders/>
            <w:shd w:fill="FFFFFF" w:val="clear"/>
            <w:vAlign w:val="bottom"/>
          </w:tcPr>
          <w:p>
            <w:pPr>
              <w:pStyle w:val="TableContents"/>
              <w:spacing w:before="0" w:after="283"/>
              <w:rPr/>
            </w:pPr>
            <w:r>
              <w:rPr/>
              <w:t xml:space="preserve">  </w:t>
            </w:r>
          </w:p>
        </w:tc>
        <w:tc>
          <w:tcPr>
            <w:tcW w:w="5002" w:type="dxa"/>
            <w:tcBorders/>
            <w:shd w:fill="FFFFFF" w:val="clear"/>
            <w:vAlign w:val="bottom"/>
          </w:tcPr>
          <w:p>
            <w:pPr>
              <w:pStyle w:val="TableContents"/>
              <w:spacing w:before="0" w:after="283"/>
              <w:jc w:val="center"/>
              <w:rPr/>
            </w:pPr>
            <w:r>
              <w:rPr>
                <w:b/>
                <w:sz w:val="15"/>
              </w:rPr>
              <w:t>20-8538882</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0" w:type="dxa"/>
            <w:tcBorders/>
            <w:shd w:fill="FFFFFF" w:val="clear"/>
            <w:vAlign w:val="bottom"/>
          </w:tcPr>
          <w:p>
            <w:pPr>
              <w:pStyle w:val="TableContents"/>
              <w:spacing w:before="0" w:after="283"/>
              <w:rPr/>
            </w:pPr>
            <w:r>
              <w:rPr/>
              <w:t xml:space="preserve">  </w:t>
            </w:r>
          </w:p>
        </w:tc>
        <w:tc>
          <w:tcPr>
            <w:tcW w:w="5002"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Rangeland Northern Pipeline Company</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0"/>
        <w:gridCol w:w="5002"/>
      </w:tblGrid>
      <w:tr>
        <w:trPr/>
        <w:tc>
          <w:tcPr>
            <w:tcW w:w="5103" w:type="dxa"/>
            <w:tcBorders/>
            <w:shd w:fill="FFFFFF" w:val="clear"/>
            <w:vAlign w:val="bottom"/>
          </w:tcPr>
          <w:p>
            <w:pPr>
              <w:pStyle w:val="TableContents"/>
              <w:spacing w:before="0" w:after="283"/>
              <w:rPr/>
            </w:pPr>
            <w:r>
              <w:rPr/>
              <w:t> </w:t>
            </w:r>
          </w:p>
        </w:tc>
        <w:tc>
          <w:tcPr>
            <w:tcW w:w="100" w:type="dxa"/>
            <w:tcBorders/>
            <w:shd w:fill="FFFFFF" w:val="clear"/>
            <w:vAlign w:val="bottom"/>
          </w:tcPr>
          <w:p>
            <w:pPr>
              <w:pStyle w:val="TableContents"/>
              <w:spacing w:before="0" w:after="283"/>
              <w:rPr/>
            </w:pPr>
            <w:r>
              <w:rPr/>
              <w:t> </w:t>
            </w:r>
          </w:p>
        </w:tc>
        <w:tc>
          <w:tcPr>
            <w:tcW w:w="5002"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Nova Scotia</w:t>
            </w:r>
            <w:r>
              <w:rPr/>
              <w:t xml:space="preserve"> </w:t>
            </w:r>
          </w:p>
        </w:tc>
        <w:tc>
          <w:tcPr>
            <w:tcW w:w="100" w:type="dxa"/>
            <w:tcBorders/>
            <w:shd w:fill="FFFFFF" w:val="clear"/>
            <w:vAlign w:val="bottom"/>
          </w:tcPr>
          <w:p>
            <w:pPr>
              <w:pStyle w:val="TableContents"/>
              <w:spacing w:before="0" w:after="283"/>
              <w:rPr/>
            </w:pPr>
            <w:r>
              <w:rPr/>
              <w:t xml:space="preserve">  </w:t>
            </w:r>
          </w:p>
        </w:tc>
        <w:tc>
          <w:tcPr>
            <w:tcW w:w="5002" w:type="dxa"/>
            <w:tcBorders/>
            <w:shd w:fill="FFFFFF" w:val="clear"/>
            <w:vAlign w:val="bottom"/>
          </w:tcPr>
          <w:p>
            <w:pPr>
              <w:pStyle w:val="TableContents"/>
              <w:spacing w:before="0" w:after="283"/>
              <w:jc w:val="center"/>
              <w:rPr/>
            </w:pPr>
            <w:r>
              <w:rPr>
                <w:b/>
                <w:sz w:val="15"/>
              </w:rPr>
              <w:t>20-8539038</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0" w:type="dxa"/>
            <w:tcBorders/>
            <w:shd w:fill="FFFFFF" w:val="clear"/>
            <w:vAlign w:val="bottom"/>
          </w:tcPr>
          <w:p>
            <w:pPr>
              <w:pStyle w:val="TableContents"/>
              <w:spacing w:before="0" w:after="283"/>
              <w:rPr/>
            </w:pPr>
            <w:r>
              <w:rPr/>
              <w:t xml:space="preserve">  </w:t>
            </w:r>
          </w:p>
        </w:tc>
        <w:tc>
          <w:tcPr>
            <w:tcW w:w="5002"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Rangeland Marketing Company</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0"/>
        <w:gridCol w:w="5002"/>
      </w:tblGrid>
      <w:tr>
        <w:trPr/>
        <w:tc>
          <w:tcPr>
            <w:tcW w:w="5103" w:type="dxa"/>
            <w:tcBorders/>
            <w:shd w:fill="FFFFFF" w:val="clear"/>
            <w:vAlign w:val="bottom"/>
          </w:tcPr>
          <w:p>
            <w:pPr>
              <w:pStyle w:val="TableContents"/>
              <w:spacing w:before="0" w:after="283"/>
              <w:rPr/>
            </w:pPr>
            <w:r>
              <w:rPr/>
              <w:t> </w:t>
            </w:r>
          </w:p>
        </w:tc>
        <w:tc>
          <w:tcPr>
            <w:tcW w:w="100" w:type="dxa"/>
            <w:tcBorders/>
            <w:shd w:fill="FFFFFF" w:val="clear"/>
            <w:vAlign w:val="bottom"/>
          </w:tcPr>
          <w:p>
            <w:pPr>
              <w:pStyle w:val="TableContents"/>
              <w:spacing w:before="0" w:after="283"/>
              <w:rPr/>
            </w:pPr>
            <w:r>
              <w:rPr/>
              <w:t> </w:t>
            </w:r>
          </w:p>
        </w:tc>
        <w:tc>
          <w:tcPr>
            <w:tcW w:w="5002"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Nova Scotia</w:t>
            </w:r>
            <w:r>
              <w:rPr/>
              <w:t xml:space="preserve"> </w:t>
            </w:r>
          </w:p>
        </w:tc>
        <w:tc>
          <w:tcPr>
            <w:tcW w:w="100" w:type="dxa"/>
            <w:tcBorders/>
            <w:shd w:fill="FFFFFF" w:val="clear"/>
            <w:vAlign w:val="bottom"/>
          </w:tcPr>
          <w:p>
            <w:pPr>
              <w:pStyle w:val="TableContents"/>
              <w:spacing w:before="0" w:after="283"/>
              <w:rPr/>
            </w:pPr>
            <w:r>
              <w:rPr/>
              <w:t xml:space="preserve">  </w:t>
            </w:r>
          </w:p>
        </w:tc>
        <w:tc>
          <w:tcPr>
            <w:tcW w:w="5002" w:type="dxa"/>
            <w:tcBorders/>
            <w:shd w:fill="FFFFFF" w:val="clear"/>
            <w:vAlign w:val="bottom"/>
          </w:tcPr>
          <w:p>
            <w:pPr>
              <w:pStyle w:val="TableContents"/>
              <w:spacing w:before="0" w:after="283"/>
              <w:jc w:val="center"/>
              <w:rPr/>
            </w:pPr>
            <w:r>
              <w:rPr>
                <w:b/>
                <w:sz w:val="15"/>
              </w:rPr>
              <w:t>20-8539145</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0" w:type="dxa"/>
            <w:tcBorders/>
            <w:shd w:fill="FFFFFF" w:val="clear"/>
            <w:vAlign w:val="bottom"/>
          </w:tcPr>
          <w:p>
            <w:pPr>
              <w:pStyle w:val="TableContents"/>
              <w:spacing w:before="0" w:after="283"/>
              <w:rPr/>
            </w:pPr>
            <w:r>
              <w:rPr/>
              <w:t xml:space="preserve">  </w:t>
            </w:r>
          </w:p>
        </w:tc>
        <w:tc>
          <w:tcPr>
            <w:tcW w:w="5002"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Rangeland Pipeline Partnership</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Alberta</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20-8539103</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Aurora Pipeline Company Ltd.</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Canada</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20-8539237</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60" w:after="283"/>
        <w:rPr/>
      </w:pPr>
      <w:r>
        <w:rPr/>
        <w:t> </w:t>
      </w:r>
    </w:p>
    <w:p>
      <w:pPr>
        <w:pStyle w:val="TextBody"/>
        <w:spacing w:before="0" w:after="0"/>
        <w:jc w:val="left"/>
        <w:rPr>
          <w:rFonts w:ascii="Times New Roman;Times" w:hAnsi="Times New Roman;Times"/>
          <w:color w:val="000000"/>
          <w:sz w:val="15"/>
          <w:highlight w:val="white"/>
        </w:rPr>
      </w:pPr>
      <w:r>
        <w:rPr>
          <w:rFonts w:ascii="Times New Roman;Times" w:hAnsi="Times New Roman;Times"/>
          <w:color w:val="000000"/>
          <w:sz w:val="15"/>
          <w:highlight w:val="white"/>
        </w:rPr>
        <w:t xml:space="preserve">Each Registrant hereby amends this Registration Statement on such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 </w:t>
      </w:r>
    </w:p>
    <w:p>
      <w:pPr>
        <w:pStyle w:val="TextBody"/>
        <w:spacing w:before="160" w:after="283"/>
        <w:rPr/>
      </w:pPr>
      <w:r>
        <w:rPr/>
        <w:t>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75" w:type="dxa"/>
          <w:left w:w="75" w:type="dxa"/>
          <w:bottom w:w="75" w:type="dxa"/>
          <w:right w:w="75" w:type="dxa"/>
        </w:tblCellMar>
      </w:tblPr>
      <w:tblGrid>
        <w:gridCol w:w="10205"/>
      </w:tblGrid>
      <w:tr>
        <w:trPr/>
        <w:tc>
          <w:tcPr>
            <w:tcW w:w="10205"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rFonts w:ascii="Arial;Helvetica" w:hAnsi="Arial;Helvetica"/>
                <w:color w:val="E8112D"/>
                <w:sz w:val="17"/>
              </w:rPr>
            </w:pPr>
            <w:r>
              <w:rPr>
                <w:rFonts w:ascii="Arial;Helvetica" w:hAnsi="Arial;Helvetica"/>
                <w:color w:val="E8112D"/>
                <w:sz w:val="17"/>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tc>
      </w:tr>
    </w:tbl>
    <w:p>
      <w:pPr>
        <w:pStyle w:val="TextBody"/>
        <w:spacing w:before="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E8112D"/>
          <w:sz w:val="17"/>
          <w:highlight w:val="white"/>
        </w:rPr>
        <w:t>Subject to Completion, Dated May 11, 2007</w:t>
      </w:r>
      <w:r>
        <w:rPr>
          <w:rFonts w:ascii="Times New Roman;Times" w:hAnsi="Times New Roman;Times"/>
          <w:color w:val="000000"/>
          <w:sz w:val="17"/>
          <w:highlight w:val="white"/>
        </w:rPr>
        <w:t xml:space="preserve"> </w:t>
      </w:r>
    </w:p>
    <w:p>
      <w:pPr>
        <w:pStyle w:val="TextBody"/>
        <w:spacing w:before="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Prospectus</w:t>
      </w:r>
      <w:r>
        <w:rPr>
          <w:rFonts w:ascii="Times New Roman;Times" w:hAnsi="Times New Roman;Times"/>
          <w:color w:val="000000"/>
          <w:sz w:val="17"/>
          <w:highlight w:val="white"/>
        </w:rPr>
        <w:t xml:space="preserve"> </w:t>
      </w:r>
    </w:p>
    <w:p>
      <w:pPr>
        <w:pStyle w:val="TextBody"/>
        <w:spacing w:before="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Plains All American Pipeline, L.P.</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PAA Finance Corp.</w:t>
      </w:r>
      <w:r>
        <w:rPr>
          <w:rFonts w:ascii="Times New Roman;Times" w:hAnsi="Times New Roman;Times"/>
          <w:color w:val="000000"/>
          <w:sz w:val="17"/>
          <w:highlight w:val="white"/>
        </w:rPr>
        <w:t xml:space="preserve"> </w:t>
      </w:r>
    </w:p>
    <w:p>
      <w:pPr>
        <w:pStyle w:val="TextBody"/>
        <w:spacing w:before="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Offer to Exchange up to</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$400,000,000 of 6.125% Senior Notes due 2017</w:t>
      </w:r>
      <w:r>
        <w:rPr>
          <w:rFonts w:ascii="Times New Roman;Times" w:hAnsi="Times New Roman;Times"/>
          <w:color w:val="000000"/>
          <w:sz w:val="17"/>
          <w:highlight w:val="white"/>
        </w:rPr>
        <w:t xml:space="preserve"> </w:t>
      </w:r>
    </w:p>
    <w:p>
      <w:pPr>
        <w:pStyle w:val="TextBody"/>
        <w:spacing w:before="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for</w:t>
      </w:r>
      <w:r>
        <w:rPr>
          <w:rFonts w:ascii="Times New Roman;Times" w:hAnsi="Times New Roman;Times"/>
          <w:color w:val="000000"/>
          <w:sz w:val="17"/>
          <w:highlight w:val="white"/>
        </w:rPr>
        <w:t xml:space="preserve"> </w:t>
      </w:r>
    </w:p>
    <w:p>
      <w:pPr>
        <w:pStyle w:val="TextBody"/>
        <w:spacing w:before="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$400,000,000 of 6.125% Senior Notes due 2017</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that have been Registered under the Securities Act of 1933</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and</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Offer to Exchange up to</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$600,000,000 of 6.650% Senior Notes due 2037</w:t>
      </w:r>
      <w:r>
        <w:rPr>
          <w:rFonts w:ascii="Times New Roman;Times" w:hAnsi="Times New Roman;Times"/>
          <w:color w:val="000000"/>
          <w:sz w:val="17"/>
          <w:highlight w:val="white"/>
        </w:rPr>
        <w:t xml:space="preserve"> </w:t>
      </w:r>
    </w:p>
    <w:p>
      <w:pPr>
        <w:pStyle w:val="TextBody"/>
        <w:spacing w:before="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for</w:t>
      </w:r>
      <w:r>
        <w:rPr>
          <w:rFonts w:ascii="Times New Roman;Times" w:hAnsi="Times New Roman;Times"/>
          <w:color w:val="000000"/>
          <w:sz w:val="17"/>
          <w:highlight w:val="white"/>
        </w:rPr>
        <w:t xml:space="preserve"> </w:t>
      </w:r>
    </w:p>
    <w:p>
      <w:pPr>
        <w:pStyle w:val="TextBody"/>
        <w:spacing w:before="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$600,000,000 of 6.650% Senior Notes due 2037</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that have been Registered under the Securities Act of 1933</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Terms of the Exchange Offer</w:t>
      </w:r>
      <w:r>
        <w:rPr>
          <w:rFonts w:ascii="Arial;Helvetica" w:hAnsi="Arial;Helvetica"/>
          <w:color w:val="000000"/>
          <w:sz w:val="17"/>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0"/>
        <w:gridCol w:w="269"/>
        <w:gridCol w:w="9536"/>
      </w:tblGrid>
      <w:tr>
        <w:trPr/>
        <w:tc>
          <w:tcPr>
            <w:tcW w:w="40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We are offering to exchange up to $400,000,000 of our outstanding 6.125% Senior Notes due 2017 (the 2017 Notes) and up to $600,000,000 of our outstanding 6.650% Senior Notes due 2037 (the 2037 Notes, and together with the 2017 Notes, the outstanding Notes) for new notes with substantially identical terms that have been registered under the Securities Act and are freely tradable.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We will exchange for an equal principal amount of new Notes all outstanding Notes of the same series that you validly tender and do not validly withdraw before the exchange offer expires.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Each exchange offer expires at 5:00 p.m., New York City time, on          , 2007 unless extended. We do not currently intend to extend either exchange offer.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Tenders of outstanding Notes may be withdrawn at any time prior to the expiration of the exchange offer.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The exchange of outstanding Notes for new Notes will not be a taxable event for U.S. federal income tax purposes. </w:t>
            </w:r>
          </w:p>
        </w:tc>
      </w:tr>
    </w:tbl>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Terms of the 6.125% Senior Notes Offered in the Exchange Offer</w:t>
      </w:r>
      <w:r>
        <w:rPr>
          <w:rFonts w:ascii="Arial;Helvetica" w:hAnsi="Arial;Helvetica"/>
          <w:color w:val="000000"/>
          <w:sz w:val="17"/>
          <w:highlight w:val="white"/>
        </w:rPr>
        <w:t xml:space="preserve"> </w:t>
      </w:r>
    </w:p>
    <w:p>
      <w:pPr>
        <w:pStyle w:val="TextBody"/>
        <w:spacing w:before="80" w:after="283"/>
        <w:rPr/>
      </w:pPr>
      <w:r>
        <w:rPr/>
        <w:t> </w:t>
      </w:r>
    </w:p>
    <w:p>
      <w:pPr>
        <w:pStyle w:val="TextBody"/>
        <w:spacing w:before="0" w:after="0"/>
        <w:jc w:val="left"/>
        <w:rPr>
          <w:rFonts w:ascii="Arial;Helvetica" w:hAnsi="Arial;Helvetica"/>
          <w:color w:val="000000"/>
          <w:sz w:val="15"/>
          <w:highlight w:val="white"/>
        </w:rPr>
      </w:pPr>
      <w:r>
        <w:rPr>
          <w:rFonts w:ascii="Times New Roman;Times" w:hAnsi="Times New Roman;Times"/>
          <w:b/>
          <w:color w:val="000000"/>
          <w:sz w:val="15"/>
          <w:highlight w:val="white"/>
        </w:rPr>
        <w:t>Maturity</w:t>
      </w:r>
      <w:r>
        <w:rPr>
          <w:rFonts w:ascii="Arial;Helvetica" w:hAnsi="Arial;Helvetica"/>
          <w:color w:val="000000"/>
          <w:sz w:val="15"/>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8"/>
        <w:gridCol w:w="268"/>
        <w:gridCol w:w="9529"/>
      </w:tblGrid>
      <w:tr>
        <w:trPr/>
        <w:tc>
          <w:tcPr>
            <w:tcW w:w="40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The 2017 Notes will mature on January 15, 2017. </w:t>
            </w:r>
          </w:p>
        </w:tc>
      </w:tr>
    </w:tbl>
    <w:p>
      <w:pPr>
        <w:pStyle w:val="TextBody"/>
        <w:spacing w:before="80" w:after="283"/>
        <w:rPr/>
      </w:pPr>
      <w:r>
        <w:rPr/>
        <w:t> </w:t>
      </w:r>
    </w:p>
    <w:p>
      <w:pPr>
        <w:pStyle w:val="TextBody"/>
        <w:spacing w:before="0" w:after="0"/>
        <w:jc w:val="left"/>
        <w:rPr>
          <w:rFonts w:ascii="Arial;Helvetica" w:hAnsi="Arial;Helvetica"/>
          <w:color w:val="000000"/>
          <w:sz w:val="15"/>
          <w:highlight w:val="white"/>
        </w:rPr>
      </w:pPr>
      <w:r>
        <w:rPr>
          <w:rFonts w:ascii="Times New Roman;Times" w:hAnsi="Times New Roman;Times"/>
          <w:b/>
          <w:color w:val="000000"/>
          <w:sz w:val="15"/>
          <w:highlight w:val="white"/>
        </w:rPr>
        <w:t>Interest</w:t>
      </w:r>
      <w:r>
        <w:rPr>
          <w:rFonts w:ascii="Arial;Helvetica" w:hAnsi="Arial;Helvetica"/>
          <w:color w:val="000000"/>
          <w:sz w:val="15"/>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8"/>
        <w:gridCol w:w="270"/>
        <w:gridCol w:w="9527"/>
      </w:tblGrid>
      <w:tr>
        <w:trPr/>
        <w:tc>
          <w:tcPr>
            <w:tcW w:w="408"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527"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Interest on the 2017 Notes is payable on January 15 and July 15 of each year, beginning July 15, 2007.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Interest will accrue from October 30, 2006. </w:t>
            </w:r>
          </w:p>
        </w:tc>
      </w:tr>
    </w:tbl>
    <w:p>
      <w:pPr>
        <w:pStyle w:val="TextBody"/>
        <w:spacing w:before="80" w:after="283"/>
        <w:rPr/>
      </w:pPr>
      <w:r>
        <w:rPr/>
        <w:t> </w:t>
      </w:r>
    </w:p>
    <w:p>
      <w:pPr>
        <w:pStyle w:val="TextBody"/>
        <w:spacing w:before="0" w:after="0"/>
        <w:jc w:val="left"/>
        <w:rPr>
          <w:rFonts w:ascii="Arial;Helvetica" w:hAnsi="Arial;Helvetica"/>
          <w:color w:val="000000"/>
          <w:sz w:val="15"/>
          <w:highlight w:val="white"/>
        </w:rPr>
      </w:pPr>
      <w:r>
        <w:rPr>
          <w:rFonts w:ascii="Times New Roman;Times" w:hAnsi="Times New Roman;Times"/>
          <w:b/>
          <w:color w:val="000000"/>
          <w:sz w:val="15"/>
          <w:highlight w:val="white"/>
        </w:rPr>
        <w:t>Redemption</w:t>
      </w:r>
      <w:r>
        <w:rPr>
          <w:rFonts w:ascii="Arial;Helvetica" w:hAnsi="Arial;Helvetica"/>
          <w:color w:val="000000"/>
          <w:sz w:val="15"/>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6"/>
        <w:gridCol w:w="272"/>
        <w:gridCol w:w="9527"/>
      </w:tblGrid>
      <w:tr>
        <w:trPr/>
        <w:tc>
          <w:tcPr>
            <w:tcW w:w="40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27"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We may redeem the 2017 Notes, in whole or in part, at any time at a price equal to the greater of (1) 100% of the principal amount of the 2017 Notes to be redeemed or (2) a make-whole amount described in this prospectus plus 25 basis points together with accrued interest, if any, to the redemption date. </w:t>
            </w:r>
          </w:p>
        </w:tc>
      </w:tr>
    </w:tbl>
    <w:p>
      <w:pPr>
        <w:pStyle w:val="TextBody"/>
        <w:spacing w:before="80" w:after="283"/>
        <w:rPr/>
      </w:pPr>
      <w:r>
        <w:rPr/>
        <w:t> </w:t>
      </w:r>
    </w:p>
    <w:p>
      <w:pPr>
        <w:pStyle w:val="TextBody"/>
        <w:spacing w:before="0" w:after="0"/>
        <w:jc w:val="left"/>
        <w:rPr>
          <w:rFonts w:ascii="Arial;Helvetica" w:hAnsi="Arial;Helvetica"/>
          <w:color w:val="000000"/>
          <w:sz w:val="15"/>
          <w:highlight w:val="white"/>
        </w:rPr>
      </w:pPr>
      <w:r>
        <w:rPr>
          <w:rFonts w:ascii="Times New Roman;Times" w:hAnsi="Times New Roman;Times"/>
          <w:b/>
          <w:color w:val="000000"/>
          <w:sz w:val="15"/>
          <w:highlight w:val="white"/>
        </w:rPr>
        <w:t>Ranking</w:t>
      </w:r>
      <w:r>
        <w:rPr>
          <w:rFonts w:ascii="Arial;Helvetica" w:hAnsi="Arial;Helvetica"/>
          <w:color w:val="000000"/>
          <w:sz w:val="15"/>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5"/>
        <w:gridCol w:w="274"/>
        <w:gridCol w:w="9526"/>
      </w:tblGrid>
      <w:tr>
        <w:trPr/>
        <w:tc>
          <w:tcPr>
            <w:tcW w:w="40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The 2017 Notes are unsecured. The 2017 Notes rank equally in right of payment with all of our other existing and future senior unsecured debt and senior in right of payment to all of our future subordinated debt. </w:t>
            </w:r>
          </w:p>
        </w:tc>
      </w:tr>
    </w:tbl>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Terms of the 6.650% Senior Notes Offered in the Exchange Offer</w:t>
      </w:r>
      <w:r>
        <w:rPr>
          <w:rFonts w:ascii="Arial;Helvetica" w:hAnsi="Arial;Helvetica"/>
          <w:color w:val="000000"/>
          <w:sz w:val="17"/>
          <w:highlight w:val="white"/>
        </w:rPr>
        <w:t xml:space="preserve"> </w:t>
      </w:r>
    </w:p>
    <w:p>
      <w:pPr>
        <w:pStyle w:val="TextBody"/>
        <w:spacing w:before="80" w:after="283"/>
        <w:rPr/>
      </w:pPr>
      <w:r>
        <w:rPr/>
        <w:t> </w:t>
      </w:r>
    </w:p>
    <w:p>
      <w:pPr>
        <w:pStyle w:val="TextBody"/>
        <w:spacing w:before="0" w:after="0"/>
        <w:jc w:val="left"/>
        <w:rPr>
          <w:rFonts w:ascii="Arial;Helvetica" w:hAnsi="Arial;Helvetica"/>
          <w:color w:val="000000"/>
          <w:sz w:val="15"/>
          <w:highlight w:val="white"/>
        </w:rPr>
      </w:pPr>
      <w:r>
        <w:rPr>
          <w:rFonts w:ascii="Times New Roman;Times" w:hAnsi="Times New Roman;Times"/>
          <w:b/>
          <w:color w:val="000000"/>
          <w:sz w:val="15"/>
          <w:highlight w:val="white"/>
        </w:rPr>
        <w:t>Maturity</w:t>
      </w:r>
      <w:r>
        <w:rPr>
          <w:rFonts w:ascii="Arial;Helvetica" w:hAnsi="Arial;Helvetica"/>
          <w:color w:val="000000"/>
          <w:sz w:val="15"/>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8"/>
        <w:gridCol w:w="268"/>
        <w:gridCol w:w="9529"/>
      </w:tblGrid>
      <w:tr>
        <w:trPr/>
        <w:tc>
          <w:tcPr>
            <w:tcW w:w="40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The 2037 Notes will mature on January 15, 2037. </w:t>
            </w:r>
          </w:p>
        </w:tc>
      </w:tr>
    </w:tbl>
    <w:p>
      <w:pPr>
        <w:pStyle w:val="TextBody"/>
        <w:spacing w:before="160" w:after="283"/>
        <w:rPr/>
      </w:pPr>
      <w:r>
        <w:rPr/>
        <w:t> </w:t>
      </w:r>
    </w:p>
    <w:p>
      <w:pPr>
        <w:pStyle w:val="TextBody"/>
        <w:spacing w:before="0" w:after="0"/>
        <w:jc w:val="left"/>
        <w:rPr>
          <w:rFonts w:ascii="Arial;Helvetica" w:hAnsi="Arial;Helvetica"/>
          <w:color w:val="000000"/>
          <w:sz w:val="15"/>
          <w:highlight w:val="white"/>
        </w:rPr>
      </w:pPr>
      <w:r>
        <w:rPr>
          <w:rFonts w:ascii="Times New Roman;Times" w:hAnsi="Times New Roman;Times"/>
          <w:b/>
          <w:color w:val="000000"/>
          <w:sz w:val="15"/>
          <w:highlight w:val="white"/>
        </w:rPr>
        <w:t>Interest</w:t>
      </w:r>
      <w:r>
        <w:rPr>
          <w:rFonts w:ascii="Arial;Helvetica" w:hAnsi="Arial;Helvetica"/>
          <w:color w:val="000000"/>
          <w:sz w:val="15"/>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8"/>
        <w:gridCol w:w="270"/>
        <w:gridCol w:w="9527"/>
      </w:tblGrid>
      <w:tr>
        <w:trPr/>
        <w:tc>
          <w:tcPr>
            <w:tcW w:w="408"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527"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Interest on the 2037 Notes is payable on January 15 and July 15 of each year, beginning July 15, 2007.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Interest will accrue from October 30, 2006. </w:t>
            </w:r>
          </w:p>
        </w:tc>
      </w:tr>
    </w:tbl>
    <w:p>
      <w:pPr>
        <w:pStyle w:val="TextBody"/>
        <w:spacing w:before="160" w:after="283"/>
        <w:rPr/>
      </w:pPr>
      <w:r>
        <w:rPr/>
        <w:t> </w:t>
      </w:r>
    </w:p>
    <w:p>
      <w:pPr>
        <w:pStyle w:val="TextBody"/>
        <w:spacing w:before="0" w:after="0"/>
        <w:jc w:val="left"/>
        <w:rPr>
          <w:rFonts w:ascii="Arial;Helvetica" w:hAnsi="Arial;Helvetica"/>
          <w:color w:val="000000"/>
          <w:sz w:val="15"/>
          <w:highlight w:val="white"/>
        </w:rPr>
      </w:pPr>
      <w:r>
        <w:rPr>
          <w:rFonts w:ascii="Times New Roman;Times" w:hAnsi="Times New Roman;Times"/>
          <w:b/>
          <w:color w:val="000000"/>
          <w:sz w:val="15"/>
          <w:highlight w:val="white"/>
        </w:rPr>
        <w:t>Redemption</w:t>
      </w:r>
      <w:r>
        <w:rPr>
          <w:rFonts w:ascii="Arial;Helvetica" w:hAnsi="Arial;Helvetica"/>
          <w:color w:val="000000"/>
          <w:sz w:val="15"/>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6"/>
        <w:gridCol w:w="272"/>
        <w:gridCol w:w="9527"/>
      </w:tblGrid>
      <w:tr>
        <w:trPr/>
        <w:tc>
          <w:tcPr>
            <w:tcW w:w="40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27"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We may redeem the 2037 Notes, in whole or in part, at any time at a price equal to the greater of (1) 100% of the principal amount of the 2037 Notes to be redeemed or (2) a make-whole amount described in this prospectus plus 30 basis points together with accrued interest, if any, to the redemption date. </w:t>
            </w:r>
          </w:p>
        </w:tc>
      </w:tr>
    </w:tbl>
    <w:p>
      <w:pPr>
        <w:pStyle w:val="TextBody"/>
        <w:spacing w:before="160" w:after="283"/>
        <w:rPr/>
      </w:pPr>
      <w:r>
        <w:rPr/>
        <w:t> </w:t>
      </w:r>
    </w:p>
    <w:p>
      <w:pPr>
        <w:pStyle w:val="TextBody"/>
        <w:spacing w:before="0" w:after="0"/>
        <w:jc w:val="left"/>
        <w:rPr>
          <w:rFonts w:ascii="Arial;Helvetica" w:hAnsi="Arial;Helvetica"/>
          <w:color w:val="000000"/>
          <w:sz w:val="15"/>
          <w:highlight w:val="white"/>
        </w:rPr>
      </w:pPr>
      <w:r>
        <w:rPr>
          <w:rFonts w:ascii="Times New Roman;Times" w:hAnsi="Times New Roman;Times"/>
          <w:b/>
          <w:color w:val="000000"/>
          <w:sz w:val="15"/>
          <w:highlight w:val="white"/>
        </w:rPr>
        <w:t>Ranking</w:t>
      </w:r>
      <w:r>
        <w:rPr>
          <w:rFonts w:ascii="Arial;Helvetica" w:hAnsi="Arial;Helvetica"/>
          <w:color w:val="000000"/>
          <w:sz w:val="15"/>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5"/>
        <w:gridCol w:w="274"/>
        <w:gridCol w:w="9526"/>
      </w:tblGrid>
      <w:tr>
        <w:trPr/>
        <w:tc>
          <w:tcPr>
            <w:tcW w:w="40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The 2037 Notes are unsecured. The 2037 Notes rank equally in right of payment with all of our other existing and future senior unsecured debt and senior in right of payment to all of our future subordinated debt. </w:t>
            </w:r>
          </w:p>
        </w:tc>
      </w:tr>
    </w:tbl>
    <w:p>
      <w:pPr>
        <w:pStyle w:val="TextBody"/>
        <w:spacing w:before="80" w:after="283"/>
        <w:rPr/>
      </w:pPr>
      <w:r>
        <w:rPr/>
        <w:t> </w:t>
      </w:r>
    </w:p>
    <w:p>
      <w:pPr>
        <w:pStyle w:val="TextBody"/>
        <w:spacing w:before="0" w:after="0"/>
        <w:jc w:val="left"/>
        <w:rPr>
          <w:rFonts w:ascii="Times New Roman;Times" w:hAnsi="Times New Roman;Times"/>
          <w:color w:val="000000"/>
          <w:sz w:val="15"/>
          <w:highlight w:val="white"/>
        </w:rPr>
      </w:pPr>
      <w:r>
        <w:rPr>
          <w:rFonts w:ascii="Times New Roman;Times" w:hAnsi="Times New Roman;Times"/>
          <w:b/>
          <w:color w:val="000000"/>
          <w:sz w:val="15"/>
          <w:highlight w:val="white"/>
        </w:rPr>
        <w:t>Please read Risk Factors on page 6 for a discussion of factors you should consider before participating in the exchange offer.</w:t>
      </w:r>
      <w:r>
        <w:rPr>
          <w:rFonts w:ascii="Times New Roman;Times" w:hAnsi="Times New Roman;Times"/>
          <w:color w:val="000000"/>
          <w:sz w:val="15"/>
          <w:highlight w:val="white"/>
        </w:rPr>
        <w:t xml:space="preserve"> </w:t>
      </w:r>
    </w:p>
    <w:p>
      <w:pPr>
        <w:pStyle w:val="TextBody"/>
        <w:spacing w:before="80" w:after="283"/>
        <w:rPr/>
      </w:pPr>
      <w:r>
        <w:rPr/>
        <w:t> </w:t>
      </w:r>
    </w:p>
    <w:p>
      <w:pPr>
        <w:pStyle w:val="TextBody"/>
        <w:spacing w:before="0" w:after="0"/>
        <w:jc w:val="left"/>
        <w:rPr>
          <w:rFonts w:ascii="Times New Roman;Times" w:hAnsi="Times New Roman;Times"/>
          <w:color w:val="000000"/>
          <w:sz w:val="15"/>
          <w:highlight w:val="white"/>
        </w:rPr>
      </w:pPr>
      <w:r>
        <w:rPr>
          <w:rFonts w:ascii="Times New Roman;Times" w:hAnsi="Times New Roman;Times"/>
          <w:b/>
          <w:color w:val="000000"/>
          <w:sz w:val="15"/>
          <w:highlight w:val="white"/>
        </w:rPr>
        <w:t>These securities have not been approved or disapproved by the Securities and Exchange Commission or any state securities commission nor has the Securities and Exchange Commission passed upon the accuracy or adequacy of this prospectus. Any representation to the contrary is a criminal offense.</w:t>
      </w:r>
      <w:r>
        <w:rPr>
          <w:rFonts w:ascii="Times New Roman;Times" w:hAnsi="Times New Roman;Times"/>
          <w:color w:val="000000"/>
          <w:sz w:val="15"/>
          <w:highlight w:val="white"/>
        </w:rPr>
        <w:t xml:space="preserve"> </w:t>
      </w:r>
    </w:p>
    <w:p>
      <w:pPr>
        <w:pStyle w:val="TextBody"/>
        <w:spacing w:before="60" w:after="283"/>
        <w:rPr/>
      </w:pPr>
      <w:r>
        <w:rPr/>
        <w:t> </w:t>
      </w:r>
    </w:p>
    <w:p>
      <w:pPr>
        <w:pStyle w:val="TextBody"/>
        <w:jc w:val="center"/>
        <w:rPr>
          <w:rFonts w:ascii="Times New Roman;Times" w:hAnsi="Times New Roman;Times"/>
          <w:color w:val="000000"/>
          <w:sz w:val="15"/>
          <w:highlight w:val="white"/>
        </w:rPr>
      </w:pPr>
      <w:r>
        <w:rPr>
          <w:rFonts w:ascii="Times New Roman;Times" w:hAnsi="Times New Roman;Times"/>
          <w:color w:val="000000"/>
          <w:sz w:val="15"/>
          <w:highlight w:val="white"/>
        </w:rPr>
        <w:t xml:space="preserve">The date of this prospectus is          , 2007.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rPr/>
      </w:pPr>
      <w:bookmarkStart w:id="2" w:name="tocpage"/>
      <w:bookmarkEnd w:id="2"/>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prospectus is part of a registration statement we filed with the Securities and Exchange Commission. In making your investment decision, you should rely only on the information contained or incorporated by reference in this prospectus and in the accompanying letter of transmittal. We have not authorized anyone to provide you with any other information. If you receive any unauthorized information, you must not rely on it. We are not making an offer to sell these securities in any state where the offer is not permitted. You should not assume that the information contained in this prospectus, or the documents incorporated by reference into this prospectus, is accurate as of any date other than the date on the front cover of this prospectus or the date of such document, as the case may be.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broker-dealer that receives the notes for its own account pursuant to this exchange offer must acknowledge in the letter of transmittal that it will deliver a prospectus in connection with any resale of the notes. This prospectus, as it may be amended or supplemented from time to time, may be used by a broker dealer in connection with resales of the notes received in exchange for outstanding notes where such outstanding notes were acquired by such broker-dealer as a result of market-making activities or other trading activities. We have agreed to make this prospectus available for a period of one year from the expiration date of this exchange offer to any broker-dealer for use in connection with any such resale. See Plan of Distribution. </w:t>
      </w:r>
    </w:p>
    <w:p>
      <w:pPr>
        <w:pStyle w:val="TextBody"/>
        <w:spacing w:before="240" w:after="283"/>
        <w:rPr/>
      </w:pPr>
      <w:r>
        <w:rPr/>
        <w:t> </w:t>
      </w:r>
    </w:p>
    <w:p>
      <w:pPr>
        <w:pStyle w:val="TextBody"/>
        <w:spacing w:before="24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TABLE OF CONTENTS</w:t>
      </w:r>
      <w:r>
        <w:rPr>
          <w:rFonts w:ascii="Arial;Helvetica" w:hAnsi="Arial;Helvetica"/>
          <w:color w:val="000000"/>
          <w:sz w:val="17"/>
          <w:highlight w:val="white"/>
        </w:rPr>
        <w:t xml:space="preserve"> </w:t>
      </w:r>
    </w:p>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9493"/>
        <w:gridCol w:w="195"/>
        <w:gridCol w:w="98"/>
        <w:gridCol w:w="335"/>
        <w:gridCol w:w="60"/>
        <w:gridCol w:w="24"/>
      </w:tblGrid>
      <w:tr>
        <w:trPr/>
        <w:tc>
          <w:tcPr>
            <w:tcW w:w="9493"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01">
              <w:r>
                <w:rPr>
                  <w:rStyle w:val="InternetLink"/>
                  <w:sz w:val="17"/>
                </w:rPr>
                <w:t>Prospectus Summary</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1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02">
              <w:r>
                <w:rPr>
                  <w:rStyle w:val="InternetLink"/>
                  <w:sz w:val="17"/>
                </w:rPr>
                <w:t>Risk Factors</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6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03">
              <w:r>
                <w:rPr>
                  <w:rStyle w:val="InternetLink"/>
                  <w:sz w:val="17"/>
                </w:rPr>
                <w:t>Exchange Offers</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7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04">
              <w:r>
                <w:rPr>
                  <w:rStyle w:val="InternetLink"/>
                  <w:sz w:val="17"/>
                </w:rPr>
                <w:t>Ratio of Earnings to Fixed Charges</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15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05">
              <w:r>
                <w:rPr>
                  <w:rStyle w:val="InternetLink"/>
                  <w:sz w:val="17"/>
                </w:rPr>
                <w:t>Use of Proceeds</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15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06">
              <w:r>
                <w:rPr>
                  <w:rStyle w:val="InternetLink"/>
                  <w:sz w:val="17"/>
                </w:rPr>
                <w:t>Description of the Notes</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16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07">
              <w:r>
                <w:rPr>
                  <w:rStyle w:val="InternetLink"/>
                  <w:sz w:val="17"/>
                </w:rPr>
                <w:t>Material U.S. Federal Income Tax Consequences</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29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08">
              <w:r>
                <w:rPr>
                  <w:rStyle w:val="InternetLink"/>
                  <w:sz w:val="17"/>
                </w:rPr>
                <w:t>Plan of Distribution</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30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09">
              <w:r>
                <w:rPr>
                  <w:rStyle w:val="InternetLink"/>
                  <w:sz w:val="17"/>
                </w:rPr>
                <w:t>Legal Matters</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32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10">
              <w:r>
                <w:rPr>
                  <w:rStyle w:val="InternetLink"/>
                  <w:sz w:val="17"/>
                </w:rPr>
                <w:t>Experts</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32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11">
              <w:r>
                <w:rPr>
                  <w:rStyle w:val="InternetLink"/>
                  <w:sz w:val="17"/>
                </w:rPr>
                <w:t>Where You Can Find More Information</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32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12">
              <w:r>
                <w:rPr>
                  <w:rStyle w:val="InternetLink"/>
                  <w:sz w:val="17"/>
                </w:rPr>
                <w:t>Forward-Looking Statements</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33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13">
              <w:r>
                <w:rPr>
                  <w:rStyle w:val="InternetLink"/>
                  <w:sz w:val="17"/>
                </w:rPr>
                <w:t>Letter of Transmittal (2017 Notes)</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A-1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14">
              <w:r>
                <w:rPr>
                  <w:rStyle w:val="InternetLink"/>
                  <w:sz w:val="17"/>
                </w:rPr>
                <w:t>Letter of Transmittal (2037 Notes)</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B-1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10205" w:type="dxa"/>
            <w:gridSpan w:val="6"/>
            <w:tcBorders/>
            <w:shd w:fill="FFFFFF" w:val="clear"/>
            <w:vAlign w:val="center"/>
          </w:tcPr>
          <w:p>
            <w:pPr>
              <w:pStyle w:val="TableContents"/>
              <w:spacing w:before="0" w:after="283"/>
              <w:rPr/>
            </w:pPr>
            <w:r>
              <w:rPr/>
              <w:t> </w:t>
            </w:r>
            <w:hyperlink w:anchor="h43563a1exv5w1.htm">
              <w:r>
                <w:rPr>
                  <w:rStyle w:val="InternetLink"/>
                  <w:sz w:val="20"/>
                </w:rPr>
                <w:t>Opinion of Vinson &amp; Elkins L.L.P.</w:t>
              </w:r>
            </w:hyperlink>
          </w:p>
        </w:tc>
      </w:tr>
      <w:tr>
        <w:trPr/>
        <w:tc>
          <w:tcPr>
            <w:tcW w:w="10205" w:type="dxa"/>
            <w:gridSpan w:val="6"/>
            <w:tcBorders/>
            <w:shd w:fill="FFFFFF" w:val="clear"/>
            <w:vAlign w:val="center"/>
          </w:tcPr>
          <w:p>
            <w:pPr>
              <w:pStyle w:val="TableContents"/>
              <w:spacing w:before="0" w:after="283"/>
              <w:rPr/>
            </w:pPr>
            <w:r>
              <w:rPr/>
              <w:t> </w:t>
            </w:r>
            <w:hyperlink w:anchor="h43563a1exv12w1.htm">
              <w:r>
                <w:rPr>
                  <w:rStyle w:val="InternetLink"/>
                  <w:sz w:val="20"/>
                </w:rPr>
                <w:t>Ratio of Earnings to Fixed Charges</w:t>
              </w:r>
            </w:hyperlink>
          </w:p>
        </w:tc>
      </w:tr>
      <w:tr>
        <w:trPr/>
        <w:tc>
          <w:tcPr>
            <w:tcW w:w="10205" w:type="dxa"/>
            <w:gridSpan w:val="6"/>
            <w:tcBorders/>
            <w:shd w:fill="FFFFFF" w:val="clear"/>
            <w:vAlign w:val="center"/>
          </w:tcPr>
          <w:p>
            <w:pPr>
              <w:pStyle w:val="TableContents"/>
              <w:spacing w:before="0" w:after="283"/>
              <w:rPr/>
            </w:pPr>
            <w:r>
              <w:rPr/>
              <w:t> </w:t>
            </w:r>
            <w:hyperlink w:anchor="h43563a1exv23w1.htm">
              <w:r>
                <w:rPr>
                  <w:rStyle w:val="InternetLink"/>
                  <w:sz w:val="20"/>
                </w:rPr>
                <w:t>Consent of PricewaterhouseCoopers LLP</w:t>
              </w:r>
            </w:hyperlink>
          </w:p>
        </w:tc>
      </w:tr>
      <w:tr>
        <w:trPr/>
        <w:tc>
          <w:tcPr>
            <w:tcW w:w="10205" w:type="dxa"/>
            <w:gridSpan w:val="6"/>
            <w:tcBorders/>
            <w:shd w:fill="FFFFFF" w:val="clear"/>
            <w:vAlign w:val="center"/>
          </w:tcPr>
          <w:p>
            <w:pPr>
              <w:pStyle w:val="TableContents"/>
              <w:spacing w:before="0" w:after="283"/>
              <w:rPr/>
            </w:pPr>
            <w:r>
              <w:rPr/>
              <w:t> </w:t>
            </w:r>
            <w:hyperlink w:anchor="h43563a1exv23w2.htm">
              <w:r>
                <w:rPr>
                  <w:rStyle w:val="InternetLink"/>
                  <w:sz w:val="20"/>
                </w:rPr>
                <w:t>Consent of KPMG LLP</w:t>
              </w:r>
            </w:hyperlink>
          </w:p>
        </w:tc>
      </w:tr>
    </w:tbl>
    <w:p>
      <w:pPr>
        <w:pStyle w:val="TextBody"/>
        <w:spacing w:before="240" w:after="283"/>
        <w:rPr/>
      </w:pPr>
      <w:r>
        <w:rPr/>
        <w:t> </w:t>
      </w:r>
    </w:p>
    <w:p>
      <w:pPr>
        <w:pStyle w:val="TextBody"/>
        <w:spacing w:before="240" w:after="283"/>
        <w:rPr/>
      </w:pPr>
      <w:r>
        <w:rPr/>
        <w:t>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ind w:left="0" w:right="0" w:firstLine="240"/>
        <w:jc w:val="center"/>
        <w:rPr>
          <w:rFonts w:ascii="Arial;Helvetica" w:hAnsi="Arial;Helvetica"/>
          <w:color w:val="000000"/>
          <w:sz w:val="17"/>
          <w:highlight w:val="white"/>
          <w:bdr w:val="single" w:sz="2" w:space="12" w:color="000000"/>
        </w:rPr>
      </w:pPr>
      <w:bookmarkStart w:id="3" w:name="101"/>
      <w:bookmarkEnd w:id="3"/>
      <w:r>
        <w:rPr>
          <w:rFonts w:ascii="Times New Roman;Times" w:hAnsi="Times New Roman;Times"/>
          <w:b/>
          <w:color w:val="000000"/>
          <w:sz w:val="17"/>
          <w:highlight w:val="white"/>
          <w:bdr w:val="single" w:sz="2" w:space="12" w:color="000000"/>
        </w:rPr>
        <w:t>PROSPECTUS SUMMARY</w:t>
      </w:r>
      <w:r>
        <w:rPr>
          <w:rFonts w:ascii="Arial;Helvetica" w:hAnsi="Arial;Helvetica"/>
          <w:color w:val="000000"/>
          <w:sz w:val="17"/>
          <w:highlight w:val="white"/>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color w:val="000000"/>
          <w:sz w:val="17"/>
          <w:highlight w:val="white"/>
          <w:bdr w:val="single" w:sz="2" w:space="12" w:color="000000"/>
        </w:rPr>
        <w:t xml:space="preserve">This summary may not contain all the information that may be important to you. You should read this entire prospectus and the documents we have incorporated into this prospectus by reference before making an investment decision. You should carefully consider the information set forth under Risk Factors. In addition, certain statements include forward-looking information which involves risks and uncertainties. Please read Forward-Looking Statements. References to the notes in this prospectus include both the outstanding notes and the new notes. </w:t>
      </w:r>
    </w:p>
    <w:p>
      <w:pPr>
        <w:pStyle w:val="TextBody"/>
        <w:spacing w:before="240" w:after="283"/>
        <w:rPr>
          <w:bdr w:val="single" w:sz="2" w:space="12" w:color="000000"/>
        </w:rPr>
      </w:pPr>
      <w:r>
        <w:rPr>
          <w:bdr w:val="single" w:sz="2" w:space="12" w:color="000000"/>
        </w:rPr>
        <w:t> </w:t>
      </w:r>
    </w:p>
    <w:p>
      <w:pPr>
        <w:pStyle w:val="TextBody"/>
        <w:spacing w:before="0" w:after="0"/>
        <w:jc w:val="left"/>
        <w:rPr>
          <w:rFonts w:ascii="Arial;Helvetica" w:hAnsi="Arial;Helvetica"/>
          <w:color w:val="000000"/>
          <w:sz w:val="17"/>
          <w:highlight w:val="white"/>
          <w:bdr w:val="single" w:sz="2" w:space="12" w:color="000000"/>
        </w:rPr>
      </w:pPr>
      <w:r>
        <w:rPr>
          <w:rFonts w:ascii="Times New Roman;Times" w:hAnsi="Times New Roman;Times"/>
          <w:b/>
          <w:color w:val="000000"/>
          <w:sz w:val="17"/>
          <w:highlight w:val="white"/>
          <w:bdr w:val="single" w:sz="2" w:space="12" w:color="000000"/>
        </w:rPr>
        <w:t>Plains All American Pipeline, L.P.</w:t>
      </w:r>
      <w:r>
        <w:rPr>
          <w:rFonts w:ascii="Arial;Helvetica" w:hAnsi="Arial;Helvetica"/>
          <w:color w:val="000000"/>
          <w:sz w:val="17"/>
          <w:highlight w:val="white"/>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color w:val="000000"/>
          <w:sz w:val="17"/>
          <w:highlight w:val="white"/>
          <w:bdr w:val="single" w:sz="2" w:space="12" w:color="000000"/>
        </w:rPr>
        <w:t xml:space="preserve">We are a Delaware limited partnership formed in September 1998. We are engaged in the transportation, storage, terminalling and marketing of crude oil, refined products and liquefied petroleum gas and other natural gas related petroleum products. We refer to liquefied petroleum gas and other natural gas related petroleum products as LPG. We own an extensive network of pipeline transportation, terminalling and storage assets at major market hubs and in key oil producing basins and crude oil, refined product and LPG transportation corridors in the United States and Canada. In addition, through our 50% equity ownership in PAA/Vulcan Gas Storage, LLC, we develop and operate natural gas storage facilities.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color w:val="000000"/>
          <w:sz w:val="17"/>
          <w:highlight w:val="white"/>
          <w:bdr w:val="single" w:sz="2" w:space="12" w:color="000000"/>
        </w:rPr>
        <w:t xml:space="preserve">Our executive offices are located at 333 Clay Street, Suite 1600, Houston, Texas 77002 and our telephone number is (713) 646-4100. </w:t>
      </w:r>
    </w:p>
    <w:p>
      <w:pPr>
        <w:pStyle w:val="TextBody"/>
        <w:spacing w:before="360" w:after="283"/>
        <w:rPr>
          <w:bdr w:val="single" w:sz="2" w:space="12" w:color="000000"/>
        </w:rPr>
      </w:pPr>
      <w:r>
        <w:rPr>
          <w:bdr w:val="single" w:sz="2" w:space="12" w:color="000000"/>
        </w:rPr>
        <w:t> </w:t>
      </w:r>
    </w:p>
    <w:p>
      <w:pPr>
        <w:pStyle w:val="TextBody"/>
        <w:spacing w:before="0" w:after="0"/>
        <w:jc w:val="center"/>
        <w:rPr>
          <w:rFonts w:ascii="Arial;Helvetica" w:hAnsi="Arial;Helvetica"/>
          <w:color w:val="000000"/>
          <w:sz w:val="17"/>
          <w:highlight w:val="white"/>
          <w:bdr w:val="single" w:sz="2" w:space="12" w:color="000000"/>
        </w:rPr>
      </w:pPr>
      <w:r>
        <w:rPr>
          <w:rFonts w:ascii="Times New Roman;Times" w:hAnsi="Times New Roman;Times"/>
          <w:b/>
          <w:color w:val="000000"/>
          <w:sz w:val="17"/>
          <w:highlight w:val="white"/>
          <w:bdr w:val="single" w:sz="2" w:space="12" w:color="000000"/>
        </w:rPr>
        <w:t>The Exchange Offers</w:t>
      </w:r>
      <w:r>
        <w:rPr>
          <w:rFonts w:ascii="Arial;Helvetica" w:hAnsi="Arial;Helvetica"/>
          <w:color w:val="000000"/>
          <w:sz w:val="17"/>
          <w:highlight w:val="white"/>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i/>
          <w:color w:val="000000"/>
          <w:sz w:val="17"/>
          <w:highlight w:val="white"/>
          <w:bdr w:val="single" w:sz="2" w:space="12" w:color="000000"/>
        </w:rPr>
        <w:t>On October 30, 2006, we completed private offerings of the 2017 Notes and the 2037 Notes. We entered into registration rights agreements with the initial purchasers in those offerings in which we agreed to deliver this prospectus and to use our reasonable best efforts to consummate the exchange offers within 300 days after the date we issued the outstanding Notes.</w:t>
      </w:r>
      <w:r>
        <w:rPr>
          <w:rFonts w:ascii="Times New Roman;Times" w:hAnsi="Times New Roman;Times"/>
          <w:color w:val="000000"/>
          <w:sz w:val="17"/>
          <w:highlight w:val="white"/>
          <w:bdr w:val="single" w:sz="2" w:space="12" w:color="000000"/>
        </w:rPr>
        <w:t xml:space="preserve"> </w:t>
      </w:r>
    </w:p>
    <w:p>
      <w:pPr>
        <w:pStyle w:val="TextBody"/>
        <w:spacing w:before="120" w:after="283"/>
        <w:rPr>
          <w:bdr w:val="single" w:sz="2" w:space="12" w:color="000000"/>
        </w:rPr>
      </w:pPr>
      <w:r>
        <w:rPr>
          <w:bdr w:val="single" w:sz="2" w:space="12" w:color="000000"/>
        </w:rPr>
        <w:t> </w:t>
      </w:r>
    </w:p>
    <w:tbl>
      <w:tblPr>
        <w:tblW w:w="5000" w:type="pct"/>
        <w:jc w:val="left"/>
        <w:tblInd w:w="0" w:type="dxa"/>
        <w:shd w:fill="FFFFFF" w:val="clear"/>
        <w:tblCellMar>
          <w:top w:w="0" w:type="dxa"/>
          <w:left w:w="0" w:type="dxa"/>
          <w:bottom w:w="0" w:type="dxa"/>
          <w:right w:w="0" w:type="dxa"/>
        </w:tblCellMar>
      </w:tblPr>
      <w:tblGrid>
        <w:gridCol w:w="3673"/>
        <w:gridCol w:w="101"/>
        <w:gridCol w:w="6431"/>
      </w:tblGrid>
      <w:tr>
        <w:trPr/>
        <w:tc>
          <w:tcPr>
            <w:tcW w:w="3673"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cente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Exchange Offers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We are offering to exchange new notes for:</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0"/>
              <w:ind w:left="180" w:right="0" w:hanging="180"/>
              <w:rPr/>
            </w:pPr>
            <w:r>
              <w:rPr/>
              <w:t> up to $400 million principal amount of our 6.125% 2017 Notes that have been registered under the Securities Act of 1933 (the Securities Act) for an equal amount of our outstanding 2017 Notes; and</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0"/>
              <w:ind w:left="180" w:right="0" w:hanging="180"/>
              <w:rPr/>
            </w:pPr>
            <w:r>
              <w:rPr/>
              <w:t> up to $600 million principal amount of our 6.650% 2037 Notes that have been registered under the Securities Act for an equal amount of our outstanding 2037 Notes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to satisfy our obligations under the registration rights agreements that we entered into when we issued the outstanding Notes in transactions exempt from registration under the Securities Act.</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The terms of each series of the new Notes are substantially identical to those terms of each series of the outstanding Notes, except that the transfer restrictions, registration rights and provisions for additional interest relating to the outstanding Notes do not apply to the new Notes.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Expiration Date</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Each exchange offer will expire at 5:00 p.m. New York City time, on          , 2007, unless we decide to extend either exchange offer. We may extend one exchange offer without extending the other.</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Condition to the Exchange Offers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 xml:space="preserve">The registration rights agreements do not require us to accept outstanding Notes for exchange if the applicable exchange offer or the making of any exchange by a holder of the outstanding Notes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t xml:space="preserve">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shd w:fill="FFFFFF" w:val="clear"/>
        <w:tblCellMar>
          <w:top w:w="0" w:type="dxa"/>
          <w:left w:w="0" w:type="dxa"/>
          <w:bottom w:w="0" w:type="dxa"/>
          <w:right w:w="0" w:type="dxa"/>
        </w:tblCellMar>
      </w:tblPr>
      <w:tblGrid>
        <w:gridCol w:w="3673"/>
        <w:gridCol w:w="101"/>
        <w:gridCol w:w="6431"/>
      </w:tblGrid>
      <w:tr>
        <w:trPr/>
        <w:tc>
          <w:tcPr>
            <w:tcW w:w="3673"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cente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would violate any applicable law or interpretation of the staff of the SEC. A minimum aggregate principal amount of outstanding Notes being tendered is not a condition to either exchange offer.</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Procedures for Tendering Outstanding Notes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To participate in an exchange offer, you must follow the procedures established by The Depository Trust Company, which we call DTC, for tendering notes held in book-entry form. These procedures, which we call ATOP, require that (1) the exchange agent receive, prior to the expiration date of the applicable exchange offer, a computer generated message known as an agents message that is transmitted through DTCs automated tender offer program, and (2) DTC confirms that:</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0"/>
              <w:ind w:left="180" w:right="0" w:hanging="180"/>
              <w:rPr/>
            </w:pPr>
            <w:r>
              <w:rPr/>
              <w:t> DTC has received your instructions to exchange your Notes, and</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0"/>
              <w:ind w:left="180" w:right="0" w:hanging="180"/>
              <w:rPr/>
            </w:pPr>
            <w:r>
              <w:rPr/>
              <w:t> you agree to be bound by the terms of the letter of transmittal.</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For more information on tendering your outstanding Notes, please refer to the sections in this prospectus entitled Exchange Offers  Terms of the Exchange Offers and  Procedures for Tendering.</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Guaranteed Delivery Procedures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None.</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Withdrawal of Tenders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You may withdraw your tender of outstanding Notes under either exchange offer at any time prior to the expiration date. To withdraw, you must submit a notice of withdrawal to the exchange agent using ATOP procedures before 5:00 p.m. New York City time on the expiration date of the exchange offer. Please read Exchange Offers  Withdrawal of Tenders.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Acceptance of Outstanding Notes and Delivery of New Notes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If you fulfill all conditions required for proper acceptance of outstanding Notes, we will accept any and all outstanding Notes that you properly tender in the applicable exchange offer before 5:00 p.m. New York City time on the expiration date. We will return to you, without expense as promptly as practicable after the expiration date, any outstanding Note that we do not accept for exchange. We will deliver the new Notes as promptly as practicable after the expiration date and acceptance of the outstanding Notes for exchange. Please refer to the section in this prospectus entitled Exchange Offers  Terms of the Exchange Offers.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Fees and Expenses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We will bear all expenses related to each exchange offer. Please refer to the section in this prospectus entitled Exchange Offers  Fees and Expenses.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Use of Proceeds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The issuance of the new Notes will not provide us with any new proceeds. We are making these exchange offers solely to satisfy our obligations under our registration rights agreements.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Consequences of Failure to Exchange Outstanding Notes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 xml:space="preserve">If you do not exchange your outstanding Notes in the applicable exchange offer, you will no longer be able to require us to register the outstanding Notes under the Securities Act except in the limited circumstances provided under the applicable registration rights agreement. In addition, you will not be able to resell, offer to resell or otherwise transfer the outstanding Notes unless we have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shd w:fill="FFFFFF" w:val="clear"/>
        <w:tblCellMar>
          <w:top w:w="0" w:type="dxa"/>
          <w:left w:w="0" w:type="dxa"/>
          <w:bottom w:w="0" w:type="dxa"/>
          <w:right w:w="0" w:type="dxa"/>
        </w:tblCellMar>
      </w:tblPr>
      <w:tblGrid>
        <w:gridCol w:w="3673"/>
        <w:gridCol w:w="101"/>
        <w:gridCol w:w="6431"/>
      </w:tblGrid>
      <w:tr>
        <w:trPr/>
        <w:tc>
          <w:tcPr>
            <w:tcW w:w="3673"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cente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registered the outstanding Notes under the Securities Act, or unless you resell, offer to resell or otherwise transfer them under an exemption from the registration requirements of, or in a transaction not subject to, the Securities Act.</w:t>
            </w:r>
          </w:p>
        </w:tc>
      </w:tr>
    </w:tbl>
    <w:p>
      <w:pPr>
        <w:pStyle w:val="TextBody"/>
        <w:spacing w:before="120" w:after="283"/>
        <w:ind w:left="0" w:right="0" w:firstLine="240"/>
        <w:rPr>
          <w:bdr w:val="single" w:sz="2" w:space="12" w:color="000000"/>
        </w:rPr>
      </w:pPr>
      <w:r>
        <w:rPr>
          <w:bdr w:val="single" w:sz="2" w:space="12" w:color="000000"/>
        </w:rPr>
        <w:t> </w:t>
      </w:r>
    </w:p>
    <w:tbl>
      <w:tblPr>
        <w:tblW w:w="5000" w:type="pct"/>
        <w:jc w:val="left"/>
        <w:tblInd w:w="0" w:type="dxa"/>
        <w:shd w:fill="FFFFFF" w:val="clear"/>
        <w:tblCellMar>
          <w:top w:w="0" w:type="dxa"/>
          <w:left w:w="0" w:type="dxa"/>
          <w:bottom w:w="0" w:type="dxa"/>
          <w:right w:w="0" w:type="dxa"/>
        </w:tblCellMar>
      </w:tblPr>
      <w:tblGrid>
        <w:gridCol w:w="3674"/>
        <w:gridCol w:w="102"/>
        <w:gridCol w:w="6429"/>
      </w:tblGrid>
      <w:tr>
        <w:trPr/>
        <w:tc>
          <w:tcPr>
            <w:tcW w:w="3674"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6429" w:type="dxa"/>
            <w:tcBorders/>
            <w:shd w:fill="FFFFFF" w:val="clear"/>
            <w:vAlign w:val="center"/>
          </w:tcPr>
          <w:p>
            <w:pPr>
              <w:pStyle w:val="TableContents"/>
              <w:spacing w:before="0" w:after="283"/>
              <w:rPr>
                <w:sz w:val="4"/>
                <w:szCs w:val="4"/>
              </w:rPr>
            </w:pPr>
            <w:r>
              <w:rPr>
                <w:sz w:val="4"/>
                <w:szCs w:val="4"/>
              </w:rPr>
            </w:r>
          </w:p>
        </w:tc>
      </w:tr>
      <w:tr>
        <w:trPr/>
        <w:tc>
          <w:tcPr>
            <w:tcW w:w="3674" w:type="dxa"/>
            <w:tcBorders/>
            <w:shd w:fill="FFFFFF" w:val="clear"/>
          </w:tcPr>
          <w:p>
            <w:pPr>
              <w:pStyle w:val="TableContents"/>
              <w:spacing w:before="0" w:after="283"/>
              <w:rPr/>
            </w:pPr>
            <w:r>
              <w:rPr/>
              <w:t>Federal Income Tax Considerations</w:t>
            </w:r>
          </w:p>
        </w:tc>
        <w:tc>
          <w:tcPr>
            <w:tcW w:w="102" w:type="dxa"/>
            <w:tcBorders/>
            <w:shd w:fill="FFFFFF" w:val="clear"/>
            <w:vAlign w:val="center"/>
          </w:tcPr>
          <w:p>
            <w:pPr>
              <w:pStyle w:val="TableContents"/>
              <w:spacing w:before="0" w:after="283"/>
              <w:rPr>
                <w:sz w:val="4"/>
                <w:szCs w:val="4"/>
              </w:rPr>
            </w:pPr>
            <w:r>
              <w:rPr>
                <w:sz w:val="4"/>
                <w:szCs w:val="4"/>
              </w:rPr>
            </w:r>
          </w:p>
        </w:tc>
        <w:tc>
          <w:tcPr>
            <w:tcW w:w="6429" w:type="dxa"/>
            <w:tcBorders/>
            <w:shd w:fill="FFFFFF" w:val="clear"/>
            <w:vAlign w:val="bottom"/>
          </w:tcPr>
          <w:p>
            <w:pPr>
              <w:pStyle w:val="TableContents"/>
              <w:spacing w:before="0" w:after="283"/>
              <w:rPr/>
            </w:pPr>
            <w:r>
              <w:rPr/>
              <w:t>The exchange of new Notes for 2017 Notes and the exchange of new Notes for 2037 Notes will not be a taxable event for U.S. federal income tax purposes. Please read Material U.S. Federal Income Tax Consequences.</w:t>
            </w:r>
          </w:p>
        </w:tc>
      </w:tr>
    </w:tbl>
    <w:p>
      <w:pPr>
        <w:pStyle w:val="TextBody"/>
        <w:spacing w:before="120" w:after="283"/>
        <w:ind w:left="0" w:right="0" w:firstLine="240"/>
        <w:rPr>
          <w:bdr w:val="single" w:sz="2" w:space="12" w:color="000000"/>
        </w:rPr>
      </w:pPr>
      <w:r>
        <w:rPr>
          <w:bdr w:val="single" w:sz="2" w:space="12" w:color="000000"/>
        </w:rPr>
        <w:t> </w:t>
      </w:r>
    </w:p>
    <w:tbl>
      <w:tblPr>
        <w:tblW w:w="5000" w:type="pct"/>
        <w:jc w:val="left"/>
        <w:tblInd w:w="0" w:type="dxa"/>
        <w:shd w:fill="FFFFFF" w:val="clear"/>
        <w:tblCellMar>
          <w:top w:w="0" w:type="dxa"/>
          <w:left w:w="0" w:type="dxa"/>
          <w:bottom w:w="0" w:type="dxa"/>
          <w:right w:w="0" w:type="dxa"/>
        </w:tblCellMar>
      </w:tblPr>
      <w:tblGrid>
        <w:gridCol w:w="3675"/>
        <w:gridCol w:w="99"/>
        <w:gridCol w:w="6431"/>
      </w:tblGrid>
      <w:tr>
        <w:trPr/>
        <w:tc>
          <w:tcPr>
            <w:tcW w:w="3675" w:type="dxa"/>
            <w:tcBorders/>
            <w:shd w:fill="FFFFFF" w:val="clear"/>
            <w:vAlign w:val="center"/>
          </w:tcPr>
          <w:p>
            <w:pPr>
              <w:pStyle w:val="TableContents"/>
              <w:spacing w:before="0" w:after="283"/>
              <w:rPr>
                <w:sz w:val="4"/>
                <w:szCs w:val="4"/>
              </w:rPr>
            </w:pPr>
            <w:r>
              <w:rPr>
                <w:sz w:val="4"/>
                <w:szCs w:val="4"/>
              </w:rPr>
            </w:r>
          </w:p>
        </w:tc>
        <w:tc>
          <w:tcPr>
            <w:tcW w:w="99"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center"/>
          </w:tcPr>
          <w:p>
            <w:pPr>
              <w:pStyle w:val="TableContents"/>
              <w:spacing w:before="0" w:after="283"/>
              <w:rPr>
                <w:sz w:val="4"/>
                <w:szCs w:val="4"/>
              </w:rPr>
            </w:pPr>
            <w:r>
              <w:rPr>
                <w:sz w:val="4"/>
                <w:szCs w:val="4"/>
              </w:rPr>
            </w:r>
          </w:p>
        </w:tc>
      </w:tr>
      <w:tr>
        <w:trPr/>
        <w:tc>
          <w:tcPr>
            <w:tcW w:w="3675" w:type="dxa"/>
            <w:tcBorders/>
            <w:shd w:fill="FFFFFF" w:val="clear"/>
          </w:tcPr>
          <w:p>
            <w:pPr>
              <w:pStyle w:val="TableContents"/>
              <w:spacing w:before="0" w:after="283"/>
              <w:rPr/>
            </w:pPr>
            <w:r>
              <w:rPr/>
              <w:t>Exchange Agent</w:t>
            </w:r>
          </w:p>
        </w:tc>
        <w:tc>
          <w:tcPr>
            <w:tcW w:w="99"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We have appointed U.S. Bank National Association as exchange agent for the exchange offers. You should direct questions and requests for assistance, requests for additional copies of this prospectus or the letter of transmittal to the exchange agent addressed as follows: Attn: Brandi Steward, U.S. Bank Corporate Trust Services, Specialized Finance Dept., 60 Livingston Avenue, St. Paul, Minnesota, 55107, telephone number (651) 495-4738. Eligible institutions may make requests by facsimile at (651) 495-8138.</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ind w:left="0" w:right="0" w:firstLine="240"/>
        <w:jc w:val="center"/>
        <w:rPr>
          <w:rFonts w:ascii="Arial;Helvetica" w:hAnsi="Arial;Helvetica"/>
          <w:color w:val="000000"/>
          <w:sz w:val="17"/>
          <w:highlight w:val="white"/>
          <w:bdr w:val="single" w:sz="2" w:space="12" w:color="000000"/>
        </w:rPr>
      </w:pPr>
      <w:r>
        <w:rPr>
          <w:rFonts w:ascii="Times New Roman;Times" w:hAnsi="Times New Roman;Times"/>
          <w:b/>
          <w:color w:val="000000"/>
          <w:sz w:val="17"/>
          <w:highlight w:val="white"/>
          <w:bdr w:val="single" w:sz="2" w:space="12" w:color="000000"/>
        </w:rPr>
        <w:t>Terms of the Notes</w:t>
      </w:r>
      <w:r>
        <w:rPr>
          <w:rFonts w:ascii="Arial;Helvetica" w:hAnsi="Arial;Helvetica"/>
          <w:color w:val="000000"/>
          <w:sz w:val="17"/>
          <w:highlight w:val="white"/>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i/>
          <w:color w:val="000000"/>
          <w:sz w:val="17"/>
          <w:highlight w:val="white"/>
          <w:bdr w:val="single" w:sz="2" w:space="12" w:color="000000"/>
        </w:rPr>
        <w:t>The new Notes will be identical to the outstanding Notes except that the new Notes will be registered under the Securities Act and will not have restrictions on transfer, registration rights or provisions for additional interest and will contain different administrative terms. The new Notes will evidence the same debt as the outstanding Notes, and the same indenture will govern the new Notes and the outstanding Notes.</w:t>
      </w:r>
      <w:r>
        <w:rPr>
          <w:rFonts w:ascii="Times New Roman;Times" w:hAnsi="Times New Roman;Times"/>
          <w:color w:val="000000"/>
          <w:sz w:val="17"/>
          <w:highlight w:val="white"/>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i/>
          <w:color w:val="000000"/>
          <w:sz w:val="17"/>
          <w:highlight w:val="white"/>
          <w:bdr w:val="single" w:sz="2" w:space="12" w:color="000000"/>
        </w:rPr>
        <w:t>The following summary contains basic information about the new Notes and is not intended to be complete. It does not contain all the information that is important to you. For a more complete understanding of the Notes, please refer to the section of this prospectus entitled Description of the Notes.</w:t>
      </w:r>
      <w:r>
        <w:rPr>
          <w:rFonts w:ascii="Times New Roman;Times" w:hAnsi="Times New Roman;Times"/>
          <w:color w:val="000000"/>
          <w:sz w:val="17"/>
          <w:highlight w:val="white"/>
          <w:bdr w:val="single" w:sz="2" w:space="12" w:color="000000"/>
        </w:rPr>
        <w:t xml:space="preserve"> </w:t>
      </w:r>
    </w:p>
    <w:p>
      <w:pPr>
        <w:pStyle w:val="TextBody"/>
        <w:spacing w:before="120" w:after="283"/>
        <w:rPr>
          <w:bdr w:val="single" w:sz="2" w:space="12" w:color="000000"/>
        </w:rPr>
      </w:pPr>
      <w:r>
        <w:rPr>
          <w:bdr w:val="single" w:sz="2" w:space="12" w:color="000000"/>
        </w:rPr>
        <w:t> </w:t>
      </w:r>
    </w:p>
    <w:tbl>
      <w:tblPr>
        <w:tblW w:w="5000" w:type="pct"/>
        <w:jc w:val="left"/>
        <w:tblInd w:w="0" w:type="dxa"/>
        <w:shd w:fill="FFFFFF" w:val="clear"/>
        <w:tblCellMar>
          <w:top w:w="0" w:type="dxa"/>
          <w:left w:w="0" w:type="dxa"/>
          <w:bottom w:w="0" w:type="dxa"/>
          <w:right w:w="0" w:type="dxa"/>
        </w:tblCellMar>
      </w:tblPr>
      <w:tblGrid>
        <w:gridCol w:w="3673"/>
        <w:gridCol w:w="101"/>
        <w:gridCol w:w="6431"/>
      </w:tblGrid>
      <w:tr>
        <w:trPr/>
        <w:tc>
          <w:tcPr>
            <w:tcW w:w="3673"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cente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Issuers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Plains All American Pipeline, L.P. and PAA Finance Corp.</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PAA Finance Corp., a Delaware corporation, is an indirect wholly owned subsidiary of Plains All American Pipeline, L.P. that has been organized for the purpose of co-issuing our existing notes, the Notes offered hereby, and the notes issued in any future offerings. PAA Finance Corp. does not have any operations of any kind and will not have any revenue other than as may be incidental to its activities as a co-issuer of the Notes.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Notes Offered</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$400 million aggregate principal amount of the 2017 Notes.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$600 million aggregate principal amount of the 2037 Notes.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Maturity Date</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January 15, 2017 for the 2017 Notes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January 15, 2037 for the 2037 Notes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Interest Payment Dates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We will pay interest on the Notes of each series on January 15 and July 15 of each year, beginning on July 15, 2007.</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Optional Redemption</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We may redeem the Notes of either series, in whole or in part, at any time and from time to time at a price equal to the greater of (i) 100% of the principal amount of the Notes to be redeemed or (ii) the sum of the present values of the remaining scheduled payments of principal of and interest on the Notes to be redeemed, discounted to the redemption date on a semi annual basis at the Adjusted Treasury Rate (as defined herein) plus 25 basis points in the case of the 2017 Notes and 30 basis points in the case of the 2037 Notes, together with accrued interest to the date of redemption. Please read the section of this prospectus entitled Description of the Notes  Optional Redemption.</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Guarantees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Initially, all payments with respect to the Notes (including principal and interest) are fully and unconditionally guaranteed, jointly and severally, by substantially all of our existing subsidiaries. In the future, our subsidiaries that guarantee other indebtedness of ours or another subsidiary must also guarantee the Notes. The guarantees are also subject to release in certain circumstances. The guarantees of each series are general unsecured obligations of the subsidiary guarantors and rank equally with the existing and future senior unsecured indebtedness of the subsidiary guarantors.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Ranking</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The Notes are general senior unsecured obligations of the issuers and rank equally with the Notes of the other series and with the existing and future senior unsecured indebtedness of the issuers.</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ind w:left="0" w:right="0" w:firstLine="240"/>
        <w:rPr>
          <w:bdr w:val="single" w:sz="2" w:space="12" w:color="000000"/>
        </w:rPr>
      </w:pPr>
      <w:r>
        <w:rPr>
          <w:bdr w:val="single" w:sz="2" w:space="12" w:color="000000"/>
        </w:rPr>
        <w:t> </w:t>
      </w:r>
    </w:p>
    <w:tbl>
      <w:tblPr>
        <w:tblW w:w="5000" w:type="pct"/>
        <w:jc w:val="left"/>
        <w:tblInd w:w="0" w:type="dxa"/>
        <w:shd w:fill="FFFFFF" w:val="clear"/>
        <w:tblCellMar>
          <w:top w:w="0" w:type="dxa"/>
          <w:left w:w="0" w:type="dxa"/>
          <w:bottom w:w="0" w:type="dxa"/>
          <w:right w:w="0" w:type="dxa"/>
        </w:tblCellMar>
      </w:tblPr>
      <w:tblGrid>
        <w:gridCol w:w="3673"/>
        <w:gridCol w:w="102"/>
        <w:gridCol w:w="6430"/>
      </w:tblGrid>
      <w:tr>
        <w:trPr/>
        <w:tc>
          <w:tcPr>
            <w:tcW w:w="3673"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6430" w:type="dxa"/>
            <w:tcBorders/>
            <w:shd w:fill="FFFFFF" w:val="clear"/>
            <w:vAlign w:val="cente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Certain Covenants</w:t>
            </w:r>
          </w:p>
        </w:tc>
        <w:tc>
          <w:tcPr>
            <w:tcW w:w="102" w:type="dxa"/>
            <w:tcBorders/>
            <w:shd w:fill="FFFFFF" w:val="clear"/>
            <w:vAlign w:val="center"/>
          </w:tcPr>
          <w:p>
            <w:pPr>
              <w:pStyle w:val="TableContents"/>
              <w:spacing w:before="0" w:after="283"/>
              <w:rPr>
                <w:sz w:val="4"/>
                <w:szCs w:val="4"/>
              </w:rPr>
            </w:pPr>
            <w:r>
              <w:rPr>
                <w:sz w:val="4"/>
                <w:szCs w:val="4"/>
              </w:rPr>
            </w:r>
          </w:p>
        </w:tc>
        <w:tc>
          <w:tcPr>
            <w:tcW w:w="6430" w:type="dxa"/>
            <w:tcBorders/>
            <w:shd w:fill="FFFFFF" w:val="clear"/>
            <w:vAlign w:val="bottom"/>
          </w:tcPr>
          <w:p>
            <w:pPr>
              <w:pStyle w:val="TableContents"/>
              <w:spacing w:before="0" w:after="283"/>
              <w:rPr/>
            </w:pPr>
            <w:r>
              <w:rPr/>
              <w:t>The indenture governing the Notes contains covenants that limit our ability, with certain exceptions, to:</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6430" w:type="dxa"/>
            <w:tcBorders/>
            <w:shd w:fill="FFFFFF" w:val="clear"/>
            <w:vAlign w:val="bottom"/>
          </w:tcPr>
          <w:p>
            <w:pPr>
              <w:pStyle w:val="TableContents"/>
              <w:spacing w:before="0" w:after="0"/>
              <w:ind w:left="180" w:right="0" w:hanging="180"/>
              <w:rPr/>
            </w:pPr>
            <w:r>
              <w:rPr/>
              <w:t> incur liens on principal properties to secure debt;</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6430" w:type="dxa"/>
            <w:tcBorders/>
            <w:shd w:fill="FFFFFF" w:val="clear"/>
            <w:vAlign w:val="bottom"/>
          </w:tcPr>
          <w:p>
            <w:pPr>
              <w:pStyle w:val="TableContents"/>
              <w:spacing w:before="0" w:after="0"/>
              <w:ind w:left="180" w:right="0" w:hanging="180"/>
              <w:rPr/>
            </w:pPr>
            <w:r>
              <w:rPr/>
              <w:t> engage in sale-leaseback transactions; and</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6430" w:type="dxa"/>
            <w:tcBorders/>
            <w:shd w:fill="FFFFFF" w:val="clear"/>
            <w:vAlign w:val="bottom"/>
          </w:tcPr>
          <w:p>
            <w:pPr>
              <w:pStyle w:val="TableContents"/>
              <w:spacing w:before="0" w:after="0"/>
              <w:ind w:left="180" w:right="0" w:hanging="180"/>
              <w:rPr/>
            </w:pPr>
            <w:r>
              <w:rPr/>
              <w:t> merge or consolidate with another entity or sell, lease or transfer substantially all of our properties or assets to another entity.</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Transfer Restrictions; Absence of a Public Market for the Notes</w:t>
            </w:r>
          </w:p>
        </w:tc>
        <w:tc>
          <w:tcPr>
            <w:tcW w:w="102" w:type="dxa"/>
            <w:tcBorders/>
            <w:shd w:fill="FFFFFF" w:val="clear"/>
            <w:vAlign w:val="center"/>
          </w:tcPr>
          <w:p>
            <w:pPr>
              <w:pStyle w:val="TableContents"/>
              <w:spacing w:before="0" w:after="283"/>
              <w:rPr>
                <w:sz w:val="4"/>
                <w:szCs w:val="4"/>
              </w:rPr>
            </w:pPr>
            <w:r>
              <w:rPr>
                <w:sz w:val="4"/>
                <w:szCs w:val="4"/>
              </w:rPr>
            </w:r>
          </w:p>
        </w:tc>
        <w:tc>
          <w:tcPr>
            <w:tcW w:w="6430" w:type="dxa"/>
            <w:tcBorders/>
            <w:shd w:fill="FFFFFF" w:val="clear"/>
            <w:vAlign w:val="bottom"/>
          </w:tcPr>
          <w:p>
            <w:pPr>
              <w:pStyle w:val="TableContents"/>
              <w:spacing w:before="0" w:after="283"/>
              <w:rPr/>
            </w:pPr>
            <w:r>
              <w:rPr/>
              <w:t>The new Notes generally will be freely transferable, but will also be new securities for which there will not initially be a market. There can be no assurance as to the development or liquidity of any market for the new Notes.</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4" w:name="102"/>
      <w:bookmarkEnd w:id="4"/>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RISK FACTORS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to the other information set forth elsewhere or incorporated by reference in this prospectus (including the risk factors included in our 2006 Annual Report on Form 10-K) the following factors relating to our partnership and the exchange offers and the Notes should be considered carefully in deciding whether to participate in the exchange offers.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Risks Related to the Exchange Offer and the Notes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If you do not properly tender your outstanding Notes, you will continue to hold unregistered outstanding Notes and your ability to transfer outstanding Notes will be adversely affected.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only issue new Notes in exchange for outstanding Notes that you timely and properly tender. Therefore, you should allow sufficient time to ensure timely delivery of the outstanding Notes and you should carefully follow the instructions on how to tender your outstanding Notes. Neither we nor the exchange agent is required to tell you of any defects or irregularities with respect to your tender of outstanding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do not exchange your outstanding Notes for new Notes pursuant to the applicable exchange offer, the outstanding Notes you hold will continue to be subject to the existing transfer restrictions. In general, you may not offer or sell the outstanding Notes except under an exemption from, or in a transaction not subject to, the Securities Act and applicable state securities laws. We do not plan to register outstanding Notes under the Securities Act unless our registration rights agreement with the initial purchaser of the outstanding Notes requires us to do so. Further, if you continue to hold any outstanding Notes after the applicable exchange offer is consummated, you may have trouble selling them because there will be fewer Notes outstanding.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Your right to receive payments on the Notes and the subsidiary guarantees is unsecured and will be effectively subordinated to our and our subsidiary guarantors existing and future secured indebtedness as well as to any existing and future indebtedness of our subsidiaries that do not guarantee the Notes.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Notes are effectively subordinated to claims of our secured creditors, and the guarantees are effectively subordinated to the claims of our secured creditors as well as the secured creditors of our subsidiary guarantors. Although substantially all of our subsidiaries, other than PAA Finance Corp., the co-issuer of the Notes, will initially guarantee the Notes, the guarantees are subject to release under certain circumstances, and we may have subsidiaries that are not guarantors. In that case, the Notes would be effectively subordinated to the claims of all creditors, including trade creditors and tort claimants, of our subsidiaries that are not guarantors. In the event of the insolvency, bankruptcy, liquidation, reorganization, dissolution or winding up of the business of a subsidiary that is not a guarantor, creditors of that subsidiary would generally have the right to be paid in full before any distribution is made to us or the holders of the Notes.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5" w:name="103"/>
      <w:bookmarkEnd w:id="5"/>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EXCHANGE OFFERS</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Purpose and Effect of the Exchange Offers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connection with the issuance of the outstanding Notes, we entered into registration rights agreements with respect to each series of Notes. Under the registration rights agreements, we agreed to use our reasonable best efforts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5"/>
        <w:gridCol w:w="9524"/>
      </w:tblGrid>
      <w:tr>
        <w:trPr/>
        <w:tc>
          <w:tcPr>
            <w:tcW w:w="40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24"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within 180 days after the original issuance of the outstanding Notes on October 30, 2006, file a registration statement with the SEC with respect to a registered offer to exchange each outstanding Note for a new Note having terms substantially identical in all material respects to such Note of such series except that the new Note will not contain terms with respect to transfer restrictions, registration rights or additional interest;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cause the registration statement to be declared effective under the Securities Act within 270 days after the original issuance of the outstanding Notes;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consummate the exchange of the outstanding Notes for new Notes within 300 days after the original issuance of the outstanding Notes;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promptly following the effectiveness of the registration statement, offer the new Notes in exchange for surrender of the outstanding Notes;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keep the exchange offers open for not less than 20 business days (or longer if required by applicable law) after the date notice of the exchange offers is mailed to the holders of the outstanding Notes;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exchange new Notes for all outstanding Notes validly tendered and not withdrawn before the expiration date.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fulfilled the agreements described in the first two preceding bullet points and are now offering eligible holders of the outstanding Notes the opportunity to exchange their outstanding Notes for new Notes registered under the Securities Act. Holders are eligible if they are not prohibited by any law or policy of the SEC from participating in this exchange offer. The new Notes will be substantially identical to the outstanding Notes except that the new Notes will not contain terms with respect to transfer restrictions, registration rights or additional interest.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limited circumstances, we agreed to use our reasonable best efforts to cause the SEC to declare effective a shelf registration statement for the resale of the outstanding Notes. We also agreed to use our reasonable best efforts to keep the shelf registration statement effective for up to two years after its effective date. The circumstances include if: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2"/>
        <w:gridCol w:w="9539"/>
      </w:tblGrid>
      <w:tr>
        <w:trPr/>
        <w:tc>
          <w:tcPr>
            <w:tcW w:w="404"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a change in law or in applicable interpretations thereof by the staff of the SEC do not permit us to effect the exchange offer;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for any other reason the exchange offer is not consummated within 300 days from October 30, 2006, the date of the original issuance of the outstanding Notes;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an initial purchaser notifies us following consummation of the applicable exchange offer that outstanding Notes held by it are not eligible to be exchanged for new Notes in the exchange offer; or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any holder other than an initial purchaser is not eligible to participate in the applicable exchange offer.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Subject to certain exceptions, we will pay additional cash interest on the applicable outstanding Notes if: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60"/>
        <w:gridCol w:w="9538"/>
      </w:tblGrid>
      <w:tr>
        <w:trPr/>
        <w:tc>
          <w:tcPr>
            <w:tcW w:w="40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38"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the exchange offer registration statement is not filed with the SEC on or before the 180th day after the original issuance of the outstanding Notes;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the exchange offer registration statement is not declared effective by the SEC on or before the 270th day after the original issuance of the outstanding Notes;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9"/>
        <w:gridCol w:w="9531"/>
      </w:tblGrid>
      <w:tr>
        <w:trPr/>
        <w:tc>
          <w:tcPr>
            <w:tcW w:w="405"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the exchange offers are not consummated on or before the 270th day after October 30, 2006, the date of the original issuance of the outstanding Notes;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being obligated to file a shelf registration statement, we fail to file the shelf registration statement with the SEC on or prior to the 180th day after the date on which the obligation to file a shelf registration statement arises;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being obligated to file a shelf registration statement, the shelf registration statement is not declared effective on or prior to the 270th day after the date on which the obligation to file a shelf registration statement arises;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after this registration statement or the shelf registration statement, as the case may be, is declared effective, such registration statement thereafter ceases to be effective (subject to certain exceptions) (each such event referred to in the preceding clauses being a registration default).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Such additional interest will be payable from and including the date on which any such registration default occurs to the date on which all registration defaults have been cured.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rate of the additional interest on the applicable Notes will be 0.25% per year for the first 90-day period immediately following the occurrence of a registration default, and such rate will increase by an additional 0.25% per year with respect to each subsequent 90-day period until all registration defaults have been cured, up to a maximum additional interest rate of 0.50% per year. We will pay such additional interest on regular interest payment dates. Such additional interest will be in addition to any other interest payable from time to time with respect to the outstanding Notes and the new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Upon the filing or effectiveness of this registration statement, the consummation of the exchange offer, the filing or effectiveness of a shelf registration statement, or the effectiveness of a succeeding registration statement, as the case may be, the interest rate borne by the Notes from the date of such filing, effectiveness or consummation, as the case may be, will be reduced to the original interest rate. However, if after any such reduction in interest rate, a different event specified in the clauses above occurs, the interest rate may again be increased pursuant to the preceding provisions.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exchange your outstanding Notes for transferable new Notes in the exchange offer, you will be required to make the following representations: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7"/>
        <w:gridCol w:w="9534"/>
      </w:tblGrid>
      <w:tr>
        <w:trPr/>
        <w:tc>
          <w:tcPr>
            <w:tcW w:w="40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any new Notes will be acquired in the ordinary course of your business;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you have no arrangement or understanding with any person or entity to participate in the distribution of the new Notes;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if you are not a broker-dealer, you are not engaged in and do not intend to engage in the distribution of the new Notes within the meaning of the Securities Act;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if you are a broker-dealer that will receive new Notes for your own account in exchange for outstanding Notes, you acquired those Notes as a result of market-making activities or other trading activities and you will deliver a prospectus, as required by law, in connection with any resale of such new Notes;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you are not our affiliate, as defined in Rule 405 of the Securities Act.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we may require you to provide information to be used in connection with the shelf registration statement to have your outstanding Notes included in the shelf registration statement. A holder who sells outstanding Notes under the shelf registration statement generally will be required to be named as a selling securityholder in the related prospectus and to deliver a prospectus to purchasers. Such a holder will also be subject to the civil liability provisions under the Securities Act in connection with such sales and will be bound by the provisions of the registration rights agreement that are applicable to such a holder, including indemnification obligations.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description of the registration rights agreement contained in this section is a summary only. For more information, you should review the provisions of the registration rights agreement that we filed with the SEC as an exhibit to the registration statement of which this prospectus is a part.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Resale of New Notes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Based on no-action letters of the SEC staff issued to third parties, we believe that new Notes may be offered for resale, resold and otherwise transferred by you without further compliance with the registration and prospectus delivery provisions of the Securities Act if: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74"/>
        <w:gridCol w:w="9523"/>
      </w:tblGrid>
      <w:tr>
        <w:trPr/>
        <w:tc>
          <w:tcPr>
            <w:tcW w:w="408"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523"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3" w:type="dxa"/>
            <w:tcBorders/>
            <w:shd w:fill="FFFFFF" w:val="clear"/>
          </w:tcPr>
          <w:p>
            <w:pPr>
              <w:pStyle w:val="TableContents"/>
              <w:spacing w:before="0" w:after="283"/>
              <w:jc w:val="left"/>
              <w:rPr/>
            </w:pPr>
            <w:r>
              <w:rPr/>
              <w:t xml:space="preserve">you are not our affiliate within the meaning of Rule 405 under the Securities Act;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3" w:type="dxa"/>
            <w:tcBorders/>
            <w:shd w:fill="FFFFFF" w:val="clear"/>
          </w:tcPr>
          <w:p>
            <w:pPr>
              <w:pStyle w:val="TableContents"/>
              <w:spacing w:before="0" w:after="283"/>
              <w:jc w:val="left"/>
              <w:rPr/>
            </w:pPr>
            <w:r>
              <w:rPr/>
              <w:t xml:space="preserve">such new Notes are acquired in the ordinary course of your business; and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3" w:type="dxa"/>
            <w:tcBorders/>
            <w:shd w:fill="FFFFFF" w:val="clear"/>
          </w:tcPr>
          <w:p>
            <w:pPr>
              <w:pStyle w:val="TableContents"/>
              <w:spacing w:before="0" w:after="283"/>
              <w:jc w:val="left"/>
              <w:rPr/>
            </w:pPr>
            <w:r>
              <w:rPr/>
              <w:t xml:space="preserve">you do not intend to participate in a distribution of the new Notes.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SEC, however, has not considered the exchange offer for the new Notes in the context of a no-action letter, and the SEC may not make a similar determination as in the no-action letters issued to these third parties.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tender in the exchange offer with the intention of participating in any manner in a distribution of the new Notes, you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73"/>
        <w:gridCol w:w="9528"/>
      </w:tblGrid>
      <w:tr>
        <w:trPr/>
        <w:tc>
          <w:tcPr>
            <w:tcW w:w="4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cannot rely on such interpretations by the SEC staff;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must comply with the registration and prospectus delivery requirements of the Securities Act in connection with a secondary resale transaction.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Unless an exemption from registration is otherwise available, any security holder intending to distribute new Notes should be covered by an effective registration statement under the Securities Act. The registration statement should contain the selling security holders information required by Item 507 of Regulation S-K under the Securities Act.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prospectus may be used for an offer to resell, resale or other retransfer of new Notes only as specifically described in this prospectus. Failure to comply with the registration and prospectus delivery requirements by a holder subject to these requirements could result in that holder incurring liability for which it is not indemnified by us. If you are a broker-dealer, you may participate in the exchange offer only if you acquired the outstanding Notes as a result of market-making activities or other trading activities. Each broker-dealer that receives new Notes for its own account in exchange for outstanding Notes, where such outstanding Notes were acquired by such broker-dealer as a result of market-making activities or other trading activities, must acknowledge in the letter of transmittal that it will deliver a prospectus in connection with any resale of the new Notes. Please read the section captioned Plan of Distribution for more details regarding the transfer of new Notes.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Terms of the Exchange Offers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Subject to the terms and conditions described in this prospectus and in the applicable letter of transmittal, we will accept for exchange any outstanding Notes properly tendered and not withdrawn prior to 5:00 p.m. New York City time on the expiration date. We will issue new Notes in principal amount equal to the principal amount of outstanding Notes surrendered under the exchange offer. Outstanding Notes may be tendered only for new Notes and only in integral multiples of $1,000.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Neither exchange offer is conditioned upon any minimum aggregate principal amount of outstanding Notes being tendered for exchange. Each exchange offer will be conducted independently from the other exchange offer, and consummation of one exchange offer will not be conditioned upon consummation of the other.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the date of this prospectus, $400 million in aggregate principal amount of the 2017 Notes are outstanding and $600 million in aggregate principal amount of the 2037 Notes are outstanding. This prospectus is being sent to DTC, the sole registered holder of the outstanding Notes, and to all persons that we can identify as beneficial owners of the outstanding Notes. There will be no fixed record date for determining registered holders of outstanding Notes entitled to participate in either exchange offer.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intend to conduct each exchange offer in accordance with the provisions of the applicable registration rights agreement and the applicable requirements of the Securities Act, the Securities Exchange Act of 1934 and the rules and regulations of the SEC. Outstanding Notes that the holders thereof do not tender for exchange in the applicable exchange offer will remain outstanding and continue to accrue interest. These outstanding Notes will be entitled to the rights and benefits such holders have under the indenture relating to the Notes and the applicable registration rights agreement.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be deemed to have accepted for exchange properly tendered outstanding Notes when we have given oral or written notice of the acceptance to the exchange agent and complied with the applicable provisions of the applicable registration rights agreement. The exchange agent will act as agent for the tendering holders for the purposes of receiving the new Notes from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tender outstanding Notes in the exchange offer, you will not be required to pay brokerage commissions or fees or, subject to the letter of transmittal, transfer taxes with respect to the exchange of outstanding Notes. We will pay all charges and expenses, other than certain applicable taxes described below, in connection with the exchange offer. It is important that you read the section labeled  Fees and Expenses for more details regarding fees and expenses incurred in the exchange offer.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return any outstanding Notes that we do not accept for exchange for any reason without expense to their tendering holder as promptly as practicable after the expiration or termination of the applicable exchange offer.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Expiration Date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exchange offer will expire at 5:00 p.m. New York City time on          , 2007, unless, in our sole discretion, we extend it. We may extend one exchange offer without extending the other.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Extensions, Delays in Acceptance, Termination or Amendment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expressly reserve the right, at any time or various times, to extend the period of time during which either exchange offer is open. During any such extensions, all outstanding Notes previously tendered will remain subject to the applicable exchange offer, and we may accept them for exchange.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order to extend the exchange offer, we will notify the exchange agent orally or in writing of any extension. We will notify the registered holders of outstanding Notes of the extension no later than 9:00 a.m., New York City time, on the business day after the previously scheduled expiration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any of the conditions described below under  Conditions to the Exchange Offers have not been satisfied, we reserve the right, in our sole discretion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60"/>
        <w:gridCol w:w="9538"/>
      </w:tblGrid>
      <w:tr>
        <w:trPr/>
        <w:tc>
          <w:tcPr>
            <w:tcW w:w="40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38"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to delay accepting for exchange any outstanding Notes,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to extend the exchange offer, or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to terminate the exchange offer,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giving oral or written notice of such delay, extension or termination to the exchange agent. Subject to the terms of the registration rights agreement, we also reserve the right to amend the terms of either exchange offer in any manner.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such delay in acceptance, extension, termination or amendment will be followed as promptly as practicable by oral or written notice thereof to the registered holders of outstanding Notes. If we amend the exchange offer in a manner that we determine to constitute a material change, we will promptly disclose such amendment by means of a prospectus supplement. The supplement will be distributed to the registered holders of the outstanding Notes. Depending upon the significance of the amendment and the manner of disclosure to the registered holders, we will extend such exchange offer if such exchange offer would otherwise expire during such period.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Conditions to the Exchange Offers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be required to accept for exchange, or exchange any new Notes for, any outstanding Notes if the applicable exchange offer, or the making of any exchange by a holder of outstanding Notes, would violate applicable law or any applicable interpretation of the staff of the SEC. Similarly, we may terminate either exchange offer as provided in this prospectus before accepting outstanding Notes for exchange in the event of such a potential violation.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we will not be obligated to accept for exchange the outstanding Notes of any holder that has not made to us the representations described under  Purpose and Effect of the Exchange Offers,  Procedures for Tendering and Plan of Distribution and such other representations as may be reasonably necessary under applicable SEC rules, regulations or interpretations to allow us to use an appropriate form to register the new Notes under the Securities Act.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Furthermore, we will not accept for exchange any outstanding Notes tendered, and will not issue new Notes in exchange for any such outstanding Notes, if at such time any stop order has been threatened or is in effect with respect to (1) the registration statement of which this prospectus constitutes a part or (2) the qualification of the applicable indenture relating to the Notes under the Trust Indenture Act of 1939.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expressly reserve the right to amend or terminate either exchange offer, and to reject for exchange any outstanding Notes not previously accepted for exchange, upon the occurrence of any of the conditions to the exchange offers specified above. We will give oral or written notice of any extension, amendment, non-acceptance or termination to the holders of the outstanding Notes as promptly as practicable.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These conditions are for our sole benefit, and we may assert them or waive them in whole or in part at any time or at various times in our sole discretion. If we fail at any time to exercise any of these rights, this failure will not mean that we have waived our rights. Each such right will be deemed an ongoing right that we may assert at any time or at various times.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exchange offer is independent of the other, and the closing of one exchange offer is not conditioned upon the closing of the other.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Procedures for Tendering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order to participate in an exchange offer, you must properly tender your outstanding Notes to the exchange agent as described below. It is your responsibility to properly tender your Notes. We have the right to waive any defects. However, we are not required to waive defects and are not required to notify you of defects in your tender.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have any questions or need help in exchanging your Notes, please call the exchange agent, whose address and phone number are set forth in Prospectus Summary  The Exchange Offers  Exchange Agent.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of the outstanding Notes were issued in book-entry form, and all of the outstanding Notes are currently represented by global certificates held for the account of DTC. We have confirmed with DTC that the outstanding Notes may be tendered using the ATOP procedures instituted by DTC. The exchange agent will establish an account with DTC for purposes of the exchange offers promptly after the commencement of the exchange offers and DTC participants may electronically transmit their acceptance of the exchange offer by causing DTC to transfer their outstanding Notes to the exchange agent using the ATOP procedures. In connection with the transfer, DTC will send an agents message to the exchange agent. The agents message will state that DTC has received instructions from the participant to tender outstanding Notes and that the participant agrees to be bound by the terms of the letter of transmittal.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using the ATOP procedures to exchange outstanding Notes, you will not be required to deliver a letter of transmittal to the exchange agent. However, you will be bound by its terms just as if you had signed it.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There is no procedure for guaranteed late delivery of the Notes.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Determinations Under the Exchange Offers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determine in our sole discretion all questions as to the validity, form, eligibility, time of receipt, acceptance of tendered outstanding Notes and withdrawal of tendered outstanding Notes. Our determination will be final and binding. We reserve the absolute right to reject any outstanding Notes not properly tendered or any outstanding Notes our acceptance of which would, in the opinion of our counsel, be unlawful. We also reserve the right to waive any defect, irregularities or conditions of tender as to particular outstanding Notes. Our interpretation of the terms and conditions of either exchange offer, including the instructions in the applicable letter of transmittal, will be final and binding on all parties. Unless waived, all defects or irregularities in connection with tenders of outstanding Notes must be cured within such time as we shall determine. Although we intend to notify holders of defects or irregularities with respect to tenders of outstanding Notes, neither we, the exchange agent nor any other person will incur any liability for failure to give such notification. Tenders of outstanding Notes will not be deemed made until such defects or irregularities have been cured or waived. Any outstanding Notes received by the exchange agent that are not properly tendered and as to which the defects or irregularities have not been cured or waived will be returned to the tendering holder, unless otherwise provided in the applicable letter of transmittal, as soon as practicable following the expiration date.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When We Will Issue New Notes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all cases, we will issue new Notes for outstanding Notes that we have accepted for exchange under the exchange offer only after the exchange agent timely receives: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3"/>
        <w:gridCol w:w="9526"/>
      </w:tblGrid>
      <w:tr>
        <w:trPr/>
        <w:tc>
          <w:tcPr>
            <w:tcW w:w="40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a book-entry confirmation of such outstanding Notes into the exchange agents account at DTC;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a properly transmitted agents message.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Return of Outstanding Notes Not Accepted or Exchanged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do not accept any tendered outstanding Notes for exchange or if outstanding Notes are submitted for a greater principal amount than the holder desires to exchange, the unaccepted or non-exchanged outstanding Notes will be returned without expense to their tendering holder. Such non-exchanged outstanding Notes will be credited to an account maintained with DTC. These actions will occur as promptly as practicable after the expiration or termination of the applicable exchange offer.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Your Representations to 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agreeing to be bound by the letter of transmittal, you will represent to us that, among other things: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7"/>
        <w:gridCol w:w="9534"/>
      </w:tblGrid>
      <w:tr>
        <w:trPr/>
        <w:tc>
          <w:tcPr>
            <w:tcW w:w="40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any new Notes that you receive will be acquired in the ordinary course of your business;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you have no arrangement or understanding with any person or entity to participate in the distribution of the outstanding Notes or the new Notes within the meaning of the Securities Act;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if you are not a broker-dealer, you are not engaged in and do not intend to engage in the distribution of the new Notes;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if you are a broker-dealer that will receive new Notes for your own account in exchange for outstanding Notes, you acquired those notes as a result of market-making activities or other trading activities and you will deliver a prospectus, as required by law, in connection with any resale of such new Notes;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you are not our affiliate, as defined in Rule 405 of the Securities Act.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Withdrawal of Tenders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Except as otherwise provided in this prospectus, you may withdraw your tender at any time prior to 5:00 p.m. New York City time on the expiration date. For a withdrawal to be effective you must comply with the appropriate procedures of DTCs ATOP system. Any notice of withdrawal must specify the name and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number of the account at DTC to be credited with withdrawn outstanding Notes and otherwise comply with the procedures of DTC.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determine all questions as to the validity, form, eligibility and time of receipt of notice of withdrawal. Our determination shall be final and binding on all parties. We will deem any outstanding Notes so withdrawn not to have been validly tendered for exchange for purposes of the applicable exchange offer.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outstanding Notes that have been tendered for exchange but are not exchanged for any reason will be credited to an account maintained with DTC for the outstanding Notes. This return or crediting will take place as soon as practicable after withdrawal, rejection of tender or termination of the exchange offer. You may retender properly withdrawn outstanding Notes by following the procedures described under  Procedures for Tendering above at any time prior to 5:00 p.m., New York City time, on the expiration date.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Fees and Expenses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bear the expenses of soliciting tenders with respect to each exchange offer. The principal solicitation is being made by mail; however, we may make additional solicitation by telegraph, telephone or in person by our officers and regular employees and those of our affiliates.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not retained any dealer manager in connection with the exchange offers and will not make any payments to broker-dealers or others soliciting acceptances of the exchange offers. We will, however, pay the exchange agent reasonable and customary fees for its services and reimburse it for its related reasonable out of pocket expenses.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pay the cash expenses to be incurred in connection with the exchange offer. They include: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72"/>
        <w:gridCol w:w="9525"/>
      </w:tblGrid>
      <w:tr>
        <w:trPr/>
        <w:tc>
          <w:tcPr>
            <w:tcW w:w="40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25"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SEC registration fees;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fees and expenses of the exchange agent and trustee;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accounting and legal fees and printing costs; and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related fees and expenses.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Transfer Taxes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pay all transfer taxes, if any, applicable to the exchange of outstanding Notes under the exchange offer. The tendering holder, however, will be required to pay any transfer taxes, whether imposed on the registered holder or any other person, if a transfer tax is imposed for any reason other than the exchange of outstanding Notes under the applicable exchange offer.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Consequences of Failure to Exchange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do not exchange new Notes for your outstanding Notes under the applicable exchange offer, you will remain subject to the existing restrictions on transfer of the outstanding Notes. In general, you may not offer or sell the outstanding Notes unless the offer or sale is either registered under the Securities Act or exempt from registration under the Securities Act and applicable state securities laws. Except as required by the registration rights agreements, we do not intend to register resales of the outstanding Notes under the Securities Act.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Accounting Treatment</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record the new Notes in our accounting records at the same carrying value as the outstanding Notes of the same series. This carrying value is the aggregate principal amount of the outstanding Notes less any bond discount, as reflected in our accounting records on the date of exchange. Accordingly, we will not recognize any gain or loss for accounting purposes in connection with either exchange offer.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Other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Participation in an exchange offer is voluntary, and you should carefully consider whether to accept. You are urged to consult your financial and tax advisors in making your own decision on what action to take.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in the future seek to acquire untendered outstanding Notes in open market or privately negotiated transactions, through subsequent exchange offers or otherwise. We have no present plans to acquire any outstanding Notes that are not tendered in the exchange offers or to file a registration statement to permit resales of any untendered outstanding Notes.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6" w:name="104"/>
      <w:bookmarkEnd w:id="6"/>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RATIO OF EARNINGS TO FIXED CHARGES</w:t>
      </w:r>
      <w:r>
        <w:rPr>
          <w:rFonts w:ascii="Arial;Helvetica" w:hAnsi="Arial;Helvetica"/>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441"/>
        <w:gridCol w:w="134"/>
        <w:gridCol w:w="270"/>
        <w:gridCol w:w="1646"/>
        <w:gridCol w:w="143"/>
        <w:gridCol w:w="176"/>
        <w:gridCol w:w="143"/>
        <w:gridCol w:w="650"/>
        <w:gridCol w:w="143"/>
        <w:gridCol w:w="176"/>
        <w:gridCol w:w="143"/>
        <w:gridCol w:w="650"/>
        <w:gridCol w:w="143"/>
        <w:gridCol w:w="176"/>
        <w:gridCol w:w="143"/>
        <w:gridCol w:w="650"/>
        <w:gridCol w:w="143"/>
        <w:gridCol w:w="176"/>
        <w:gridCol w:w="143"/>
        <w:gridCol w:w="650"/>
        <w:gridCol w:w="142"/>
        <w:gridCol w:w="176"/>
        <w:gridCol w:w="143"/>
        <w:gridCol w:w="650"/>
        <w:gridCol w:w="155"/>
      </w:tblGrid>
      <w:tr>
        <w:trPr/>
        <w:tc>
          <w:tcPr>
            <w:tcW w:w="2441"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270" w:type="dxa"/>
            <w:tcBorders/>
            <w:shd w:fill="FFFFFF" w:val="clear"/>
            <w:vAlign w:val="bottom"/>
          </w:tcPr>
          <w:p>
            <w:pPr>
              <w:pStyle w:val="TableContents"/>
              <w:spacing w:before="0" w:after="283"/>
              <w:jc w:val="right"/>
              <w:rPr/>
            </w:pPr>
            <w:r>
              <w:rPr/>
              <w:t> </w:t>
            </w:r>
          </w:p>
        </w:tc>
        <w:tc>
          <w:tcPr>
            <w:tcW w:w="1646"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176"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right"/>
              <w:rPr/>
            </w:pPr>
            <w:r>
              <w:rPr/>
              <w:t> </w:t>
            </w:r>
          </w:p>
        </w:tc>
        <w:tc>
          <w:tcPr>
            <w:tcW w:w="650"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176"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right"/>
              <w:rPr/>
            </w:pPr>
            <w:r>
              <w:rPr/>
              <w:t> </w:t>
            </w:r>
          </w:p>
        </w:tc>
        <w:tc>
          <w:tcPr>
            <w:tcW w:w="650"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176"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right"/>
              <w:rPr/>
            </w:pPr>
            <w:r>
              <w:rPr/>
              <w:t> </w:t>
            </w:r>
          </w:p>
        </w:tc>
        <w:tc>
          <w:tcPr>
            <w:tcW w:w="650"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176"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right"/>
              <w:rPr/>
            </w:pPr>
            <w:r>
              <w:rPr/>
              <w:t> </w:t>
            </w:r>
          </w:p>
        </w:tc>
        <w:tc>
          <w:tcPr>
            <w:tcW w:w="65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176"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right"/>
              <w:rPr/>
            </w:pPr>
            <w:r>
              <w:rPr/>
              <w:t> </w:t>
            </w:r>
          </w:p>
        </w:tc>
        <w:tc>
          <w:tcPr>
            <w:tcW w:w="65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r>
      <w:tr>
        <w:trPr/>
        <w:tc>
          <w:tcPr>
            <w:tcW w:w="2441"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7475" w:type="dxa"/>
            <w:gridSpan w:val="22"/>
            <w:tcBorders>
              <w:bottom w:val="single" w:sz="2" w:space="0" w:color="000000"/>
            </w:tcBorders>
            <w:shd w:fill="FFFFFF" w:val="clear"/>
            <w:tcMar>
              <w:bottom w:w="28" w:type="dxa"/>
            </w:tcMar>
            <w:vAlign w:val="bottom"/>
          </w:tcPr>
          <w:p>
            <w:pPr>
              <w:pStyle w:val="TableContents"/>
              <w:spacing w:before="0" w:after="283"/>
              <w:jc w:val="center"/>
              <w:rPr/>
            </w:pPr>
            <w:r>
              <w:rPr>
                <w:b/>
              </w:rPr>
              <w:t>Year Ended December 31,</w:t>
            </w: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2441"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1916" w:type="dxa"/>
            <w:gridSpan w:val="2"/>
            <w:tcBorders/>
            <w:shd w:fill="FFFFFF" w:val="clear"/>
            <w:vAlign w:val="bottom"/>
          </w:tcPr>
          <w:p>
            <w:pPr>
              <w:pStyle w:val="TableContents"/>
              <w:spacing w:before="0" w:after="283"/>
              <w:jc w:val="center"/>
              <w:rPr>
                <w:b/>
              </w:rPr>
            </w:pPr>
            <w:r>
              <w:rPr>
                <w:b/>
              </w:rPr>
              <w:t>Three Months</w:t>
            </w:r>
          </w:p>
        </w:tc>
        <w:tc>
          <w:tcPr>
            <w:tcW w:w="143"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shd w:fill="FFFFFF" w:val="clear"/>
            <w:vAlign w:val="bottom"/>
          </w:tcPr>
          <w:p>
            <w:pPr>
              <w:pStyle w:val="TableContents"/>
              <w:spacing w:before="0" w:after="283"/>
              <w:jc w:val="center"/>
              <w:rPr/>
            </w:pP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shd w:fill="FFFFFF" w:val="clear"/>
            <w:vAlign w:val="bottom"/>
          </w:tcPr>
          <w:p>
            <w:pPr>
              <w:pStyle w:val="TableContents"/>
              <w:spacing w:before="0" w:after="283"/>
              <w:jc w:val="center"/>
              <w:rPr/>
            </w:pP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shd w:fill="FFFFFF" w:val="clear"/>
            <w:vAlign w:val="bottom"/>
          </w:tcPr>
          <w:p>
            <w:pPr>
              <w:pStyle w:val="TableContents"/>
              <w:spacing w:before="0" w:after="283"/>
              <w:jc w:val="center"/>
              <w:rPr/>
            </w:pP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shd w:fill="FFFFFF" w:val="clear"/>
            <w:vAlign w:val="bottom"/>
          </w:tcPr>
          <w:p>
            <w:pPr>
              <w:pStyle w:val="TableContents"/>
              <w:spacing w:before="0" w:after="283"/>
              <w:jc w:val="center"/>
              <w:rPr/>
            </w:pP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2441"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1916" w:type="dxa"/>
            <w:gridSpan w:val="2"/>
            <w:tcBorders/>
            <w:shd w:fill="FFFFFF" w:val="clear"/>
            <w:vAlign w:val="bottom"/>
          </w:tcPr>
          <w:p>
            <w:pPr>
              <w:pStyle w:val="TableContents"/>
              <w:spacing w:before="0" w:after="283"/>
              <w:jc w:val="center"/>
              <w:rPr>
                <w:b/>
              </w:rPr>
            </w:pPr>
            <w:r>
              <w:rPr>
                <w:b/>
              </w:rPr>
              <w:t>Ended</w:t>
            </w:r>
          </w:p>
        </w:tc>
        <w:tc>
          <w:tcPr>
            <w:tcW w:w="143"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shd w:fill="FFFFFF" w:val="clear"/>
            <w:vAlign w:val="bottom"/>
          </w:tcPr>
          <w:p>
            <w:pPr>
              <w:pStyle w:val="TableContents"/>
              <w:spacing w:before="0" w:after="283"/>
              <w:jc w:val="center"/>
              <w:rPr/>
            </w:pP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shd w:fill="FFFFFF" w:val="clear"/>
            <w:vAlign w:val="bottom"/>
          </w:tcPr>
          <w:p>
            <w:pPr>
              <w:pStyle w:val="TableContents"/>
              <w:spacing w:before="0" w:after="283"/>
              <w:jc w:val="center"/>
              <w:rPr/>
            </w:pP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shd w:fill="FFFFFF" w:val="clear"/>
            <w:vAlign w:val="bottom"/>
          </w:tcPr>
          <w:p>
            <w:pPr>
              <w:pStyle w:val="TableContents"/>
              <w:spacing w:before="0" w:after="283"/>
              <w:jc w:val="center"/>
              <w:rPr/>
            </w:pP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shd w:fill="FFFFFF" w:val="clear"/>
            <w:vAlign w:val="bottom"/>
          </w:tcPr>
          <w:p>
            <w:pPr>
              <w:pStyle w:val="TableContents"/>
              <w:spacing w:before="0" w:after="283"/>
              <w:jc w:val="center"/>
              <w:rPr/>
            </w:pP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2441"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191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March 31, 2007</w:t>
            </w: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2003</w:t>
            </w: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2002</w:t>
            </w: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2441" w:type="dxa"/>
            <w:tcBorders/>
            <w:shd w:fill="FFFFFF" w:val="clear"/>
            <w:vAlign w:val="center"/>
          </w:tcPr>
          <w:p>
            <w:pPr>
              <w:pStyle w:val="TableContents"/>
              <w:spacing w:before="0" w:after="283"/>
              <w:rPr/>
            </w:pPr>
            <w:r>
              <w:rPr/>
              <w:t xml:space="preserve">  </w:t>
            </w:r>
          </w:p>
        </w:tc>
        <w:tc>
          <w:tcPr>
            <w:tcW w:w="7764" w:type="dxa"/>
            <w:gridSpan w:val="24"/>
            <w:tcBorders/>
            <w:shd w:fill="FFFFFF" w:val="clear"/>
          </w:tcPr>
          <w:p>
            <w:pPr>
              <w:pStyle w:val="TableContents"/>
              <w:spacing w:before="0" w:after="283"/>
              <w:rPr>
                <w:sz w:val="4"/>
                <w:szCs w:val="4"/>
              </w:rPr>
            </w:pPr>
            <w:r>
              <w:rPr>
                <w:sz w:val="4"/>
                <w:szCs w:val="4"/>
              </w:rPr>
            </w:r>
          </w:p>
        </w:tc>
      </w:tr>
      <w:tr>
        <w:trPr/>
        <w:tc>
          <w:tcPr>
            <w:tcW w:w="2441" w:type="dxa"/>
            <w:tcBorders/>
            <w:shd w:fill="FFFFFF" w:val="clear"/>
            <w:vAlign w:val="bottom"/>
          </w:tcPr>
          <w:p>
            <w:pPr>
              <w:pStyle w:val="TableContents"/>
              <w:spacing w:before="0" w:after="0"/>
              <w:ind w:left="200" w:right="0" w:hanging="200"/>
              <w:jc w:val="left"/>
              <w:rPr>
                <w:sz w:val="17"/>
              </w:rPr>
            </w:pPr>
            <w:r>
              <w:rPr>
                <w:sz w:val="17"/>
              </w:rPr>
              <w:t xml:space="preserve">RATIO OF EARNINGS TO FIXED CHARGES(1) </w:t>
            </w:r>
          </w:p>
        </w:tc>
        <w:tc>
          <w:tcPr>
            <w:tcW w:w="134" w:type="dxa"/>
            <w:tcBorders/>
            <w:shd w:fill="FFFFFF" w:val="clear"/>
            <w:vAlign w:val="bottom"/>
          </w:tcPr>
          <w:p>
            <w:pPr>
              <w:pStyle w:val="TableContents"/>
              <w:spacing w:before="0" w:after="283"/>
              <w:rPr/>
            </w:pPr>
            <w:r>
              <w:rPr/>
              <w:t xml:space="preserve">  </w:t>
            </w:r>
          </w:p>
        </w:tc>
        <w:tc>
          <w:tcPr>
            <w:tcW w:w="270" w:type="dxa"/>
            <w:tcBorders/>
            <w:shd w:fill="FFFFFF" w:val="clear"/>
            <w:vAlign w:val="bottom"/>
          </w:tcPr>
          <w:p>
            <w:pPr>
              <w:pStyle w:val="TableContents"/>
              <w:spacing w:before="0" w:after="283"/>
              <w:jc w:val="left"/>
              <w:rPr/>
            </w:pPr>
            <w:r>
              <w:rPr/>
              <w:t xml:space="preserve">  </w:t>
            </w:r>
          </w:p>
        </w:tc>
        <w:tc>
          <w:tcPr>
            <w:tcW w:w="1646" w:type="dxa"/>
            <w:tcBorders/>
            <w:shd w:fill="FFFFFF" w:val="clear"/>
            <w:vAlign w:val="bottom"/>
          </w:tcPr>
          <w:p>
            <w:pPr>
              <w:pStyle w:val="TableContents"/>
              <w:spacing w:before="0" w:after="283"/>
              <w:jc w:val="right"/>
              <w:rPr/>
            </w:pPr>
            <w:r>
              <w:rPr/>
              <w:t xml:space="preserve">2.36x </w:t>
            </w:r>
          </w:p>
        </w:tc>
        <w:tc>
          <w:tcPr>
            <w:tcW w:w="143" w:type="dxa"/>
            <w:tcBorders/>
            <w:shd w:fill="FFFFFF" w:val="clear"/>
            <w:vAlign w:val="bottom"/>
          </w:tcPr>
          <w:p>
            <w:pPr>
              <w:pStyle w:val="TableContents"/>
              <w:spacing w:before="0" w:after="283"/>
              <w:jc w:val="left"/>
              <w:rPr/>
            </w:pPr>
            <w:r>
              <w:rPr/>
              <w:t xml:space="preserve">  </w:t>
            </w:r>
          </w:p>
        </w:tc>
        <w:tc>
          <w:tcPr>
            <w:tcW w:w="176" w:type="dxa"/>
            <w:tcBorders/>
            <w:shd w:fill="FFFFFF" w:val="clear"/>
            <w:vAlign w:val="bottom"/>
          </w:tcPr>
          <w:p>
            <w:pPr>
              <w:pStyle w:val="TableContents"/>
              <w:spacing w:before="0" w:after="283"/>
              <w:rPr/>
            </w:pPr>
            <w:r>
              <w:rPr/>
              <w:t xml:space="preserve">  </w:t>
            </w:r>
          </w:p>
        </w:tc>
        <w:tc>
          <w:tcPr>
            <w:tcW w:w="143" w:type="dxa"/>
            <w:tcBorders/>
            <w:shd w:fill="FFFFFF" w:val="clear"/>
            <w:vAlign w:val="bottom"/>
          </w:tcPr>
          <w:p>
            <w:pPr>
              <w:pStyle w:val="TableContents"/>
              <w:spacing w:before="0" w:after="283"/>
              <w:jc w:val="left"/>
              <w:rPr/>
            </w:pPr>
            <w:r>
              <w:rPr/>
              <w:t xml:space="preserve">  </w:t>
            </w:r>
          </w:p>
        </w:tc>
        <w:tc>
          <w:tcPr>
            <w:tcW w:w="650" w:type="dxa"/>
            <w:tcBorders/>
            <w:shd w:fill="FFFFFF" w:val="clear"/>
            <w:vAlign w:val="bottom"/>
          </w:tcPr>
          <w:p>
            <w:pPr>
              <w:pStyle w:val="TableContents"/>
              <w:spacing w:before="0" w:after="283"/>
              <w:jc w:val="right"/>
              <w:rPr/>
            </w:pPr>
            <w:r>
              <w:rPr/>
              <w:t xml:space="preserve">2.83x </w:t>
            </w:r>
          </w:p>
        </w:tc>
        <w:tc>
          <w:tcPr>
            <w:tcW w:w="143" w:type="dxa"/>
            <w:tcBorders/>
            <w:shd w:fill="FFFFFF" w:val="clear"/>
            <w:vAlign w:val="bottom"/>
          </w:tcPr>
          <w:p>
            <w:pPr>
              <w:pStyle w:val="TableContents"/>
              <w:spacing w:before="0" w:after="283"/>
              <w:jc w:val="left"/>
              <w:rPr/>
            </w:pPr>
            <w:r>
              <w:rPr/>
              <w:t xml:space="preserve">  </w:t>
            </w:r>
          </w:p>
        </w:tc>
        <w:tc>
          <w:tcPr>
            <w:tcW w:w="176" w:type="dxa"/>
            <w:tcBorders/>
            <w:shd w:fill="FFFFFF" w:val="clear"/>
            <w:vAlign w:val="bottom"/>
          </w:tcPr>
          <w:p>
            <w:pPr>
              <w:pStyle w:val="TableContents"/>
              <w:spacing w:before="0" w:after="283"/>
              <w:rPr/>
            </w:pPr>
            <w:r>
              <w:rPr/>
              <w:t xml:space="preserve">  </w:t>
            </w:r>
          </w:p>
        </w:tc>
        <w:tc>
          <w:tcPr>
            <w:tcW w:w="143" w:type="dxa"/>
            <w:tcBorders/>
            <w:shd w:fill="FFFFFF" w:val="clear"/>
            <w:vAlign w:val="bottom"/>
          </w:tcPr>
          <w:p>
            <w:pPr>
              <w:pStyle w:val="TableContents"/>
              <w:spacing w:before="0" w:after="283"/>
              <w:jc w:val="left"/>
              <w:rPr/>
            </w:pPr>
            <w:r>
              <w:rPr/>
              <w:t xml:space="preserve">  </w:t>
            </w:r>
          </w:p>
        </w:tc>
        <w:tc>
          <w:tcPr>
            <w:tcW w:w="650" w:type="dxa"/>
            <w:tcBorders/>
            <w:shd w:fill="FFFFFF" w:val="clear"/>
            <w:vAlign w:val="bottom"/>
          </w:tcPr>
          <w:p>
            <w:pPr>
              <w:pStyle w:val="TableContents"/>
              <w:spacing w:before="0" w:after="283"/>
              <w:jc w:val="right"/>
              <w:rPr/>
            </w:pPr>
            <w:r>
              <w:rPr/>
              <w:t xml:space="preserve">3.34x </w:t>
            </w:r>
          </w:p>
        </w:tc>
        <w:tc>
          <w:tcPr>
            <w:tcW w:w="143" w:type="dxa"/>
            <w:tcBorders/>
            <w:shd w:fill="FFFFFF" w:val="clear"/>
            <w:vAlign w:val="bottom"/>
          </w:tcPr>
          <w:p>
            <w:pPr>
              <w:pStyle w:val="TableContents"/>
              <w:spacing w:before="0" w:after="283"/>
              <w:jc w:val="left"/>
              <w:rPr/>
            </w:pPr>
            <w:r>
              <w:rPr/>
              <w:t xml:space="preserve">  </w:t>
            </w:r>
          </w:p>
        </w:tc>
        <w:tc>
          <w:tcPr>
            <w:tcW w:w="176" w:type="dxa"/>
            <w:tcBorders/>
            <w:shd w:fill="FFFFFF" w:val="clear"/>
            <w:vAlign w:val="bottom"/>
          </w:tcPr>
          <w:p>
            <w:pPr>
              <w:pStyle w:val="TableContents"/>
              <w:spacing w:before="0" w:after="283"/>
              <w:rPr/>
            </w:pPr>
            <w:r>
              <w:rPr/>
              <w:t xml:space="preserve">  </w:t>
            </w:r>
          </w:p>
        </w:tc>
        <w:tc>
          <w:tcPr>
            <w:tcW w:w="143" w:type="dxa"/>
            <w:tcBorders/>
            <w:shd w:fill="FFFFFF" w:val="clear"/>
            <w:vAlign w:val="bottom"/>
          </w:tcPr>
          <w:p>
            <w:pPr>
              <w:pStyle w:val="TableContents"/>
              <w:spacing w:before="0" w:after="283"/>
              <w:jc w:val="left"/>
              <w:rPr/>
            </w:pPr>
            <w:r>
              <w:rPr/>
              <w:t xml:space="preserve">  </w:t>
            </w:r>
          </w:p>
        </w:tc>
        <w:tc>
          <w:tcPr>
            <w:tcW w:w="650" w:type="dxa"/>
            <w:tcBorders/>
            <w:shd w:fill="FFFFFF" w:val="clear"/>
            <w:vAlign w:val="bottom"/>
          </w:tcPr>
          <w:p>
            <w:pPr>
              <w:pStyle w:val="TableContents"/>
              <w:spacing w:before="0" w:after="283"/>
              <w:jc w:val="right"/>
              <w:rPr/>
            </w:pPr>
            <w:r>
              <w:rPr/>
              <w:t xml:space="preserve">3.37x </w:t>
            </w:r>
          </w:p>
        </w:tc>
        <w:tc>
          <w:tcPr>
            <w:tcW w:w="143" w:type="dxa"/>
            <w:tcBorders/>
            <w:shd w:fill="FFFFFF" w:val="clear"/>
            <w:vAlign w:val="bottom"/>
          </w:tcPr>
          <w:p>
            <w:pPr>
              <w:pStyle w:val="TableContents"/>
              <w:spacing w:before="0" w:after="283"/>
              <w:jc w:val="left"/>
              <w:rPr/>
            </w:pPr>
            <w:r>
              <w:rPr/>
              <w:t xml:space="preserve">  </w:t>
            </w:r>
          </w:p>
        </w:tc>
        <w:tc>
          <w:tcPr>
            <w:tcW w:w="176" w:type="dxa"/>
            <w:tcBorders/>
            <w:shd w:fill="FFFFFF" w:val="clear"/>
            <w:vAlign w:val="bottom"/>
          </w:tcPr>
          <w:p>
            <w:pPr>
              <w:pStyle w:val="TableContents"/>
              <w:spacing w:before="0" w:after="283"/>
              <w:rPr/>
            </w:pPr>
            <w:r>
              <w:rPr/>
              <w:t xml:space="preserve">  </w:t>
            </w:r>
          </w:p>
        </w:tc>
        <w:tc>
          <w:tcPr>
            <w:tcW w:w="143" w:type="dxa"/>
            <w:tcBorders/>
            <w:shd w:fill="FFFFFF" w:val="clear"/>
            <w:vAlign w:val="bottom"/>
          </w:tcPr>
          <w:p>
            <w:pPr>
              <w:pStyle w:val="TableContents"/>
              <w:spacing w:before="0" w:after="283"/>
              <w:jc w:val="left"/>
              <w:rPr/>
            </w:pPr>
            <w:r>
              <w:rPr/>
              <w:t xml:space="preserve">  </w:t>
            </w:r>
          </w:p>
        </w:tc>
        <w:tc>
          <w:tcPr>
            <w:tcW w:w="650" w:type="dxa"/>
            <w:tcBorders/>
            <w:shd w:fill="FFFFFF" w:val="clear"/>
            <w:vAlign w:val="bottom"/>
          </w:tcPr>
          <w:p>
            <w:pPr>
              <w:pStyle w:val="TableContents"/>
              <w:spacing w:before="0" w:after="283"/>
              <w:jc w:val="right"/>
              <w:rPr/>
            </w:pPr>
            <w:r>
              <w:rPr/>
              <w:t xml:space="preserve">2.36x </w:t>
            </w:r>
          </w:p>
        </w:tc>
        <w:tc>
          <w:tcPr>
            <w:tcW w:w="142" w:type="dxa"/>
            <w:tcBorders/>
            <w:shd w:fill="FFFFFF" w:val="clear"/>
            <w:vAlign w:val="bottom"/>
          </w:tcPr>
          <w:p>
            <w:pPr>
              <w:pStyle w:val="TableContents"/>
              <w:spacing w:before="0" w:after="283"/>
              <w:jc w:val="left"/>
              <w:rPr/>
            </w:pPr>
            <w:r>
              <w:rPr/>
              <w:t xml:space="preserve">  </w:t>
            </w:r>
          </w:p>
        </w:tc>
        <w:tc>
          <w:tcPr>
            <w:tcW w:w="176" w:type="dxa"/>
            <w:tcBorders/>
            <w:shd w:fill="FFFFFF" w:val="clear"/>
            <w:vAlign w:val="bottom"/>
          </w:tcPr>
          <w:p>
            <w:pPr>
              <w:pStyle w:val="TableContents"/>
              <w:spacing w:before="0" w:after="283"/>
              <w:rPr/>
            </w:pPr>
            <w:r>
              <w:rPr/>
              <w:t xml:space="preserve">  </w:t>
            </w:r>
          </w:p>
        </w:tc>
        <w:tc>
          <w:tcPr>
            <w:tcW w:w="143" w:type="dxa"/>
            <w:tcBorders/>
            <w:shd w:fill="FFFFFF" w:val="clear"/>
            <w:vAlign w:val="bottom"/>
          </w:tcPr>
          <w:p>
            <w:pPr>
              <w:pStyle w:val="TableContents"/>
              <w:spacing w:before="0" w:after="283"/>
              <w:jc w:val="left"/>
              <w:rPr/>
            </w:pPr>
            <w:r>
              <w:rPr/>
              <w:t xml:space="preserve">  </w:t>
            </w:r>
          </w:p>
        </w:tc>
        <w:tc>
          <w:tcPr>
            <w:tcW w:w="650" w:type="dxa"/>
            <w:tcBorders/>
            <w:shd w:fill="FFFFFF" w:val="clear"/>
            <w:vAlign w:val="bottom"/>
          </w:tcPr>
          <w:p>
            <w:pPr>
              <w:pStyle w:val="TableContents"/>
              <w:spacing w:before="0" w:after="283"/>
              <w:jc w:val="right"/>
              <w:rPr/>
            </w:pPr>
            <w:r>
              <w:rPr/>
              <w:t xml:space="preserve">2.64x </w:t>
            </w:r>
          </w:p>
        </w:tc>
        <w:tc>
          <w:tcPr>
            <w:tcW w:w="155" w:type="dxa"/>
            <w:tcBorders/>
            <w:shd w:fill="FFFF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6"/>
        <w:gridCol w:w="101"/>
        <w:gridCol w:w="9698"/>
      </w:tblGrid>
      <w:tr>
        <w:trPr/>
        <w:tc>
          <w:tcPr>
            <w:tcW w:w="406"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Includes interest costs attributable to borrowings for inventory stored in a contango market of $11.2 million for the three months ended March 31, 2007, and $49.2 million, $23.7 million, $2.0 million, $1.0 million and $3.0 million for each of the years ended December 31, 2006, 2005, 2004, 2003 and 2002, respectively.</w:t>
            </w:r>
          </w:p>
        </w:tc>
      </w:tr>
    </w:tbl>
    <w:p>
      <w:pPr>
        <w:pStyle w:val="TextBody"/>
        <w:spacing w:before="360" w:after="283"/>
        <w:rPr/>
      </w:pPr>
      <w:bookmarkStart w:id="7" w:name="105"/>
      <w:bookmarkEnd w:id="7"/>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USE OF PROCEEDS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exchange offer is intended to satisfy our obligations under the registration rights agreement. We will not receive any cash proceeds from the issuance of the new Notes in the exchange offer. In consideration for issuing the new Notes as contemplated by this prospectus, we will receive outstanding Notes in a like principal amount. The form and terms of the new Notes are identical in all respects to the form and terms of the outstanding Notes, except the new Notes do not include certain transfer restrictions. Outstanding Notes surrendered in exchange for the new Notes will be retired and cancelled and will not be reissued. Accordingly, the issuance of the new Notes will not result in any change in our outstanding indebtedness.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8" w:name="106"/>
      <w:bookmarkEnd w:id="8"/>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DESCRIPTION OF THE NOTES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used in this description, the terms we, us and our refer to Plains All American Pipeline, L.P. and PAA Finance Corp. as co-issuers of the Notes and not to any of their subsidiaries or affiliates, and references to Plains All American Pipeline are to Plains All American Pipeline, L.P.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issued the outstanding Notes, and will issue the new Notes, under an indenture (the Base Indenture) dated September 25, 2002, among us, the subsidiary guarantors and U.S. Bank National Association, as successor trustee, and two supplemental indentures thereto (each applicable to one of the series of the Notes) dated as of October 30, 2006 (each supplemental indenture, together with the Base Indenture, the Indenture). We refer to both the new Notes and the outstanding Notes in this description as the Notes. The Notes constituted two new series of debt securities under the Indenture, and six other series are now outstanding under the Base Indenture, each issued under a separate supplemental indenture.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Indenture from us as set forth under Where You Can Find More Information. Capitalized terms that are used in this prospectus have the meanings assigned to them in the Indenture, and we have included some of those definitions at the end of this section. See  Definitions.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summarized some of the material provisions of the Notes and the Indenture below. The following description of the Notes is not complete and is subject to, and is qualified in its entirety by reference to, all the provisions of the Indenture.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General Description of the Notes and the Guarantees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Notes of each series are: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72"/>
        <w:gridCol w:w="9531"/>
      </w:tblGrid>
      <w:tr>
        <w:trPr/>
        <w:tc>
          <w:tcPr>
            <w:tcW w:w="40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our senior unsecured indebtedness ranking equally in right of payment with the Notes of the other series and with all of our existing and future unsubordinated debt;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unconditionally guaranteed by the subsidiary guarantors;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non-recourse to our general partner;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senior in right of payment to any of our future subordinated debt;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effectively junior to any of our existing and future secured debt, to the extent of the security for that debt; and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effectively junior to any existing and future debt of our subsidiaries that do not guarantee the Notes.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Initially our obligations under the Notes will be jointly and severally guaranteed by all of the existing subsidiaries of Plains All American Pipeline other than PAA Finance Corp., Atchafalaya Pipeline, L.L.C., Andrews Partners, LLC, Pacific Energy Management LLC, Pacific Energy GP LP, Pacific Pipeline System LLC and Pacific Terminals LLC, which we sometimes refer to collectively as the non-guarantor subsidiaries. Each guarantee by a subsidiary guarantor of the Notes is: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71"/>
        <w:gridCol w:w="9531"/>
      </w:tblGrid>
      <w:tr>
        <w:trPr/>
        <w:tc>
          <w:tcPr>
            <w:tcW w:w="4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a general unsecured obligation of that subsidiary guarantor;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equal in right of payment with all other existing and future unsubordinated debt of that subsidiary guarantor;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senior in right of payment to any future subordinated debt of that subsidiary guarantor; and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effectively junior to any secured debt of that subsidiary guarantor, to the extent of the security for that debt.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March 31, 2007, the Notes and the guarantees would have been effectively subordinated to approximately $803 million of short-term secured indebtedness. See Risk Factors  Risks Related to the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Exchange Offer and the Notes  Your right to receive payments on the Notes and the subsidiary guarantees is unsecured and will be effectively subordinated to our and our subsidiary guarantors existing and future secured indebtedness as well as to any existing and future indebtedness of our subsidiaries that do not guarantee the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of our current subsidiaries are guarantors except subsidiaries that are not significant. Our subsidiaries that are not subsidiary guarantors held approximately 12.6% of our consolidated assets as of March 31, 2007. These subsidiaries will not have any debt or guarantee any other indebtedness.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Indenture does not limit the aggregate principal amount of debt securities that may be issued thereunder and provides that debt securities may be issued thereunder from time to time in one or more additional series. Except to the extent described under  Covenants, the Indenture does not limit our ability or the ability of our subsidiaries to incur additional indebtedness.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Further Issuances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from time to time, without notice to or the consent of the holders of the Notes, create and issue additional notes ranking equally and ratably with the Notes offered hereby in all respects, so that such additional notes form a single series with either series of the Notes and have the same terms as to status, redemption or otherwise as that series of Notes (except for the issue date, the initial payment date, if applicable, and the payment of interest accruing prior to the issue date of such additional notes). If we issue such additional notes of either series prior to the completion of the exchange offer for the Notes of the same series described under the caption Exchange Offers, the period of the resale restrictions applicable to any Notes of that series previously offered and sold in reliance on Rule 144A under the Securities Act will be automatically extended to the last day of the period of any resale restrictions imposed on any such additional notes.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Principal, Maturity and Interest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issued the Notes in an initial aggregate principal amount of $1.0 billion, with the 2017 Notes having an aggregate principal amount of $400 million and the 2037 Notes having an aggregate principal amount of $600 million. The 2017 Notes will mature on January 15, 2017, and the 2037 Notes will mature on January 15, 2037. The 2017 Notes and the 2037 Notes will bear interest at the annual rate of 6.125% and 6.650%, respectively. Additional interest may also accrue on the Notes of either series in the circumstances described under Exchange Offers. All references to interest in this description of Notes include any such additional interest. Interest on the Notes will accrue from October 30, 2006 and will be payable semi-annually in arrears on January 15 and July 15 of each year, commencing July 15, 2007. We will make each interest payment to the holders of record at the close of business on the January 1 and July 1 preceding such interest payment dates. Interest will be computed on the basis of a 360-day year consisting of twelve 30-day months. We will issue the Notes in minimum denominations of $2,000 and integral multiples of $1,000.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 Liability of General Partner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Pipelines general partner and its directors, officers, employees and partners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The Guarantees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Initially, our payment obligations under the Notes are jointly and severally guaranteed by all existing Subsidiaries of Plains All American Pipeline other than the non-guarantor subsidiaries. The obligations of each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subsidiary guarantor under its guarantee are limited to the maximum amount that will, after giving effect to all other contingent and fixed liabilities of the subsidiary guarantor and to any collections from or payments made by or on behalf of any other subsidiary guarantor in respect of the obligations of the other subsidiary guarantor under its guarantee, result in the obligations of the subsidiary guarantor under the guarantee not constituting a fraudulent conveyance or fraudulent transfer under federal or state law.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Provided that no default shall have occurred and shall be continuing under the Indenture, a subsidiary guarantor will be unconditionally released and discharged from its guarantee: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69"/>
        <w:gridCol w:w="9529"/>
      </w:tblGrid>
      <w:tr>
        <w:trPr/>
        <w:tc>
          <w:tcPr>
            <w:tcW w:w="40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upon any sale or other disposition of all or substantially all of the assets of that subsidiary guarantor, including by way of merger, consolidation or otherwise, to any person that is not our affiliate (provided such sale or other disposition is not prohibited by the Indenture);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upon any sale or other disposition of all of our direct or indirect equity interests in that subsidiary guarantor to any person that is not our affiliate; or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following the release of all guarantees by the subsidiary guarantor of any debt of ours and any Subsidiary of Plains All American Pipeline (other than debt securities issued under the Indenture), upon delivery by us to the trustee of a written notice of such release.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at any time after the issuance of the Notes, including following any release of a subsidiary guarantor from its guarantee under the Indenture, a Subsidiary of Plains All American Pipeline (including any future Subsidiary) guarantees any of our debt or any debt of Plains All American Pipelines other Subsidiaries, we will cause such Subsidiary to guarantee the Notes in accordance with the Indenture by simultaneously executing and delivering a supplemental indenture.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Optional Redemption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Notes are redeemable, in whole or in part, at our option at any time and from time to time prior to maturity at a redemption price equal to the greater of (a) 100% of the principal amount of the Notes to be redeemed, and (b) as determined by the Quotation Agent, the sum of the present values of the remaining scheduled payments of principal and interest on the Notes to be redeemed (not including any portion of those payments of interest accrued as of the date of redemption) discounted to the date of redemption on a semi-annual basis (assuming 360-day years, each consisting of twelve 30-day months), at the Adjusted Treasury Rate plus 25 basis points in the case of the 2017 Notes and 30 basis points in the case of the 2037 Notes, in each case together with accrued interest to the date of redemption.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those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Comparable Treasury Price means, with respect to any date of redemption (a) the average of the Reference Treasury Dealer Quotations for the date of redemption, after excluding the highest and lowest Reference Treasury Dealer Quotations, or (b) if the trustee obtains fewer than four Reference Treasury Dealer Quotations, the average of all such Reference Treasury Dealer Quotations.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Quotation Agent means UBS Securities LLC or another Reference Treasury Dealer appointed by us.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Reference Treasury Dealer means (a) UBS Securities LLC and its successors; provided, however, that if the foregoing shall cease to be a primary U.S. Government securities dealer in the United States (a Primary Treasury Dealer), we shall substitute another Primary Treasury Dealer; and (b) any other Primary Treasury Dealer selected by us.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Unless we default in payment of the redemption price, on and after the date of redemption, interest will cease to accrue on the Notes or portions thereof called for redemption.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 or before a redemption date, we will deposit with a paying agent (or with the trustee) sufficient money to pay the redemption price and accrued interest on the Notes to be redeemed.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less than all of the Notes are to be redeemed at any time, the trustee will select Notes (or any portion of Notes in integral multiples of $1,000) for redemption as follows: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6"/>
        <w:gridCol w:w="9534"/>
      </w:tblGrid>
      <w:tr>
        <w:trPr/>
        <w:tc>
          <w:tcPr>
            <w:tcW w:w="40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if the Notes are listed, in compliance with the requirements of the principal national securities exchange on which the Notes are listed;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if the Notes are not so listed or there are no such requirements, on a pro rata basis, by lot or by such method as the trustee shall deem fair and appropriate.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However, no Note with a principal amount of $2,000 or less will be redeemed in part. Notice of optional redemption will be mailed by first class mail at least 30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Events of Default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of the following is an Event of Default with respect to each series of Notes: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0"/>
        <w:gridCol w:w="265"/>
        <w:gridCol w:w="9540"/>
      </w:tblGrid>
      <w:tr>
        <w:trPr/>
        <w:tc>
          <w:tcPr>
            <w:tcW w:w="40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default in payment when due of the principal of or any premium on any Note of that series at maturity, upon redemption or otherwise;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default for 60 days in the payment when due of interest on any Note of that series;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failure by us or, so long as the Notes of that series are guaranteed by a subsidiary guarantor, by such subsidiary guarantor, for 30 days after receipt of notice from the trustee or the holders to comply with any other term, covenant or warranty in the Indenture or the Notes of that series (provided that notice need not be given, and an Event of Default will occur, 30 days after any breach of the covenants described under  Consolidation, Merger or Sale);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default under any mortgage, indenture or instrument under which there may be issued or by which there may be secured or evidenced any debt for money borrowed of us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0"/>
        <w:gridCol w:w="9540"/>
      </w:tblGrid>
      <w:tr>
        <w:trPr/>
        <w:tc>
          <w:tcPr>
            <w:tcW w:w="40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specified events in bankruptcy, insolvency or reorganization of us or, so long as the Notes of that series are guaranteed by a subsidiary guarantor, by such subsidiary guarantor;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so long as the Notes of that series are guaranteed by a subsidiary guarantor: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599"/>
        <w:gridCol w:w="261"/>
        <w:gridCol w:w="9345"/>
      </w:tblGrid>
      <w:tr>
        <w:trPr/>
        <w:tc>
          <w:tcPr>
            <w:tcW w:w="59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345" w:type="dxa"/>
            <w:tcBorders/>
            <w:shd w:fill="auto" w:val="clear"/>
            <w:vAlign w:val="center"/>
          </w:tcPr>
          <w:p>
            <w:pPr>
              <w:pStyle w:val="TableContents"/>
              <w:spacing w:before="0" w:after="283"/>
              <w:rPr>
                <w:sz w:val="4"/>
                <w:szCs w:val="4"/>
              </w:rPr>
            </w:pPr>
            <w:r>
              <w:rPr>
                <w:sz w:val="4"/>
                <w:szCs w:val="4"/>
              </w:rPr>
            </w:r>
          </w:p>
        </w:tc>
      </w:tr>
      <w:tr>
        <w:trPr/>
        <w:tc>
          <w:tcPr>
            <w:tcW w:w="599"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345" w:type="dxa"/>
            <w:tcBorders/>
            <w:shd w:fill="FFFFFF" w:val="clear"/>
          </w:tcPr>
          <w:p>
            <w:pPr>
              <w:pStyle w:val="TableContents"/>
              <w:spacing w:before="0" w:after="283"/>
              <w:jc w:val="left"/>
              <w:rPr/>
            </w:pPr>
            <w:r>
              <w:rPr/>
              <w:t xml:space="preserve">the guarantee by such subsidiary guarantor ceases to be in full force and effect, except as otherwise provided in the Indenture; </w:t>
            </w:r>
          </w:p>
        </w:tc>
      </w:tr>
      <w:tr>
        <w:trPr/>
        <w:tc>
          <w:tcPr>
            <w:tcW w:w="599" w:type="dxa"/>
            <w:tcBorders/>
            <w:shd w:fill="auto" w:val="clear"/>
            <w:vAlign w:val="center"/>
          </w:tcPr>
          <w:p>
            <w:pPr>
              <w:pStyle w:val="TableContents"/>
              <w:spacing w:before="0" w:after="283"/>
              <w:rPr/>
            </w:pPr>
            <w:r>
              <w:rPr/>
              <w:t> </w:t>
            </w:r>
          </w:p>
        </w:tc>
        <w:tc>
          <w:tcPr>
            <w:tcW w:w="9606" w:type="dxa"/>
            <w:gridSpan w:val="2"/>
            <w:tcBorders/>
            <w:shd w:fill="auto" w:val="clear"/>
          </w:tcPr>
          <w:p>
            <w:pPr>
              <w:pStyle w:val="TableContents"/>
              <w:spacing w:before="0" w:after="283"/>
              <w:rPr>
                <w:sz w:val="4"/>
                <w:szCs w:val="4"/>
              </w:rPr>
            </w:pPr>
            <w:r>
              <w:rPr>
                <w:sz w:val="4"/>
                <w:szCs w:val="4"/>
              </w:rPr>
            </w:r>
          </w:p>
        </w:tc>
      </w:tr>
      <w:tr>
        <w:trPr/>
        <w:tc>
          <w:tcPr>
            <w:tcW w:w="599"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345" w:type="dxa"/>
            <w:tcBorders/>
            <w:shd w:fill="FFFFFF" w:val="clear"/>
          </w:tcPr>
          <w:p>
            <w:pPr>
              <w:pStyle w:val="TableContents"/>
              <w:spacing w:before="0" w:after="283"/>
              <w:jc w:val="left"/>
              <w:rPr/>
            </w:pPr>
            <w:r>
              <w:rPr/>
              <w:t xml:space="preserve">the guarantee by such subsidiary guarantor is declared null and void in a judicial proceeding; or </w:t>
            </w:r>
          </w:p>
        </w:tc>
      </w:tr>
      <w:tr>
        <w:trPr/>
        <w:tc>
          <w:tcPr>
            <w:tcW w:w="599" w:type="dxa"/>
            <w:tcBorders/>
            <w:shd w:fill="auto" w:val="clear"/>
            <w:vAlign w:val="center"/>
          </w:tcPr>
          <w:p>
            <w:pPr>
              <w:pStyle w:val="TableContents"/>
              <w:spacing w:before="0" w:after="283"/>
              <w:rPr/>
            </w:pPr>
            <w:r>
              <w:rPr/>
              <w:t> </w:t>
            </w:r>
          </w:p>
        </w:tc>
        <w:tc>
          <w:tcPr>
            <w:tcW w:w="9606" w:type="dxa"/>
            <w:gridSpan w:val="2"/>
            <w:tcBorders/>
            <w:shd w:fill="auto" w:val="clear"/>
          </w:tcPr>
          <w:p>
            <w:pPr>
              <w:pStyle w:val="TableContents"/>
              <w:spacing w:before="0" w:after="283"/>
              <w:rPr>
                <w:sz w:val="4"/>
                <w:szCs w:val="4"/>
              </w:rPr>
            </w:pPr>
            <w:r>
              <w:rPr>
                <w:sz w:val="4"/>
                <w:szCs w:val="4"/>
              </w:rPr>
            </w:r>
          </w:p>
        </w:tc>
      </w:tr>
      <w:tr>
        <w:trPr/>
        <w:tc>
          <w:tcPr>
            <w:tcW w:w="599"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345" w:type="dxa"/>
            <w:tcBorders/>
            <w:shd w:fill="FFFFFF" w:val="clear"/>
          </w:tcPr>
          <w:p>
            <w:pPr>
              <w:pStyle w:val="TableContents"/>
              <w:spacing w:before="0" w:after="283"/>
              <w:jc w:val="left"/>
              <w:rPr/>
            </w:pPr>
            <w:r>
              <w:rPr/>
              <w:t xml:space="preserve">such subsidiary guarantor denies or disaffirms its obligations under the Indenture or its guarantee.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 Event of Default for a particular series of Notes will not necessarily constitute an Event of Default for the other series of Notes or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a series of Notes, the trustee or the holders of at least 25% in principal amount of the then outstanding Notes of that series may declare all the Notes of that series to be due and payable immediately.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Consolidation, Merger or Sale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9"/>
        <w:gridCol w:w="268"/>
        <w:gridCol w:w="9528"/>
      </w:tblGrid>
      <w:tr>
        <w:trPr/>
        <w:tc>
          <w:tcPr>
            <w:tcW w:w="4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9"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we are the surviving Person in the case of a merger, or the surviving Person: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595"/>
        <w:gridCol w:w="266"/>
        <w:gridCol w:w="9344"/>
      </w:tblGrid>
      <w:tr>
        <w:trPr/>
        <w:tc>
          <w:tcPr>
            <w:tcW w:w="59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344" w:type="dxa"/>
            <w:tcBorders/>
            <w:shd w:fill="auto" w:val="clear"/>
            <w:vAlign w:val="center"/>
          </w:tcPr>
          <w:p>
            <w:pPr>
              <w:pStyle w:val="TableContents"/>
              <w:spacing w:before="0" w:after="283"/>
              <w:rPr>
                <w:sz w:val="4"/>
                <w:szCs w:val="4"/>
              </w:rPr>
            </w:pPr>
            <w:r>
              <w:rPr>
                <w:sz w:val="4"/>
                <w:szCs w:val="4"/>
              </w:rPr>
            </w:r>
          </w:p>
        </w:tc>
      </w:tr>
      <w:tr>
        <w:trPr/>
        <w:tc>
          <w:tcPr>
            <w:tcW w:w="59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344" w:type="dxa"/>
            <w:tcBorders/>
            <w:shd w:fill="FFFFFF" w:val="clear"/>
          </w:tcPr>
          <w:p>
            <w:pPr>
              <w:pStyle w:val="TableContents"/>
              <w:spacing w:before="0" w:after="283"/>
              <w:jc w:val="left"/>
              <w:rPr/>
            </w:pPr>
            <w:r>
              <w:rPr/>
              <w:t xml:space="preserve">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 </w:t>
            </w:r>
          </w:p>
        </w:tc>
      </w:tr>
      <w:tr>
        <w:trPr/>
        <w:tc>
          <w:tcPr>
            <w:tcW w:w="595" w:type="dxa"/>
            <w:tcBorders/>
            <w:shd w:fill="auto" w:val="clear"/>
            <w:vAlign w:val="center"/>
          </w:tcPr>
          <w:p>
            <w:pPr>
              <w:pStyle w:val="TableContents"/>
              <w:spacing w:before="0" w:after="283"/>
              <w:rPr/>
            </w:pPr>
            <w:r>
              <w:rPr/>
              <w:t> </w:t>
            </w:r>
          </w:p>
        </w:tc>
        <w:tc>
          <w:tcPr>
            <w:tcW w:w="9610" w:type="dxa"/>
            <w:gridSpan w:val="2"/>
            <w:tcBorders/>
            <w:shd w:fill="auto" w:val="clear"/>
          </w:tcPr>
          <w:p>
            <w:pPr>
              <w:pStyle w:val="TableContents"/>
              <w:spacing w:before="0" w:after="283"/>
              <w:rPr>
                <w:sz w:val="4"/>
                <w:szCs w:val="4"/>
              </w:rPr>
            </w:pPr>
            <w:r>
              <w:rPr>
                <w:sz w:val="4"/>
                <w:szCs w:val="4"/>
              </w:rPr>
            </w:r>
          </w:p>
        </w:tc>
      </w:tr>
      <w:tr>
        <w:trPr/>
        <w:tc>
          <w:tcPr>
            <w:tcW w:w="59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344" w:type="dxa"/>
            <w:tcBorders/>
            <w:shd w:fill="FFFFFF" w:val="clear"/>
          </w:tcPr>
          <w:p>
            <w:pPr>
              <w:pStyle w:val="TableContents"/>
              <w:spacing w:before="0" w:after="283"/>
              <w:jc w:val="left"/>
              <w:rPr/>
            </w:pPr>
            <w:r>
              <w:rPr/>
              <w:t xml:space="preserve">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1"/>
        <w:gridCol w:w="9540"/>
      </w:tblGrid>
      <w:tr>
        <w:trPr/>
        <w:tc>
          <w:tcPr>
            <w:tcW w:w="40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immediately after giving effect to the transaction or series of transactions, no Default or Event of Default has occurred and is continuing;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if we are not the surviving Person, then each subsidiary guarantor, unless such subsidiary guarantor is the Person with which we have consummated a transaction under this provision, shall have confirmed that its guarantee of the Notes shall continue to apply to the obligations under the Notes and the Indenture;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Modification of the Indenture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Generally, we, the subsidiary guarantors and the trustee may amend or supplement the Indenture, the guarantees and the Notes with the written consent of the holders of at least a majority in principal amount of the then outstanding Notes of the affected series. However, without the consent of each holder affected, an amendment, supplement or waiver may not (with respect to any Notes held by a nonconsenting holder):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7"/>
        <w:gridCol w:w="9532"/>
      </w:tblGrid>
      <w:tr>
        <w:trPr/>
        <w:tc>
          <w:tcPr>
            <w:tcW w:w="40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2"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reduce the principal amount of Notes whose holders must consent to an amendment, supplement or waiver;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reduce the principal of or change the fixed maturity of any note;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reduce or waive the premium payable upon redemption or alter or waive the other provisions with respect to the redemption of any Notes;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reduce the rate of or change the time for payment of interest on any note;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waive a Default or an Event of Default in the payment of principal of or premium, if any, or interest on, any Notes (except a rescission of acceleration of the Notes with respect to either series by the holders of at least a majority in aggregate principal amount of that series and a waiver of the payment default that resulted from such acceleration);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release any security that may have been granted with respect to the Notes;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make any note payable in currency other than that stated in the Notes;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make any change in the provisions of the Indenture relating to waivers of past Defaults or the rights of holders of Notes to receive payments of principal of or premium, if any, or interest on the Notes;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waive a redemption payment with respect to any note;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except as otherwise permitted in the Indenture, release any subsidiary guarantor from its obligations under its guarantee or the Indenture or change any guarantee in any manner that would adversely affect the rights of holders; or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make any change in the preceding amendment, supplement and waiver provisions (except to increase any percentage set forth therein).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Notwithstanding the preceding, without the consent of any holder of Notes, we and the trustee may amend or supplement the Indenture or the Notes: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6"/>
        <w:gridCol w:w="9534"/>
      </w:tblGrid>
      <w:tr>
        <w:trPr/>
        <w:tc>
          <w:tcPr>
            <w:tcW w:w="40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cure any ambiguity, defect or inconsistency;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provide for uncertificated Notes in addition to or in place of certificated Notes;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provide for the assumption of our or the confirmation of a subsidiary guarantors obligations to holders of Notes in the case of a merger or consolidation or sale of all or substantially all of our assets;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add or release subsidiary guarantors as permitted pursuant to the terms of the Indenture (see  The Guarantees);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make any changes that would provide any additional rights or benefits to the holders of Notes that do not, taken as a whole, adversely affect the rights under the Indenture of any holder of the Notes;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comply with requirements of the SEC in order to effect or maintain the qualification of the Indenture under the Trust Indenture Act;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evidence or provide for the acceptance of appointment under the Indenture of a successor trustee;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add any additional Events of Default;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secure the Notes and/or the guarantees;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establish the form or terms of any other series of debt securities under the Base Indenture.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Covenants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Limitations on Liens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nor will we permit any Subsidiary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Indenture), without in any such case making effective provision whereby all of the Notes shall be secured equally and ratably with, or prior to, such debt so long as such debt shall be so secured. The following are excluded from this restriction: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0"/>
        <w:gridCol w:w="9542"/>
      </w:tblGrid>
      <w:tr>
        <w:trPr/>
        <w:tc>
          <w:tcPr>
            <w:tcW w:w="40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2"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Permitted Liens;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any lien upon any of our property or assets or the property or assets of any Restricted Subsidiary in existence on December 10, 2003 or provided for pursuant to agreements existing on December 10, 2003;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any lien resulting from the deposit of moneys or evidence of indebtedness in trust for the purpose of defeasing our debt or debt of any Restricted Subsidiary.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Indenture), that is not excepted above without securing the Notes, provided that the aggregate principal amount of all debt then outstanding secured by such lien and all other liens not excepted above, together with all Attributable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Indebtedness from Sale-leaseback Transactions, excluding Sale-leaseback Transactions permitted in the first paragraph under  Limitations on Sale-Leasebacks, does not exceed 10% of Consolidated Net Tangible Assets.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Limitations on Sale-Leasebacks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and will not permit any Subsidiary to, engage in a Sale-leaseback Transaction, unless: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0"/>
        <w:gridCol w:w="9542"/>
      </w:tblGrid>
      <w:tr>
        <w:trPr/>
        <w:tc>
          <w:tcPr>
            <w:tcW w:w="40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2"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the Sale-leaseback Transaction involves a lease for a period, including renewals, of not more than three years;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Indenture) secured by liens upon Principal Properties not excepted in the first paragraph under  Limitations on Liens, do not exceed 10% of Consolidated Net Tangible Assets.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SEC Reports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Regardless of whether Plains All American Pipeline is required to remain subject to the reporting requirements of Section 13 or 15(d) of the Exchange Act, it will electronically file with the SEC, so long as either series of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we will furnish to the holders of Notes and to prospective investors, upon the requests of holders of Notes, any information required to be delivered pursuant to Rule 144A(d)(4) under the Securities Act, so long as the Notes are not freely transferable under the Securities Act.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Defeasance and Discharge</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At any time we may terminate all our obligations under the Indenture as they relate to either series of Notes (legal defeasance), except for certain obligations, including those respecting the defeasance trust and timely payments therefrom and obligations to register the transfer of or exchange the Notes of either series, to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replace mutilated, destroyed, lost or stolen Notes and to maintain a registrar and paying agent in respect of the Notes of the relevant series.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Also, at any time we may terminate our obligations under covenants described in the last paragraph of  The Guarantees, under  Covenants and under  SEC Reports with respect to the Notes of either series (covenant defeasance), and thereafter our failure to comply with any of such covenants would not constitute an Event of Default.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exercise our legal defeasance option notwithstanding our prior exercise of our covenant defeasance option. If we exercise our legal defeasance option, each guarantee obligation will be deemed to have been discharged with respect to the Notes of the relevant series.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order to exercise either defeasance option, we must irrevocably deposit in trust (the defeasance trust) with the trustee money, U.S. Government Obligations (as defined in the Indenture) or a combination thereof for the payment of principal, premium, if any, and interest on the Notes of the relevant series to redemption or stated maturity, as the case may be, and must comply with certain other conditions, including delivery to the trustee of an opinion of counsel to the effect that holders of the Notes of the relevant series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the event of any legal defeasance, holders of the Notes of the relevant series would be entitled to look only to the trust for payment of principal of and any premium and interest on their Notes until maturity.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Although the amount of money and U.S. Government Obligations on deposit with the trustee would be intended to be sufficient to pay amounts due on the defeased Notes of the relevant series at the time of their stated maturity, if we exercise our covenant defeasance option for the Notes and the Notes are declared due and payable because of the occurrence of an Event of Default, such amount may not be sufficient to pay amounts due on the Notes of the relevant series at the time of the acceleration resulting from such Event of Default. We would remain liable for such payments, however.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we may discharge all our obligations under the Indenture with respect to either series of Notes, other than certain obligations to the trustee and our obligation to register the transfer of and exchange Notes, provided that we either: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0"/>
        <w:gridCol w:w="266"/>
        <w:gridCol w:w="9539"/>
      </w:tblGrid>
      <w:tr>
        <w:trPr/>
        <w:tc>
          <w:tcPr>
            <w:tcW w:w="400"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deliver all outstanding Notes of the relevant series to the trustee for cancellation; or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all Notes of the relevant series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of the relevant series, including interest and premium, if any, to the stated maturity or applicable redemption date.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Concerning the Trustee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U.S. Bank National Association will act as indenture trustee, security registrar and paying agent with respect to the Notes. The trustee makes no representation or warranty, express or implied, as to the accuracy or completeness of any information contained in this confidential offering memorandum, except for such information that specifically pertains to the trustee, or any information incorporated by reference.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Governing Law</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Indenture and the Notes will be governed by and construed in accordance with the law of the State of New York.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Definitions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Board of Directors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Consolidated Net Tangible Assets means, at any date of determination, the total amount of assets after deducting therefrom: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all current liabilities excluding: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any current liabilities that by their terms are extendible or renewable at the option of the obligor thereon to a time more than 12 months after the time as of which the amount thereof is being computed;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current maturities of long-term debt;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the amount, net of any applicable reserves, of all goodwill, trade names, trademarks, patents and other like intangible assets,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as set forth on the consolidated balance sheet of Plains All American Pipeline for its most recently completed fiscal quarter, prepared in accordance with generally accepted accounting principles.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Exchange Act means the Securities Exchange Act of 1934, as amended.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Issue Date means the date on which the Notes are initially issued.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Managing General Partner means Plains All American GP LLC, a Delaware limited liability company, and its successors and permitted assigns, as general partner of Plains AAP, L.P., a Delaware limited partnership (and its successors and permitted assigns, as general partner of Plains All American Pipeline) or as the business entity with the ultimate authority to manage the business and operations of Plains All American Pipeline.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Pari Passu Debt means any of our Funded Debt, whether outstanding on the Issue Date or thereafter created, incurred or assumed, unless, in the case of any particular Funded Debt, the instrument creating or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evidencing the same or pursuant to which the same is outstanding expressly provides that such Funded Debt shall be subordinated in right of payment to the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Permitted Liens means: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liens upon rights-of-way for pipeline purposes;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the right reserved to, or vested in, any municipality or public authority by the terms of any right, power, franchise, grant, license, permit or by any provision of law, to purchase or recapture or to designate a purchaser of any property;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liens of taxes and assessments which are: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for the then current year,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not at the time delinquent, or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delinquent but the validity of which is being contested at the time by us or any Restricted Subsidiary in good faith;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liens of, or to secure performance of, leases, other than capital leases;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(6) any lien upon, or deposits of, any assets in favor of any surety company or clerk of court for the purpose of obtaining indemnity or stay of judicial proceedings;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(7) any lien upon property or assets acquired or sold by us or any Restricted Subsidiary resulting from the exercise of any rights arising out of defaults on receivables;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(8) any lien incurred in the ordinary course of business in connection with workers compensation, unemployment insurance, temporary disability, social security, retiree health or similar laws or regulations or to secure obligations imposed by statute or governmental regulations;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(9) any lien in favor of us or any Restricted Subsidiary;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(10)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(11) any lien securing industrial development, pollution control or similar revenue bonds;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(12) 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Indenture (including the Notes) in connection with such refunding, refinancing or repurchase, and the required corresponding durations thereof), to refinance, refund or repurchase all outstanding debt securities under the Indenture (including the Notes), including the amount of all accrued interest thereon and reasonable fees and expenses and premium, if any, incurred by us or any Restricted Subsidiary in connection therewith;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(13) liens in favor of any Person to secure obligations under the provisions of any letters of credit, bank guarantees, bonds or surety obligations required or requested by any governmental authority in connection with any contract or statute;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(14) any lien upon or deposits of any assets to secure performance of bids, trade contracts, leases or statutory obligations;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leases, licenses, franchises, privileges, grants or permits, so long as payment of such rent or the performance of such other obligations or acts is not delinquent or the requirement for such payment or performance is being contested in good faith by appropriate proceedings;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(16) 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(17) 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(18) any obligations or duties to any municipality or public authority with respect to any lease, easement, right-of-way, license, franchise, privilege, permit or grant.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Person means any individual, corporation, partnership, joint venture, limited liability company, association, joint stock company, trust, other entity, unincorporated organization or government or any agency or political subdivision thereof.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Principal Property means, whether owned or leased on the Issue Date or thereafter acquired: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any processing or manufacturing plant or terminal owned or leased by Plains All American Pipeline or any Subsidiary of Plains All American Pipeline; except, in either case above: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any such assets consisting of inventories, furniture, office fixtures and equipment, including data processing equipment, vehicles and equipment used on, or useful with, vehicles,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any such assets, plant or terminal which, in the good faith opinion of the Board of Directors, is not material in relation to the activities of Plains All American Pipeline or the activities of Plains All American Pipeline and its Subsidiaries, taken as a whole.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Restricted Subsidiary means any Subsidiary of Plains All American Pipeline owning or leasing, directly or indirectly through ownership in another Subsidiary, any Principal Property.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Sale-leaseback Transaction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Securities Act means the Securities Act of 1933, as amended.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Subsidiary means, with respect to any Person: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9" w:name="107"/>
      <w:bookmarkEnd w:id="9"/>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MATERIAL U.S. FEDERAL INCOME TAX CONSEQUENCES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is a summary of the material U.S. federal income tax consequences of the exchange of outstanding notes for new notes and is the opinion of Vinson &amp; Elkins L.L.P., counsel to the general partner and us, as it relates to legal conclusions with respect to matters of U.S. federal income tax law. In the opinion of Vinson &amp; Elkins L.L.P., the exchange of outstanding notes for new notes will not be an exchange or otherwise a taxable event to a holder for United States federal income tax purposes. Accordingly, a holder will have the same adjusted issue price, adjusted basis and holding period in the new notes as it had in the outstanding notes immediately before the exchange. The legal conclusions of Vinson &amp; Elkins L.L.P. are based upon the Internal Revenue Code of 1986, as amended, Treasury Regulations, Internal Revenue Service rulings and pronouncements and judicial decisions now in effect, all of which may be subject to change at any time by legislative, judicial or administrative action. These changes may be applied retroactively in a manner that could adversely affect a holder of new notes. The legal conclusions of Vinson &amp; Elkins L.L.P. do not consider the effect of any applicable foreign, state, local or other tax laws or estate or gift tax considerations. Each holder is encouraged to consult, and depend on, his own tax advisor in analyzing the particular tax consequences of exchanging such holders outstanding notes for new notes, including the applicability and effect of any federal, state, local and foreign tax laws.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10" w:name="108"/>
      <w:bookmarkEnd w:id="10"/>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PLAN OF DISTRIBUTION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Based on interpretations by the staff of the SEC in no-action letters issued to third parties, we believe that you may transfer new Notes issued under either exchange offer in exchange for the outstanding Notes if: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73"/>
        <w:gridCol w:w="9528"/>
      </w:tblGrid>
      <w:tr>
        <w:trPr/>
        <w:tc>
          <w:tcPr>
            <w:tcW w:w="4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you acquire the new Notes in the ordinary course of your business;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you are not engaged in, and do not intend to engage in, and have no arrangement or understanding with any person to participate in, a distribution of such new Notes.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may not participate in either exchange offer if you are: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4"/>
        <w:gridCol w:w="9536"/>
      </w:tblGrid>
      <w:tr>
        <w:trPr/>
        <w:tc>
          <w:tcPr>
            <w:tcW w:w="40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our affiliate within the meaning of Rule 405 under the Securities Act;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a broker-dealer that acquired outstanding Notes directly from us.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broker-dealer that receives new Notes for its own account pursuant to either exchange offer must acknowledge that it will deliver a prospectus in connection with any resale of such new Notes. To date, the staff of the SEC has taken the position that broker-dealers may fulfill their prospectus delivery requirements with respect to transactions involving an exchange of securities such as these exchange offers, other than a resale of an unsold allotment from the original sale of the outstanding Notes, with a prospectus contained in a registration statement like this registration statement. This prospectus, as it may be amended or supplemented from time to time, may be used by a broker-dealer in connection with resales of new Notes received in exchange for outstanding Notes where such outstanding Notes were acquired as a result of market-making activities or other trading activities. We have agreed that, for a period of up to one year after the consummation of the exchange offers, we will make this prospectus, as amended or supplemented, promptly available to any broker-dealer for use in connection with any such resale.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wish to exchange your outstanding Notes for new Notes in the applicable exchange offer, you will be required to make representations to us as described in Exchange Offers  Purpose and Effect of the Exchange Offers and  Procedures for Tendering  Your Representations to Us in this prospectus and in the applicable letter of transmittal. In addition, if you are a broker-dealer who receives new Notes for your own account in exchange for outstanding Notes that were acquired by you as a result of market-making activities or other trading activities, you will be required to acknowledge that you will deliver a prospectus in connection with any resale by you of such new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receive any proceeds from any sale of new Notes by broker-dealers. New Notes received by broker-dealers for their own account pursuant to the exchange offer may be sold from time to time in one or more transactions: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7"/>
        <w:gridCol w:w="9536"/>
      </w:tblGrid>
      <w:tr>
        <w:trPr/>
        <w:tc>
          <w:tcPr>
            <w:tcW w:w="402"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in the over-the-counter market; </w:t>
            </w:r>
          </w:p>
        </w:tc>
      </w:tr>
    </w:tbl>
    <w:p>
      <w:pPr>
        <w:pStyle w:val="TextBody"/>
        <w:spacing w:before="120" w:after="283"/>
        <w:rPr/>
      </w:pPr>
      <w:r>
        <w:rPr/>
        <w: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69"/>
        <w:gridCol w:w="9529"/>
      </w:tblGrid>
      <w:tr>
        <w:trPr/>
        <w:tc>
          <w:tcPr>
            <w:tcW w:w="40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in negotiated transactions;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through the writing of options on the new Notes or a combination of the preceding methods of resale;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at market prices prevailing at the time of resale; and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at prices related to such prevailing market prices or negotiated prices.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such resale may be made directly to purchasers or to or through brokers or dealers who may receive compensation in the form of commissions or concessions from any such broker-dealer or the purchasers of any such new Notes. Any broker-dealer that resells new Notes that were received by it for its own account pursuant to the exchange offers and any broker or dealer that participates in a distribution of such new Notes may be deemed to be an underwriter within the meaning of the Securities Act and any profit of any such resale of new Notes and any commissions or concessions received by any such persons may be deemed to be underwriting compensation under the Securities Act. Each letter of transmittal states that by acknowledging that it will deliver and by delivering a prospectus, a broker-dealer will not be deemed to admit that it is an underwriter within the meaning of the Securities Act.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a period of one year after the consummation of each exchange offer, we will promptly send additional copies of this prospectus and any amendment or supplement to this prospectus to any broker-dealer that requests such documents in a letter of transmittal. We have agreed to pay all expenses incident to each exchange offer (including the expenses of one counsel for the holders of the outstanding Notes) other than commissions or concessions of any broker-dealers and will indemnify the holders of the outstanding Notes (including any broker-dealers) against certain liabilities, including liabilities under the Securities Act.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11" w:name="109"/>
      <w:bookmarkEnd w:id="11"/>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LEGAL MATTERS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validity of the new Notes and the related guarantees will be passed upon for us by Vinson &amp; Elkins L.L.P., Houston, Texas. </w:t>
      </w:r>
    </w:p>
    <w:p>
      <w:pPr>
        <w:pStyle w:val="TextBody"/>
        <w:spacing w:before="180" w:after="283"/>
        <w:rPr/>
      </w:pPr>
      <w:r>
        <w:rPr/>
        <w:t> </w:t>
      </w:r>
    </w:p>
    <w:p>
      <w:pPr>
        <w:pStyle w:val="TextBody"/>
        <w:spacing w:before="0" w:after="0"/>
        <w:jc w:val="center"/>
        <w:rPr>
          <w:rFonts w:ascii="Arial;Helvetica" w:hAnsi="Arial;Helvetica"/>
          <w:color w:val="000000"/>
          <w:sz w:val="17"/>
          <w:highlight w:val="white"/>
        </w:rPr>
      </w:pPr>
      <w:bookmarkStart w:id="12" w:name="110"/>
      <w:bookmarkEnd w:id="12"/>
      <w:r>
        <w:rPr>
          <w:rFonts w:ascii="Times New Roman;Times" w:hAnsi="Times New Roman;Times"/>
          <w:b/>
          <w:color w:val="000000"/>
          <w:sz w:val="17"/>
          <w:highlight w:val="white"/>
        </w:rPr>
        <w:t>EXPERTS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2006 have been so incorporated in reliance on the report of PricewaterhouseCoopers LLP, an independent registered public accounting firm, given on the authority of said firm as experts in auditing and accounting.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balance sheet of Plains AAP, L.P. incorporated in this prospectus by reference to Plains All American Pipeline, L.P.s Current Report on Form 8-K filed May 2, 2007 has been so incorporated in reliance on the report of PricewaterhouseCoopers LLP, an independent registered public accounting firm, given on the authority of said firm as experts in auditing and accounting.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consolidated financial statements of Pacific Energy Partners, L.P. (Pacific Energy Partners) as of December 31, 2005 and 2004, and for each of the years in the three-year period ended December 31, 2005 have been incorporated by reference herein in reliance upon the reports of KPMG LLP, an independent registered public accounting firm, and upon the authority of said firm as experts in accounting and auditing. </w:t>
      </w:r>
    </w:p>
    <w:p>
      <w:pPr>
        <w:pStyle w:val="TextBody"/>
        <w:spacing w:before="240" w:after="283"/>
        <w:rPr/>
      </w:pPr>
      <w:r>
        <w:rPr/>
        <w:t> </w:t>
      </w:r>
    </w:p>
    <w:p>
      <w:pPr>
        <w:pStyle w:val="TextBody"/>
        <w:spacing w:before="0" w:after="0"/>
        <w:jc w:val="center"/>
        <w:rPr>
          <w:rFonts w:ascii="Arial;Helvetica" w:hAnsi="Arial;Helvetica"/>
          <w:color w:val="000000"/>
          <w:sz w:val="17"/>
          <w:highlight w:val="white"/>
        </w:rPr>
      </w:pPr>
      <w:bookmarkStart w:id="13" w:name="111"/>
      <w:bookmarkEnd w:id="13"/>
      <w:r>
        <w:rPr>
          <w:rFonts w:ascii="Times New Roman;Times" w:hAnsi="Times New Roman;Times"/>
          <w:b/>
          <w:color w:val="000000"/>
          <w:sz w:val="17"/>
          <w:highlight w:val="white"/>
        </w:rPr>
        <w:t>WHERE YOU CAN FIND MORE INFORMATION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incorporating by reference into this prospectus information we file with the SEC. This procedure means that we can disclose important information to you by referring you to documents filed with the SEC. The information we incorporate by reference is part of this prospectus and later information that we file with the SEC will automatically update and supersede this information. We incorporate by reference the documents listed below and any future filings made by Plains All American Pipeline, L.P. (Commission File No. 1-14569) with the SEC under Sections 13(a), 13(c), 14 or 15(d) of the Securities Exchange Act of 1934 (excluding any information furnished and not filed with the SEC) until the offering under this registration statement is completed: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73"/>
        <w:gridCol w:w="9528"/>
      </w:tblGrid>
      <w:tr>
        <w:trPr/>
        <w:tc>
          <w:tcPr>
            <w:tcW w:w="4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Annual Report on Form 10-K for the year ended December 31, 2006;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9"/>
        <w:gridCol w:w="262"/>
        <w:gridCol w:w="9534"/>
      </w:tblGrid>
      <w:tr>
        <w:trPr/>
        <w:tc>
          <w:tcPr>
            <w:tcW w:w="4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rPr>
                <w:sz w:val="4"/>
                <w:szCs w:val="4"/>
              </w:rPr>
            </w:pPr>
            <w:r>
              <w:rPr>
                <w:sz w:val="4"/>
                <w:szCs w:val="4"/>
              </w:rPr>
            </w:r>
          </w:p>
        </w:tc>
      </w:tr>
      <w:tr>
        <w:trPr/>
        <w:tc>
          <w:tcPr>
            <w:tcW w:w="409"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Quarterly Report on Form 10-Q for the quarter ended March 31, 2007;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1"/>
        <w:gridCol w:w="9540"/>
      </w:tblGrid>
      <w:tr>
        <w:trPr/>
        <w:tc>
          <w:tcPr>
            <w:tcW w:w="40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Exhibit 99.3 to the Current Report on Form 8-K filed with the Commission on November 21, 2006 (audited financial statements of Pacific Energy Partners);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73"/>
        <w:gridCol w:w="9528"/>
      </w:tblGrid>
      <w:tr>
        <w:trPr/>
        <w:tc>
          <w:tcPr>
            <w:tcW w:w="4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Current Report on Form 8-K filed with the Commission on May 2, 2007 (audited balance sheet of Plains AAP, L.P. dated December 31, 2006); and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5"/>
        <w:gridCol w:w="9524"/>
      </w:tblGrid>
      <w:tr>
        <w:trPr/>
        <w:tc>
          <w:tcPr>
            <w:tcW w:w="40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24"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Current Report on Form 8-K filed with the Commission on February 28, 2007 (LTIP grants to Named Executive Officers).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may request a copy of these filings at no cost by making written or telephone requests for copies to: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 L.P.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333 Clay Street, Suite 1600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Houston, Texas 77002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Attention: Tim Moore </w:t>
      </w:r>
    </w:p>
    <w:p>
      <w:pPr>
        <w:pStyle w:val="TextBody"/>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Telephone: (713) 646-4100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www.sec.gov.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should rely only on the information incorporated by reference or provided in this prospectus. We have not authorized anyone else to provide you with any information. You should not assume that the information provided in this prospectus or incorporated by reference is accurate as of any date other than the date on the front cover or the date of the incorporated material, as applicable. </w:t>
      </w:r>
    </w:p>
    <w:p>
      <w:pPr>
        <w:pStyle w:val="TextBody"/>
        <w:spacing w:before="360" w:after="283"/>
        <w:rPr/>
      </w:pPr>
      <w:bookmarkStart w:id="14" w:name="112"/>
      <w:bookmarkEnd w:id="14"/>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FORWARD-LOOKING STATEMENTS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statements included or incorporated by reference in this prospectus, other than statements of historical fact,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 absence of these words, however, does not mean that the statements are not forward 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68"/>
        <w:gridCol w:w="9529"/>
      </w:tblGrid>
      <w:tr>
        <w:trPr/>
        <w:tc>
          <w:tcPr>
            <w:tcW w:w="40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the failure to realize the anticipated synergies and other benefits of the merger with Pacific Energy Partners;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0"/>
        <w:gridCol w:w="9540"/>
      </w:tblGrid>
      <w:tr>
        <w:trPr/>
        <w:tc>
          <w:tcPr>
            <w:tcW w:w="40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the success of our risk management activities;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environmental liabilities or events that are not covered by an indemnity, insurance or existing reserves;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maintenance of our credit rating and ability to receive open credit from our suppliers and trade counterparties;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abrupt or severe declines or interruptions in outer continental shelf production located offshore California and transported on our pipeline systems;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failure to implement or capitalize on planned internal growth projects;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9"/>
        <w:gridCol w:w="268"/>
        <w:gridCol w:w="9528"/>
      </w:tblGrid>
      <w:tr>
        <w:trPr/>
        <w:tc>
          <w:tcPr>
            <w:tcW w:w="4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9"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shortages or cost increases of power supplies, materials or labor;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7"/>
        <w:gridCol w:w="9533"/>
      </w:tblGrid>
      <w:tr>
        <w:trPr/>
        <w:tc>
          <w:tcPr>
            <w:tcW w:w="40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the availability of adequate third party production volumes for transportation and marketing in the areas in which we operate, and other factors that could cause declines in volumes shipped on our pipelines by us and third party shippers;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fluctuations in refinery capacity in areas supplied by our mainlines, and other factors affecting demand for various grades of crude oil, refined products and natural gas and resulting changes in pricing conditions or transmission throughput requirements;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the availability of, and our ability to consummate, acquisition or combination opportunities;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our access to capital to fund additional acquisitions and our ability to obtain debt or equity financing on satisfactory terms;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1"/>
        <w:gridCol w:w="9528"/>
      </w:tblGrid>
      <w:tr>
        <w:trPr/>
        <w:tc>
          <w:tcPr>
            <w:tcW w:w="40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successful integration and future performance of acquired assets or businesses and the risks associated with operating in lines of business that are distinct and separate from our historical operations;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7"/>
        <w:gridCol w:w="9533"/>
      </w:tblGrid>
      <w:tr>
        <w:trPr/>
        <w:tc>
          <w:tcPr>
            <w:tcW w:w="40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unanticipated changes in crude oil market structure and volatility (or lack thereof);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the impact of current and future laws, rulings and governmental regulations;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the effects of competition;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6"/>
        <w:gridCol w:w="9537"/>
      </w:tblGrid>
      <w:tr>
        <w:trPr/>
        <w:tc>
          <w:tcPr>
            <w:tcW w:w="40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continued creditworthiness of, and performance by, our counterparties;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interruptions in service and fluctuations in tariffs or volumes on third-party pipelines;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increased costs or lack of availability of insurance;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fluctuations in the debt and equity markets, including the price of our units at the time of vesting under our Long-Term Incentive Plans;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currency exchange rate of the Canadian dollar;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7"/>
        <w:gridCol w:w="9532"/>
      </w:tblGrid>
      <w:tr>
        <w:trPr/>
        <w:tc>
          <w:tcPr>
            <w:tcW w:w="40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2"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weather interference with business operations or project construction;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9"/>
        <w:gridCol w:w="9533"/>
      </w:tblGrid>
      <w:tr>
        <w:trPr/>
        <w:tc>
          <w:tcPr>
            <w:tcW w:w="403"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risks related to the development and operation of natural gas storage facilities;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general economic, market or business conditions; and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other factors and uncertainties inherent in the transportation, storage, terminalling and marketing of crude oil, refined products and liquefied petroleum gas and other natural gas related petroleum products.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Other factors described herein or incorporated by reference, or factors that are unknown or unpredictable, could also have a material adverse effect on future results. Please read Risk Factors beginning on page 6 of this prospectus and in Item 1A. Risk Factors in our annual report on Form 10-K for the year ended December 31, 2006. Except as required by securities laws applicable to the documents incorporated by reference, we do not intend to update these forward-looking statements and information.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right"/>
        <w:rPr>
          <w:rFonts w:ascii="Arial;Helvetica" w:hAnsi="Arial;Helvetica"/>
          <w:color w:val="000000"/>
          <w:sz w:val="17"/>
          <w:highlight w:val="white"/>
        </w:rPr>
      </w:pPr>
      <w:r>
        <w:rPr>
          <w:rFonts w:ascii="Times New Roman;Times" w:hAnsi="Times New Roman;Times"/>
          <w:b/>
          <w:color w:val="000000"/>
          <w:sz w:val="17"/>
          <w:highlight w:val="white"/>
        </w:rPr>
        <w:t>ANNEX A</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center"/>
        <w:rPr>
          <w:rFonts w:ascii="Arial;Helvetica" w:hAnsi="Arial;Helvetica"/>
          <w:color w:val="000000"/>
          <w:sz w:val="27"/>
          <w:highlight w:val="white"/>
        </w:rPr>
      </w:pPr>
      <w:bookmarkStart w:id="15" w:name="113"/>
      <w:bookmarkEnd w:id="15"/>
      <w:r>
        <w:rPr>
          <w:rFonts w:ascii="Times New Roman;Times" w:hAnsi="Times New Roman;Times"/>
          <w:b/>
          <w:color w:val="000000"/>
          <w:sz w:val="27"/>
          <w:highlight w:val="white"/>
        </w:rPr>
        <w:t>LETTER OF TRANSMITTAL</w:t>
        <w:br/>
      </w:r>
      <w:r>
        <w:rPr>
          <w:rFonts w:ascii="Times New Roman;Times" w:hAnsi="Times New Roman;Times"/>
          <w:b/>
          <w:color w:val="000000"/>
          <w:sz w:val="23"/>
          <w:highlight w:val="white"/>
        </w:rPr>
        <w:t>TO TENDER</w:t>
        <w:br/>
        <w:t>OUTSTANDING 6.125% SENIOR NOTES DUE 2017</w:t>
        <w:br/>
        <w:t>OF</w:t>
        <w:br/>
      </w:r>
      <w:r>
        <w:rPr>
          <w:rFonts w:ascii="Times New Roman;Times" w:hAnsi="Times New Roman;Times"/>
          <w:b/>
          <w:color w:val="000000"/>
          <w:sz w:val="27"/>
          <w:highlight w:val="white"/>
        </w:rPr>
        <w:t>PLAINS ALL AMERICAN PIPELINE, L.P.</w:t>
        <w:br/>
      </w:r>
      <w:r>
        <w:rPr>
          <w:rFonts w:ascii="Times New Roman;Times" w:hAnsi="Times New Roman;Times"/>
          <w:b/>
          <w:color w:val="000000"/>
          <w:sz w:val="23"/>
          <w:highlight w:val="white"/>
        </w:rPr>
        <w:t>AND</w:t>
        <w:br/>
      </w:r>
      <w:r>
        <w:rPr>
          <w:rFonts w:ascii="Times New Roman;Times" w:hAnsi="Times New Roman;Times"/>
          <w:b/>
          <w:color w:val="000000"/>
          <w:sz w:val="27"/>
          <w:highlight w:val="white"/>
        </w:rPr>
        <w:t>PAA FINANCE CORP.</w:t>
        <w:br/>
      </w:r>
      <w:r>
        <w:rPr>
          <w:rFonts w:ascii="Times New Roman;Times" w:hAnsi="Times New Roman;Times"/>
          <w:b/>
          <w:color w:val="000000"/>
          <w:sz w:val="23"/>
          <w:highlight w:val="white"/>
        </w:rPr>
        <w:t>PURSUANT TO THE EXCHANGE OFFER AND PROSPECTUS</w:t>
        <w:br/>
        <w:t>DATED          , 2007</w:t>
      </w:r>
      <w:r>
        <w:rPr>
          <w:rFonts w:ascii="Arial;Helvetica" w:hAnsi="Arial;Helvetica"/>
          <w:color w:val="000000"/>
          <w:sz w:val="27"/>
          <w:highlight w:val="white"/>
        </w:rPr>
        <w:t xml:space="preserve"> </w:t>
      </w:r>
    </w:p>
    <w:p>
      <w:pPr>
        <w:pStyle w:val="TextBody"/>
        <w:spacing w:before="360" w:after="283"/>
        <w:rPr/>
      </w:pPr>
      <w:r>
        <w:rPr/>
        <w:t> </w:t>
      </w:r>
    </w:p>
    <w:p>
      <w:pPr>
        <w:pStyle w:val="TextBody"/>
        <w:spacing w:before="0" w:after="0"/>
        <w:ind w:left="0" w:right="0" w:firstLine="240"/>
        <w:jc w:val="left"/>
        <w:rPr>
          <w:rFonts w:ascii="Times New Roman;Times" w:hAnsi="Times New Roman;Times"/>
          <w:color w:val="000000"/>
          <w:sz w:val="17"/>
          <w:highlight w:val="white"/>
          <w:bdr w:val="single" w:sz="2" w:space="12" w:color="000000"/>
        </w:rPr>
      </w:pPr>
      <w:r>
        <w:rPr>
          <w:rFonts w:ascii="Times New Roman;Times" w:hAnsi="Times New Roman;Times"/>
          <w:b/>
          <w:color w:val="000000"/>
          <w:sz w:val="20"/>
          <w:highlight w:val="white"/>
          <w:bdr w:val="single" w:sz="2" w:space="12" w:color="000000"/>
        </w:rPr>
        <w:t>THE EXCHANGE OFFER AND WITHDRAWAL RIGHTS WILL EXPIRE AT 5:00 P.M., NEW YORK CITY TIME, ON          , 2007 (THE EXPIRATION DATE), UNLESS THE EXCHANGE OFFER IS EXTENDED BY THE ISSUERS.</w:t>
      </w:r>
      <w:r>
        <w:rPr>
          <w:rFonts w:ascii="Times New Roman;Times" w:hAnsi="Times New Roman;Times"/>
          <w:color w:val="000000"/>
          <w:sz w:val="17"/>
          <w:highlight w:val="white"/>
          <w:bdr w:val="single" w:sz="2" w:space="12" w:color="000000"/>
        </w:rPr>
        <w:t xml:space="preserve"> </w:t>
      </w:r>
    </w:p>
    <w:p>
      <w:pPr>
        <w:pStyle w:val="TextBody"/>
        <w:spacing w:before="3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7"/>
          <w:highlight w:val="white"/>
        </w:rPr>
        <w:t>The Exchange Agent for the Exchange Offer is:</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0"/>
          <w:highlight w:val="white"/>
        </w:rPr>
        <w:t>U.S. Bank Corporate Trust Services</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Specialized Finance Dept.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60 Livingston Avenue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St. Paul, MN 55107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Attention: Brandi Steward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Telephone: 651-495-4738 </w:t>
      </w:r>
    </w:p>
    <w:p>
      <w:pPr>
        <w:pStyle w:val="TextBody"/>
        <w:spacing w:before="1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If you wish to exchange currently outstanding 6.125% Senior Notes due 2017 (the outstanding notes) for an equal aggregate principal amount at maturity of new 6.125% Senior Notes due 2017 pursuant to the exchange offer, you must validly tender (and not withdraw) outstanding notes to the exchange agent prior to the expiration date.</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undersigned hereby acknowledges receipt of the Prospectus, dated          , 2007 (the Prospectus), of Plains All American Pipeline, L.P. and PAA Finance Corp. (the Issuers), and this Letter of Transmittal (the Letter of Transmittal), which together describe the Issuers offer (the Exchange Offer) to exchange their 6.125% Senior Notes due 2017 (the New Notes) that have been registered under the Securities Act of 1933, as amended (the Securities Act), for a like principal amount of their issued and outstanding 6.125% Senior Notes due 2017 (the Outstanding Notes). Capitalized terms used but not defined herein have the respective meaning given to them in the Prospectus.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Issuers reserve the right, at any time or from time to time, to extend the Exchange Offer at their discretion, in which event the term Expiration Date shall mean the latest date to which the Exchange Offer is extended. The Issuers shall notify the Exchange Agent and each registered holder of the Outstanding Notes of any extension by oral or written notice prior to 9:00 a.m., New York City time, on the next business day after the previously scheduled Expiration Date.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Letter of Transmittal is to be used by holders of the Outstanding Notes. Tender of Outstanding Notes is to be made according to the Automated Tender Offer Program (ATOP) of The Depository Trust Company (DTC) pursuant to the procedures set forth in the Prospectus under the caption Exchange Offers  Procedures for Tendering. DTC participants that are accepting the Exchange Offer must transmit their acceptance to DTC, which will verify the acceptance and execute a book-entry delivery to the Exchange Agents DTC account. DTC will then send a computer-generated message known as an agents message to the Exchange Agent for its acceptance. For you to validly tender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A-1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your Outstanding Notes in the Exchange Offer, the Exchange Agent must receive, prior to the Expiration Date, an agents message under the ATOP procedures confirming that: </w:t>
      </w:r>
    </w:p>
    <w:p>
      <w:pPr>
        <w:pStyle w:val="TextBody"/>
        <w:spacing w:before="120" w:after="283"/>
        <w:rPr/>
      </w:pPr>
      <w:r>
        <w:rPr/>
        <w:t> </w:t>
      </w:r>
    </w:p>
    <w:p>
      <w:pPr>
        <w:pStyle w:val="TextBody"/>
        <w:spacing w:before="0" w:after="0"/>
        <w:jc w:val="left"/>
        <w:rPr>
          <w:color w:val="000000"/>
          <w:highlight w:val="white"/>
        </w:rPr>
      </w:pPr>
      <w:r>
        <w:rPr>
          <w:color w:val="000000"/>
          <w:highlight w:val="white"/>
        </w:rPr>
        <w:t> </w:t>
      </w:r>
      <w:r>
        <w:rPr>
          <w:rFonts w:ascii="Times New Roman;Times" w:hAnsi="Times New Roman;Times"/>
          <w:color w:val="000000"/>
          <w:sz w:val="17"/>
          <w:highlight w:val="white"/>
        </w:rPr>
        <w:t xml:space="preserve"> DTC has received your instructions to tender your Outstanding Notes; and </w:t>
      </w:r>
    </w:p>
    <w:p>
      <w:pPr>
        <w:pStyle w:val="TextBody"/>
        <w:spacing w:before="120" w:after="283"/>
        <w:rPr/>
      </w:pPr>
      <w:r>
        <w:rPr/>
        <w:t> </w:t>
      </w:r>
    </w:p>
    <w:p>
      <w:pPr>
        <w:pStyle w:val="TextBody"/>
        <w:spacing w:before="0" w:after="0"/>
        <w:jc w:val="left"/>
        <w:rPr>
          <w:color w:val="000000"/>
          <w:highlight w:val="white"/>
        </w:rPr>
      </w:pPr>
      <w:r>
        <w:rPr>
          <w:color w:val="000000"/>
          <w:highlight w:val="white"/>
        </w:rPr>
        <w:t> </w:t>
      </w:r>
      <w:r>
        <w:rPr>
          <w:rFonts w:ascii="Times New Roman;Times" w:hAnsi="Times New Roman;Times"/>
          <w:color w:val="000000"/>
          <w:sz w:val="17"/>
          <w:highlight w:val="white"/>
        </w:rPr>
        <w:t xml:space="preserve"> You agree to be bound by the terms of this Letter of Transmittal.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USING THE ATOP PROCEDURES TO TENDER OUTSTANDING NOTES, YOU WILL NOT BE REQUIRED TO DELIVER THIS LETTER OF TRANSMITTAL TO THE EXCHANGE AGENT. HOWEVER, YOU WILL BE BOUND BY ITS TERMS, AND YOU WILL BE DEEMED TO HAVE MADE THE ACKNOWLEDGMENTS AND THE REPRESENTATIONS AND WARRANTIES IT CONTAINS, JUST AS IF YOU HAD SIGNED IT. </w:t>
      </w:r>
    </w:p>
    <w:p>
      <w:pPr>
        <w:pStyle w:val="TextBody"/>
        <w:spacing w:before="360" w:after="283"/>
        <w:rPr/>
      </w:pPr>
      <w:r>
        <w:rPr/>
        <w:t> </w:t>
      </w:r>
    </w:p>
    <w:p>
      <w:pPr>
        <w:pStyle w:val="TextBody"/>
        <w:spacing w:before="0" w:after="0"/>
        <w:jc w:val="center"/>
        <w:rPr>
          <w:rFonts w:ascii="Times New Roman;Times" w:hAnsi="Times New Roman;Times"/>
          <w:b/>
          <w:color w:val="000000"/>
          <w:sz w:val="17"/>
          <w:highlight w:val="white"/>
        </w:rPr>
      </w:pPr>
      <w:r>
        <w:rPr>
          <w:rFonts w:ascii="Times New Roman;Times" w:hAnsi="Times New Roman;Times"/>
          <w:b/>
          <w:color w:val="000000"/>
          <w:sz w:val="17"/>
          <w:highlight w:val="white"/>
        </w:rPr>
        <w:t>SIGNATURES MUST BE PROVIDED</w:t>
      </w:r>
    </w:p>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PLEASE READ THE ACCOMPANYING INSTRUCTIONS CAREFULLY.</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Ladies and Gentlemen:</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By tendering Outstanding Notes in the Exchange Offer, you acknowledge receipt of the Prospectus and this Letter of Transmittal.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By tendering Outstanding Notes in the Exchange Offer, you represent and warrant that you have full authority to tender the Outstanding Notes described above and will, upon request, execute and deliver any additional documents deemed by the Issuers to be necessary or desirable to complete the tender of Outstanding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You understand that the tender of the Outstanding Notes pursuant to all of the procedures set forth in the Prospectus will constitute an agreement between the undersigned and the Issuers as to the terms and conditions set forth in the Prospectus.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By tendering Outstanding Notes in the Exchange Offer, you acknowledge that the Exchange Offer is being made in reliance upon interpretations contained in no-action letters issued to third parties by the staff of the Securities and Exchange Commission (the SEC), including Exxon Capital Holdings Corp., SEC No-Action Letter (available April 13, 1989), Morgan Stanley &amp; Co. Inc., SEC No-Action Letter (available June 5, 1991) and Shearman &amp; Sterling, SEC No-Action Letter (available July 2, 1993), that the New Notes issued in exchange for the Outstanding Notes pursuant to the Exchange Offer may be offered for resale, resold and otherwise transferred by holders thereof without compliance with the registration and prospectus delivery provisions of the Securities Act (other than a broker-dealer who purchased Outstanding Notes exchanged for such New Notes directly from the Issuers to resell pursuant to Rule 144A or any other available exemption under the Securities Act of 1933, as amended (the Securities Act) and any such holder that is an affiliate of the Issuers within the meaning of Rule 405 under the Securities Act), provided that such New Notes are acquired in the ordinary course of such holders business and such holders are not participating in, and have no arrangement with any other person to participate in, the distribution of such New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By tendering Outstanding Notes in the Exchange Offer, you hereby represent and warrant that: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the New Notes acquired pursuant to the Exchange Offer are being obtained in the ordinary course of your business, whether or not you are the holder;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you have no arrangement or understanding with any person to participate in the distribution of Outstanding Notes or New Notes within the meaning of the Securities Act;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you are not an affiliate, as such term is defined under Rule 405 promulgated under the Securities Act, of the Issuers;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 if you are not a broker-dealer, that you are not engaged in, and do not intend to engage in, the distribution of the New Notes; and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 if you are a broker-dealer, that you will receive the New Notes for your own account in exchange for Outstanding Notes that were acquired as a result of market-making activities or other trading activities and that you acknowledge that you will deliver a prospectus in connection with any resale of such New Notes.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A-2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6. You may, if you are unable to make all of the representations and warranties contained in Item 5 above and as otherwise permitted in the Registration Rights Agreement (as defined below), elect to have your Outstanding Notes registered in the shelf registration statement described in the Exchange and Registration Rights Agreement, dated as of October 30, 2006 (the Registration Rights Agreement), by and among the Issuers, the Guarantors (as defined therein) and the Initial Purchasers (as defined therein). Such election may be made by notifying the Issuers in writing at 333 Clay Street, Suite 1600, Houston, Texas 77002, Attention: Tim Moore. By making such election, you agree, as a holder of Outstanding Notes participating in a shelf registration, to indemnify and hold harmless the Issuers, each of the directors of the Issuers, each of the officers of the Issuers who signs such shelf registration statement, each person who controls the Issuers within the meaning of either the Securities Act or the Securities Exchange Act of 1934, as amended (the Exchange Act), and each other holder of Outstanding Notes, from and against any and all losses, claims, damages or liabilities caused by any untrue statement or alleged untrue statement of a material fact contained in any shelf registration statement or prospectus, or in any supplement thereto or amendment thereof, or caused by the omission or alleged omission to state therein a material fact required to be stated therein or necessary to make the statements therein, in the light of the circumstances under which they were made, not misleading; but only with respect to information relating to you furnished in writing by you or on your behalf expressly for use in a shelf registration statement, a prospectus or any amendments or supplements thereto. Any such indemnification shall be governed by the terms and subject to the conditions set forth in the Registration Rights Agreement, including, without limitation, the provisions regarding notice, retention of counsel, contribution and payment of expenses set forth therein. The above summary of the indemnification provision of the Registration Rights Agreement is not intended to be exhaustive and is qualified in its entirety by the Registration Rights Agreement.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7. If you are a broker-dealer that will receive New Notes for your own account in exchange for Outstanding Notes that were acquired as a result of market-making activities or other trading activities, you acknowledge by tendering Outstanding Notes in the Exchange Offer, that you will deliver a prospectus in connection with any resale of such New Notes; however, by so acknowledging and by delivering a prospectus, you will not be deemed to admit that you are an underwriter within the meaning of the Securities Act. If you are a broker-dealer and Outstanding Notes held for your own account were not acquired as a result of market-making or other trading activities, such Outstanding Notes cannot be exchanged pursuant to the Exchange Offer.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8. Any of your obligations hereunder shall be binding upon your successors, assigns, executors, administrators, trustees in bankruptcy and legal and personal representatives. </w:t>
      </w:r>
    </w:p>
    <w:p>
      <w:pPr>
        <w:pStyle w:val="TextBody"/>
        <w:spacing w:before="360" w:after="283"/>
        <w:rPr/>
      </w:pPr>
      <w:r>
        <w:rPr/>
        <w:t> </w:t>
      </w:r>
    </w:p>
    <w:p>
      <w:pPr>
        <w:pStyle w:val="TextBody"/>
        <w:spacing w:before="0" w:after="0"/>
        <w:jc w:val="center"/>
        <w:rPr>
          <w:rFonts w:ascii="Times New Roman;Times" w:hAnsi="Times New Roman;Times"/>
          <w:b/>
          <w:color w:val="000000"/>
          <w:sz w:val="17"/>
          <w:highlight w:val="white"/>
        </w:rPr>
      </w:pPr>
      <w:r>
        <w:rPr>
          <w:rFonts w:ascii="Times New Roman;Times" w:hAnsi="Times New Roman;Times"/>
          <w:b/>
          <w:color w:val="000000"/>
          <w:sz w:val="17"/>
          <w:highlight w:val="white"/>
        </w:rPr>
        <w:t>INSTRUCTIONS</w:t>
      </w:r>
    </w:p>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FORMING PART OF THE TERMS AND CONDITIONS OF THE EXCHANGE OFFER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Book-Entry Confirmations.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confirmation of a book-entry transfer of Outstanding Notes to the Exchange Agents account at DTC (a Book-Entry Confirmation), as well as any agents message and any other documents required by this Letter of Transmittal, must be received by the Exchange Agent at its address set forth herein prior to 5:00 P.M., New York City time, on the Expiration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Partial Tenders.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Tenders of Outstanding Notes will be accepted only in integral multiples of $1,000. The entire principal amount of Outstanding Notes delivered to the Exchange Agent will be deemed to have been tendered unless otherwise communicated to the Exchange Agent. If the entire principal amount of all Outstanding Notes is not tendered, then Outstanding Notes for the principal amount of Outstanding Notes not tendered and New Notes issued in exchange for any Outstanding Notes accepted will be delivered to the holder via the facilities of DTC promptly after the Outstanding Notes are accepted for exchange.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Validity of Tenders.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questions as to the validity, form, eligibility (including time of receipt), acceptance, and withdrawal of tendered Outstanding Notes will be determined by the Issuers, in their sole discretion, which determination will be final and binding. The Issuers reserve the absolute right to reject any or all tenders not in proper form or the acceptance for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A-3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exchange of which may, in the opinion of counsel for the Issuers, be unlawful. The Issuers also reserve the absolute right to waive any of the conditions of the Exchange Offer or any defect or irregularity in the tender of any Outstanding Notes. The Issuers interpretation of the terms and conditions of the Exchange Offer (including the instructions on the Letter of Transmittal) will be final and binding on all parties. Unless waived, any defects or irregularities in connection with tenders of Outstanding Notes must be cured within such time as the Issuers shall determine. Although the Issuers intend to notify holders of defects or irregularities with respect to tenders of Outstanding Notes, neither the Issuers, the Exchange Agent, nor any other person shall be under any duty to give notification of any defects or irregularities in tenders or incur any liability for failure to give such notification. Tenders of Outstanding Notes will not be deemed to have been made until such defects or irregularities have been cured or waived. Any Outstanding Notes received by the Exchange Agent that are not properly tendered and as to which the defects or irregularities have not been cured or waived will be returned by the Exchange Agent to the tendering holders, unless otherwise provided in the Letter of Transmittal, as soon as practicable following the Expiration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Waiver of Conditions.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Issuers reserve the absolute right to waive, in whole or part, up to the expiration of the Exchange Offer, any of the conditions to the Exchange Offer set forth in the Prospectus or in this Letter of Transmittal.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No Conditional Tender.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 alternative, conditional, irregular or contingent tender of Outstanding Notes will be accepted.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6. Request for Assistance or Additional Copies.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Requests for assistance or for additional copies of the Prospectus or this Letter of Transmittal may be directed to the Exchange Agent at the address or telephone number set forth on the cover page of this Letter of Transmittal. Holders may also contact their broker, dealer, commercial bank, trust company or other nominee for assistance concerning the Exchange Offer.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7. Withdrawal.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Tenders may be withdrawn only pursuant to the limited withdrawal rights set forth in the Prospectus under the caption Exchange Offers  Withdrawal of Tenders.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8. No Guarantee of Late Delivery.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There is no procedure for guarantee of late delivery in the Exchange Offer.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IMPORTANT: BY USING THE ATOP PROCEDURES TO TENDER OUTSTANDING NOTES, YOU WILL NOT BE REQUIRED TO DELIVER THIS LETTER OF TRANSMITTAL TO THE EXCHANGE AGENT. YOU WILL, HOWEVER, BE BOUND BY ITS TERMS, AND YOU WILL BE DEEMED TO HAVE MADE THE ACKNOWLEDGMENTS AND THE REPRESENTATIONS AND WARRANTIES IT CONTAINS, JUST AS IF YOU HAD SIGNED IT.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A-4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right"/>
        <w:rPr>
          <w:rFonts w:ascii="Arial;Helvetica" w:hAnsi="Arial;Helvetica"/>
          <w:color w:val="000000"/>
          <w:sz w:val="17"/>
          <w:highlight w:val="white"/>
        </w:rPr>
      </w:pPr>
      <w:r>
        <w:rPr>
          <w:rFonts w:ascii="Times New Roman;Times" w:hAnsi="Times New Roman;Times"/>
          <w:b/>
          <w:color w:val="000000"/>
          <w:sz w:val="17"/>
          <w:highlight w:val="white"/>
        </w:rPr>
        <w:t>ANNEX B</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0"/>
        <w:jc w:val="center"/>
        <w:rPr>
          <w:rFonts w:ascii="Arial;Helvetica" w:hAnsi="Arial;Helvetica"/>
          <w:color w:val="000000"/>
          <w:sz w:val="27"/>
          <w:highlight w:val="white"/>
        </w:rPr>
      </w:pPr>
      <w:bookmarkStart w:id="16" w:name="114"/>
      <w:bookmarkEnd w:id="16"/>
      <w:r>
        <w:rPr>
          <w:rFonts w:ascii="Times New Roman;Times" w:hAnsi="Times New Roman;Times"/>
          <w:b/>
          <w:color w:val="000000"/>
          <w:sz w:val="27"/>
          <w:highlight w:val="white"/>
        </w:rPr>
        <w:t>LETTER OF TRANSMITTAL</w:t>
      </w:r>
      <w:r>
        <w:rPr>
          <w:rFonts w:ascii="Arial;Helvetica" w:hAnsi="Arial;Helvetica"/>
          <w:color w:val="000000"/>
          <w:sz w:val="2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TO TENDER</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OUTSTANDING 6.650% SENIOR NOTES DUE 2037</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OF</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7"/>
          <w:highlight w:val="white"/>
        </w:rPr>
        <w:t>PLAINS ALL AMERICAN PIPELINE, L.P.</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AND</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7"/>
          <w:highlight w:val="white"/>
        </w:rPr>
        <w:t>PAA FINANCE CORP.</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PURSUANT TO THE EXCHANGE OFFER AND PROSPECTUS</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DATED          , 2007</w:t>
      </w:r>
      <w:r>
        <w:rPr>
          <w:rFonts w:ascii="Times New Roman;Times" w:hAnsi="Times New Roman;Times"/>
          <w:color w:val="000000"/>
          <w:sz w:val="17"/>
          <w:highlight w:val="white"/>
        </w:rPr>
        <w:t xml:space="preserve"> </w:t>
      </w:r>
    </w:p>
    <w:p>
      <w:pPr>
        <w:pStyle w:val="TextBody"/>
        <w:spacing w:before="320" w:after="283"/>
        <w:rPr/>
      </w:pPr>
      <w:r>
        <w:rPr/>
        <w:t> </w:t>
      </w:r>
    </w:p>
    <w:p>
      <w:pPr>
        <w:pStyle w:val="TextBody"/>
        <w:spacing w:before="0" w:after="0"/>
        <w:ind w:left="0" w:right="0" w:firstLine="240"/>
        <w:jc w:val="left"/>
        <w:rPr>
          <w:rFonts w:ascii="Times New Roman;Times" w:hAnsi="Times New Roman;Times"/>
          <w:color w:val="000000"/>
          <w:sz w:val="17"/>
          <w:highlight w:val="white"/>
          <w:bdr w:val="single" w:sz="2" w:space="12" w:color="000000"/>
        </w:rPr>
      </w:pPr>
      <w:r>
        <w:rPr>
          <w:rFonts w:ascii="Times New Roman;Times" w:hAnsi="Times New Roman;Times"/>
          <w:b/>
          <w:color w:val="000000"/>
          <w:sz w:val="20"/>
          <w:highlight w:val="white"/>
          <w:bdr w:val="single" w:sz="2" w:space="12" w:color="000000"/>
        </w:rPr>
        <w:t>THE EXCHANGE OFFER AND WITHDRAWAL RIGHTS WILL EXPIRE AT 5:00 P.M., NEW YORK CITY TIME, ON          , 2007 (THE EXPIRATION DATE), UNLESS THE EXCHANGE OFFER IS EXTENDED BY THE ISSUERS.</w:t>
      </w:r>
      <w:r>
        <w:rPr>
          <w:rFonts w:ascii="Times New Roman;Times" w:hAnsi="Times New Roman;Times"/>
          <w:color w:val="000000"/>
          <w:sz w:val="17"/>
          <w:highlight w:val="white"/>
          <w:bdr w:val="single" w:sz="2" w:space="12" w:color="000000"/>
        </w:rPr>
        <w:t xml:space="preserve"> </w:t>
      </w:r>
    </w:p>
    <w:p>
      <w:pPr>
        <w:pStyle w:val="TextBody"/>
        <w:spacing w:before="3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7"/>
          <w:highlight w:val="white"/>
        </w:rPr>
        <w:t>The Exchange Agent for the Exchange Offer is:</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0"/>
          <w:highlight w:val="white"/>
        </w:rPr>
        <w:t>U.S. Bank Corporate Trust Services</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Specialized Finance Dept.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60 Livingston Avenue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St. Paul, MN 55107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Attention: Brandi Steward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Telephone: 651-495-4738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If you wish to exchange currently outstanding 6.650% Senior Notes due 2037 (the outstanding notes) for an equal aggregate principal amount at maturity of new 6.650% Senior Notes due 2037 pursuant to the exchange offer, you must validly tender (and not withdraw) outstanding notes to the exchange agent prior to the expiration date.</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undersigned hereby acknowledges receipt of the Prospectus, dated          , 2007 (the Prospectus), of Plains All American Pipeline, L.P. and PAA Finance Corp. (the Issuers), and this Letter of Transmittal (the Letter of Transmittal), which together describe the Issuers offer (the Exchange Offer) to exchange their 6.650% Senior Notes due 2037 (the New Notes) that have been registered under the Securities Act of 1933, as amended (the Securities Act), for a like principal amount of their issued and outstanding 6.650% Senior Notes due 2037 (the Outstanding Notes). Capitalized terms used but not defined herein have the respective meaning given to them in the Prospectus.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Issuers reserve the right, at any time or from time to time, to extend the Exchange Offer at their discretion, in which event the term Expiration Date shall mean the latest date to which the Exchange Offer is extended. The Issuers shall notify the Exchange Agent and each registered holder of the Outstanding Notes of any extension by oral or written notice prior to 9:00 a.m., New York City time, on the next business day after the previously scheduled Expiration Date.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Letter of Transmittal is to be used by holders of the Outstanding Notes. Tender of Outstanding Notes is to be made according to the Automated Tender Offer Program (ATOP) of The Depository Trust Company (DTC) pursuant to the procedures set forth in the Prospectus under the caption Exchange Offers  Procedures for Tendering. DTC participants that are accepting the Exchange Offer must transmit their acceptance to DTC, which will verify the acceptance and execute a book-entry delivery to the Exchange Agents DTC account. DTC will then send a computer-generated message known as an agents message to the Exchange Agent for its acceptance. For you to validly tender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B-1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your Outstanding Notes in the Exchange Offer, the Exchange Agent must receive, prior to the Expiration Date, an agents message under the ATOP procedures confirming that: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 DTC has received your instructions to tender your Outstanding Notes;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 You agree to be bound by the terms of this Letter of Transmittal.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USING THE ATOP PROCEDURES TO TENDER OUTSTANDING NOTES, YOU WILL NOT BE REQUIRED TO DELIVER THIS LETTER OF TRANSMITTAL TO THE EXCHANGE AGENT. HOWEVER, YOU WILL BE BOUND BY ITS TERMS, AND YOU WILL BE DEEMED TO HAVE MADE THE ACKNOWLEDGMENTS AND THE REPRESENTATIONS AND WARRANTIES IT CONTAINS, JUST AS IF YOU HAD SIGNED IT. </w:t>
      </w:r>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SIGNATURES MUST BE PROVIDED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PLEASE READ THE ACCOMPANYING INSTRUCTIONS CAREFULLY.</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Ladies and Gentlemen: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By tendering Outstanding Notes in the Exchange Offer, you acknowledge receipt of the Prospectus and this Letter of Transmittal.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By tendering Outstanding Notes in the Exchange Offer, you represent and warrant that you have full authority to tender the Outstanding Notes described above and will, upon request, execute and deliver any additional documents deemed by the Issuers to be necessary or desirable to complete the tender of Outstanding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You understand that the tender of the Outstanding Notes pursuant to all of the procedures set forth in the Prospectus will constitute an agreement between the undersigned and the Issuers as to the terms and conditions set forth in the Prospectus.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By tendering Outstanding Notes in the Exchange Offer, you acknowledge that the Exchange Offer is being made in reliance upon interpretations contained in no-action letters issued to third parties by the staff of the Securities and Exchange Commission (the SEC), including Exxon Capital Holdings Corp., SEC No-Action Letter (available April 13, 1989), Morgan Stanley &amp; Co. Inc., SEC No-Action Letter (available June 5, 1991) and Shearman &amp; Sterling, SEC No-Action Letter (available July 2, 1993), that the New Notes issued in exchange for the Outstanding Notes pursuant to the Exchange Offer may be offered for resale, resold and otherwise transferred by holders thereof without compliance with the registration and prospectus delivery provisions of the Securities Act (other than a broker-dealer who purchased Outstanding Notes exchanged for such New Notes directly from the Issuers to resell pursuant to Rule 144A or any other available exemption under the Securities Act of 1933, as amended (the Securities Act) and any such holder that is an affiliate of the Issuers within the meaning of Rule 405 under the Securities Act), provided that such New Notes are acquired in the ordinary course of such holders business and such holders are not participating in, and have no arrangement with any other person to participate in, the distribution of such New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By tendering Outstanding Notes in the Exchange Offer, you hereby represent and warrant that: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the New Notes acquired pursuant to the Exchange Offer are being obtained in the ordinary course of your business, whether or not you are the holder;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you have no arrangement or understanding with any person to participate in the distribution of Outstanding Notes or New Notes within the meaning of the Securities Act;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you are not an affiliate, as such term is defined under Rule 405 promulgated under the Securities Act, of the Issuers;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 if you are not a broker-dealer, that you are not engaged in, and do not intend to engage in, the distribution of the New Notes; and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B-2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 if you are a broker-dealer, that you will receive the New Notes for your own account in exchange for Outstanding Notes that were acquired as a result of market-making activities or other trading activities and that you acknowledge that you will deliver a prospectus in connection with any resale of such New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6. You may, if you are unable to make all of the representations and warranties contained in Item 5 above and as otherwise permitted in the Registration Rights Agreement (as defined below), elect to have your Outstanding Notes registered in the shelf registration statement described in the Exchange and Registration Rights Agreement, dated as of October 30, 2006 (the Registration Rights Agreement), by and among the Issuers, the Guarantors (as defined therein) and the Initial Purchasers (as defined therein). Such election may be made by notifying the Issuers in writing at 333 Clay Street, Suite 1600, Houston, Texas 77002, Attention: Tim Moore. By making such election, you agree, as a holder of Outstanding Notes participating in a shelf registration, to indemnify and hold harmless the Issuers, each of the directors of the Issuers, each of the officers of the Issuers who signs such shelf registration statement, each person who controls the Issuers within the meaning of either the Securities Act or the Securities Exchange Act of 1934, as amended (the Exchange Act), and each other holder of Outstanding Notes, from and against any and all losses, claims, damages or liabilities caused by any untrue statement or alleged untrue statement of a material fact contained in any shelf registration statement or prospectus, or in any supplement thereto or amendment thereof, or caused by the omission or alleged omission to state therein a material fact required to be stated therein or necessary to make the statements therein, in the light of the circumstances under which they were made, not misleading; but only with respect to information relating to you furnished in writing by you or on your behalf expressly for use in a shelf registration statement, a prospectus or any amendments or supplements thereto. Any such indemnification shall be governed by the terms and subject to the conditions set forth in the Registration Rights Agreement, including, without limitation, the provisions regarding notice, retention of counsel, contribution and payment of expenses set forth therein. The above summary of the indemnification provision of the Registration Rights Agreement is not intended to be exhaustive and is qualified in its entirety by the Registration Rights Agreement.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7. If you are a broker-dealer that will receive New Notes for your own account in exchange for Outstanding Notes that were acquired as a result of market-making activities or other trading activities, you acknowledge by tendering Outstanding Notes in the Exchange Offer, that you will deliver a prospectus in connection with any resale of such New Notes; however, by so acknowledging and by delivering a prospectus, you will not be deemed to admit that you are an underwriter within the meaning of the Securities Act. If you are a broker-dealer and Outstanding Notes held for your own account were not acquired as a result of market-making or other trading activities, such Outstanding Notes cannot be exchanged pursuant to the Exchange Offer.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8. Any of your obligations hereunder shall be binding upon your successors, assigns, executors, administrators, trustees in bankruptcy and legal and personal representatives. </w:t>
      </w:r>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INSTRUCTIONS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FORMING PART OF THE TERMS AND CONDITIONS OF THE EXCHANGE OFFER</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Book-Entry Confirmations.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confirmation of a book-entry transfer of Outstanding Notes to the Exchange Agents account at DTC (a Book-Entry Confirmation), as well as any agents message and any other documents required by this Letter of Transmittal, must be received by the Exchange Agent at its address set forth herein prior to 5:00 P.M., New York City time, on the Expiration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Partial Tenders.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Tenders of Outstanding Notes will be accepted only in integral multiples of $1,000. The entire principal amount of Outstanding Notes delivered to the Exchange Agent will be deemed to have been tendered unless otherwise communicated to the Exchange Agent. If the entire principal amount of all Outstanding Notes is not tendered, then Outstanding Notes for the principal amount of Outstanding Notes not tendered and New Notes issued in exchange for any Outstanding Notes accepted will be delivered to the holder via the facilities of DTC promptly after the Outstanding Notes are accepted for exchange.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B-3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Validity of Tenders.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questions as to the validity, form, eligibility (including time of receipt), acceptance, and withdrawal of tendered Outstanding Notes will be determined by the Issuers, in their sole discretion, which determination will be final and binding. The Issuers reserve the absolute right to reject any or all tenders not in proper form or the acceptance for exchange of which may, in the opinion of counsel for the Issuers, be unlawful. The Issuers also reserve the absolute right to waive any of the conditions of the Exchange Offer or any defect or irregularity in the tender of any Outstanding Notes. The Issuers interpretation of the terms and conditions of the Exchange Offer (including the instructions on the Letter of Transmittal) will be final and binding on all parties. Unless waived, any defects or irregularities in connection with tenders of Outstanding Notes must be cured within such time as the Issuers shall determine. Although the Issuers intend to notify holders of defects or irregularities with respect to tenders of Outstanding Notes, neither the Issuers, the Exchange Agent, nor any other person shall be under any duty to give notification of any defects or irregularities in tenders or incur any liability for failure to give such notification. Tenders of Outstanding Notes will not be deemed to have been made until such defects or irregularities have been cured or waived. Any Outstanding Notes received by the Exchange Agent that are not properly tendered and as to which the defects or irregularities have not been cured or waived will be returned by the Exchange Agent to the tendering holders, unless otherwise provided in the Letter of Transmittal, as soon as practicable following the Expiration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Waiver of Conditions.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Issuers reserve the absolute right to waive, in whole or part, up to the expiration of the Exchange Offer, any of the conditions to the Exchange Offer set forth in the Prospectus or in this Letter of Transmittal.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No Conditional Tender.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 alternative, conditional, irregular or contingent tender of Outstanding Notes will be accepted.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6. Request for Assistance or Additional Copies.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Requests for assistance or for additional copies of the Prospectus or this Letter of Transmittal may be directed to the Exchange Agent at the address or telephone number set forth on the cover page of this Letter of Transmittal. Holders may also contact their broker, dealer, commercial bank, trust company or other nominee for assistance concerning the Exchange Offer.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7. Withdrawal.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Tenders may be withdrawn only pursuant to the limited withdrawal rights set forth in the Prospectus under the caption Exchange Offers  Withdrawal of Tenders.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8. No Guarantee of Late Delivery.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There is no procedure for guarantee of late delivery in the Exchange Offer.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IMPORTANT: BY USING THE ATOP PROCEDURES TO TENDER OUTSTANDING NOTES, YOU WILL NOT BE REQUIRED TO DELIVER THIS LETTER OF TRANSMITTAL TO THE EXCHANGE AGENT. YOU WILL, HOWEVER, BE BOUND BY ITS TERMS, AND YOU WILL BE DEEMED TO HAVE MADE THE ACKNOWLEDGMENTS AND THE REPRESENTATIONS AND WARRANTIES IT CONTAINS, JUST AS IF YOU HAD SIGNED IT.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B-4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PART II</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INFORMATION NOT REQUIRED IN PROSPECTUS</w:t>
      </w:r>
      <w:r>
        <w:rPr>
          <w:rFonts w:ascii="Arial;Helvetica" w:hAnsi="Arial;Helvetica"/>
          <w:color w:val="000000"/>
          <w:sz w:val="17"/>
          <w:highlight w:val="white"/>
        </w:rPr>
        <w:t xml:space="preserve"> </w:t>
      </w:r>
    </w:p>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918"/>
        <w:gridCol w:w="9287"/>
      </w:tblGrid>
      <w:tr>
        <w:trPr/>
        <w:tc>
          <w:tcPr>
            <w:tcW w:w="918" w:type="dxa"/>
            <w:tcBorders/>
            <w:shd w:fill="FFFFFF" w:val="clear"/>
            <w:vAlign w:val="center"/>
          </w:tcPr>
          <w:p>
            <w:pPr>
              <w:pStyle w:val="TableContents"/>
              <w:spacing w:before="0" w:after="283"/>
              <w:rPr>
                <w:sz w:val="4"/>
                <w:szCs w:val="4"/>
              </w:rPr>
            </w:pPr>
            <w:r>
              <w:rPr>
                <w:sz w:val="4"/>
                <w:szCs w:val="4"/>
              </w:rPr>
            </w:r>
          </w:p>
        </w:tc>
        <w:tc>
          <w:tcPr>
            <w:tcW w:w="9287" w:type="dxa"/>
            <w:tcBorders/>
            <w:shd w:fill="FFFFFF" w:val="clear"/>
            <w:vAlign w:val="center"/>
          </w:tcPr>
          <w:p>
            <w:pPr>
              <w:pStyle w:val="TableContents"/>
              <w:spacing w:before="0" w:after="283"/>
              <w:rPr>
                <w:sz w:val="4"/>
                <w:szCs w:val="4"/>
              </w:rPr>
            </w:pPr>
            <w:r>
              <w:rPr>
                <w:sz w:val="4"/>
                <w:szCs w:val="4"/>
              </w:rPr>
            </w:r>
          </w:p>
        </w:tc>
      </w:tr>
      <w:tr>
        <w:trPr/>
        <w:tc>
          <w:tcPr>
            <w:tcW w:w="918" w:type="dxa"/>
            <w:tcBorders/>
            <w:shd w:fill="FFFFFF" w:val="clear"/>
          </w:tcPr>
          <w:p>
            <w:pPr>
              <w:pStyle w:val="TableContents"/>
              <w:spacing w:before="0" w:after="283"/>
              <w:rPr/>
            </w:pPr>
            <w:r>
              <w:rPr>
                <w:rFonts w:ascii="Times New Roman;Times" w:hAnsi="Times New Roman;Times"/>
                <w:b/>
              </w:rPr>
              <w:t>Item 20.  </w:t>
            </w:r>
            <w:r>
              <w:rPr/>
              <w:t xml:space="preserve"> </w:t>
            </w:r>
          </w:p>
        </w:tc>
        <w:tc>
          <w:tcPr>
            <w:tcW w:w="9287" w:type="dxa"/>
            <w:tcBorders/>
            <w:shd w:fill="FFFFFF" w:val="clear"/>
          </w:tcPr>
          <w:p>
            <w:pPr>
              <w:pStyle w:val="TableContents"/>
              <w:spacing w:before="0" w:after="283"/>
              <w:rPr/>
            </w:pPr>
            <w:r>
              <w:rPr>
                <w:rFonts w:ascii="Times New Roman;Times" w:hAnsi="Times New Roman;Times"/>
                <w:b/>
                <w:i/>
              </w:rPr>
              <w:t>Indemnification of Officers and Directors</w:t>
            </w: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Section 17-108 of the Delaware Revised Limited Partnership Act empowers a Delaware limited partnership to indemnify and hold harmless any partner or other person from and against all claims and demands whatsoever. The partnership agreement of Plains All American Pipeline provides that Plains All American Pipeline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and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and, with respect to any criminal proceeding, had no reasonable cause to believe his, her or its conduct was unlawful. Any indemnification under these provisions will be only out of the assets of Plains All American Pipeline, and the general partner shall not be personally liable for, or have any obligation to contribute or loan funds or assets to Plains All American Pipeline to enable it to effectuate, such indemnification. Plains All American Pipeline is authorized to purchase (or to reimburse the general partner or its affiliates for the cost of) insurance against liabilities asserted against and expenses incurred by such persons in connection with Plains All American Pipelines activities, regardless of whether Plains All American Pipeline would have the power to indemnify such person against such liabilities under the provisions described above.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Section 18-108 of the Delaware Limited Liability Company Act provides that, subject to such standards and restrictions, if any, as are set forth in its limited liability company agreement, a Delaware limited liability company may, and has the power to, indemnify and hold harmless any member or manager or other person from and against any and all claims and demands whatsoever. The limited liability company agreement of Plains All American GP LLC provides for the indemnification of (i) its members, (ii) members of its Board of Directors, and (iii) its officers (each, a Company Affiliate),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such person may be involved, or threatened to be involved, as a party or otherwise, by reason of his, her or its status as a Company Affiliate, regardless of whether a Company Affiliate continues to be a Company Affiliate at the time any such liability or expense is paid or incurred, if such Company Affiliate acted in good faith and in a manner he, she or it reasonably believed to be in, or not opposed to, the interests of the Plains All American GP LLC and with respect to any criminal proceeding, had no reason to believe his, her or its conduct was unlawful. Expenses incurred by a Company Affiliate in defending any such claim, demand, action, suit or proceeding will, from time to time, be advanced by the Plains All American GP LLC prior to the final disposition of such claim, demand, action, suit or proceeding upon receipt by the Plains All American GP LLC of an undertaking by or on behalf of the Company Affiliate to repay such amounts if it is ultimately determined that the Company Affiliate is not entitled to be indemnified. Plains All American GP LLC is authorized to purchase and maintain insurance, on behalf of the members of its Board of Directors, its officers and such other persons as the Board of Directors may determine, against any liability that may be asserted against or expense that may be incurred by such person in connection with the activities of Plains All American GP LLC.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917"/>
        <w:gridCol w:w="9288"/>
      </w:tblGrid>
      <w:tr>
        <w:trPr/>
        <w:tc>
          <w:tcPr>
            <w:tcW w:w="917" w:type="dxa"/>
            <w:tcBorders/>
            <w:shd w:fill="FFFFFF" w:val="clear"/>
            <w:vAlign w:val="center"/>
          </w:tcPr>
          <w:p>
            <w:pPr>
              <w:pStyle w:val="TableContents"/>
              <w:spacing w:before="0" w:after="283"/>
              <w:rPr>
                <w:sz w:val="4"/>
                <w:szCs w:val="4"/>
              </w:rPr>
            </w:pPr>
            <w:r>
              <w:rPr>
                <w:sz w:val="4"/>
                <w:szCs w:val="4"/>
              </w:rPr>
            </w:r>
          </w:p>
        </w:tc>
        <w:tc>
          <w:tcPr>
            <w:tcW w:w="9288" w:type="dxa"/>
            <w:tcBorders/>
            <w:shd w:fill="FFFFFF" w:val="clear"/>
            <w:vAlign w:val="center"/>
          </w:tcPr>
          <w:p>
            <w:pPr>
              <w:pStyle w:val="TableContents"/>
              <w:spacing w:before="0" w:after="283"/>
              <w:rPr>
                <w:sz w:val="4"/>
                <w:szCs w:val="4"/>
              </w:rPr>
            </w:pPr>
            <w:r>
              <w:rPr>
                <w:sz w:val="4"/>
                <w:szCs w:val="4"/>
              </w:rPr>
            </w:r>
          </w:p>
        </w:tc>
      </w:tr>
      <w:tr>
        <w:trPr/>
        <w:tc>
          <w:tcPr>
            <w:tcW w:w="917" w:type="dxa"/>
            <w:tcBorders/>
            <w:shd w:fill="FFFFFF" w:val="clear"/>
          </w:tcPr>
          <w:p>
            <w:pPr>
              <w:pStyle w:val="TableContents"/>
              <w:spacing w:before="0" w:after="283"/>
              <w:rPr/>
            </w:pPr>
            <w:r>
              <w:rPr>
                <w:rFonts w:ascii="Times New Roman;Times" w:hAnsi="Times New Roman;Times"/>
                <w:b/>
              </w:rPr>
              <w:t>Item 21.  </w:t>
            </w:r>
            <w:r>
              <w:rPr/>
              <w:t xml:space="preserve"> </w:t>
            </w:r>
          </w:p>
        </w:tc>
        <w:tc>
          <w:tcPr>
            <w:tcW w:w="9288" w:type="dxa"/>
            <w:tcBorders/>
            <w:shd w:fill="FFFFFF" w:val="clear"/>
          </w:tcPr>
          <w:p>
            <w:pPr>
              <w:pStyle w:val="TableContents"/>
              <w:spacing w:before="0" w:after="283"/>
              <w:rPr/>
            </w:pPr>
            <w:r>
              <w:rPr>
                <w:rFonts w:ascii="Times New Roman;Times" w:hAnsi="Times New Roman;Times"/>
                <w:b/>
                <w:i/>
              </w:rPr>
              <w:t>Exhibits and Financial Statement Schedules</w:t>
            </w:r>
            <w:r>
              <w:rPr/>
              <w:t xml:space="preserve"> </w:t>
            </w:r>
          </w:p>
        </w:tc>
      </w:tr>
    </w:tbl>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47"/>
        <w:gridCol w:w="203"/>
        <w:gridCol w:w="395"/>
        <w:gridCol w:w="124"/>
        <w:gridCol w:w="383"/>
        <w:gridCol w:w="124"/>
        <w:gridCol w:w="8729"/>
      </w:tblGrid>
      <w:tr>
        <w:trPr/>
        <w:tc>
          <w:tcPr>
            <w:tcW w:w="247" w:type="dxa"/>
            <w:tcBorders/>
            <w:shd w:fill="FFFFFF" w:val="clear"/>
            <w:vAlign w:val="bottom"/>
          </w:tcPr>
          <w:p>
            <w:pPr>
              <w:pStyle w:val="TableContents"/>
              <w:spacing w:before="0" w:after="283"/>
              <w:jc w:val="right"/>
              <w:rPr/>
            </w:pPr>
            <w:r>
              <w:rPr/>
              <w:t> </w:t>
            </w:r>
          </w:p>
        </w:tc>
        <w:tc>
          <w:tcPr>
            <w:tcW w:w="203" w:type="dxa"/>
            <w:tcBorders/>
            <w:shd w:fill="FFFFFF" w:val="clear"/>
            <w:vAlign w:val="bottom"/>
          </w:tcPr>
          <w:p>
            <w:pPr>
              <w:pStyle w:val="TableContents"/>
              <w:spacing w:before="0" w:after="283"/>
              <w:jc w:val="right"/>
              <w:rPr/>
            </w:pPr>
            <w:r>
              <w:rPr/>
              <w:t> </w:t>
            </w:r>
          </w:p>
        </w:tc>
        <w:tc>
          <w:tcPr>
            <w:tcW w:w="395" w:type="dxa"/>
            <w:tcBorders/>
            <w:shd w:fill="FFFFFF" w:val="clear"/>
            <w:vAlign w:val="bottom"/>
          </w:tcPr>
          <w:p>
            <w:pPr>
              <w:pStyle w:val="TableContents"/>
              <w:spacing w:before="0" w:after="283"/>
              <w:jc w:val="left"/>
              <w:rPr/>
            </w:pPr>
            <w:r>
              <w:rPr/>
              <w:t> </w:t>
            </w:r>
          </w:p>
        </w:tc>
        <w:tc>
          <w:tcPr>
            <w:tcW w:w="124" w:type="dxa"/>
            <w:tcBorders/>
            <w:shd w:fill="FFFFFF" w:val="clear"/>
            <w:vAlign w:val="bottom"/>
          </w:tcPr>
          <w:p>
            <w:pPr>
              <w:pStyle w:val="TableContents"/>
              <w:spacing w:before="0" w:after="283"/>
              <w:rPr/>
            </w:pPr>
            <w:r>
              <w:rPr/>
              <w:t> </w:t>
            </w:r>
          </w:p>
        </w:tc>
        <w:tc>
          <w:tcPr>
            <w:tcW w:w="383"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rPr/>
            </w:pPr>
            <w:r>
              <w:rPr/>
              <w:t> </w:t>
            </w:r>
          </w:p>
        </w:tc>
        <w:tc>
          <w:tcPr>
            <w:tcW w:w="8729" w:type="dxa"/>
            <w:tcBorders/>
            <w:shd w:fill="FFFFFF" w:val="clear"/>
            <w:vAlign w:val="bottom"/>
          </w:tcPr>
          <w:p>
            <w:pPr>
              <w:pStyle w:val="TableContents"/>
              <w:spacing w:before="0" w:after="283"/>
              <w:rPr/>
            </w:pPr>
            <w:r>
              <w:rPr/>
              <w:t>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.1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Indenture dated September 25, 2002 among Plains All American Pipeline, L.P., PAA Finance Corp. and Wachovia Bank, National Association (incorporated by reference to Exhibit 4.1 to Quarterly Report on Form 10-Q for the quarter ended September 30, 2002)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.2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First Supplemental Indenture (Series A and Series B 7.75% Senior Notes due 2012) dated as of September 25, 2002 among Plains All American Pipeline, L.P., PAA Finance Corp., the Subsidiary Guarantors named therein and Wachovia Bank, National Association (incorporated by reference to Exhibit 4.2 to Quarterly Report on Form 10-Q for the quarter ended September 30, 2002)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.3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Second Supplemental Indenture (Series A and Series B 5.625% Senior Notes due 2013) dated as of December 10, 2003 among Plains All American Pipeline, L.P., PAA Finance Corp., the Subsidiary Guarantors named therein and Wachovia Bank, National Association (incorporated by reference to Exhibit 4.4 to Annual Report on Form 10-K for the year ended December 31, 2003)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.4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Third Supplemental Indenture (Series A and Series B 4.750% Senior Notes due 2009) dated August 12, 2004 among Plains All American Pipeline, L.P., PAA Finance Corp., the Subsidiary Guarantors named therein and Wachovia, National Association (incorporated by reference to Exhibit 4.4 to the Registration Statement on Form S-4, File No. 333-121168)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.5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Fourth Supplemental Indenture (Series A and Series B 5.875% Senior Notes due 2016) dated August 12, 2004 among Plains All American Pipeline, L.P., PAA Finance Corp., the Subsidiary Guarantors named therein and Wachovia, National Association (incorporated by reference to Exhibit 4.5 to the Registration Statement on Form S-4, File No. 333-121168)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.6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Fifth Supplemental Indenture (Series A and Series B 5.25% Senior Notes due 2015) dated May 27, 2005 among Plains All American Pipeline, L.P., PAA Finance Corp., the Subsidiary Guarantors named therein and Wachovia Bank, National Association (incorporated by reference to Exhibit 4.1 to Current Report on Form 8-K filed May 31, 2005)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.7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Sixth Supplemental Indenture (Series A and Series B 6.70% Senior Notes due 2036) dated May 12, 2006 among Plains All American Pipeline, L.P., PAA Finance Corp., the Subsidiary Guarantors named therein and Wachovia Bank, National Association (incorporated by reference to Exhibit 4.1 to Current Report on Form 8-K filed May 12, 2006)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.8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Exchange and Registration Rights Agreement, dated as of May 12, 2006, among Plains All American Pipeline, L.P., PAA Finance Corp., the Guarantors named therein and the Initial Purchasers named therein (incorporated by reference to Exhibit 4.2 to Current Report on Form 8-K filed May 12, 2006)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.9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Seventh Supplemental Indenture, dated as of May 12, 2006, to Indenture, dated as of September 25, 2002, among Plains All American Pipeline, L.P., PAA Finance Corp., Plains LPG Services GP LLC, Plains LPG Services, L.P. and Lone Star Trucking, LLC and Wachovia Bank, National Association (incorporated by reference to Exhibit 4.3 to Current Report on Form 8-K filed May 12, 2006)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.10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Eighth Supplemental Indenture, dated as of August 25, 2006, to Indenture, dated as of September 25, 2002, among Plains All American Pipeline, L.P., PAA Finance Corp., Plains Marketing International GP LLC, Plains Marketing International, L.P. and Plains LPG Marketing, L.P. and Wachovia Bank, National Association (incorporated by reference to Exhibit 4.1 to Current Report on Form 8-K filed August 25, 2006)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.11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Ninth Supplemental Indenture (Series A and Series B 6.125% Senior Notes due 2017), dated as of October 30, 2006, to Indenture, dated as of September 25, 2002, among Plains All American Pipeline, L.P., PAA Finance Corp. and subsidiary guarantors signatory thereto and U.S. Bank National Association, as trustee (incorporated by reference to Exhibit 4.1 to the Current Report on Form 8-K filed October 30, 2006)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.12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Tenth Supplemental Indenture (Series A and Series B 6.650% Senior Notes due 2037), dated as of October 30, 2006, to Indenture, dated as of September 25, 2002, among Plains All American Pipeline, L.P., PAA Finance Corp. and subsidiary guarantors signatory thereto and U.S. Bank National Association, as trustee (incorporated by reference to Exhibit 4.2 to the Current Report on Form 8-K filed October 30, 2006)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247"/>
        <w:gridCol w:w="201"/>
        <w:gridCol w:w="392"/>
        <w:gridCol w:w="123"/>
        <w:gridCol w:w="383"/>
        <w:gridCol w:w="123"/>
        <w:gridCol w:w="8736"/>
      </w:tblGrid>
      <w:tr>
        <w:trPr/>
        <w:tc>
          <w:tcPr>
            <w:tcW w:w="247" w:type="dxa"/>
            <w:tcBorders/>
            <w:shd w:fill="FFFFFF" w:val="clear"/>
            <w:vAlign w:val="bottom"/>
          </w:tcPr>
          <w:p>
            <w:pPr>
              <w:pStyle w:val="TableContents"/>
              <w:spacing w:before="0" w:after="283"/>
              <w:jc w:val="right"/>
              <w:rPr/>
            </w:pPr>
            <w:r>
              <w:rPr/>
              <w:t> </w:t>
            </w:r>
          </w:p>
        </w:tc>
        <w:tc>
          <w:tcPr>
            <w:tcW w:w="201" w:type="dxa"/>
            <w:tcBorders/>
            <w:shd w:fill="FFFFFF" w:val="clear"/>
            <w:vAlign w:val="bottom"/>
          </w:tcPr>
          <w:p>
            <w:pPr>
              <w:pStyle w:val="TableContents"/>
              <w:spacing w:before="0" w:after="283"/>
              <w:jc w:val="right"/>
              <w:rPr/>
            </w:pPr>
            <w:r>
              <w:rPr/>
              <w:t> </w:t>
            </w:r>
          </w:p>
        </w:tc>
        <w:tc>
          <w:tcPr>
            <w:tcW w:w="392" w:type="dxa"/>
            <w:tcBorders/>
            <w:shd w:fill="FFFFFF" w:val="clear"/>
            <w:vAlign w:val="bottom"/>
          </w:tcPr>
          <w:p>
            <w:pPr>
              <w:pStyle w:val="TableContents"/>
              <w:spacing w:before="0" w:after="283"/>
              <w:jc w:val="left"/>
              <w:rPr/>
            </w:pPr>
            <w:r>
              <w:rPr/>
              <w:t> </w:t>
            </w:r>
          </w:p>
        </w:tc>
        <w:tc>
          <w:tcPr>
            <w:tcW w:w="123" w:type="dxa"/>
            <w:tcBorders/>
            <w:shd w:fill="FFFFFF" w:val="clear"/>
            <w:vAlign w:val="bottom"/>
          </w:tcPr>
          <w:p>
            <w:pPr>
              <w:pStyle w:val="TableContents"/>
              <w:spacing w:before="0" w:after="283"/>
              <w:rPr/>
            </w:pPr>
            <w:r>
              <w:rPr/>
              <w:t> </w:t>
            </w:r>
          </w:p>
        </w:tc>
        <w:tc>
          <w:tcPr>
            <w:tcW w:w="383"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rPr/>
            </w:pPr>
            <w:r>
              <w:rPr/>
              <w:t> </w:t>
            </w:r>
          </w:p>
        </w:tc>
        <w:tc>
          <w:tcPr>
            <w:tcW w:w="8736" w:type="dxa"/>
            <w:tcBorders/>
            <w:shd w:fill="FFFFFF" w:val="clear"/>
            <w:vAlign w:val="bottom"/>
          </w:tcPr>
          <w:p>
            <w:pPr>
              <w:pStyle w:val="TableContents"/>
              <w:spacing w:before="0" w:after="283"/>
              <w:rPr/>
            </w:pPr>
            <w:r>
              <w:rPr/>
              <w:t>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.13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Exchange and Registration Rights Agreement dated as of October 30, 2006, among Plains All American Pipeline, L.P., PAA Finance Corp., Plains Marketing, L.P., Plains Pipeline, L.P., Plains Marketing GP Inc., Plains Marketing Canada LLC, PMC (Nova Scotia) Company, Plains Marketing Canada, L.P., Basin Holdings GP LLC, Basin Pipeline Holdings, L.P., Rancho Holdings GP LLC, Rancho Pipeline Holdings, L.P., Plains LPG Services GP LLC, Plains LPG Services, L.P., Lone Star Trucking, LLC, Plains Marketing International GP LLC, Plains LPG Marketing, L.P., Plains Marketing International, L.P., Citigroup Global Markets Inc., UBS Securities LLC, Banc of America Securities LLC, J.P. Morgan Securities Inc., Wachovia Capital Markets, LLC, BNP Paribas Securities Corp., SunTrust Capital Markets, Inc., Fortis Securities LLC, Scotia Capital (USA) Inc., Comerica Securities, Inc., Commerzbank Capital Markets Corp., Daiwa Securities America Inc., DnB NOR Markets, Inc., HSBC Securities (USA) Inc., ING Financial Markets LLC, Mitsubishi UFJ Securities International plc, Piper Jaffray &amp; Co., RBC Capital Markets Corporation, SG Americas Securities, LLC, Wedbush Morgan Securities Inc. and Wells Fargo Securities, LLC relating to the 2017 Notes (incorporated by reference to Exhibit 4.3 to the Current Report on Form 8-K filed October 30, 2006)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.14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Exchange and Registration Rights Agreement dated as of October 30, 2006, among Plains All American Pipeline, L.P., PAA Finance Corp., Plains Marketing, L.P., Plains Pipeline, L.P., Plains Marketing GP Inc., Plains Marketing Canada LLC, PMC (Nova Scotia) Company, Plains Marketing Canada, L.P., Basin Holdings GP LLC, Basin Pipeline Holdings, L.P., Rancho Holdings GP LLC, Rancho Pipeline Holdings, L.P., Plains LPG Services GP LLC, Plains LPG Services, L.P., Lone Star Trucking, LLC, Plains Marketing International GP LLC, Plains LPG Marketing, L.P., Plains Marketing International, L.P., Citigroup Global Markets Inc., UBS Securities LLC, Banc of America Securities LLC, J.P. Morgan Securities Inc., Wachovia Capital Markets, LLC, BNP Paribas Securities Corp., SunTrust Capital Markets, Inc., Fortis Securities LLC, Scotia Capital (USA) Inc., Comerica Securities, Inc., Commerzbank Capital Markets Corp., Daiwa Securities America Inc., DnB NOR Markets, Inc., HSBC Securities (USA) Inc., ING Financial Markets LLC, Mitsubishi UFJ Securities International plc, Piper Jaffray &amp; Co., RBC Capital Markets Corporation, SG Americas Securities Inc. and Wells Fargo Securities, LLC relating to the 2037 Notes (incorporated by reference to Exhibit 4.4 to the Current Report on Form 8-K filed October 30, 2006)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.15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Eleventh Supplemental Indenture dated November 15, 2006 to Indenture dated as of September 25, 2002, among Plains All American Pipeline, L.P., PAA Finance Corp., the guarantors named therein and U.S. Bank National Association, as trustee (incorporated by reference to Exhibit 4.1 to the Current Report on Form 8-K filed November 21, 2006)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.16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Indenture dated June 16, 2004 among Pacific Energy Partners, L.P. and Pacific Energy Finance Corporation, the guarantors named therein and Wells Fargo Bank, National Association, as trustee of the 71/8% senior notes due 2014 (incorporated by reference to Exhibit 4.21 to Pacifics Quarterly Report on Form 10-Q for the quarter ended June 30, 2004)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.17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First Supplemental Indenture dated March 3, 2005 among Pacific Energy Partners, L.P. and Pacific Energy Finance Corporation, the guarantors named therein and Wells Fargo Bank, National Association, as trustee of the 71/8% senior notes due 2014 (incorporated by reference to Exhibit 4.1 to Pacifics Current Report on Form 8-K filed March 9, 2005)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.18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Second Supplemental Indenture dated September 23, 2005 among Pacific Energy Partners, L.P. and Pacific Energy Finance Corporation, the guarantors named therein and Wells Fargo Bank, National Association, as trustee of the 71/8% senior notes due 2014 (incorporated by reference to Exhibit 4.17 to the Annual Report on Form 10-K for the year ended December 31, 2006)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.19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Third Supplemental Indenture dated November 15, 2006 to Indenture dated as of June 16, 2004, among Plains All American Pipeline, L.P., Pacific Energy Finance Corporation, the guarantors named therein and Wells Fargo Bank, National Association, as trustee (incorporated by reference to Exhibit 4.2 to the Current Report on Form 8-K filed November 21, 2006)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.20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Indenture dated September 23, 2005 among Pacific Energy Partners, L.P. and Pacific Energy Finance Corporation, the guarantors named therein and Wells Fargo Bank, National Association, as trustee of the 61/4% senior notes due 2015 (incorporated by reference to Exhibit 4.1 to Pacifics Current Report on Form 8-K filed September 28, 2005)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.21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First Supplemental Indenture dated November 15, 2006 to Indenture dated as of September 23, 2005, among Plains All American Pipeline, L.P., Pacific Energy Finance Corporation, the guarantors named therein and Wells Fargo Bank, National Association, as trustee (incorporated by reference to Exhibit 4.3 to the Current Report on Form 8-K filed November 21, 2006)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t xml:space="preserve">II-3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177"/>
        <w:gridCol w:w="579"/>
        <w:gridCol w:w="447"/>
        <w:gridCol w:w="127"/>
        <w:gridCol w:w="323"/>
        <w:gridCol w:w="127"/>
        <w:gridCol w:w="8425"/>
      </w:tblGrid>
      <w:tr>
        <w:trPr/>
        <w:tc>
          <w:tcPr>
            <w:tcW w:w="177" w:type="dxa"/>
            <w:tcBorders/>
            <w:shd w:fill="FFFFFF" w:val="clear"/>
            <w:vAlign w:val="bottom"/>
          </w:tcPr>
          <w:p>
            <w:pPr>
              <w:pStyle w:val="TableContents"/>
              <w:spacing w:before="0" w:after="283"/>
              <w:jc w:val="right"/>
              <w:rPr/>
            </w:pPr>
            <w:r>
              <w:rPr/>
              <w:t> </w:t>
            </w:r>
          </w:p>
        </w:tc>
        <w:tc>
          <w:tcPr>
            <w:tcW w:w="579" w:type="dxa"/>
            <w:tcBorders/>
            <w:shd w:fill="FFFFFF" w:val="clear"/>
            <w:vAlign w:val="bottom"/>
          </w:tcPr>
          <w:p>
            <w:pPr>
              <w:pStyle w:val="TableContents"/>
              <w:spacing w:before="0" w:after="283"/>
              <w:jc w:val="right"/>
              <w:rPr/>
            </w:pPr>
            <w:r>
              <w:rPr/>
              <w:t> </w:t>
            </w:r>
          </w:p>
        </w:tc>
        <w:tc>
          <w:tcPr>
            <w:tcW w:w="447"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rPr/>
            </w:pPr>
            <w:r>
              <w:rPr/>
              <w:t> </w:t>
            </w:r>
          </w:p>
        </w:tc>
        <w:tc>
          <w:tcPr>
            <w:tcW w:w="32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8425" w:type="dxa"/>
            <w:tcBorders/>
            <w:shd w:fill="FFFFFF" w:val="clear"/>
            <w:vAlign w:val="bottom"/>
          </w:tcPr>
          <w:p>
            <w:pPr>
              <w:pStyle w:val="TableContents"/>
              <w:spacing w:before="0" w:after="283"/>
              <w:rPr/>
            </w:pPr>
            <w:r>
              <w:rPr/>
              <w:t> </w:t>
            </w:r>
          </w:p>
        </w:tc>
      </w:tr>
      <w:tr>
        <w:trPr/>
        <w:tc>
          <w:tcPr>
            <w:tcW w:w="177" w:type="dxa"/>
            <w:tcBorders/>
            <w:shd w:fill="CCEEFF" w:val="clear"/>
          </w:tcPr>
          <w:p>
            <w:pPr>
              <w:pStyle w:val="TableContents"/>
              <w:spacing w:before="0" w:after="283"/>
              <w:jc w:val="left"/>
              <w:rPr/>
            </w:pPr>
            <w:r>
              <w:rPr/>
              <w:t xml:space="preserve">  </w:t>
            </w:r>
          </w:p>
        </w:tc>
        <w:tc>
          <w:tcPr>
            <w:tcW w:w="579" w:type="dxa"/>
            <w:tcBorders/>
            <w:shd w:fill="CCEEFF" w:val="clear"/>
          </w:tcPr>
          <w:p>
            <w:pPr>
              <w:pStyle w:val="TableContents"/>
              <w:spacing w:before="0" w:after="283"/>
              <w:jc w:val="right"/>
              <w:rPr/>
            </w:pPr>
            <w:r>
              <w:rPr/>
              <w:t xml:space="preserve">5 </w:t>
            </w:r>
          </w:p>
        </w:tc>
        <w:tc>
          <w:tcPr>
            <w:tcW w:w="447" w:type="dxa"/>
            <w:tcBorders/>
            <w:shd w:fill="CCEEFF" w:val="clear"/>
          </w:tcPr>
          <w:p>
            <w:pPr>
              <w:pStyle w:val="TableContents"/>
              <w:spacing w:before="0" w:after="283"/>
              <w:jc w:val="left"/>
              <w:rPr/>
            </w:pPr>
            <w:r>
              <w:rPr/>
              <w:t xml:space="preserve">.1* </w:t>
            </w:r>
          </w:p>
        </w:tc>
        <w:tc>
          <w:tcPr>
            <w:tcW w:w="127" w:type="dxa"/>
            <w:tcBorders/>
            <w:shd w:fill="CCEEFF" w:val="clear"/>
            <w:vAlign w:val="bottom"/>
          </w:tcPr>
          <w:p>
            <w:pPr>
              <w:pStyle w:val="TableContents"/>
              <w:spacing w:before="0" w:after="283"/>
              <w:rPr/>
            </w:pPr>
            <w:r>
              <w:rPr/>
              <w:t xml:space="preserve">  </w:t>
            </w:r>
          </w:p>
        </w:tc>
        <w:tc>
          <w:tcPr>
            <w:tcW w:w="323" w:type="dxa"/>
            <w:tcBorders/>
            <w:shd w:fill="CCEEFF" w:val="clear"/>
          </w:tcPr>
          <w:p>
            <w:pPr>
              <w:pStyle w:val="TableContents"/>
              <w:spacing w:before="0" w:after="283"/>
              <w:jc w:val="right"/>
              <w:rPr>
                <w:sz w:val="17"/>
              </w:rPr>
            </w:pPr>
            <w:r>
              <w:rPr>
                <w:sz w:val="17"/>
              </w:rPr>
              <w:t xml:space="preserve"> </w:t>
            </w:r>
          </w:p>
        </w:tc>
        <w:tc>
          <w:tcPr>
            <w:tcW w:w="127" w:type="dxa"/>
            <w:tcBorders/>
            <w:shd w:fill="CCEEFF" w:val="clear"/>
            <w:vAlign w:val="bottom"/>
          </w:tcPr>
          <w:p>
            <w:pPr>
              <w:pStyle w:val="TableContents"/>
              <w:spacing w:before="0" w:after="283"/>
              <w:rPr/>
            </w:pPr>
            <w:r>
              <w:rPr/>
              <w:t xml:space="preserve">  </w:t>
            </w:r>
          </w:p>
        </w:tc>
        <w:tc>
          <w:tcPr>
            <w:tcW w:w="8425" w:type="dxa"/>
            <w:tcBorders/>
            <w:shd w:fill="CCEEFF" w:val="clear"/>
          </w:tcPr>
          <w:p>
            <w:pPr>
              <w:pStyle w:val="TableContents"/>
              <w:spacing w:before="0" w:after="283"/>
              <w:jc w:val="left"/>
              <w:rPr>
                <w:sz w:val="17"/>
              </w:rPr>
            </w:pPr>
            <w:r>
              <w:rPr>
                <w:sz w:val="17"/>
              </w:rPr>
              <w:t xml:space="preserve">Opinion of Vinson &amp; Elkins L.L.P. as to the legality of the securities being registered </w:t>
            </w:r>
          </w:p>
        </w:tc>
      </w:tr>
      <w:tr>
        <w:trPr/>
        <w:tc>
          <w:tcPr>
            <w:tcW w:w="177" w:type="dxa"/>
            <w:tcBorders/>
            <w:shd w:fill="FFFFFF" w:val="clear"/>
          </w:tcPr>
          <w:p>
            <w:pPr>
              <w:pStyle w:val="TableContents"/>
              <w:spacing w:before="0" w:after="283"/>
              <w:jc w:val="left"/>
              <w:rPr/>
            </w:pPr>
            <w:r>
              <w:rPr/>
              <w:t xml:space="preserve">  </w:t>
            </w:r>
          </w:p>
        </w:tc>
        <w:tc>
          <w:tcPr>
            <w:tcW w:w="579" w:type="dxa"/>
            <w:tcBorders/>
            <w:shd w:fill="FFFFFF" w:val="clear"/>
          </w:tcPr>
          <w:p>
            <w:pPr>
              <w:pStyle w:val="TableContents"/>
              <w:spacing w:before="0" w:after="283"/>
              <w:jc w:val="right"/>
              <w:rPr/>
            </w:pPr>
            <w:r>
              <w:rPr/>
              <w:t xml:space="preserve">8 </w:t>
            </w:r>
          </w:p>
        </w:tc>
        <w:tc>
          <w:tcPr>
            <w:tcW w:w="447" w:type="dxa"/>
            <w:tcBorders/>
            <w:shd w:fill="FFFFFF" w:val="clear"/>
          </w:tcPr>
          <w:p>
            <w:pPr>
              <w:pStyle w:val="TableContents"/>
              <w:spacing w:before="0" w:after="283"/>
              <w:jc w:val="left"/>
              <w:rPr/>
            </w:pPr>
            <w:r>
              <w:rPr/>
              <w:t xml:space="preserve">.1* </w:t>
            </w:r>
          </w:p>
        </w:tc>
        <w:tc>
          <w:tcPr>
            <w:tcW w:w="127" w:type="dxa"/>
            <w:tcBorders/>
            <w:shd w:fill="FFFFFF" w:val="clear"/>
            <w:vAlign w:val="bottom"/>
          </w:tcPr>
          <w:p>
            <w:pPr>
              <w:pStyle w:val="TableContents"/>
              <w:spacing w:before="0" w:after="283"/>
              <w:rPr/>
            </w:pPr>
            <w:r>
              <w:rPr/>
              <w:t xml:space="preserve">  </w:t>
            </w:r>
          </w:p>
        </w:tc>
        <w:tc>
          <w:tcPr>
            <w:tcW w:w="323"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425" w:type="dxa"/>
            <w:tcBorders/>
            <w:shd w:fill="FFFFFF" w:val="clear"/>
          </w:tcPr>
          <w:p>
            <w:pPr>
              <w:pStyle w:val="TableContents"/>
              <w:spacing w:before="0" w:after="283"/>
              <w:jc w:val="left"/>
              <w:rPr>
                <w:sz w:val="17"/>
              </w:rPr>
            </w:pPr>
            <w:r>
              <w:rPr>
                <w:sz w:val="17"/>
              </w:rPr>
              <w:t xml:space="preserve">Opinion of Vinson &amp; Elkins L.L.P. as to tax matters (contained in Exhibit 5.1) </w:t>
            </w:r>
          </w:p>
        </w:tc>
      </w:tr>
      <w:tr>
        <w:trPr/>
        <w:tc>
          <w:tcPr>
            <w:tcW w:w="177" w:type="dxa"/>
            <w:tcBorders/>
            <w:shd w:fill="CCEEFF" w:val="clear"/>
          </w:tcPr>
          <w:p>
            <w:pPr>
              <w:pStyle w:val="TableContents"/>
              <w:spacing w:before="0" w:after="283"/>
              <w:jc w:val="left"/>
              <w:rPr/>
            </w:pPr>
            <w:r>
              <w:rPr/>
              <w:t xml:space="preserve">  </w:t>
            </w:r>
          </w:p>
        </w:tc>
        <w:tc>
          <w:tcPr>
            <w:tcW w:w="579" w:type="dxa"/>
            <w:tcBorders/>
            <w:shd w:fill="CCEEFF" w:val="clear"/>
          </w:tcPr>
          <w:p>
            <w:pPr>
              <w:pStyle w:val="TableContents"/>
              <w:spacing w:before="0" w:after="283"/>
              <w:jc w:val="right"/>
              <w:rPr/>
            </w:pPr>
            <w:r>
              <w:rPr/>
              <w:t xml:space="preserve">12 </w:t>
            </w:r>
          </w:p>
        </w:tc>
        <w:tc>
          <w:tcPr>
            <w:tcW w:w="447" w:type="dxa"/>
            <w:tcBorders/>
            <w:shd w:fill="CCEEFF" w:val="clear"/>
          </w:tcPr>
          <w:p>
            <w:pPr>
              <w:pStyle w:val="TableContents"/>
              <w:spacing w:before="0" w:after="283"/>
              <w:jc w:val="left"/>
              <w:rPr/>
            </w:pPr>
            <w:r>
              <w:rPr/>
              <w:t xml:space="preserve">.1* </w:t>
            </w:r>
          </w:p>
        </w:tc>
        <w:tc>
          <w:tcPr>
            <w:tcW w:w="127" w:type="dxa"/>
            <w:tcBorders/>
            <w:shd w:fill="CCEEFF" w:val="clear"/>
            <w:vAlign w:val="bottom"/>
          </w:tcPr>
          <w:p>
            <w:pPr>
              <w:pStyle w:val="TableContents"/>
              <w:spacing w:before="0" w:after="283"/>
              <w:rPr/>
            </w:pPr>
            <w:r>
              <w:rPr/>
              <w:t xml:space="preserve">  </w:t>
            </w:r>
          </w:p>
        </w:tc>
        <w:tc>
          <w:tcPr>
            <w:tcW w:w="323" w:type="dxa"/>
            <w:tcBorders/>
            <w:shd w:fill="CCEEFF" w:val="clear"/>
          </w:tcPr>
          <w:p>
            <w:pPr>
              <w:pStyle w:val="TableContents"/>
              <w:spacing w:before="0" w:after="283"/>
              <w:jc w:val="right"/>
              <w:rPr>
                <w:sz w:val="17"/>
              </w:rPr>
            </w:pPr>
            <w:r>
              <w:rPr>
                <w:sz w:val="17"/>
              </w:rPr>
              <w:t xml:space="preserve"> </w:t>
            </w:r>
          </w:p>
        </w:tc>
        <w:tc>
          <w:tcPr>
            <w:tcW w:w="127" w:type="dxa"/>
            <w:tcBorders/>
            <w:shd w:fill="CCEEFF" w:val="clear"/>
            <w:vAlign w:val="bottom"/>
          </w:tcPr>
          <w:p>
            <w:pPr>
              <w:pStyle w:val="TableContents"/>
              <w:spacing w:before="0" w:after="283"/>
              <w:rPr/>
            </w:pPr>
            <w:r>
              <w:rPr/>
              <w:t xml:space="preserve">  </w:t>
            </w:r>
          </w:p>
        </w:tc>
        <w:tc>
          <w:tcPr>
            <w:tcW w:w="8425" w:type="dxa"/>
            <w:tcBorders/>
            <w:shd w:fill="CCEEFF" w:val="clear"/>
          </w:tcPr>
          <w:p>
            <w:pPr>
              <w:pStyle w:val="TableContents"/>
              <w:spacing w:before="0" w:after="283"/>
              <w:jc w:val="left"/>
              <w:rPr>
                <w:sz w:val="17"/>
              </w:rPr>
            </w:pPr>
            <w:r>
              <w:rPr>
                <w:sz w:val="17"/>
              </w:rPr>
              <w:t xml:space="preserve">Ratio of Earnings to Fixed Charges </w:t>
            </w:r>
          </w:p>
        </w:tc>
      </w:tr>
      <w:tr>
        <w:trPr/>
        <w:tc>
          <w:tcPr>
            <w:tcW w:w="177" w:type="dxa"/>
            <w:tcBorders/>
            <w:shd w:fill="FFFFFF" w:val="clear"/>
          </w:tcPr>
          <w:p>
            <w:pPr>
              <w:pStyle w:val="TableContents"/>
              <w:spacing w:before="0" w:after="283"/>
              <w:jc w:val="left"/>
              <w:rPr/>
            </w:pPr>
            <w:r>
              <w:rPr/>
              <w:t xml:space="preserve">  </w:t>
            </w:r>
          </w:p>
        </w:tc>
        <w:tc>
          <w:tcPr>
            <w:tcW w:w="579" w:type="dxa"/>
            <w:tcBorders/>
            <w:shd w:fill="FFFFFF" w:val="clear"/>
          </w:tcPr>
          <w:p>
            <w:pPr>
              <w:pStyle w:val="TableContents"/>
              <w:spacing w:before="0" w:after="283"/>
              <w:jc w:val="right"/>
              <w:rPr/>
            </w:pPr>
            <w:r>
              <w:rPr/>
              <w:t xml:space="preserve">23 </w:t>
            </w:r>
          </w:p>
        </w:tc>
        <w:tc>
          <w:tcPr>
            <w:tcW w:w="447" w:type="dxa"/>
            <w:tcBorders/>
            <w:shd w:fill="FFFFFF" w:val="clear"/>
          </w:tcPr>
          <w:p>
            <w:pPr>
              <w:pStyle w:val="TableContents"/>
              <w:spacing w:before="0" w:after="283"/>
              <w:jc w:val="left"/>
              <w:rPr/>
            </w:pPr>
            <w:r>
              <w:rPr/>
              <w:t xml:space="preserve">.1* </w:t>
            </w:r>
          </w:p>
        </w:tc>
        <w:tc>
          <w:tcPr>
            <w:tcW w:w="127" w:type="dxa"/>
            <w:tcBorders/>
            <w:shd w:fill="FFFFFF" w:val="clear"/>
            <w:vAlign w:val="bottom"/>
          </w:tcPr>
          <w:p>
            <w:pPr>
              <w:pStyle w:val="TableContents"/>
              <w:spacing w:before="0" w:after="283"/>
              <w:rPr/>
            </w:pPr>
            <w:r>
              <w:rPr/>
              <w:t xml:space="preserve">  </w:t>
            </w:r>
          </w:p>
        </w:tc>
        <w:tc>
          <w:tcPr>
            <w:tcW w:w="323"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425" w:type="dxa"/>
            <w:tcBorders/>
            <w:shd w:fill="FFFFFF" w:val="clear"/>
          </w:tcPr>
          <w:p>
            <w:pPr>
              <w:pStyle w:val="TableContents"/>
              <w:spacing w:before="0" w:after="283"/>
              <w:jc w:val="left"/>
              <w:rPr>
                <w:sz w:val="17"/>
              </w:rPr>
            </w:pPr>
            <w:r>
              <w:rPr>
                <w:sz w:val="17"/>
              </w:rPr>
              <w:t xml:space="preserve">Consent of PricewaterhouseCoopers LLP </w:t>
            </w:r>
          </w:p>
        </w:tc>
      </w:tr>
      <w:tr>
        <w:trPr/>
        <w:tc>
          <w:tcPr>
            <w:tcW w:w="177" w:type="dxa"/>
            <w:tcBorders/>
            <w:shd w:fill="CCEEFF" w:val="clear"/>
          </w:tcPr>
          <w:p>
            <w:pPr>
              <w:pStyle w:val="TableContents"/>
              <w:spacing w:before="0" w:after="283"/>
              <w:jc w:val="left"/>
              <w:rPr/>
            </w:pPr>
            <w:r>
              <w:rPr/>
              <w:t xml:space="preserve">  </w:t>
            </w:r>
          </w:p>
        </w:tc>
        <w:tc>
          <w:tcPr>
            <w:tcW w:w="579" w:type="dxa"/>
            <w:tcBorders/>
            <w:shd w:fill="CCEEFF" w:val="clear"/>
          </w:tcPr>
          <w:p>
            <w:pPr>
              <w:pStyle w:val="TableContents"/>
              <w:spacing w:before="0" w:after="283"/>
              <w:jc w:val="right"/>
              <w:rPr/>
            </w:pPr>
            <w:r>
              <w:rPr/>
              <w:t xml:space="preserve">23 </w:t>
            </w:r>
          </w:p>
        </w:tc>
        <w:tc>
          <w:tcPr>
            <w:tcW w:w="447" w:type="dxa"/>
            <w:tcBorders/>
            <w:shd w:fill="CCEEFF" w:val="clear"/>
          </w:tcPr>
          <w:p>
            <w:pPr>
              <w:pStyle w:val="TableContents"/>
              <w:spacing w:before="0" w:after="283"/>
              <w:jc w:val="left"/>
              <w:rPr/>
            </w:pPr>
            <w:r>
              <w:rPr/>
              <w:t xml:space="preserve">.2* </w:t>
            </w:r>
          </w:p>
        </w:tc>
        <w:tc>
          <w:tcPr>
            <w:tcW w:w="127" w:type="dxa"/>
            <w:tcBorders/>
            <w:shd w:fill="CCEEFF" w:val="clear"/>
            <w:vAlign w:val="bottom"/>
          </w:tcPr>
          <w:p>
            <w:pPr>
              <w:pStyle w:val="TableContents"/>
              <w:spacing w:before="0" w:after="283"/>
              <w:rPr/>
            </w:pPr>
            <w:r>
              <w:rPr/>
              <w:t xml:space="preserve">  </w:t>
            </w:r>
          </w:p>
        </w:tc>
        <w:tc>
          <w:tcPr>
            <w:tcW w:w="323" w:type="dxa"/>
            <w:tcBorders/>
            <w:shd w:fill="CCEEFF" w:val="clear"/>
          </w:tcPr>
          <w:p>
            <w:pPr>
              <w:pStyle w:val="TableContents"/>
              <w:spacing w:before="0" w:after="283"/>
              <w:jc w:val="right"/>
              <w:rPr>
                <w:sz w:val="17"/>
              </w:rPr>
            </w:pPr>
            <w:r>
              <w:rPr>
                <w:sz w:val="17"/>
              </w:rPr>
              <w:t xml:space="preserve"> </w:t>
            </w:r>
          </w:p>
        </w:tc>
        <w:tc>
          <w:tcPr>
            <w:tcW w:w="127" w:type="dxa"/>
            <w:tcBorders/>
            <w:shd w:fill="CCEEFF" w:val="clear"/>
            <w:vAlign w:val="bottom"/>
          </w:tcPr>
          <w:p>
            <w:pPr>
              <w:pStyle w:val="TableContents"/>
              <w:spacing w:before="0" w:after="283"/>
              <w:rPr/>
            </w:pPr>
            <w:r>
              <w:rPr/>
              <w:t xml:space="preserve">  </w:t>
            </w:r>
          </w:p>
        </w:tc>
        <w:tc>
          <w:tcPr>
            <w:tcW w:w="8425" w:type="dxa"/>
            <w:tcBorders/>
            <w:shd w:fill="CCEEFF" w:val="clear"/>
          </w:tcPr>
          <w:p>
            <w:pPr>
              <w:pStyle w:val="TableContents"/>
              <w:spacing w:before="0" w:after="283"/>
              <w:jc w:val="left"/>
              <w:rPr>
                <w:sz w:val="17"/>
              </w:rPr>
            </w:pPr>
            <w:r>
              <w:rPr>
                <w:sz w:val="17"/>
              </w:rPr>
              <w:t xml:space="preserve">Consent of KPMG LLP </w:t>
            </w:r>
          </w:p>
        </w:tc>
      </w:tr>
      <w:tr>
        <w:trPr/>
        <w:tc>
          <w:tcPr>
            <w:tcW w:w="177" w:type="dxa"/>
            <w:tcBorders/>
            <w:shd w:fill="FFFFFF" w:val="clear"/>
          </w:tcPr>
          <w:p>
            <w:pPr>
              <w:pStyle w:val="TableContents"/>
              <w:spacing w:before="0" w:after="283"/>
              <w:jc w:val="left"/>
              <w:rPr/>
            </w:pPr>
            <w:r>
              <w:rPr/>
              <w:t xml:space="preserve">  </w:t>
            </w:r>
          </w:p>
        </w:tc>
        <w:tc>
          <w:tcPr>
            <w:tcW w:w="579" w:type="dxa"/>
            <w:tcBorders/>
            <w:shd w:fill="FFFFFF" w:val="clear"/>
          </w:tcPr>
          <w:p>
            <w:pPr>
              <w:pStyle w:val="TableContents"/>
              <w:spacing w:before="0" w:after="283"/>
              <w:jc w:val="right"/>
              <w:rPr/>
            </w:pPr>
            <w:r>
              <w:rPr/>
              <w:t xml:space="preserve">23 </w:t>
            </w:r>
          </w:p>
        </w:tc>
        <w:tc>
          <w:tcPr>
            <w:tcW w:w="447" w:type="dxa"/>
            <w:tcBorders/>
            <w:shd w:fill="FFFFFF" w:val="clear"/>
          </w:tcPr>
          <w:p>
            <w:pPr>
              <w:pStyle w:val="TableContents"/>
              <w:spacing w:before="0" w:after="283"/>
              <w:jc w:val="left"/>
              <w:rPr/>
            </w:pPr>
            <w:r>
              <w:rPr/>
              <w:t xml:space="preserve">.3* </w:t>
            </w:r>
          </w:p>
        </w:tc>
        <w:tc>
          <w:tcPr>
            <w:tcW w:w="127" w:type="dxa"/>
            <w:tcBorders/>
            <w:shd w:fill="FFFFFF" w:val="clear"/>
            <w:vAlign w:val="bottom"/>
          </w:tcPr>
          <w:p>
            <w:pPr>
              <w:pStyle w:val="TableContents"/>
              <w:spacing w:before="0" w:after="283"/>
              <w:rPr/>
            </w:pPr>
            <w:r>
              <w:rPr/>
              <w:t xml:space="preserve">  </w:t>
            </w:r>
          </w:p>
        </w:tc>
        <w:tc>
          <w:tcPr>
            <w:tcW w:w="323"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425" w:type="dxa"/>
            <w:tcBorders/>
            <w:shd w:fill="FFFFFF" w:val="clear"/>
          </w:tcPr>
          <w:p>
            <w:pPr>
              <w:pStyle w:val="TableContents"/>
              <w:spacing w:before="0" w:after="283"/>
              <w:jc w:val="left"/>
              <w:rPr>
                <w:sz w:val="17"/>
              </w:rPr>
            </w:pPr>
            <w:r>
              <w:rPr>
                <w:sz w:val="17"/>
              </w:rPr>
              <w:t xml:space="preserve">Consent of Vinson &amp; Elkins L.L.P. (contained in Exhibit 5.1) </w:t>
            </w:r>
          </w:p>
        </w:tc>
      </w:tr>
      <w:tr>
        <w:trPr/>
        <w:tc>
          <w:tcPr>
            <w:tcW w:w="177" w:type="dxa"/>
            <w:tcBorders/>
            <w:shd w:fill="CCEEFF" w:val="clear"/>
          </w:tcPr>
          <w:p>
            <w:pPr>
              <w:pStyle w:val="TableContents"/>
              <w:spacing w:before="0" w:after="283"/>
              <w:jc w:val="left"/>
              <w:rPr/>
            </w:pPr>
            <w:r>
              <w:rPr/>
              <w:t xml:space="preserve">  </w:t>
            </w:r>
          </w:p>
        </w:tc>
        <w:tc>
          <w:tcPr>
            <w:tcW w:w="579" w:type="dxa"/>
            <w:tcBorders/>
            <w:shd w:fill="CCEEFF" w:val="clear"/>
          </w:tcPr>
          <w:p>
            <w:pPr>
              <w:pStyle w:val="TableContents"/>
              <w:spacing w:before="0" w:after="283"/>
              <w:jc w:val="right"/>
              <w:rPr/>
            </w:pPr>
            <w:r>
              <w:rPr/>
              <w:t xml:space="preserve">24 </w:t>
            </w:r>
          </w:p>
        </w:tc>
        <w:tc>
          <w:tcPr>
            <w:tcW w:w="447" w:type="dxa"/>
            <w:tcBorders/>
            <w:shd w:fill="CCEEFF" w:val="clear"/>
          </w:tcPr>
          <w:p>
            <w:pPr>
              <w:pStyle w:val="TableContents"/>
              <w:spacing w:before="0" w:after="283"/>
              <w:jc w:val="left"/>
              <w:rPr/>
            </w:pPr>
            <w:r>
              <w:rPr/>
              <w:t xml:space="preserve">.1 </w:t>
            </w:r>
          </w:p>
        </w:tc>
        <w:tc>
          <w:tcPr>
            <w:tcW w:w="127" w:type="dxa"/>
            <w:tcBorders/>
            <w:shd w:fill="CCEEFF" w:val="clear"/>
            <w:vAlign w:val="bottom"/>
          </w:tcPr>
          <w:p>
            <w:pPr>
              <w:pStyle w:val="TableContents"/>
              <w:spacing w:before="0" w:after="283"/>
              <w:rPr/>
            </w:pPr>
            <w:r>
              <w:rPr/>
              <w:t xml:space="preserve">  </w:t>
            </w:r>
          </w:p>
        </w:tc>
        <w:tc>
          <w:tcPr>
            <w:tcW w:w="323" w:type="dxa"/>
            <w:tcBorders/>
            <w:shd w:fill="CCEEFF" w:val="clear"/>
          </w:tcPr>
          <w:p>
            <w:pPr>
              <w:pStyle w:val="TableContents"/>
              <w:spacing w:before="0" w:after="283"/>
              <w:jc w:val="right"/>
              <w:rPr>
                <w:sz w:val="17"/>
              </w:rPr>
            </w:pPr>
            <w:r>
              <w:rPr>
                <w:sz w:val="17"/>
              </w:rPr>
              <w:t xml:space="preserve"> </w:t>
            </w:r>
          </w:p>
        </w:tc>
        <w:tc>
          <w:tcPr>
            <w:tcW w:w="127" w:type="dxa"/>
            <w:tcBorders/>
            <w:shd w:fill="CCEEFF" w:val="clear"/>
            <w:vAlign w:val="bottom"/>
          </w:tcPr>
          <w:p>
            <w:pPr>
              <w:pStyle w:val="TableContents"/>
              <w:spacing w:before="0" w:after="283"/>
              <w:rPr/>
            </w:pPr>
            <w:r>
              <w:rPr/>
              <w:t xml:space="preserve">  </w:t>
            </w:r>
          </w:p>
        </w:tc>
        <w:tc>
          <w:tcPr>
            <w:tcW w:w="8425" w:type="dxa"/>
            <w:tcBorders/>
            <w:shd w:fill="CCEEFF" w:val="clear"/>
          </w:tcPr>
          <w:p>
            <w:pPr>
              <w:pStyle w:val="TableContents"/>
              <w:spacing w:before="0" w:after="283"/>
              <w:jc w:val="left"/>
              <w:rPr>
                <w:sz w:val="17"/>
              </w:rPr>
            </w:pPr>
            <w:r>
              <w:rPr>
                <w:sz w:val="17"/>
              </w:rPr>
              <w:t xml:space="preserve">Powers of Attorney (included on the previously filed signature page) </w:t>
            </w:r>
          </w:p>
        </w:tc>
      </w:tr>
      <w:tr>
        <w:trPr/>
        <w:tc>
          <w:tcPr>
            <w:tcW w:w="177" w:type="dxa"/>
            <w:tcBorders/>
            <w:shd w:fill="FFFFFF" w:val="clear"/>
          </w:tcPr>
          <w:p>
            <w:pPr>
              <w:pStyle w:val="TableContents"/>
              <w:spacing w:before="0" w:after="283"/>
              <w:jc w:val="left"/>
              <w:rPr/>
            </w:pPr>
            <w:r>
              <w:rPr/>
              <w:t xml:space="preserve">  </w:t>
            </w:r>
          </w:p>
        </w:tc>
        <w:tc>
          <w:tcPr>
            <w:tcW w:w="579" w:type="dxa"/>
            <w:tcBorders/>
            <w:shd w:fill="FFFFFF" w:val="clear"/>
          </w:tcPr>
          <w:p>
            <w:pPr>
              <w:pStyle w:val="TableContents"/>
              <w:spacing w:before="0" w:after="283"/>
              <w:jc w:val="right"/>
              <w:rPr/>
            </w:pPr>
            <w:r>
              <w:rPr/>
              <w:t xml:space="preserve">25 </w:t>
            </w:r>
          </w:p>
        </w:tc>
        <w:tc>
          <w:tcPr>
            <w:tcW w:w="447" w:type="dxa"/>
            <w:tcBorders/>
            <w:shd w:fill="FFFFFF" w:val="clear"/>
          </w:tcPr>
          <w:p>
            <w:pPr>
              <w:pStyle w:val="TableContents"/>
              <w:spacing w:before="0" w:after="283"/>
              <w:jc w:val="left"/>
              <w:rPr/>
            </w:pPr>
            <w:r>
              <w:rPr/>
              <w:t xml:space="preserve">.1 </w:t>
            </w:r>
          </w:p>
        </w:tc>
        <w:tc>
          <w:tcPr>
            <w:tcW w:w="127" w:type="dxa"/>
            <w:tcBorders/>
            <w:shd w:fill="FFFFFF" w:val="clear"/>
            <w:vAlign w:val="bottom"/>
          </w:tcPr>
          <w:p>
            <w:pPr>
              <w:pStyle w:val="TableContents"/>
              <w:spacing w:before="0" w:after="283"/>
              <w:rPr/>
            </w:pPr>
            <w:r>
              <w:rPr/>
              <w:t xml:space="preserve">  </w:t>
            </w:r>
          </w:p>
        </w:tc>
        <w:tc>
          <w:tcPr>
            <w:tcW w:w="323"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425" w:type="dxa"/>
            <w:tcBorders/>
            <w:shd w:fill="FFFFFF" w:val="clear"/>
          </w:tcPr>
          <w:p>
            <w:pPr>
              <w:pStyle w:val="TableContents"/>
              <w:spacing w:before="0" w:after="283"/>
              <w:jc w:val="left"/>
              <w:rPr>
                <w:sz w:val="17"/>
              </w:rPr>
            </w:pPr>
            <w:r>
              <w:rPr>
                <w:sz w:val="17"/>
              </w:rPr>
              <w:t xml:space="preserve">Form T-1 Statement of Eligibility and Qualification under the Trust Indenture Act of 1939 of the trustee under the Indenture with respect to the 6.125% Senior Notes due 2017 and the 6.650% Senior Notes due 2037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146"/>
        <w:gridCol w:w="106"/>
        <w:gridCol w:w="9953"/>
      </w:tblGrid>
      <w:tr>
        <w:trPr/>
        <w:tc>
          <w:tcPr>
            <w:tcW w:w="146" w:type="dxa"/>
            <w:tcBorders/>
            <w:shd w:fill="FFFFFF" w:val="clear"/>
            <w:vAlign w:val="center"/>
          </w:tcPr>
          <w:p>
            <w:pPr>
              <w:pStyle w:val="TableContents"/>
              <w:spacing w:before="0" w:after="283"/>
              <w:rPr>
                <w:sz w:val="4"/>
                <w:szCs w:val="4"/>
              </w:rPr>
            </w:pPr>
            <w:r>
              <w:rPr>
                <w:sz w:val="4"/>
                <w:szCs w:val="4"/>
              </w:rPr>
            </w:r>
          </w:p>
        </w:tc>
        <w:tc>
          <w:tcPr>
            <w:tcW w:w="106" w:type="dxa"/>
            <w:tcBorders/>
            <w:shd w:fill="FFFFFF" w:val="clear"/>
            <w:vAlign w:val="center"/>
          </w:tcPr>
          <w:p>
            <w:pPr>
              <w:pStyle w:val="TableContents"/>
              <w:spacing w:before="0" w:after="283"/>
              <w:rPr>
                <w:sz w:val="4"/>
                <w:szCs w:val="4"/>
              </w:rPr>
            </w:pPr>
            <w:r>
              <w:rPr>
                <w:sz w:val="4"/>
                <w:szCs w:val="4"/>
              </w:rPr>
            </w:r>
          </w:p>
        </w:tc>
        <w:tc>
          <w:tcPr>
            <w:tcW w:w="9953" w:type="dxa"/>
            <w:tcBorders/>
            <w:shd w:fill="FFFFFF" w:val="clear"/>
            <w:vAlign w:val="center"/>
          </w:tcPr>
          <w:p>
            <w:pPr>
              <w:pStyle w:val="TableContents"/>
              <w:spacing w:before="0" w:after="283"/>
              <w:rPr>
                <w:sz w:val="4"/>
                <w:szCs w:val="4"/>
              </w:rPr>
            </w:pPr>
            <w:r>
              <w:rPr>
                <w:sz w:val="4"/>
                <w:szCs w:val="4"/>
              </w:rPr>
            </w:r>
          </w:p>
        </w:tc>
      </w:tr>
      <w:tr>
        <w:trPr/>
        <w:tc>
          <w:tcPr>
            <w:tcW w:w="146" w:type="dxa"/>
            <w:tcBorders/>
            <w:shd w:fill="FFFFFF" w:val="clear"/>
          </w:tcPr>
          <w:p>
            <w:pPr>
              <w:pStyle w:val="TableContents"/>
              <w:spacing w:before="0" w:after="283"/>
              <w:jc w:val="right"/>
              <w:rPr/>
            </w:pPr>
            <w:r>
              <w:rPr/>
              <w:t xml:space="preserve">* </w:t>
            </w:r>
          </w:p>
        </w:tc>
        <w:tc>
          <w:tcPr>
            <w:tcW w:w="106" w:type="dxa"/>
            <w:tcBorders/>
            <w:shd w:fill="FFFFFF" w:val="clear"/>
            <w:vAlign w:val="center"/>
          </w:tcPr>
          <w:p>
            <w:pPr>
              <w:pStyle w:val="TableContents"/>
              <w:spacing w:before="0" w:after="283"/>
              <w:rPr>
                <w:sz w:val="4"/>
                <w:szCs w:val="4"/>
              </w:rPr>
            </w:pPr>
            <w:r>
              <w:rPr>
                <w:sz w:val="4"/>
                <w:szCs w:val="4"/>
              </w:rPr>
            </w:r>
          </w:p>
        </w:tc>
        <w:tc>
          <w:tcPr>
            <w:tcW w:w="9953" w:type="dxa"/>
            <w:tcBorders/>
            <w:shd w:fill="FFFFFF" w:val="clear"/>
            <w:vAlign w:val="bottom"/>
          </w:tcPr>
          <w:p>
            <w:pPr>
              <w:pStyle w:val="TableContents"/>
              <w:spacing w:before="0" w:after="283"/>
              <w:rPr/>
            </w:pPr>
            <w:r>
              <w:rPr/>
              <w:t>Filed herewith.</w:t>
            </w:r>
          </w:p>
        </w:tc>
      </w:tr>
    </w:tbl>
    <w:tbl>
      <w:tblPr>
        <w:tblW w:w="5000" w:type="pct"/>
        <w:jc w:val="left"/>
        <w:tblInd w:w="0" w:type="dxa"/>
        <w:shd w:fill="FFFFFF" w:val="clear"/>
        <w:tblCellMar>
          <w:top w:w="0" w:type="dxa"/>
          <w:left w:w="0" w:type="dxa"/>
          <w:bottom w:w="0" w:type="dxa"/>
          <w:right w:w="0" w:type="dxa"/>
        </w:tblCellMar>
      </w:tblPr>
      <w:tblGrid>
        <w:gridCol w:w="202"/>
        <w:gridCol w:w="107"/>
        <w:gridCol w:w="9896"/>
      </w:tblGrid>
      <w:tr>
        <w:trPr/>
        <w:tc>
          <w:tcPr>
            <w:tcW w:w="202" w:type="dxa"/>
            <w:tcBorders/>
            <w:shd w:fill="FFFFFF" w:val="clear"/>
            <w:vAlign w:val="center"/>
          </w:tcPr>
          <w:p>
            <w:pPr>
              <w:pStyle w:val="TableContents"/>
              <w:spacing w:before="0" w:after="283"/>
              <w:rPr>
                <w:sz w:val="4"/>
                <w:szCs w:val="4"/>
              </w:rPr>
            </w:pPr>
            <w:r>
              <w:rPr>
                <w:sz w:val="4"/>
                <w:szCs w:val="4"/>
              </w:rPr>
            </w:r>
          </w:p>
        </w:tc>
        <w:tc>
          <w:tcPr>
            <w:tcW w:w="107" w:type="dxa"/>
            <w:tcBorders/>
            <w:shd w:fill="FFFFFF" w:val="clear"/>
            <w:vAlign w:val="center"/>
          </w:tcPr>
          <w:p>
            <w:pPr>
              <w:pStyle w:val="TableContents"/>
              <w:spacing w:before="0" w:after="283"/>
              <w:rPr>
                <w:sz w:val="4"/>
                <w:szCs w:val="4"/>
              </w:rPr>
            </w:pPr>
            <w:r>
              <w:rPr>
                <w:sz w:val="4"/>
                <w:szCs w:val="4"/>
              </w:rPr>
            </w:r>
          </w:p>
        </w:tc>
        <w:tc>
          <w:tcPr>
            <w:tcW w:w="9896" w:type="dxa"/>
            <w:tcBorders/>
            <w:shd w:fill="FFFFFF" w:val="clear"/>
            <w:vAlign w:val="center"/>
          </w:tcPr>
          <w:p>
            <w:pPr>
              <w:pStyle w:val="TableContents"/>
              <w:spacing w:before="0" w:after="283"/>
              <w:rPr>
                <w:sz w:val="4"/>
                <w:szCs w:val="4"/>
              </w:rPr>
            </w:pPr>
            <w:r>
              <w:rPr>
                <w:sz w:val="4"/>
                <w:szCs w:val="4"/>
              </w:rPr>
            </w:r>
          </w:p>
        </w:tc>
      </w:tr>
      <w:tr>
        <w:trPr/>
        <w:tc>
          <w:tcPr>
            <w:tcW w:w="202" w:type="dxa"/>
            <w:tcBorders/>
            <w:shd w:fill="FFFFFF" w:val="clear"/>
          </w:tcPr>
          <w:p>
            <w:pPr>
              <w:pStyle w:val="TableContents"/>
              <w:spacing w:before="0" w:after="283"/>
              <w:jc w:val="right"/>
              <w:rPr/>
            </w:pPr>
            <w:r>
              <w:rPr/>
              <w:t xml:space="preserve"> </w:t>
            </w:r>
          </w:p>
        </w:tc>
        <w:tc>
          <w:tcPr>
            <w:tcW w:w="107" w:type="dxa"/>
            <w:tcBorders/>
            <w:shd w:fill="FFFFFF" w:val="clear"/>
            <w:vAlign w:val="center"/>
          </w:tcPr>
          <w:p>
            <w:pPr>
              <w:pStyle w:val="TableContents"/>
              <w:spacing w:before="0" w:after="283"/>
              <w:rPr>
                <w:sz w:val="4"/>
                <w:szCs w:val="4"/>
              </w:rPr>
            </w:pPr>
            <w:r>
              <w:rPr>
                <w:sz w:val="4"/>
                <w:szCs w:val="4"/>
              </w:rPr>
            </w:r>
          </w:p>
        </w:tc>
        <w:tc>
          <w:tcPr>
            <w:tcW w:w="9896" w:type="dxa"/>
            <w:tcBorders/>
            <w:shd w:fill="FFFFFF" w:val="clear"/>
            <w:vAlign w:val="bottom"/>
          </w:tcPr>
          <w:p>
            <w:pPr>
              <w:pStyle w:val="TableContents"/>
              <w:spacing w:before="0" w:after="283"/>
              <w:rPr/>
            </w:pPr>
            <w:r>
              <w:rPr/>
              <w:t>Previously filed.</w:t>
            </w:r>
          </w:p>
        </w:tc>
      </w:tr>
    </w:tbl>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816"/>
        <w:gridCol w:w="9389"/>
      </w:tblGrid>
      <w:tr>
        <w:trPr/>
        <w:tc>
          <w:tcPr>
            <w:tcW w:w="816" w:type="dxa"/>
            <w:tcBorders/>
            <w:shd w:fill="FFFFFF" w:val="clear"/>
            <w:vAlign w:val="center"/>
          </w:tcPr>
          <w:p>
            <w:pPr>
              <w:pStyle w:val="TableContents"/>
              <w:spacing w:before="0" w:after="283"/>
              <w:rPr>
                <w:sz w:val="4"/>
                <w:szCs w:val="4"/>
              </w:rPr>
            </w:pPr>
            <w:r>
              <w:rPr>
                <w:sz w:val="4"/>
                <w:szCs w:val="4"/>
              </w:rPr>
            </w:r>
          </w:p>
        </w:tc>
        <w:tc>
          <w:tcPr>
            <w:tcW w:w="9389" w:type="dxa"/>
            <w:tcBorders/>
            <w:shd w:fill="FFFFFF" w:val="clear"/>
            <w:vAlign w:val="center"/>
          </w:tcPr>
          <w:p>
            <w:pPr>
              <w:pStyle w:val="TableContents"/>
              <w:spacing w:before="0" w:after="283"/>
              <w:rPr>
                <w:sz w:val="4"/>
                <w:szCs w:val="4"/>
              </w:rPr>
            </w:pPr>
            <w:r>
              <w:rPr>
                <w:sz w:val="4"/>
                <w:szCs w:val="4"/>
              </w:rPr>
            </w:r>
          </w:p>
        </w:tc>
      </w:tr>
      <w:tr>
        <w:trPr/>
        <w:tc>
          <w:tcPr>
            <w:tcW w:w="816" w:type="dxa"/>
            <w:tcBorders/>
            <w:shd w:fill="FFFFFF" w:val="clear"/>
          </w:tcPr>
          <w:p>
            <w:pPr>
              <w:pStyle w:val="TableContents"/>
              <w:spacing w:before="0" w:after="283"/>
              <w:rPr/>
            </w:pPr>
            <w:r>
              <w:rPr>
                <w:rFonts w:ascii="Times New Roman;Times" w:hAnsi="Times New Roman;Times"/>
                <w:b/>
              </w:rPr>
              <w:t>Item 22.  </w:t>
            </w:r>
            <w:r>
              <w:rPr/>
              <w:t xml:space="preserve"> </w:t>
            </w:r>
          </w:p>
        </w:tc>
        <w:tc>
          <w:tcPr>
            <w:tcW w:w="9389" w:type="dxa"/>
            <w:tcBorders/>
            <w:shd w:fill="FFFFFF" w:val="clear"/>
          </w:tcPr>
          <w:p>
            <w:pPr>
              <w:pStyle w:val="TableContents"/>
              <w:spacing w:before="0" w:after="283"/>
              <w:rPr/>
            </w:pPr>
            <w:r>
              <w:rPr>
                <w:rFonts w:ascii="Times New Roman;Times" w:hAnsi="Times New Roman;Times"/>
                <w:b/>
                <w:i/>
              </w:rPr>
              <w:t>Undertakings</w:t>
            </w: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Insofar as indemnification for liabilities arising under the Securities Act of 1933 may be permitted to directors, officers and controlling persons of any Registrant, we have been advised that in the opinion of the Securities and Exchange Commission such indemnification is against public policy and is, therefore, unenforceable. In the event that a claim for indemnification against such liabilities (other than the payment by any Registrant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registrant hereby undertakes: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file, during any period in which offers or sales are being made, a post-effective amendment to this registration statement: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to include any prospectus required by section 10(a)(3) of the Securities Act of 1933;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to include any material information with respect to the plan of distribution not previously disclosed in the registration statement or any material change to such information in the registration statement.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remove from registration by means of a post-effective amendment any of the securities being registered which remain unsold at the termination of the offering.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t xml:space="preserve">II-4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That, for the purpose of determining liability under the Securities Act of 1933 to any purchaser, if the registrants are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That, for the purpose of determining liability of the registrants under the Securities Act of 1933 to any purchaser in the initial distribution of the securities, in a primary offering of securities of the undersigned registrants pursuant to this registration statement, regardless of the underwriting method used to sell the securities to the purchaser, if the securities are offered or sold to such purchaser by means of any of the following communications, the undersigned registrants will be a seller to the purchaser and will be considered to offer or sell such securities to such purchaser: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any preliminary prospectus or prospectus of the undersigned registrants relating to the offering required to be filed pursuant to Rule 424;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any free writing prospectus relating to the offering prepared by or on behalf of the undersigned registrants or used or referred to by the undersigned registrants;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the portion of any other free writing prospectus relating to the offering containing material information about the undersigned registrants or their securities provided by or on behalf of the undersigned registrants;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 any other communication that is an offer in the offering made by the undersigned registrants to the purchaser.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That, for purposes of determining any liability under the Securities Act of 1933, each filing of a registrant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SIGNATURES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Pursuant to the requirements of the Securities Act of 1933, each Registrant has duly caused this Registration Statement to be signed on its behalf by the undersigned, thereunto duly authorized, in the City of Houston, State of Texas on May 11, 2007.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 L.P.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AAP, L.P., its general partner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All American GP LLC, its general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552"/>
        <w:gridCol w:w="321"/>
        <w:gridCol w:w="5332"/>
      </w:tblGrid>
      <w:tr>
        <w:trPr/>
        <w:tc>
          <w:tcPr>
            <w:tcW w:w="4552"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5332" w:type="dxa"/>
            <w:tcBorders/>
            <w:shd w:fill="auto" w:val="clear"/>
            <w:vAlign w:val="center"/>
          </w:tcPr>
          <w:p>
            <w:pPr>
              <w:pStyle w:val="TableContents"/>
              <w:spacing w:before="0" w:after="283"/>
              <w:rPr>
                <w:sz w:val="4"/>
                <w:szCs w:val="4"/>
              </w:rPr>
            </w:pPr>
            <w:r>
              <w:rPr>
                <w:sz w:val="4"/>
                <w:szCs w:val="4"/>
              </w:rPr>
            </w:r>
          </w:p>
        </w:tc>
      </w:tr>
      <w:tr>
        <w:trPr/>
        <w:tc>
          <w:tcPr>
            <w:tcW w:w="4552" w:type="dxa"/>
            <w:tcBorders/>
            <w:shd w:fill="FFFFFF" w:val="clear"/>
          </w:tcPr>
          <w:p>
            <w:pPr>
              <w:pStyle w:val="TableContents"/>
              <w:spacing w:before="0" w:after="283"/>
              <w:rPr/>
            </w:pPr>
            <w:r>
              <w:rPr/>
              <w:t> </w:t>
            </w:r>
          </w:p>
        </w:tc>
        <w:tc>
          <w:tcPr>
            <w:tcW w:w="321" w:type="dxa"/>
            <w:tcBorders/>
            <w:shd w:fill="FFFFFF" w:val="clear"/>
          </w:tcPr>
          <w:p>
            <w:pPr>
              <w:pStyle w:val="TableContents"/>
              <w:spacing w:before="0" w:after="283"/>
              <w:rPr/>
            </w:pPr>
            <w:r>
              <w:rPr/>
              <w:t xml:space="preserve">By:  </w:t>
            </w:r>
          </w:p>
        </w:tc>
        <w:tc>
          <w:tcPr>
            <w:tcW w:w="5332" w:type="dxa"/>
            <w:tcBorders/>
            <w:shd w:fill="FFFFFF" w:val="clear"/>
            <w:vAlign w:val="bottom"/>
          </w:tcPr>
          <w:p>
            <w:pPr>
              <w:pStyle w:val="TableContents"/>
              <w:spacing w:before="0" w:after="0"/>
              <w:jc w:val="left"/>
              <w:rPr/>
            </w:pPr>
            <w:r>
              <w:rPr/>
              <w:t>/s/  Tim Moore</w:t>
            </w:r>
          </w:p>
          <w:p>
            <w:pPr>
              <w:pStyle w:val="TableContents"/>
              <w:spacing w:before="0" w:after="0"/>
              <w:jc w:val="left"/>
              <w:rPr/>
            </w:pPr>
            <w:r>
              <w:rPr/>
            </w:r>
          </w:p>
          <w:p>
            <w:pPr>
              <w:pStyle w:val="TableContents"/>
              <w:spacing w:before="0" w:after="0"/>
              <w:jc w:val="left"/>
              <w:rPr/>
            </w:pPr>
            <w:r>
              <w:rPr/>
              <w:t>Name: Tim Moore</w:t>
              <w:br/>
              <w:t xml:space="preserve">Title:   Vice President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PAA FINANCE CORP.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4552"/>
        <w:gridCol w:w="321"/>
        <w:gridCol w:w="5332"/>
      </w:tblGrid>
      <w:tr>
        <w:trPr/>
        <w:tc>
          <w:tcPr>
            <w:tcW w:w="4552"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5332" w:type="dxa"/>
            <w:tcBorders/>
            <w:shd w:fill="auto" w:val="clear"/>
            <w:vAlign w:val="center"/>
          </w:tcPr>
          <w:p>
            <w:pPr>
              <w:pStyle w:val="TableContents"/>
              <w:spacing w:before="0" w:after="283"/>
              <w:rPr>
                <w:sz w:val="4"/>
                <w:szCs w:val="4"/>
              </w:rPr>
            </w:pPr>
            <w:r>
              <w:rPr>
                <w:sz w:val="4"/>
                <w:szCs w:val="4"/>
              </w:rPr>
            </w:r>
          </w:p>
        </w:tc>
      </w:tr>
      <w:tr>
        <w:trPr/>
        <w:tc>
          <w:tcPr>
            <w:tcW w:w="4552" w:type="dxa"/>
            <w:tcBorders/>
            <w:shd w:fill="FFFFFF" w:val="clear"/>
          </w:tcPr>
          <w:p>
            <w:pPr>
              <w:pStyle w:val="TableContents"/>
              <w:spacing w:before="0" w:after="283"/>
              <w:rPr/>
            </w:pPr>
            <w:r>
              <w:rPr/>
              <w:t> </w:t>
            </w:r>
          </w:p>
        </w:tc>
        <w:tc>
          <w:tcPr>
            <w:tcW w:w="321" w:type="dxa"/>
            <w:tcBorders/>
            <w:shd w:fill="FFFFFF" w:val="clear"/>
          </w:tcPr>
          <w:p>
            <w:pPr>
              <w:pStyle w:val="TableContents"/>
              <w:spacing w:before="0" w:after="283"/>
              <w:rPr/>
            </w:pPr>
            <w:r>
              <w:rPr/>
              <w:t xml:space="preserve">By:  </w:t>
            </w:r>
          </w:p>
        </w:tc>
        <w:tc>
          <w:tcPr>
            <w:tcW w:w="5332" w:type="dxa"/>
            <w:tcBorders/>
            <w:shd w:fill="FFFFFF" w:val="clear"/>
            <w:vAlign w:val="bottom"/>
          </w:tcPr>
          <w:p>
            <w:pPr>
              <w:pStyle w:val="TableContents"/>
              <w:spacing w:before="0" w:after="0"/>
              <w:jc w:val="left"/>
              <w:rPr/>
            </w:pPr>
            <w:r>
              <w:rPr/>
              <w:t>/s/  Tim Moore</w:t>
            </w:r>
          </w:p>
          <w:p>
            <w:pPr>
              <w:pStyle w:val="TableContents"/>
              <w:spacing w:before="0" w:after="0"/>
              <w:jc w:val="left"/>
              <w:rPr/>
            </w:pPr>
            <w:r>
              <w:rPr/>
            </w:r>
          </w:p>
          <w:p>
            <w:pPr>
              <w:pStyle w:val="TableContents"/>
              <w:spacing w:before="0" w:after="0"/>
              <w:jc w:val="left"/>
              <w:rPr/>
            </w:pPr>
            <w:r>
              <w:rPr/>
              <w:t>Name: Tim Moore</w:t>
              <w:br/>
              <w:t xml:space="preserve">Title:   Vice President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MARKETING, L.P.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By: Plains Marketing GP Inc., its general partner</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552"/>
        <w:gridCol w:w="321"/>
        <w:gridCol w:w="5332"/>
      </w:tblGrid>
      <w:tr>
        <w:trPr/>
        <w:tc>
          <w:tcPr>
            <w:tcW w:w="4552"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5332" w:type="dxa"/>
            <w:tcBorders/>
            <w:shd w:fill="auto" w:val="clear"/>
            <w:vAlign w:val="center"/>
          </w:tcPr>
          <w:p>
            <w:pPr>
              <w:pStyle w:val="TableContents"/>
              <w:spacing w:before="0" w:after="283"/>
              <w:rPr>
                <w:sz w:val="4"/>
                <w:szCs w:val="4"/>
              </w:rPr>
            </w:pPr>
            <w:r>
              <w:rPr>
                <w:sz w:val="4"/>
                <w:szCs w:val="4"/>
              </w:rPr>
            </w:r>
          </w:p>
        </w:tc>
      </w:tr>
      <w:tr>
        <w:trPr/>
        <w:tc>
          <w:tcPr>
            <w:tcW w:w="4552" w:type="dxa"/>
            <w:tcBorders/>
            <w:shd w:fill="FFFFFF" w:val="clear"/>
          </w:tcPr>
          <w:p>
            <w:pPr>
              <w:pStyle w:val="TableContents"/>
              <w:spacing w:before="0" w:after="283"/>
              <w:rPr/>
            </w:pPr>
            <w:r>
              <w:rPr/>
              <w:t> </w:t>
            </w:r>
          </w:p>
        </w:tc>
        <w:tc>
          <w:tcPr>
            <w:tcW w:w="321" w:type="dxa"/>
            <w:tcBorders/>
            <w:shd w:fill="FFFFFF" w:val="clear"/>
          </w:tcPr>
          <w:p>
            <w:pPr>
              <w:pStyle w:val="TableContents"/>
              <w:spacing w:before="0" w:after="283"/>
              <w:rPr/>
            </w:pPr>
            <w:r>
              <w:rPr/>
              <w:t xml:space="preserve">By:  </w:t>
            </w:r>
          </w:p>
        </w:tc>
        <w:tc>
          <w:tcPr>
            <w:tcW w:w="5332" w:type="dxa"/>
            <w:tcBorders/>
            <w:shd w:fill="FFFFFF" w:val="clear"/>
            <w:vAlign w:val="bottom"/>
          </w:tcPr>
          <w:p>
            <w:pPr>
              <w:pStyle w:val="TableContents"/>
              <w:spacing w:before="0" w:after="0"/>
              <w:jc w:val="left"/>
              <w:rPr/>
            </w:pPr>
            <w:r>
              <w:rPr/>
              <w:t>/s/  Tim Moore</w:t>
            </w:r>
          </w:p>
          <w:p>
            <w:pPr>
              <w:pStyle w:val="TableContents"/>
              <w:spacing w:before="0" w:after="0"/>
              <w:jc w:val="left"/>
              <w:rPr/>
            </w:pPr>
            <w:r>
              <w:rPr/>
            </w:r>
          </w:p>
          <w:p>
            <w:pPr>
              <w:pStyle w:val="TableContents"/>
              <w:spacing w:before="0" w:after="0"/>
              <w:jc w:val="left"/>
              <w:rPr/>
            </w:pPr>
            <w:r>
              <w:rPr/>
              <w:t>Name: Tim Moore</w:t>
              <w:br/>
              <w:t xml:space="preserve">Title:   Vice President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PIPELINE, L.P.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GP Inc., its general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1"/>
        <w:gridCol w:w="407"/>
        <w:gridCol w:w="4797"/>
      </w:tblGrid>
      <w:tr>
        <w:trPr/>
        <w:tc>
          <w:tcPr>
            <w:tcW w:w="5001"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1" w:type="dxa"/>
            <w:tcBorders/>
            <w:shd w:fill="FFFFFF" w:val="clear"/>
          </w:tcPr>
          <w:p>
            <w:pPr>
              <w:pStyle w:val="TableContents"/>
              <w:spacing w:before="0" w:after="283"/>
              <w:rPr/>
            </w:pPr>
            <w:r>
              <w:rPr/>
              <w:t> </w:t>
            </w:r>
          </w:p>
        </w:tc>
        <w:tc>
          <w:tcPr>
            <w:tcW w:w="407" w:type="dxa"/>
            <w:tcBorders/>
            <w:shd w:fill="FFFFFF" w:val="clear"/>
          </w:tcPr>
          <w:p>
            <w:pPr>
              <w:pStyle w:val="TableContents"/>
              <w:spacing w:before="0" w:after="283"/>
              <w:rPr/>
            </w:pPr>
            <w:r>
              <w:rPr/>
              <w:t xml:space="preserve">By:  </w:t>
            </w:r>
          </w:p>
        </w:tc>
        <w:tc>
          <w:tcPr>
            <w:tcW w:w="4797" w:type="dxa"/>
            <w:tcBorders/>
            <w:shd w:fill="FFFFFF" w:val="clear"/>
            <w:vAlign w:val="bottom"/>
          </w:tcPr>
          <w:p>
            <w:pPr>
              <w:pStyle w:val="TableContents"/>
              <w:spacing w:before="0" w:after="0"/>
              <w:jc w:val="left"/>
              <w:rPr/>
            </w:pPr>
            <w:r>
              <w:rPr/>
              <w:t>/s/  Tim Moore</w:t>
            </w:r>
          </w:p>
          <w:p>
            <w:pPr>
              <w:pStyle w:val="TableContents"/>
              <w:spacing w:before="0" w:after="0"/>
              <w:jc w:val="left"/>
              <w:rPr/>
            </w:pPr>
            <w:r>
              <w:rPr/>
            </w:r>
          </w:p>
          <w:p>
            <w:pPr>
              <w:pStyle w:val="TableContents"/>
              <w:spacing w:before="0" w:after="0"/>
              <w:jc w:val="left"/>
              <w:rPr/>
            </w:pPr>
            <w:r>
              <w:rPr/>
              <w:t>Name: Tim Moore</w:t>
              <w:br/>
              <w:t xml:space="preserve">Title:   Vice President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PLAINS MARKETING GP INC.</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1"/>
        <w:gridCol w:w="407"/>
        <w:gridCol w:w="4797"/>
      </w:tblGrid>
      <w:tr>
        <w:trPr/>
        <w:tc>
          <w:tcPr>
            <w:tcW w:w="5001"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1" w:type="dxa"/>
            <w:tcBorders/>
            <w:shd w:fill="FFFFFF" w:val="clear"/>
          </w:tcPr>
          <w:p>
            <w:pPr>
              <w:pStyle w:val="TableContents"/>
              <w:spacing w:before="0" w:after="283"/>
              <w:rPr/>
            </w:pPr>
            <w:r>
              <w:rPr/>
              <w:t> </w:t>
            </w:r>
          </w:p>
        </w:tc>
        <w:tc>
          <w:tcPr>
            <w:tcW w:w="407" w:type="dxa"/>
            <w:tcBorders/>
            <w:shd w:fill="FFFFFF" w:val="clear"/>
          </w:tcPr>
          <w:p>
            <w:pPr>
              <w:pStyle w:val="TableContents"/>
              <w:spacing w:before="0" w:after="283"/>
              <w:rPr/>
            </w:pPr>
            <w:r>
              <w:rPr/>
              <w:t xml:space="preserve">By:  </w:t>
            </w:r>
          </w:p>
        </w:tc>
        <w:tc>
          <w:tcPr>
            <w:tcW w:w="4797" w:type="dxa"/>
            <w:tcBorders/>
            <w:shd w:fill="FFFFFF" w:val="clear"/>
            <w:vAlign w:val="bottom"/>
          </w:tcPr>
          <w:p>
            <w:pPr>
              <w:pStyle w:val="TableContents"/>
              <w:spacing w:before="0" w:after="0"/>
              <w:jc w:val="left"/>
              <w:rPr/>
            </w:pPr>
            <w:r>
              <w:rPr/>
              <w:t>/s/  Tim Moore</w:t>
            </w:r>
          </w:p>
          <w:p>
            <w:pPr>
              <w:pStyle w:val="TableContents"/>
              <w:spacing w:before="0" w:after="0"/>
              <w:jc w:val="left"/>
              <w:rPr/>
            </w:pPr>
            <w:r>
              <w:rPr/>
            </w:r>
          </w:p>
          <w:p>
            <w:pPr>
              <w:pStyle w:val="TableContents"/>
              <w:spacing w:before="0" w:after="0"/>
              <w:jc w:val="left"/>
              <w:rPr/>
            </w:pPr>
            <w:r>
              <w:rPr/>
              <w:t>Name: Tim Moore</w:t>
              <w:br/>
              <w:t xml:space="preserve">Title:   Vice President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PLAINS MARKETING CANADA LLC</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L.P., its sole member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GP Inc., its general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1"/>
        <w:gridCol w:w="407"/>
        <w:gridCol w:w="4797"/>
      </w:tblGrid>
      <w:tr>
        <w:trPr/>
        <w:tc>
          <w:tcPr>
            <w:tcW w:w="5001"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1" w:type="dxa"/>
            <w:tcBorders/>
            <w:shd w:fill="FFFFFF" w:val="clear"/>
          </w:tcPr>
          <w:p>
            <w:pPr>
              <w:pStyle w:val="TableContents"/>
              <w:spacing w:before="0" w:after="283"/>
              <w:rPr/>
            </w:pPr>
            <w:r>
              <w:rPr/>
              <w:t> </w:t>
            </w:r>
          </w:p>
        </w:tc>
        <w:tc>
          <w:tcPr>
            <w:tcW w:w="407" w:type="dxa"/>
            <w:tcBorders/>
            <w:shd w:fill="FFFFFF" w:val="clear"/>
          </w:tcPr>
          <w:p>
            <w:pPr>
              <w:pStyle w:val="TableContents"/>
              <w:spacing w:before="0" w:after="283"/>
              <w:rPr/>
            </w:pPr>
            <w:r>
              <w:rPr/>
              <w:t xml:space="preserve">By:  </w:t>
            </w:r>
          </w:p>
        </w:tc>
        <w:tc>
          <w:tcPr>
            <w:tcW w:w="4797" w:type="dxa"/>
            <w:tcBorders/>
            <w:shd w:fill="FFFFFF" w:val="clear"/>
            <w:vAlign w:val="bottom"/>
          </w:tcPr>
          <w:p>
            <w:pPr>
              <w:pStyle w:val="TableContents"/>
              <w:spacing w:before="0" w:after="0"/>
              <w:jc w:val="left"/>
              <w:rPr/>
            </w:pPr>
            <w:r>
              <w:rPr/>
              <w:t>/s/  Tim Moore</w:t>
            </w:r>
          </w:p>
          <w:p>
            <w:pPr>
              <w:pStyle w:val="TableContents"/>
              <w:spacing w:before="0" w:after="0"/>
              <w:jc w:val="left"/>
              <w:rPr/>
            </w:pPr>
            <w:r>
              <w:rPr/>
            </w:r>
          </w:p>
          <w:p>
            <w:pPr>
              <w:pStyle w:val="TableContents"/>
              <w:spacing w:before="0" w:after="0"/>
              <w:jc w:val="left"/>
              <w:rPr/>
            </w:pPr>
            <w:r>
              <w:rPr/>
              <w:t>Name: Tim Moore</w:t>
              <w:br/>
              <w:t xml:space="preserve">Title:   Vice President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MARKETING CANADA, L.P.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PMC (Nova Scotia) Company, its general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1"/>
        <w:gridCol w:w="407"/>
        <w:gridCol w:w="4797"/>
      </w:tblGrid>
      <w:tr>
        <w:trPr/>
        <w:tc>
          <w:tcPr>
            <w:tcW w:w="5001"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1" w:type="dxa"/>
            <w:tcBorders/>
            <w:shd w:fill="FFFFFF" w:val="clear"/>
          </w:tcPr>
          <w:p>
            <w:pPr>
              <w:pStyle w:val="TableContents"/>
              <w:spacing w:before="0" w:after="283"/>
              <w:rPr/>
            </w:pPr>
            <w:r>
              <w:rPr/>
              <w:t> </w:t>
            </w:r>
          </w:p>
        </w:tc>
        <w:tc>
          <w:tcPr>
            <w:tcW w:w="407" w:type="dxa"/>
            <w:tcBorders/>
            <w:shd w:fill="FFFFFF" w:val="clear"/>
          </w:tcPr>
          <w:p>
            <w:pPr>
              <w:pStyle w:val="TableContents"/>
              <w:spacing w:before="0" w:after="283"/>
              <w:rPr/>
            </w:pPr>
            <w:r>
              <w:rPr/>
              <w:t xml:space="preserve">By:  </w:t>
            </w:r>
          </w:p>
        </w:tc>
        <w:tc>
          <w:tcPr>
            <w:tcW w:w="4797" w:type="dxa"/>
            <w:tcBorders/>
            <w:shd w:fill="FFFFFF" w:val="clear"/>
            <w:vAlign w:val="bottom"/>
          </w:tcPr>
          <w:p>
            <w:pPr>
              <w:pStyle w:val="TableContents"/>
              <w:spacing w:before="0" w:after="0"/>
              <w:jc w:val="left"/>
              <w:rPr/>
            </w:pPr>
            <w:r>
              <w:rPr/>
              <w:t>/s/  Tim Moore</w:t>
            </w:r>
          </w:p>
          <w:p>
            <w:pPr>
              <w:pStyle w:val="TableContents"/>
              <w:spacing w:before="0" w:after="0"/>
              <w:jc w:val="left"/>
              <w:rPr/>
            </w:pPr>
            <w:r>
              <w:rPr/>
            </w:r>
          </w:p>
          <w:p>
            <w:pPr>
              <w:pStyle w:val="TableContents"/>
              <w:spacing w:before="0" w:after="0"/>
              <w:jc w:val="left"/>
              <w:rPr/>
            </w:pPr>
            <w:r>
              <w:rPr/>
              <w:t>Name: Tim Moore</w:t>
              <w:br/>
              <w:t xml:space="preserve">Title:   Vice President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PMC (NOVA SCOTIA) COMPANY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Tim Moore</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Tim Moore</w:t>
        <w:br/>
        <w:t xml:space="preserve">Title:   Vice President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BASIN HOLDINGS GP LLC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Pipeline, L.P., its sole member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GP Inc., its general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Tim Moore</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Tim Moore</w:t>
        <w:br/>
        <w:t xml:space="preserve">Title:   Vice President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BASIN PIPELINE HOLDINGS, L.P.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Basin Holdings GP LLC, its general partner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Pipeline, L.P., its sole member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GP Inc., its general partner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By: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/s/  Tim Moore</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Tim Moore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Title:   Vice President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RANCHO HOLDINGS GP LLC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Pipeline, L.P., its sole member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GP Inc., its general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vAlign w:val="bottom"/>
          </w:tcPr>
          <w:p>
            <w:pPr>
              <w:pStyle w:val="TableContents"/>
              <w:spacing w:before="0" w:after="0"/>
              <w:jc w:val="left"/>
              <w:rPr/>
            </w:pPr>
            <w:r>
              <w:rPr/>
              <w:t>/s/  Tim Moore</w:t>
            </w:r>
          </w:p>
          <w:p>
            <w:pPr>
              <w:pStyle w:val="TableContents"/>
              <w:spacing w:before="0" w:after="0"/>
              <w:jc w:val="left"/>
              <w:rPr/>
            </w:pPr>
            <w:r>
              <w:rPr/>
            </w:r>
          </w:p>
          <w:p>
            <w:pPr>
              <w:pStyle w:val="TableContents"/>
              <w:spacing w:before="0" w:after="0"/>
              <w:jc w:val="left"/>
              <w:rPr/>
            </w:pPr>
            <w:r>
              <w:rPr/>
              <w:t>Name:   Tim Moore</w:t>
              <w:br/>
              <w:t xml:space="preserve">Title:   Vice President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RANCHO PIPELINE HOLDINGS, L.P.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Rancho Holdings GP LLC, its general partner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Pipeline, L.P., its sole member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GP Inc., its general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1"/>
        <w:gridCol w:w="407"/>
        <w:gridCol w:w="4797"/>
      </w:tblGrid>
      <w:tr>
        <w:trPr/>
        <w:tc>
          <w:tcPr>
            <w:tcW w:w="5001"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1" w:type="dxa"/>
            <w:tcBorders/>
            <w:shd w:fill="FFFFFF" w:val="clear"/>
          </w:tcPr>
          <w:p>
            <w:pPr>
              <w:pStyle w:val="TableContents"/>
              <w:spacing w:before="0" w:after="283"/>
              <w:rPr/>
            </w:pPr>
            <w:r>
              <w:rPr/>
              <w:t> </w:t>
            </w:r>
          </w:p>
        </w:tc>
        <w:tc>
          <w:tcPr>
            <w:tcW w:w="407" w:type="dxa"/>
            <w:tcBorders/>
            <w:shd w:fill="FFFFFF" w:val="clear"/>
          </w:tcPr>
          <w:p>
            <w:pPr>
              <w:pStyle w:val="TableContents"/>
              <w:spacing w:before="0" w:after="283"/>
              <w:rPr/>
            </w:pPr>
            <w:r>
              <w:rPr/>
              <w:t xml:space="preserve">By:  </w:t>
            </w:r>
          </w:p>
        </w:tc>
        <w:tc>
          <w:tcPr>
            <w:tcW w:w="4797" w:type="dxa"/>
            <w:tcBorders/>
            <w:shd w:fill="FFFFFF" w:val="clear"/>
            <w:vAlign w:val="bottom"/>
          </w:tcPr>
          <w:p>
            <w:pPr>
              <w:pStyle w:val="TableContents"/>
              <w:spacing w:before="0" w:after="0"/>
              <w:jc w:val="left"/>
              <w:rPr/>
            </w:pPr>
            <w:r>
              <w:rPr/>
              <w:t>/s/  Tim Moore</w:t>
            </w:r>
          </w:p>
          <w:p>
            <w:pPr>
              <w:pStyle w:val="TableContents"/>
              <w:spacing w:before="0" w:after="0"/>
              <w:jc w:val="left"/>
              <w:rPr/>
            </w:pPr>
            <w:r>
              <w:rPr/>
            </w:r>
          </w:p>
          <w:p>
            <w:pPr>
              <w:pStyle w:val="TableContents"/>
              <w:spacing w:before="0" w:after="0"/>
              <w:jc w:val="left"/>
              <w:rPr/>
            </w:pPr>
            <w:r>
              <w:rPr/>
              <w:t>Name: Tim Moore</w:t>
              <w:br/>
              <w:t xml:space="preserve">Title:   Vice President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LPG SERVICES GP LLC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L.P., its sole member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GP Inc., its general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1"/>
        <w:gridCol w:w="407"/>
        <w:gridCol w:w="4797"/>
      </w:tblGrid>
      <w:tr>
        <w:trPr/>
        <w:tc>
          <w:tcPr>
            <w:tcW w:w="5001"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1" w:type="dxa"/>
            <w:tcBorders/>
            <w:shd w:fill="FFFFFF" w:val="clear"/>
          </w:tcPr>
          <w:p>
            <w:pPr>
              <w:pStyle w:val="TableContents"/>
              <w:spacing w:before="0" w:after="283"/>
              <w:rPr/>
            </w:pPr>
            <w:r>
              <w:rPr/>
              <w:t> </w:t>
            </w:r>
          </w:p>
        </w:tc>
        <w:tc>
          <w:tcPr>
            <w:tcW w:w="407" w:type="dxa"/>
            <w:tcBorders/>
            <w:shd w:fill="FFFFFF" w:val="clear"/>
          </w:tcPr>
          <w:p>
            <w:pPr>
              <w:pStyle w:val="TableContents"/>
              <w:spacing w:before="0" w:after="283"/>
              <w:rPr/>
            </w:pPr>
            <w:r>
              <w:rPr/>
              <w:t xml:space="preserve">By:  </w:t>
            </w:r>
          </w:p>
        </w:tc>
        <w:tc>
          <w:tcPr>
            <w:tcW w:w="4797" w:type="dxa"/>
            <w:tcBorders/>
            <w:shd w:fill="FFFFFF" w:val="clear"/>
            <w:vAlign w:val="bottom"/>
          </w:tcPr>
          <w:p>
            <w:pPr>
              <w:pStyle w:val="TableContents"/>
              <w:spacing w:before="0" w:after="0"/>
              <w:jc w:val="left"/>
              <w:rPr/>
            </w:pPr>
            <w:r>
              <w:rPr/>
              <w:t>/s/  Tim Moore</w:t>
            </w:r>
          </w:p>
          <w:p>
            <w:pPr>
              <w:pStyle w:val="TableContents"/>
              <w:spacing w:before="0" w:after="0"/>
              <w:jc w:val="left"/>
              <w:rPr/>
            </w:pPr>
            <w:r>
              <w:rPr/>
            </w:r>
          </w:p>
          <w:p>
            <w:pPr>
              <w:pStyle w:val="TableContents"/>
              <w:spacing w:before="0" w:after="0"/>
              <w:jc w:val="left"/>
              <w:rPr/>
            </w:pPr>
            <w:r>
              <w:rPr/>
              <w:t>Name: Tim Moore</w:t>
              <w:br/>
              <w:t xml:space="preserve">Title: Vice President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LPG SERVICES, L.P.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LPG Services GP LLC, its general partner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L.P., its sole member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GP Inc., its general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1"/>
        <w:gridCol w:w="407"/>
        <w:gridCol w:w="4797"/>
      </w:tblGrid>
      <w:tr>
        <w:trPr/>
        <w:tc>
          <w:tcPr>
            <w:tcW w:w="5001"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1" w:type="dxa"/>
            <w:tcBorders/>
            <w:shd w:fill="FFFFFF" w:val="clear"/>
          </w:tcPr>
          <w:p>
            <w:pPr>
              <w:pStyle w:val="TableContents"/>
              <w:spacing w:before="0" w:after="283"/>
              <w:rPr/>
            </w:pPr>
            <w:r>
              <w:rPr/>
              <w:t> </w:t>
            </w:r>
          </w:p>
        </w:tc>
        <w:tc>
          <w:tcPr>
            <w:tcW w:w="407" w:type="dxa"/>
            <w:tcBorders/>
            <w:shd w:fill="FFFFFF" w:val="clear"/>
          </w:tcPr>
          <w:p>
            <w:pPr>
              <w:pStyle w:val="TableContents"/>
              <w:spacing w:before="0" w:after="283"/>
              <w:rPr/>
            </w:pPr>
            <w:r>
              <w:rPr/>
              <w:t xml:space="preserve">By:  </w:t>
            </w:r>
          </w:p>
        </w:tc>
        <w:tc>
          <w:tcPr>
            <w:tcW w:w="4797" w:type="dxa"/>
            <w:tcBorders/>
            <w:shd w:fill="FFFFFF" w:val="clear"/>
            <w:vAlign w:val="bottom"/>
          </w:tcPr>
          <w:p>
            <w:pPr>
              <w:pStyle w:val="TableContents"/>
              <w:spacing w:before="0" w:after="0"/>
              <w:jc w:val="left"/>
              <w:rPr/>
            </w:pPr>
            <w:r>
              <w:rPr/>
              <w:t>/s/  Tim Moore</w:t>
            </w:r>
          </w:p>
          <w:p>
            <w:pPr>
              <w:pStyle w:val="TableContents"/>
              <w:spacing w:before="0" w:after="0"/>
              <w:jc w:val="left"/>
              <w:rPr/>
            </w:pPr>
            <w:r>
              <w:rPr/>
            </w:r>
          </w:p>
          <w:p>
            <w:pPr>
              <w:pStyle w:val="TableContents"/>
              <w:spacing w:before="0" w:after="0"/>
              <w:jc w:val="left"/>
              <w:rPr/>
            </w:pPr>
            <w:r>
              <w:rPr/>
              <w:t>Name: Tim Moore</w:t>
              <w:br/>
              <w:t xml:space="preserve">Title: Vice President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LONE STAR TRUCKING, LLC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LPG Services, L.P., its sole member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283"/>
              <w:jc w:val="left"/>
              <w:rPr/>
            </w:pPr>
            <w:r>
              <w:rPr/>
              <w:t xml:space="preserve">Plains LPG Services GP LLC, its general partner </w:t>
            </w:r>
          </w:p>
        </w:tc>
      </w:tr>
    </w:tbl>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L.P., its sole member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GP Inc., its general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Tim Moore</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Tim Moore</w:t>
        <w:br/>
        <w:t xml:space="preserve">Title: Vice President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MARKETING INTERNATIONAL GP LLC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L.P., its sole member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GP Inc., its general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Tim Moore</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Tim Moore</w:t>
        <w:br/>
        <w:t xml:space="preserve">Title: Vice President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MARKETING INTERNATIONAL, L.P.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283"/>
              <w:jc w:val="left"/>
              <w:rPr/>
            </w:pPr>
            <w:r>
              <w:rPr/>
              <w:t xml:space="preserve">Plains Marketing International GP LLC, its general partner </w:t>
            </w:r>
          </w:p>
        </w:tc>
      </w:tr>
    </w:tbl>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L.P., its sole member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GP Inc., its general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Tim Moore</w:t>
            </w:r>
          </w:p>
        </w:tc>
      </w:tr>
    </w:tbl>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Name: Tim Moore</w:t>
        <w:br/>
        <w:t xml:space="preserve">Title: Vice President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LPG MARKETING, L.P.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LPG Services GP LLC, its general partner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L.P., its sole member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GP Inc., its general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Tim Moore</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Tim Moore</w:t>
        <w:br/>
        <w:t xml:space="preserve">Title: Vice President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PACIFIC ENERGY GROUP LLC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Tim Moore</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Tim Moore</w:t>
        <w:br/>
        <w:t xml:space="preserve">Title: Vice President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PACIFIC MARKETING AND TRANSPORTATION LLC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Tim Moore</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Tim Moore</w:t>
        <w:br/>
        <w:t xml:space="preserve">Title: Vice President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PACIFIC ATLANTIC TERMINALS LLC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Tim Moore</w:t>
            </w:r>
          </w:p>
        </w:tc>
      </w:tr>
    </w:tbl>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Name: Tim Moore</w:t>
        <w:br/>
        <w:t xml:space="preserve">Title: Vice President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ROCKY MOUNTAIN PIPELINE SYSTEM LLC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Tim Moore</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Tim Moore</w:t>
        <w:br/>
        <w:t xml:space="preserve">Title: Vice President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RANCH PIPELINE LLC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Tim Moore</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Tim Moore</w:t>
        <w:br/>
        <w:t xml:space="preserve">Title: Vice President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PEG CANADA GP LLC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Tim Moore</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Tim Moore</w:t>
        <w:br/>
        <w:t xml:space="preserve">Title: Vice President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PEG CANADA, L.P.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283"/>
              <w:jc w:val="left"/>
              <w:rPr/>
            </w:pPr>
            <w:r>
              <w:rPr/>
              <w:t xml:space="preserve">PEG Canada GP LLC, its general partner </w:t>
            </w:r>
          </w:p>
        </w:tc>
      </w:tr>
    </w:tbl>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409"/>
        <w:gridCol w:w="408"/>
        <w:gridCol w:w="4388"/>
      </w:tblGrid>
      <w:tr>
        <w:trPr/>
        <w:tc>
          <w:tcPr>
            <w:tcW w:w="54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388"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388" w:type="dxa"/>
            <w:tcBorders/>
            <w:shd w:fill="FFFFFF" w:val="clear"/>
          </w:tcPr>
          <w:p>
            <w:pPr>
              <w:pStyle w:val="TableContents"/>
              <w:spacing w:before="0" w:after="0"/>
              <w:jc w:val="left"/>
              <w:rPr/>
            </w:pPr>
            <w:r>
              <w:rPr/>
              <w:t>/s/  Tim Moore</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Tim Moore</w:t>
        <w:br/>
        <w:t xml:space="preserve">Title: Vice President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PACIFIC ENERGY FINANCE CORPORATION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Tim Moore</w:t>
            </w:r>
          </w:p>
        </w:tc>
      </w:tr>
    </w:tbl>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Name: Tim Moore</w:t>
        <w:br/>
        <w:t xml:space="preserve">Title: Vice President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PACIFIC L.A. MARINE TERMINAL LLC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Tim Moore</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Tim Moore</w:t>
        <w:br/>
        <w:t xml:space="preserve">Title: Vice President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RANGELAND PIPELINE COMPANY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Tim Moore</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Tim Moore</w:t>
        <w:br/>
        <w:t xml:space="preserve">Title: Vice President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RANGELAND PIPELINE PARTNERSHIP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Rangeland Pipeline Company, its managing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Tim Moore</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Tim Moore</w:t>
        <w:br/>
        <w:t xml:space="preserve">Title: Vice President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RANGELAND NORTHERN PIPELINE COMPANY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Tim Moore</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Tim Moore</w:t>
        <w:br/>
        <w:t xml:space="preserve">Title: Vice President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RANGELAND MARKETING COMPANY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Tim Moore</w:t>
            </w:r>
          </w:p>
        </w:tc>
      </w:tr>
    </w:tbl>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Name: Tim Moore</w:t>
        <w:br/>
        <w:t xml:space="preserve">Title: Vice President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AURORA PIPELINE COMPANY LTD.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4554"/>
        <w:gridCol w:w="328"/>
        <w:gridCol w:w="5323"/>
      </w:tblGrid>
      <w:tr>
        <w:trPr/>
        <w:tc>
          <w:tcPr>
            <w:tcW w:w="4554"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5323" w:type="dxa"/>
            <w:tcBorders/>
            <w:shd w:fill="auto" w:val="clear"/>
            <w:vAlign w:val="center"/>
          </w:tcPr>
          <w:p>
            <w:pPr>
              <w:pStyle w:val="TableContents"/>
              <w:spacing w:before="0" w:after="283"/>
              <w:rPr>
                <w:sz w:val="4"/>
                <w:szCs w:val="4"/>
              </w:rPr>
            </w:pPr>
            <w:r>
              <w:rPr>
                <w:sz w:val="4"/>
                <w:szCs w:val="4"/>
              </w:rPr>
            </w:r>
          </w:p>
        </w:tc>
      </w:tr>
      <w:tr>
        <w:trPr/>
        <w:tc>
          <w:tcPr>
            <w:tcW w:w="4554" w:type="dxa"/>
            <w:tcBorders/>
            <w:shd w:fill="FFFFFF" w:val="clear"/>
          </w:tcPr>
          <w:p>
            <w:pPr>
              <w:pStyle w:val="TableContents"/>
              <w:spacing w:before="0" w:after="283"/>
              <w:rPr/>
            </w:pPr>
            <w:r>
              <w:rPr/>
              <w:t> </w:t>
            </w:r>
          </w:p>
        </w:tc>
        <w:tc>
          <w:tcPr>
            <w:tcW w:w="328" w:type="dxa"/>
            <w:tcBorders/>
            <w:shd w:fill="FFFFFF" w:val="clear"/>
          </w:tcPr>
          <w:p>
            <w:pPr>
              <w:pStyle w:val="TableContents"/>
              <w:spacing w:before="0" w:after="283"/>
              <w:rPr/>
            </w:pPr>
            <w:r>
              <w:rPr/>
              <w:t xml:space="preserve">By:  </w:t>
            </w:r>
          </w:p>
        </w:tc>
        <w:tc>
          <w:tcPr>
            <w:tcW w:w="5323" w:type="dxa"/>
            <w:tcBorders/>
            <w:shd w:fill="FFFFFF" w:val="clear"/>
          </w:tcPr>
          <w:p>
            <w:pPr>
              <w:pStyle w:val="TableContents"/>
              <w:spacing w:before="0" w:after="0"/>
              <w:jc w:val="left"/>
              <w:rPr/>
            </w:pPr>
            <w:r>
              <w:rPr/>
              <w:t>/s/  Tim Moore</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Tim Moore</w:t>
        <w:br/>
        <w:t xml:space="preserve">Title: Vice President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ALL AMERICAN GP LLC., as the general partner of PLAINS AAP, L.P., as the general partner of PLAINS ALL AMERICAN PIPELINE, L.P.</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509"/>
        <w:gridCol w:w="102"/>
        <w:gridCol w:w="3879"/>
        <w:gridCol w:w="305"/>
        <w:gridCol w:w="3879"/>
        <w:gridCol w:w="306"/>
        <w:gridCol w:w="1225"/>
      </w:tblGrid>
      <w:tr>
        <w:trPr/>
        <w:tc>
          <w:tcPr>
            <w:tcW w:w="509"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3879"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3879" w:type="dxa"/>
            <w:tcBorders/>
            <w:shd w:fill="FFFFFF" w:val="clear"/>
            <w:vAlign w:val="bottom"/>
          </w:tcPr>
          <w:p>
            <w:pPr>
              <w:pStyle w:val="TableContents"/>
              <w:spacing w:before="0" w:after="283"/>
              <w:rPr/>
            </w:pPr>
            <w:r>
              <w:rPr/>
              <w:t> </w:t>
            </w:r>
          </w:p>
        </w:tc>
        <w:tc>
          <w:tcPr>
            <w:tcW w:w="306" w:type="dxa"/>
            <w:tcBorders/>
            <w:shd w:fill="FFFFFF" w:val="clear"/>
            <w:vAlign w:val="bottom"/>
          </w:tcPr>
          <w:p>
            <w:pPr>
              <w:pStyle w:val="TableContents"/>
              <w:spacing w:before="0" w:after="283"/>
              <w:rPr/>
            </w:pPr>
            <w:r>
              <w:rPr/>
              <w:t> </w:t>
            </w:r>
          </w:p>
        </w:tc>
        <w:tc>
          <w:tcPr>
            <w:tcW w:w="1225" w:type="dxa"/>
            <w:tcBorders/>
            <w:shd w:fill="FFFFFF" w:val="clear"/>
            <w:vAlign w:val="bottom"/>
          </w:tcPr>
          <w:p>
            <w:pPr>
              <w:pStyle w:val="TableContents"/>
              <w:spacing w:before="0" w:after="283"/>
              <w:rPr/>
            </w:pPr>
            <w:r>
              <w:rPr/>
              <w:t> </w:t>
            </w:r>
          </w:p>
        </w:tc>
      </w:tr>
      <w:tr>
        <w:trPr/>
        <w:tc>
          <w:tcPr>
            <w:tcW w:w="4490" w:type="dxa"/>
            <w:gridSpan w:val="3"/>
            <w:tcBorders/>
            <w:shd w:fill="FFFFFF" w:val="clear"/>
            <w:vAlign w:val="bottom"/>
          </w:tcPr>
          <w:p>
            <w:pPr>
              <w:pStyle w:val="TableContents"/>
              <w:spacing w:before="0" w:after="0"/>
              <w:jc w:val="center"/>
              <w:rPr>
                <w:bdr w:val="single" w:sz="2" w:space="1" w:color="000000"/>
              </w:rPr>
            </w:pPr>
            <w:r>
              <w:rPr>
                <w:b/>
                <w:bdr w:val="single" w:sz="2" w:space="1" w:color="000000"/>
              </w:rPr>
              <w:t>Signature</w:t>
            </w:r>
            <w:r>
              <w:rPr>
                <w:bdr w:val="single" w:sz="2" w:space="1" w:color="000000"/>
              </w:rPr>
              <w:t xml:space="preserve"> </w:t>
            </w:r>
          </w:p>
        </w:tc>
        <w:tc>
          <w:tcPr>
            <w:tcW w:w="305" w:type="dxa"/>
            <w:tcBorders/>
            <w:shd w:fill="FFFFFF" w:val="clear"/>
            <w:vAlign w:val="bottom"/>
          </w:tcPr>
          <w:p>
            <w:pPr>
              <w:pStyle w:val="TableContents"/>
              <w:spacing w:before="0" w:after="283"/>
              <w:jc w:val="center"/>
              <w:rPr/>
            </w:pPr>
            <w:r>
              <w:rPr/>
              <w:t xml:space="preserve">  </w:t>
            </w:r>
          </w:p>
        </w:tc>
        <w:tc>
          <w:tcPr>
            <w:tcW w:w="3879" w:type="dxa"/>
            <w:tcBorders/>
            <w:shd w:fill="FFFFFF" w:val="clear"/>
            <w:vAlign w:val="bottom"/>
          </w:tcPr>
          <w:p>
            <w:pPr>
              <w:pStyle w:val="TableContents"/>
              <w:spacing w:before="0" w:after="0"/>
              <w:jc w:val="center"/>
              <w:rPr>
                <w:bdr w:val="single" w:sz="2" w:space="1" w:color="000000"/>
              </w:rPr>
            </w:pPr>
            <w:r>
              <w:rPr>
                <w:b/>
                <w:bdr w:val="single" w:sz="2" w:space="1" w:color="000000"/>
              </w:rPr>
              <w:t>Title</w:t>
            </w:r>
            <w:r>
              <w:rPr>
                <w:bdr w:val="single" w:sz="2" w:space="1" w:color="000000"/>
              </w:rPr>
              <w:t xml:space="preserve"> </w:t>
            </w:r>
          </w:p>
        </w:tc>
        <w:tc>
          <w:tcPr>
            <w:tcW w:w="306" w:type="dxa"/>
            <w:tcBorders/>
            <w:shd w:fill="FFFFFF" w:val="clear"/>
            <w:vAlign w:val="bottom"/>
          </w:tcPr>
          <w:p>
            <w:pPr>
              <w:pStyle w:val="TableContents"/>
              <w:spacing w:before="0" w:after="283"/>
              <w:jc w:val="center"/>
              <w:rPr/>
            </w:pPr>
            <w:r>
              <w:rPr/>
              <w:t xml:space="preserve">  </w:t>
            </w:r>
          </w:p>
        </w:tc>
        <w:tc>
          <w:tcPr>
            <w:tcW w:w="1225" w:type="dxa"/>
            <w:tcBorders/>
            <w:shd w:fill="FFFFFF" w:val="clear"/>
            <w:vAlign w:val="bottom"/>
          </w:tcPr>
          <w:p>
            <w:pPr>
              <w:pStyle w:val="TableContents"/>
              <w:spacing w:before="0" w:after="0"/>
              <w:jc w:val="center"/>
              <w:rPr>
                <w:bdr w:val="single" w:sz="2" w:space="1" w:color="000000"/>
              </w:rPr>
            </w:pPr>
            <w:r>
              <w:rPr>
                <w:b/>
                <w:bdr w:val="single" w:sz="2" w:space="1" w:color="000000"/>
              </w:rPr>
              <w:t>Date</w:t>
            </w:r>
            <w:r>
              <w:rPr>
                <w:bdr w:val="single" w:sz="2" w:space="1" w:color="000000"/>
              </w:rPr>
              <w:t xml:space="preserve"> </w:t>
            </w:r>
          </w:p>
        </w:tc>
      </w:tr>
      <w:tr>
        <w:trPr/>
        <w:tc>
          <w:tcPr>
            <w:tcW w:w="509" w:type="dxa"/>
            <w:tcBorders/>
            <w:shd w:fill="FFFFFF" w:val="clear"/>
            <w:vAlign w:val="center"/>
          </w:tcPr>
          <w:p>
            <w:pPr>
              <w:pStyle w:val="TableContents"/>
              <w:spacing w:before="0" w:after="283"/>
              <w:rPr/>
            </w:pPr>
            <w:r>
              <w:rPr/>
              <w:t xml:space="preserve">  </w:t>
            </w:r>
          </w:p>
        </w:tc>
        <w:tc>
          <w:tcPr>
            <w:tcW w:w="9696" w:type="dxa"/>
            <w:gridSpan w:val="6"/>
            <w:tcBorders/>
            <w:shd w:fill="FFFFFF" w:val="clear"/>
          </w:tcPr>
          <w:p>
            <w:pPr>
              <w:pStyle w:val="TableContents"/>
              <w:spacing w:before="0" w:after="283"/>
              <w:rPr>
                <w:sz w:val="4"/>
                <w:szCs w:val="4"/>
              </w:rPr>
            </w:pPr>
            <w:r>
              <w:rPr>
                <w:sz w:val="4"/>
                <w:szCs w:val="4"/>
              </w:rPr>
            </w:r>
          </w:p>
        </w:tc>
      </w:tr>
      <w:tr>
        <w:trPr/>
        <w:tc>
          <w:tcPr>
            <w:tcW w:w="4490" w:type="dxa"/>
            <w:gridSpan w:val="3"/>
            <w:tcBorders/>
            <w:shd w:fill="FFFFFF" w:val="clear"/>
          </w:tcPr>
          <w:p>
            <w:pPr>
              <w:pStyle w:val="TableContents"/>
              <w:spacing w:before="0" w:after="0"/>
              <w:rPr>
                <w:sz w:val="17"/>
              </w:rPr>
            </w:pPr>
            <w:r>
              <w:rPr>
                <w:sz w:val="17"/>
              </w:rPr>
              <w:t>*</w:t>
            </w:r>
          </w:p>
          <w:p>
            <w:pPr>
              <w:pStyle w:val="TableContents"/>
              <w:spacing w:before="0" w:after="0"/>
              <w:rPr>
                <w:sz w:val="17"/>
              </w:rPr>
            </w:pPr>
            <w:r>
              <w:rPr>
                <w:sz w:val="17"/>
              </w:rPr>
              <w:t xml:space="preserve">Greg L. Armstrong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Chairman of the Board, Chief Executive Officer and Director (Principal</w:t>
              <w:br/>
              <w:t xml:space="preserve">Executive Officer)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90" w:type="dxa"/>
            <w:gridSpan w:val="3"/>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90" w:type="dxa"/>
            <w:gridSpan w:val="3"/>
            <w:tcBorders/>
            <w:shd w:fill="FFFFFF" w:val="clear"/>
          </w:tcPr>
          <w:p>
            <w:pPr>
              <w:pStyle w:val="TableContents"/>
              <w:spacing w:before="0" w:after="0"/>
              <w:rPr>
                <w:sz w:val="17"/>
              </w:rPr>
            </w:pPr>
            <w:r>
              <w:rPr>
                <w:sz w:val="17"/>
              </w:rPr>
              <w:t>*</w:t>
            </w:r>
          </w:p>
          <w:p>
            <w:pPr>
              <w:pStyle w:val="TableContents"/>
              <w:spacing w:before="0" w:after="0"/>
              <w:rPr>
                <w:sz w:val="17"/>
              </w:rPr>
            </w:pPr>
            <w:r>
              <w:rPr>
                <w:sz w:val="17"/>
              </w:rPr>
              <w:t xml:space="preserve">Phil Kramer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Executive Vice President and Chief Financial Officer (Principal</w:t>
              <w:br/>
              <w:t xml:space="preserve">Financial Officer)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90" w:type="dxa"/>
            <w:gridSpan w:val="3"/>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90" w:type="dxa"/>
            <w:gridSpan w:val="3"/>
            <w:tcBorders/>
            <w:shd w:fill="FFFFFF" w:val="clear"/>
          </w:tcPr>
          <w:p>
            <w:pPr>
              <w:pStyle w:val="TableContents"/>
              <w:spacing w:before="0" w:after="0"/>
              <w:rPr>
                <w:sz w:val="17"/>
              </w:rPr>
            </w:pPr>
            <w:r>
              <w:rPr>
                <w:sz w:val="17"/>
              </w:rPr>
              <w:t>*</w:t>
            </w:r>
          </w:p>
          <w:p>
            <w:pPr>
              <w:pStyle w:val="TableContents"/>
              <w:spacing w:before="0" w:after="0"/>
              <w:rPr>
                <w:sz w:val="17"/>
              </w:rPr>
            </w:pPr>
            <w:r>
              <w:rPr>
                <w:sz w:val="17"/>
              </w:rPr>
              <w:t xml:space="preserve">Tina L. Val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Vice President  Accounting and Chief Accounting Officer (Principal</w:t>
              <w:br/>
              <w:t xml:space="preserve">Accounting Officer)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90" w:type="dxa"/>
            <w:gridSpan w:val="3"/>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90" w:type="dxa"/>
            <w:gridSpan w:val="3"/>
            <w:tcBorders/>
            <w:shd w:fill="FFFFFF" w:val="clear"/>
          </w:tcPr>
          <w:p>
            <w:pPr>
              <w:pStyle w:val="TableContents"/>
              <w:spacing w:before="0" w:after="0"/>
              <w:rPr>
                <w:sz w:val="17"/>
              </w:rPr>
            </w:pPr>
            <w:r>
              <w:rPr>
                <w:sz w:val="17"/>
              </w:rPr>
              <w:t>*</w:t>
            </w:r>
          </w:p>
          <w:p>
            <w:pPr>
              <w:pStyle w:val="TableContents"/>
              <w:spacing w:before="0" w:after="0"/>
              <w:rPr>
                <w:sz w:val="17"/>
              </w:rPr>
            </w:pPr>
            <w:r>
              <w:rPr>
                <w:sz w:val="17"/>
              </w:rPr>
              <w:t xml:space="preserve">David N. Capobianco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 xml:space="preserve">Director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90" w:type="dxa"/>
            <w:gridSpan w:val="3"/>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90" w:type="dxa"/>
            <w:gridSpan w:val="3"/>
            <w:tcBorders/>
            <w:shd w:fill="FFFFFF" w:val="clear"/>
          </w:tcPr>
          <w:p>
            <w:pPr>
              <w:pStyle w:val="TableContents"/>
              <w:spacing w:before="0" w:after="0"/>
              <w:rPr>
                <w:sz w:val="17"/>
              </w:rPr>
            </w:pPr>
            <w:r>
              <w:rPr>
                <w:sz w:val="17"/>
              </w:rPr>
              <w:t>*</w:t>
            </w:r>
          </w:p>
          <w:p>
            <w:pPr>
              <w:pStyle w:val="TableContents"/>
              <w:spacing w:before="0" w:after="0"/>
              <w:rPr>
                <w:sz w:val="17"/>
              </w:rPr>
            </w:pPr>
            <w:r>
              <w:rPr>
                <w:sz w:val="17"/>
              </w:rPr>
              <w:t xml:space="preserve">Everardo Goyanes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 xml:space="preserve">Director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90" w:type="dxa"/>
            <w:gridSpan w:val="3"/>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90" w:type="dxa"/>
            <w:gridSpan w:val="3"/>
            <w:tcBorders/>
            <w:shd w:fill="FFFFFF" w:val="clear"/>
          </w:tcPr>
          <w:p>
            <w:pPr>
              <w:pStyle w:val="TableContents"/>
              <w:spacing w:before="0" w:after="0"/>
              <w:rPr>
                <w:sz w:val="17"/>
              </w:rPr>
            </w:pPr>
            <w:r>
              <w:rPr>
                <w:sz w:val="17"/>
              </w:rPr>
              <w:t>*</w:t>
            </w:r>
          </w:p>
          <w:p>
            <w:pPr>
              <w:pStyle w:val="TableContents"/>
              <w:spacing w:before="0" w:after="0"/>
              <w:rPr>
                <w:sz w:val="17"/>
              </w:rPr>
            </w:pPr>
            <w:r>
              <w:rPr>
                <w:sz w:val="17"/>
              </w:rPr>
              <w:t xml:space="preserve">Gary R. Petersen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 xml:space="preserve">Director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90" w:type="dxa"/>
            <w:gridSpan w:val="3"/>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90" w:type="dxa"/>
            <w:gridSpan w:val="3"/>
            <w:tcBorders/>
            <w:shd w:fill="FFFFFF" w:val="clear"/>
          </w:tcPr>
          <w:p>
            <w:pPr>
              <w:pStyle w:val="TableContents"/>
              <w:spacing w:before="0" w:after="0"/>
              <w:rPr>
                <w:sz w:val="17"/>
              </w:rPr>
            </w:pPr>
            <w:r>
              <w:rPr>
                <w:sz w:val="17"/>
              </w:rPr>
              <w:t>*</w:t>
            </w:r>
          </w:p>
          <w:p>
            <w:pPr>
              <w:pStyle w:val="TableContents"/>
              <w:spacing w:before="0" w:after="0"/>
              <w:rPr>
                <w:sz w:val="17"/>
              </w:rPr>
            </w:pPr>
            <w:r>
              <w:rPr>
                <w:sz w:val="17"/>
              </w:rPr>
              <w:t xml:space="preserve">Robert V. Sinnott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 xml:space="preserve">Director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90" w:type="dxa"/>
            <w:gridSpan w:val="3"/>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90"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Arthur L. Smith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 xml:space="preserve">Director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90" w:type="dxa"/>
            <w:gridSpan w:val="3"/>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90"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J. Taft Symonds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 xml:space="preserve">Director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509"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509" w:type="dxa"/>
            <w:tcBorders/>
            <w:shd w:fill="FFFFFF" w:val="clear"/>
          </w:tcPr>
          <w:p>
            <w:pPr>
              <w:pStyle w:val="TableContents"/>
              <w:spacing w:before="0" w:after="283"/>
              <w:jc w:val="left"/>
              <w:rPr>
                <w:sz w:val="17"/>
              </w:rPr>
            </w:pPr>
            <w:r>
              <w:rPr>
                <w:sz w:val="17"/>
              </w:rPr>
              <w:t xml:space="preserve">By: </w:t>
            </w:r>
          </w:p>
        </w:tc>
        <w:tc>
          <w:tcPr>
            <w:tcW w:w="102"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0"/>
              <w:jc w:val="left"/>
              <w:rPr>
                <w:sz w:val="17"/>
              </w:rPr>
            </w:pPr>
            <w:r>
              <w:rPr>
                <w:sz w:val="17"/>
              </w:rPr>
              <w:t>/s/  Tim Moore</w:t>
            </w:r>
          </w:p>
          <w:p>
            <w:pPr>
              <w:pStyle w:val="TableContents"/>
              <w:spacing w:before="0" w:after="0"/>
              <w:jc w:val="left"/>
              <w:rPr/>
            </w:pPr>
            <w:r>
              <w:rPr/>
            </w:r>
          </w:p>
          <w:p>
            <w:pPr>
              <w:pStyle w:val="TableContents"/>
              <w:spacing w:before="0" w:after="0"/>
              <w:jc w:val="left"/>
              <w:rPr>
                <w:sz w:val="17"/>
              </w:rPr>
            </w:pPr>
            <w:r>
              <w:rPr>
                <w:sz w:val="17"/>
              </w:rPr>
              <w:t xml:space="preserve">(Attorney-in-Fact)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pPr>
            <w:r>
              <w:rPr/>
              <w:t xml:space="preserve">  </w:t>
            </w:r>
          </w:p>
        </w:tc>
      </w:tr>
    </w:tbl>
    <w:p>
      <w:pPr>
        <w:pStyle w:val="TextBody"/>
        <w:spacing w:before="120" w:after="283"/>
        <w:rPr/>
      </w:pPr>
      <w:r>
        <w:rPr/>
        <w:t> </w:t>
      </w:r>
    </w:p>
    <w:p>
      <w:pPr>
        <w:pStyle w:val="TextBody"/>
        <w:jc w:val="left"/>
        <w:rPr>
          <w:rFonts w:ascii="Times New Roman;Times" w:hAnsi="Times New Roman;Times"/>
          <w:b/>
          <w:color w:val="000000"/>
          <w:sz w:val="17"/>
          <w:highlight w:val="white"/>
        </w:rPr>
      </w:pPr>
      <w:r>
        <w:rPr>
          <w:rFonts w:ascii="Times New Roman;Times" w:hAnsi="Times New Roman;Times"/>
          <w:b/>
          <w:color w:val="000000"/>
          <w:sz w:val="17"/>
          <w:highlight w:val="white"/>
        </w:rPr>
        <w:t xml:space="preserve">PLAINS MARKETING GP INC., for itself and as the general partner of (1) PLAINS MARKETING, L.P., which is the sole member of each of PLAINS MARKETING CANADA LLC; PLAINS LPG SERVICES GP LLC, the general partner of each of PLAINS LPG MARKETING, L.P. and PLAINS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LPG SERVICES, L.P., the sole member of LONE STAR TRUCKING, LLC; and PLAINS MARKETING INTERNATIONAL GP LLC, the general partner of PLAINS MARKETING INTERNATIONAL, L.P., and (2) PLAINS PIPELINE, L.P., which is the sole member of each of BASIN HOLDINGS GP LLC, the general partner of BASIN PIPELINE HOLDINGS, L.P. and RANCHO HOLDINGS GP LLC, the general partner of RANCHO PIPELINE HOLDINGS, L.P.</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509"/>
        <w:gridCol w:w="102"/>
        <w:gridCol w:w="3879"/>
        <w:gridCol w:w="305"/>
        <w:gridCol w:w="3879"/>
        <w:gridCol w:w="306"/>
        <w:gridCol w:w="1225"/>
      </w:tblGrid>
      <w:tr>
        <w:trPr/>
        <w:tc>
          <w:tcPr>
            <w:tcW w:w="509"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3879"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3879" w:type="dxa"/>
            <w:tcBorders/>
            <w:shd w:fill="FFFFFF" w:val="clear"/>
            <w:vAlign w:val="bottom"/>
          </w:tcPr>
          <w:p>
            <w:pPr>
              <w:pStyle w:val="TableContents"/>
              <w:spacing w:before="0" w:after="283"/>
              <w:rPr/>
            </w:pPr>
            <w:r>
              <w:rPr/>
              <w:t> </w:t>
            </w:r>
          </w:p>
        </w:tc>
        <w:tc>
          <w:tcPr>
            <w:tcW w:w="306" w:type="dxa"/>
            <w:tcBorders/>
            <w:shd w:fill="FFFFFF" w:val="clear"/>
            <w:vAlign w:val="bottom"/>
          </w:tcPr>
          <w:p>
            <w:pPr>
              <w:pStyle w:val="TableContents"/>
              <w:spacing w:before="0" w:after="283"/>
              <w:rPr/>
            </w:pPr>
            <w:r>
              <w:rPr/>
              <w:t> </w:t>
            </w:r>
          </w:p>
        </w:tc>
        <w:tc>
          <w:tcPr>
            <w:tcW w:w="1225" w:type="dxa"/>
            <w:tcBorders/>
            <w:shd w:fill="FFFFFF" w:val="clear"/>
            <w:vAlign w:val="bottom"/>
          </w:tcPr>
          <w:p>
            <w:pPr>
              <w:pStyle w:val="TableContents"/>
              <w:spacing w:before="0" w:after="283"/>
              <w:rPr/>
            </w:pPr>
            <w:r>
              <w:rPr/>
              <w:t> </w:t>
            </w:r>
          </w:p>
        </w:tc>
      </w:tr>
      <w:tr>
        <w:trPr/>
        <w:tc>
          <w:tcPr>
            <w:tcW w:w="4490" w:type="dxa"/>
            <w:gridSpan w:val="3"/>
            <w:tcBorders/>
            <w:shd w:fill="FFFFFF" w:val="clear"/>
            <w:vAlign w:val="bottom"/>
          </w:tcPr>
          <w:p>
            <w:pPr>
              <w:pStyle w:val="TableContents"/>
              <w:spacing w:before="0" w:after="0"/>
              <w:jc w:val="center"/>
              <w:rPr>
                <w:bdr w:val="single" w:sz="2" w:space="1" w:color="000000"/>
              </w:rPr>
            </w:pPr>
            <w:r>
              <w:rPr>
                <w:b/>
                <w:bdr w:val="single" w:sz="2" w:space="1" w:color="000000"/>
              </w:rPr>
              <w:t>Signature</w:t>
            </w:r>
            <w:r>
              <w:rPr>
                <w:bdr w:val="single" w:sz="2" w:space="1" w:color="000000"/>
              </w:rPr>
              <w:t xml:space="preserve"> </w:t>
            </w:r>
          </w:p>
        </w:tc>
        <w:tc>
          <w:tcPr>
            <w:tcW w:w="305" w:type="dxa"/>
            <w:tcBorders/>
            <w:shd w:fill="FFFFFF" w:val="clear"/>
            <w:vAlign w:val="bottom"/>
          </w:tcPr>
          <w:p>
            <w:pPr>
              <w:pStyle w:val="TableContents"/>
              <w:spacing w:before="0" w:after="283"/>
              <w:jc w:val="center"/>
              <w:rPr/>
            </w:pPr>
            <w:r>
              <w:rPr/>
              <w:t xml:space="preserve">  </w:t>
            </w:r>
          </w:p>
        </w:tc>
        <w:tc>
          <w:tcPr>
            <w:tcW w:w="3879" w:type="dxa"/>
            <w:tcBorders/>
            <w:shd w:fill="FFFFFF" w:val="clear"/>
            <w:vAlign w:val="bottom"/>
          </w:tcPr>
          <w:p>
            <w:pPr>
              <w:pStyle w:val="TableContents"/>
              <w:spacing w:before="0" w:after="0"/>
              <w:jc w:val="center"/>
              <w:rPr>
                <w:bdr w:val="single" w:sz="2" w:space="1" w:color="000000"/>
              </w:rPr>
            </w:pPr>
            <w:r>
              <w:rPr>
                <w:b/>
                <w:bdr w:val="single" w:sz="2" w:space="1" w:color="000000"/>
              </w:rPr>
              <w:t>Title</w:t>
            </w:r>
            <w:r>
              <w:rPr>
                <w:bdr w:val="single" w:sz="2" w:space="1" w:color="000000"/>
              </w:rPr>
              <w:t xml:space="preserve"> </w:t>
            </w:r>
          </w:p>
        </w:tc>
        <w:tc>
          <w:tcPr>
            <w:tcW w:w="306" w:type="dxa"/>
            <w:tcBorders/>
            <w:shd w:fill="FFFFFF" w:val="clear"/>
            <w:vAlign w:val="bottom"/>
          </w:tcPr>
          <w:p>
            <w:pPr>
              <w:pStyle w:val="TableContents"/>
              <w:spacing w:before="0" w:after="283"/>
              <w:jc w:val="center"/>
              <w:rPr/>
            </w:pPr>
            <w:r>
              <w:rPr/>
              <w:t xml:space="preserve">  </w:t>
            </w:r>
          </w:p>
        </w:tc>
        <w:tc>
          <w:tcPr>
            <w:tcW w:w="1225" w:type="dxa"/>
            <w:tcBorders/>
            <w:shd w:fill="FFFFFF" w:val="clear"/>
            <w:vAlign w:val="bottom"/>
          </w:tcPr>
          <w:p>
            <w:pPr>
              <w:pStyle w:val="TableContents"/>
              <w:spacing w:before="0" w:after="0"/>
              <w:jc w:val="center"/>
              <w:rPr>
                <w:bdr w:val="single" w:sz="2" w:space="1" w:color="000000"/>
              </w:rPr>
            </w:pPr>
            <w:r>
              <w:rPr>
                <w:b/>
                <w:bdr w:val="single" w:sz="2" w:space="1" w:color="000000"/>
              </w:rPr>
              <w:t>Date</w:t>
            </w:r>
            <w:r>
              <w:rPr>
                <w:bdr w:val="single" w:sz="2" w:space="1" w:color="000000"/>
              </w:rPr>
              <w:t xml:space="preserve"> </w:t>
            </w:r>
          </w:p>
        </w:tc>
      </w:tr>
      <w:tr>
        <w:trPr/>
        <w:tc>
          <w:tcPr>
            <w:tcW w:w="509" w:type="dxa"/>
            <w:tcBorders/>
            <w:shd w:fill="FFFFFF" w:val="clear"/>
            <w:vAlign w:val="center"/>
          </w:tcPr>
          <w:p>
            <w:pPr>
              <w:pStyle w:val="TableContents"/>
              <w:spacing w:before="0" w:after="283"/>
              <w:rPr/>
            </w:pPr>
            <w:r>
              <w:rPr/>
              <w:t xml:space="preserve">  </w:t>
            </w:r>
          </w:p>
        </w:tc>
        <w:tc>
          <w:tcPr>
            <w:tcW w:w="9696" w:type="dxa"/>
            <w:gridSpan w:val="6"/>
            <w:tcBorders/>
            <w:shd w:fill="FFFFFF" w:val="clear"/>
          </w:tcPr>
          <w:p>
            <w:pPr>
              <w:pStyle w:val="TableContents"/>
              <w:spacing w:before="0" w:after="283"/>
              <w:rPr>
                <w:sz w:val="4"/>
                <w:szCs w:val="4"/>
              </w:rPr>
            </w:pPr>
            <w:r>
              <w:rPr>
                <w:sz w:val="4"/>
                <w:szCs w:val="4"/>
              </w:rPr>
            </w:r>
          </w:p>
        </w:tc>
      </w:tr>
      <w:tr>
        <w:trPr/>
        <w:tc>
          <w:tcPr>
            <w:tcW w:w="4490"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Greg L. Armstrong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Chairman of the Board, Chief Executive Officer and Director (Principal</w:t>
              <w:br/>
              <w:t xml:space="preserve">Executive Officer)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90" w:type="dxa"/>
            <w:gridSpan w:val="3"/>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90"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Harry N. Pefanis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President, Chief Operating Officer</w:t>
              <w:br/>
              <w:t xml:space="preserve">and Director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90" w:type="dxa"/>
            <w:gridSpan w:val="3"/>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90"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Phil Kramer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Executive Vice President and Chief Financial Officer (Principal</w:t>
              <w:br/>
              <w:t xml:space="preserve">Financial Officer)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90" w:type="dxa"/>
            <w:gridSpan w:val="3"/>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90"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Tina L. Val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Vice President  Accounting and Chief Accounting Officer (Principal</w:t>
              <w:br/>
              <w:t xml:space="preserve">Accounting Officer)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90" w:type="dxa"/>
            <w:gridSpan w:val="3"/>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90" w:type="dxa"/>
            <w:gridSpan w:val="3"/>
            <w:tcBorders/>
            <w:shd w:fill="FFFFFF" w:val="clear"/>
          </w:tcPr>
          <w:p>
            <w:pPr>
              <w:pStyle w:val="TableContents"/>
              <w:spacing w:before="0" w:after="0"/>
              <w:jc w:val="left"/>
              <w:rPr>
                <w:sz w:val="17"/>
              </w:rPr>
            </w:pPr>
            <w:r>
              <w:rPr>
                <w:sz w:val="17"/>
              </w:rPr>
              <w:t>/s/  Tim Moore</w:t>
            </w:r>
          </w:p>
          <w:p>
            <w:pPr>
              <w:pStyle w:val="TableContents"/>
              <w:spacing w:before="0" w:after="0"/>
              <w:rPr/>
            </w:pPr>
            <w:r>
              <w:rPr/>
            </w:r>
          </w:p>
          <w:p>
            <w:pPr>
              <w:pStyle w:val="TableContents"/>
              <w:spacing w:before="0" w:after="0"/>
              <w:rPr>
                <w:sz w:val="17"/>
              </w:rPr>
            </w:pPr>
            <w:r>
              <w:rPr>
                <w:sz w:val="17"/>
              </w:rPr>
              <w:t xml:space="preserve">Tim Moore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 xml:space="preserve">Vice President, General Counsel, Secretary and Director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509"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509" w:type="dxa"/>
            <w:tcBorders/>
            <w:shd w:fill="FFFFFF" w:val="clear"/>
          </w:tcPr>
          <w:p>
            <w:pPr>
              <w:pStyle w:val="TableContents"/>
              <w:spacing w:before="0" w:after="283"/>
              <w:jc w:val="left"/>
              <w:rPr>
                <w:sz w:val="17"/>
              </w:rPr>
            </w:pPr>
            <w:r>
              <w:rPr>
                <w:sz w:val="17"/>
              </w:rPr>
              <w:t xml:space="preserve">By: </w:t>
            </w:r>
          </w:p>
        </w:tc>
        <w:tc>
          <w:tcPr>
            <w:tcW w:w="102"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0"/>
              <w:jc w:val="left"/>
              <w:rPr>
                <w:sz w:val="17"/>
              </w:rPr>
            </w:pPr>
            <w:r>
              <w:rPr>
                <w:sz w:val="17"/>
              </w:rPr>
              <w:t>/s/  Tim Moore</w:t>
            </w:r>
          </w:p>
          <w:p>
            <w:pPr>
              <w:pStyle w:val="TableContents"/>
              <w:spacing w:before="0" w:after="0"/>
              <w:jc w:val="left"/>
              <w:rPr/>
            </w:pPr>
            <w:r>
              <w:rPr/>
            </w:r>
          </w:p>
          <w:p>
            <w:pPr>
              <w:pStyle w:val="TableContents"/>
              <w:spacing w:before="0" w:after="0"/>
              <w:jc w:val="left"/>
              <w:rPr>
                <w:sz w:val="17"/>
              </w:rPr>
            </w:pPr>
            <w:r>
              <w:rPr>
                <w:sz w:val="17"/>
              </w:rPr>
              <w:t xml:space="preserve">(Attorney-in-Fact)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pPr>
            <w:r>
              <w:rPr/>
              <w:t xml:space="preserve">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PAA FINANCE CORP.</w:t>
      </w:r>
      <w:r>
        <w:rPr>
          <w:rFonts w:ascii="Arial;Helvetica" w:hAnsi="Arial;Helvetica"/>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509"/>
        <w:gridCol w:w="102"/>
        <w:gridCol w:w="3879"/>
        <w:gridCol w:w="305"/>
        <w:gridCol w:w="3879"/>
        <w:gridCol w:w="306"/>
        <w:gridCol w:w="1225"/>
      </w:tblGrid>
      <w:tr>
        <w:trPr/>
        <w:tc>
          <w:tcPr>
            <w:tcW w:w="509"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3879"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3879" w:type="dxa"/>
            <w:tcBorders/>
            <w:shd w:fill="FFFFFF" w:val="clear"/>
            <w:vAlign w:val="bottom"/>
          </w:tcPr>
          <w:p>
            <w:pPr>
              <w:pStyle w:val="TableContents"/>
              <w:spacing w:before="0" w:after="283"/>
              <w:rPr/>
            </w:pPr>
            <w:r>
              <w:rPr/>
              <w:t> </w:t>
            </w:r>
          </w:p>
        </w:tc>
        <w:tc>
          <w:tcPr>
            <w:tcW w:w="306" w:type="dxa"/>
            <w:tcBorders/>
            <w:shd w:fill="FFFFFF" w:val="clear"/>
            <w:vAlign w:val="bottom"/>
          </w:tcPr>
          <w:p>
            <w:pPr>
              <w:pStyle w:val="TableContents"/>
              <w:spacing w:before="0" w:after="283"/>
              <w:rPr/>
            </w:pPr>
            <w:r>
              <w:rPr/>
              <w:t> </w:t>
            </w:r>
          </w:p>
        </w:tc>
        <w:tc>
          <w:tcPr>
            <w:tcW w:w="1225" w:type="dxa"/>
            <w:tcBorders/>
            <w:shd w:fill="FFFFFF" w:val="clear"/>
            <w:vAlign w:val="bottom"/>
          </w:tcPr>
          <w:p>
            <w:pPr>
              <w:pStyle w:val="TableContents"/>
              <w:spacing w:before="0" w:after="283"/>
              <w:rPr/>
            </w:pPr>
            <w:r>
              <w:rPr/>
              <w:t> </w:t>
            </w:r>
          </w:p>
        </w:tc>
      </w:tr>
      <w:tr>
        <w:trPr/>
        <w:tc>
          <w:tcPr>
            <w:tcW w:w="4490"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Greg L. Armstrong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President and Director (Principal</w:t>
              <w:br/>
              <w:t xml:space="preserve">Executive Officer)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90" w:type="dxa"/>
            <w:gridSpan w:val="3"/>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90"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Phil Kramer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Executive Vice President, Chief Financial Officer and Director (Principal</w:t>
              <w:br/>
              <w:t xml:space="preserve">Financial Officer)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90" w:type="dxa"/>
            <w:gridSpan w:val="3"/>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90"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Tina L. Val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Vice President  Accounting and Chief Accounting Officer (Principal</w:t>
              <w:br/>
              <w:t xml:space="preserve">Accounting Officer)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90" w:type="dxa"/>
            <w:gridSpan w:val="3"/>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90"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Harry N. Pefanis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 xml:space="preserve">Vice President and Director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509"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509" w:type="dxa"/>
            <w:tcBorders/>
            <w:shd w:fill="FFFFFF" w:val="clear"/>
          </w:tcPr>
          <w:p>
            <w:pPr>
              <w:pStyle w:val="TableContents"/>
              <w:spacing w:before="0" w:after="283"/>
              <w:jc w:val="left"/>
              <w:rPr>
                <w:sz w:val="17"/>
              </w:rPr>
            </w:pPr>
            <w:r>
              <w:rPr>
                <w:sz w:val="17"/>
              </w:rPr>
              <w:t xml:space="preserve">By: </w:t>
            </w:r>
          </w:p>
        </w:tc>
        <w:tc>
          <w:tcPr>
            <w:tcW w:w="102"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0"/>
              <w:jc w:val="left"/>
              <w:rPr>
                <w:sz w:val="17"/>
              </w:rPr>
            </w:pPr>
            <w:r>
              <w:rPr>
                <w:sz w:val="17"/>
              </w:rPr>
              <w:t>/s/  Tim Moore</w:t>
            </w:r>
          </w:p>
          <w:p>
            <w:pPr>
              <w:pStyle w:val="TableContents"/>
              <w:spacing w:before="0" w:after="0"/>
              <w:jc w:val="left"/>
              <w:rPr/>
            </w:pPr>
            <w:r>
              <w:rPr/>
            </w:r>
          </w:p>
          <w:p>
            <w:pPr>
              <w:pStyle w:val="TableContents"/>
              <w:spacing w:before="0" w:after="0"/>
              <w:jc w:val="left"/>
              <w:rPr>
                <w:sz w:val="17"/>
              </w:rPr>
            </w:pPr>
            <w:r>
              <w:rPr>
                <w:sz w:val="17"/>
              </w:rPr>
              <w:t xml:space="preserve">(Attorney-in-Fact)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pPr>
            <w:r>
              <w:rPr/>
              <w:t xml:space="preserve">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PACIFIC ENERGY FINANCE CORPORATION</w:t>
      </w:r>
      <w:r>
        <w:rPr>
          <w:rFonts w:ascii="Arial;Helvetica" w:hAnsi="Arial;Helvetica"/>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593"/>
        <w:gridCol w:w="258"/>
        <w:gridCol w:w="3364"/>
        <w:gridCol w:w="292"/>
        <w:gridCol w:w="3673"/>
        <w:gridCol w:w="292"/>
        <w:gridCol w:w="1733"/>
      </w:tblGrid>
      <w:tr>
        <w:trPr/>
        <w:tc>
          <w:tcPr>
            <w:tcW w:w="593" w:type="dxa"/>
            <w:tcBorders/>
            <w:shd w:fill="FFFFFF" w:val="clear"/>
            <w:vAlign w:val="bottom"/>
          </w:tcPr>
          <w:p>
            <w:pPr>
              <w:pStyle w:val="TableContents"/>
              <w:spacing w:before="0" w:after="283"/>
              <w:rPr/>
            </w:pPr>
            <w:r>
              <w:rPr/>
              <w:t> </w:t>
            </w:r>
          </w:p>
        </w:tc>
        <w:tc>
          <w:tcPr>
            <w:tcW w:w="258" w:type="dxa"/>
            <w:tcBorders/>
            <w:shd w:fill="FFFFFF" w:val="clear"/>
            <w:vAlign w:val="bottom"/>
          </w:tcPr>
          <w:p>
            <w:pPr>
              <w:pStyle w:val="TableContents"/>
              <w:spacing w:before="0" w:after="283"/>
              <w:rPr/>
            </w:pPr>
            <w:r>
              <w:rPr/>
              <w:t> </w:t>
            </w:r>
          </w:p>
        </w:tc>
        <w:tc>
          <w:tcPr>
            <w:tcW w:w="3364"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rPr/>
            </w:pPr>
            <w:r>
              <w:rPr/>
              <w:t> </w:t>
            </w:r>
          </w:p>
        </w:tc>
        <w:tc>
          <w:tcPr>
            <w:tcW w:w="3673"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rPr/>
            </w:pPr>
            <w:r>
              <w:rPr/>
              <w:t> </w:t>
            </w:r>
          </w:p>
        </w:tc>
        <w:tc>
          <w:tcPr>
            <w:tcW w:w="1733" w:type="dxa"/>
            <w:tcBorders/>
            <w:shd w:fill="FFFFFF" w:val="clear"/>
            <w:vAlign w:val="bottom"/>
          </w:tcPr>
          <w:p>
            <w:pPr>
              <w:pStyle w:val="TableContents"/>
              <w:spacing w:before="0" w:after="283"/>
              <w:rPr/>
            </w:pPr>
            <w:r>
              <w:rPr/>
              <w:t> </w:t>
            </w:r>
          </w:p>
        </w:tc>
      </w:tr>
      <w:tr>
        <w:trPr/>
        <w:tc>
          <w:tcPr>
            <w:tcW w:w="4215"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Greg L. Armstrong </w:t>
            </w:r>
          </w:p>
        </w:tc>
        <w:tc>
          <w:tcPr>
            <w:tcW w:w="292" w:type="dxa"/>
            <w:tcBorders/>
            <w:shd w:fill="FFFFFF" w:val="clear"/>
            <w:vAlign w:val="bottom"/>
          </w:tcPr>
          <w:p>
            <w:pPr>
              <w:pStyle w:val="TableContents"/>
              <w:spacing w:before="0" w:after="283"/>
              <w:rPr/>
            </w:pPr>
            <w:r>
              <w:rPr/>
              <w:t xml:space="preserve">  </w:t>
            </w:r>
          </w:p>
        </w:tc>
        <w:tc>
          <w:tcPr>
            <w:tcW w:w="3673" w:type="dxa"/>
            <w:tcBorders/>
            <w:shd w:fill="FFFFFF" w:val="clear"/>
          </w:tcPr>
          <w:p>
            <w:pPr>
              <w:pStyle w:val="TableContents"/>
              <w:spacing w:before="0" w:after="283"/>
              <w:jc w:val="center"/>
              <w:rPr>
                <w:sz w:val="17"/>
              </w:rPr>
            </w:pPr>
            <w:r>
              <w:rPr>
                <w:sz w:val="17"/>
              </w:rPr>
              <w:t>Chief Executive Officer (Principal</w:t>
              <w:br/>
              <w:t xml:space="preserve">Executive Officer) </w:t>
            </w:r>
          </w:p>
        </w:tc>
        <w:tc>
          <w:tcPr>
            <w:tcW w:w="292" w:type="dxa"/>
            <w:tcBorders/>
            <w:shd w:fill="FFFFFF" w:val="clear"/>
            <w:vAlign w:val="bottom"/>
          </w:tcPr>
          <w:p>
            <w:pPr>
              <w:pStyle w:val="TableContents"/>
              <w:spacing w:before="0" w:after="283"/>
              <w:rPr/>
            </w:pPr>
            <w:r>
              <w:rPr/>
              <w:t xml:space="preserve">  </w:t>
            </w:r>
          </w:p>
        </w:tc>
        <w:tc>
          <w:tcPr>
            <w:tcW w:w="1733" w:type="dxa"/>
            <w:tcBorders/>
            <w:shd w:fill="FFFFFF" w:val="clear"/>
          </w:tcPr>
          <w:p>
            <w:pPr>
              <w:pStyle w:val="TableContents"/>
              <w:spacing w:before="0" w:after="283"/>
              <w:jc w:val="center"/>
              <w:rPr>
                <w:sz w:val="17"/>
              </w:rPr>
            </w:pPr>
            <w:r>
              <w:rPr>
                <w:sz w:val="17"/>
              </w:rPr>
              <w:t xml:space="preserve">May 11, 2007 </w:t>
            </w:r>
          </w:p>
        </w:tc>
      </w:tr>
      <w:tr>
        <w:trPr/>
        <w:tc>
          <w:tcPr>
            <w:tcW w:w="4215" w:type="dxa"/>
            <w:gridSpan w:val="3"/>
            <w:tcBorders/>
            <w:shd w:fill="FFFFFF" w:val="clear"/>
            <w:vAlign w:val="bottom"/>
          </w:tcPr>
          <w:p>
            <w:pPr>
              <w:pStyle w:val="TableContents"/>
              <w:spacing w:before="0" w:after="283"/>
              <w:rPr/>
            </w:pPr>
            <w:r>
              <w:rPr/>
              <w:t xml:space="preserve">  </w:t>
            </w:r>
          </w:p>
        </w:tc>
        <w:tc>
          <w:tcPr>
            <w:tcW w:w="292" w:type="dxa"/>
            <w:tcBorders/>
            <w:shd w:fill="FFFFFF" w:val="clear"/>
            <w:vAlign w:val="bottom"/>
          </w:tcPr>
          <w:p>
            <w:pPr>
              <w:pStyle w:val="TableContents"/>
              <w:spacing w:before="0" w:after="283"/>
              <w:rPr/>
            </w:pPr>
            <w:r>
              <w:rPr/>
              <w:t xml:space="preserve">  </w:t>
            </w:r>
          </w:p>
        </w:tc>
        <w:tc>
          <w:tcPr>
            <w:tcW w:w="3673" w:type="dxa"/>
            <w:tcBorders/>
            <w:shd w:fill="FFFFFF" w:val="clear"/>
            <w:vAlign w:val="bottom"/>
          </w:tcPr>
          <w:p>
            <w:pPr>
              <w:pStyle w:val="TableContents"/>
              <w:spacing w:before="0" w:after="283"/>
              <w:rPr/>
            </w:pPr>
            <w:r>
              <w:rPr/>
              <w:t xml:space="preserve">  </w:t>
            </w:r>
          </w:p>
        </w:tc>
        <w:tc>
          <w:tcPr>
            <w:tcW w:w="292" w:type="dxa"/>
            <w:tcBorders/>
            <w:shd w:fill="FFFFFF" w:val="clear"/>
            <w:vAlign w:val="bottom"/>
          </w:tcPr>
          <w:p>
            <w:pPr>
              <w:pStyle w:val="TableContents"/>
              <w:spacing w:before="0" w:after="283"/>
              <w:rPr/>
            </w:pPr>
            <w:r>
              <w:rPr/>
              <w:t xml:space="preserve">  </w:t>
            </w:r>
          </w:p>
        </w:tc>
        <w:tc>
          <w:tcPr>
            <w:tcW w:w="1733" w:type="dxa"/>
            <w:tcBorders/>
            <w:shd w:fill="FFFFFF" w:val="clear"/>
            <w:vAlign w:val="bottom"/>
          </w:tcPr>
          <w:p>
            <w:pPr>
              <w:pStyle w:val="TableContents"/>
              <w:spacing w:before="0" w:after="283"/>
              <w:rPr/>
            </w:pPr>
            <w:r>
              <w:rPr/>
              <w:t xml:space="preserve">  </w:t>
            </w:r>
          </w:p>
        </w:tc>
      </w:tr>
      <w:tr>
        <w:trPr/>
        <w:tc>
          <w:tcPr>
            <w:tcW w:w="4215"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Harry Pefanis </w:t>
            </w:r>
          </w:p>
        </w:tc>
        <w:tc>
          <w:tcPr>
            <w:tcW w:w="292" w:type="dxa"/>
            <w:tcBorders/>
            <w:shd w:fill="FFFFFF" w:val="clear"/>
            <w:vAlign w:val="bottom"/>
          </w:tcPr>
          <w:p>
            <w:pPr>
              <w:pStyle w:val="TableContents"/>
              <w:spacing w:before="0" w:after="283"/>
              <w:rPr/>
            </w:pPr>
            <w:r>
              <w:rPr/>
              <w:t xml:space="preserve">  </w:t>
            </w:r>
          </w:p>
        </w:tc>
        <w:tc>
          <w:tcPr>
            <w:tcW w:w="3673" w:type="dxa"/>
            <w:tcBorders/>
            <w:shd w:fill="FFFFFF" w:val="clear"/>
          </w:tcPr>
          <w:p>
            <w:pPr>
              <w:pStyle w:val="TableContents"/>
              <w:spacing w:before="0" w:after="283"/>
              <w:jc w:val="center"/>
              <w:rPr>
                <w:sz w:val="17"/>
              </w:rPr>
            </w:pPr>
            <w:r>
              <w:rPr>
                <w:sz w:val="17"/>
              </w:rPr>
              <w:t>President, Chief Operating Officer</w:t>
              <w:br/>
              <w:t xml:space="preserve">and Director </w:t>
            </w:r>
          </w:p>
        </w:tc>
        <w:tc>
          <w:tcPr>
            <w:tcW w:w="292" w:type="dxa"/>
            <w:tcBorders/>
            <w:shd w:fill="FFFFFF" w:val="clear"/>
            <w:vAlign w:val="bottom"/>
          </w:tcPr>
          <w:p>
            <w:pPr>
              <w:pStyle w:val="TableContents"/>
              <w:spacing w:before="0" w:after="283"/>
              <w:rPr/>
            </w:pPr>
            <w:r>
              <w:rPr/>
              <w:t xml:space="preserve">  </w:t>
            </w:r>
          </w:p>
        </w:tc>
        <w:tc>
          <w:tcPr>
            <w:tcW w:w="1733" w:type="dxa"/>
            <w:tcBorders/>
            <w:shd w:fill="FFFFFF" w:val="clear"/>
          </w:tcPr>
          <w:p>
            <w:pPr>
              <w:pStyle w:val="TableContents"/>
              <w:spacing w:before="0" w:after="283"/>
              <w:jc w:val="center"/>
              <w:rPr>
                <w:sz w:val="17"/>
              </w:rPr>
            </w:pPr>
            <w:r>
              <w:rPr>
                <w:sz w:val="17"/>
              </w:rPr>
              <w:t xml:space="preserve">May 11, 2007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509"/>
        <w:gridCol w:w="102"/>
        <w:gridCol w:w="3879"/>
        <w:gridCol w:w="305"/>
        <w:gridCol w:w="3879"/>
        <w:gridCol w:w="306"/>
        <w:gridCol w:w="1225"/>
      </w:tblGrid>
      <w:tr>
        <w:trPr/>
        <w:tc>
          <w:tcPr>
            <w:tcW w:w="509"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3879"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3879" w:type="dxa"/>
            <w:tcBorders/>
            <w:shd w:fill="FFFFFF" w:val="clear"/>
            <w:vAlign w:val="bottom"/>
          </w:tcPr>
          <w:p>
            <w:pPr>
              <w:pStyle w:val="TableContents"/>
              <w:spacing w:before="0" w:after="283"/>
              <w:rPr/>
            </w:pPr>
            <w:r>
              <w:rPr/>
              <w:t> </w:t>
            </w:r>
          </w:p>
        </w:tc>
        <w:tc>
          <w:tcPr>
            <w:tcW w:w="306" w:type="dxa"/>
            <w:tcBorders/>
            <w:shd w:fill="FFFFFF" w:val="clear"/>
            <w:vAlign w:val="bottom"/>
          </w:tcPr>
          <w:p>
            <w:pPr>
              <w:pStyle w:val="TableContents"/>
              <w:spacing w:before="0" w:after="283"/>
              <w:rPr/>
            </w:pPr>
            <w:r>
              <w:rPr/>
              <w:t> </w:t>
            </w:r>
          </w:p>
        </w:tc>
        <w:tc>
          <w:tcPr>
            <w:tcW w:w="1225" w:type="dxa"/>
            <w:tcBorders/>
            <w:shd w:fill="FFFFFF" w:val="clear"/>
            <w:vAlign w:val="bottom"/>
          </w:tcPr>
          <w:p>
            <w:pPr>
              <w:pStyle w:val="TableContents"/>
              <w:spacing w:before="0" w:after="283"/>
              <w:rPr/>
            </w:pPr>
            <w:r>
              <w:rPr/>
              <w:t> </w:t>
            </w:r>
          </w:p>
        </w:tc>
      </w:tr>
      <w:tr>
        <w:trPr/>
        <w:tc>
          <w:tcPr>
            <w:tcW w:w="4490"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Phil Kramer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Executive Vice President and Chief Financial Officer (Principal</w:t>
              <w:br/>
              <w:t xml:space="preserve">Financial Officer)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90" w:type="dxa"/>
            <w:gridSpan w:val="3"/>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90"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Tina L. Val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Vice President  Accounting and Chief Accounting Officer (Principal</w:t>
              <w:br/>
              <w:t xml:space="preserve">Accounting Officer)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90" w:type="dxa"/>
            <w:gridSpan w:val="3"/>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90" w:type="dxa"/>
            <w:gridSpan w:val="3"/>
            <w:tcBorders/>
            <w:shd w:fill="FFFFFF" w:val="clear"/>
          </w:tcPr>
          <w:p>
            <w:pPr>
              <w:pStyle w:val="TableContents"/>
              <w:spacing w:before="0" w:after="0"/>
              <w:jc w:val="left"/>
              <w:rPr>
                <w:sz w:val="17"/>
              </w:rPr>
            </w:pPr>
            <w:r>
              <w:rPr>
                <w:sz w:val="17"/>
              </w:rPr>
              <w:t>/s/  Tim Moore</w:t>
            </w:r>
          </w:p>
          <w:p>
            <w:pPr>
              <w:pStyle w:val="TableContents"/>
              <w:spacing w:before="0" w:after="0"/>
              <w:rPr/>
            </w:pPr>
            <w:r>
              <w:rPr/>
            </w:r>
          </w:p>
          <w:p>
            <w:pPr>
              <w:pStyle w:val="TableContents"/>
              <w:spacing w:before="0" w:after="0"/>
              <w:rPr>
                <w:sz w:val="17"/>
              </w:rPr>
            </w:pPr>
            <w:r>
              <w:rPr>
                <w:sz w:val="17"/>
              </w:rPr>
              <w:t xml:space="preserve">Tim Moore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 xml:space="preserve">Vice President, Secretary and Director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509"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509" w:type="dxa"/>
            <w:tcBorders/>
            <w:shd w:fill="FFFFFF" w:val="clear"/>
          </w:tcPr>
          <w:p>
            <w:pPr>
              <w:pStyle w:val="TableContents"/>
              <w:spacing w:before="0" w:after="283"/>
              <w:jc w:val="left"/>
              <w:rPr>
                <w:sz w:val="17"/>
              </w:rPr>
            </w:pPr>
            <w:r>
              <w:rPr>
                <w:sz w:val="17"/>
              </w:rPr>
              <w:t xml:space="preserve">By: </w:t>
            </w:r>
          </w:p>
        </w:tc>
        <w:tc>
          <w:tcPr>
            <w:tcW w:w="102"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0"/>
              <w:jc w:val="left"/>
              <w:rPr>
                <w:sz w:val="17"/>
              </w:rPr>
            </w:pPr>
            <w:r>
              <w:rPr>
                <w:sz w:val="17"/>
              </w:rPr>
              <w:t>/s/  Tim Moore</w:t>
            </w:r>
          </w:p>
          <w:p>
            <w:pPr>
              <w:pStyle w:val="TableContents"/>
              <w:spacing w:before="0" w:after="0"/>
              <w:jc w:val="left"/>
              <w:rPr/>
            </w:pPr>
            <w:r>
              <w:rPr/>
            </w:r>
          </w:p>
          <w:p>
            <w:pPr>
              <w:pStyle w:val="TableContents"/>
              <w:spacing w:before="0" w:after="0"/>
              <w:jc w:val="left"/>
              <w:rPr>
                <w:sz w:val="17"/>
              </w:rPr>
            </w:pPr>
            <w:r>
              <w:rPr>
                <w:sz w:val="17"/>
              </w:rPr>
              <w:t xml:space="preserve">(Attorney-in-Fact)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pPr>
            <w:r>
              <w:rPr/>
              <w:t xml:space="preserve">  </w:t>
            </w:r>
          </w:p>
        </w:tc>
      </w:tr>
    </w:tbl>
    <w:p>
      <w:pPr>
        <w:pStyle w:val="TextBody"/>
        <w:spacing w:before="1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PMC (NOVA SCOTIA) COMPANY, for itself and as the general partner of PLAINS MARKETING CANADA, L.P.</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509"/>
        <w:gridCol w:w="102"/>
        <w:gridCol w:w="3878"/>
        <w:gridCol w:w="306"/>
        <w:gridCol w:w="3878"/>
        <w:gridCol w:w="307"/>
        <w:gridCol w:w="1225"/>
      </w:tblGrid>
      <w:tr>
        <w:trPr/>
        <w:tc>
          <w:tcPr>
            <w:tcW w:w="509"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3878" w:type="dxa"/>
            <w:tcBorders/>
            <w:shd w:fill="FFFFFF" w:val="clear"/>
            <w:vAlign w:val="bottom"/>
          </w:tcPr>
          <w:p>
            <w:pPr>
              <w:pStyle w:val="TableContents"/>
              <w:spacing w:before="0" w:after="283"/>
              <w:rPr/>
            </w:pPr>
            <w:r>
              <w:rPr/>
              <w:t> </w:t>
            </w:r>
          </w:p>
        </w:tc>
        <w:tc>
          <w:tcPr>
            <w:tcW w:w="306" w:type="dxa"/>
            <w:tcBorders/>
            <w:shd w:fill="FFFFFF" w:val="clear"/>
            <w:vAlign w:val="bottom"/>
          </w:tcPr>
          <w:p>
            <w:pPr>
              <w:pStyle w:val="TableContents"/>
              <w:spacing w:before="0" w:after="283"/>
              <w:rPr/>
            </w:pPr>
            <w:r>
              <w:rPr/>
              <w:t> </w:t>
            </w:r>
          </w:p>
        </w:tc>
        <w:tc>
          <w:tcPr>
            <w:tcW w:w="3878" w:type="dxa"/>
            <w:tcBorders/>
            <w:shd w:fill="FFFFFF" w:val="clear"/>
            <w:vAlign w:val="bottom"/>
          </w:tcPr>
          <w:p>
            <w:pPr>
              <w:pStyle w:val="TableContents"/>
              <w:spacing w:before="0" w:after="283"/>
              <w:rPr/>
            </w:pPr>
            <w:r>
              <w:rPr/>
              <w:t> </w:t>
            </w:r>
          </w:p>
        </w:tc>
        <w:tc>
          <w:tcPr>
            <w:tcW w:w="307" w:type="dxa"/>
            <w:tcBorders/>
            <w:shd w:fill="FFFFFF" w:val="clear"/>
            <w:vAlign w:val="bottom"/>
          </w:tcPr>
          <w:p>
            <w:pPr>
              <w:pStyle w:val="TableContents"/>
              <w:spacing w:before="0" w:after="283"/>
              <w:rPr/>
            </w:pPr>
            <w:r>
              <w:rPr/>
              <w:t> </w:t>
            </w:r>
          </w:p>
        </w:tc>
        <w:tc>
          <w:tcPr>
            <w:tcW w:w="1225" w:type="dxa"/>
            <w:tcBorders/>
            <w:shd w:fill="FFFFFF" w:val="clear"/>
            <w:vAlign w:val="bottom"/>
          </w:tcPr>
          <w:p>
            <w:pPr>
              <w:pStyle w:val="TableContents"/>
              <w:spacing w:before="0" w:after="283"/>
              <w:rPr/>
            </w:pPr>
            <w:r>
              <w:rPr/>
              <w:t> </w:t>
            </w:r>
          </w:p>
        </w:tc>
      </w:tr>
      <w:tr>
        <w:trPr/>
        <w:tc>
          <w:tcPr>
            <w:tcW w:w="4489"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W. David Duckett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tcPr>
          <w:p>
            <w:pPr>
              <w:pStyle w:val="TableContents"/>
              <w:spacing w:before="0" w:after="283"/>
              <w:jc w:val="center"/>
              <w:rPr>
                <w:sz w:val="17"/>
              </w:rPr>
            </w:pPr>
            <w:r>
              <w:rPr>
                <w:sz w:val="17"/>
              </w:rPr>
              <w:t xml:space="preserve">President (Principal Executive Officer)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89"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vAlign w:val="bottom"/>
          </w:tcPr>
          <w:p>
            <w:pPr>
              <w:pStyle w:val="TableContents"/>
              <w:spacing w:before="0" w:after="283"/>
              <w:rPr/>
            </w:pPr>
            <w:r>
              <w:rPr/>
              <w:t xml:space="preserve">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89"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D. Mark Alenius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tcPr>
          <w:p>
            <w:pPr>
              <w:pStyle w:val="TableContents"/>
              <w:spacing w:before="0" w:after="283"/>
              <w:jc w:val="center"/>
              <w:rPr>
                <w:sz w:val="17"/>
              </w:rPr>
            </w:pPr>
            <w:r>
              <w:rPr>
                <w:sz w:val="17"/>
              </w:rPr>
              <w:t xml:space="preserve">Vice President and Chief Financial Officer (Principal Financial and Accounting Officer)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89"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vAlign w:val="bottom"/>
          </w:tcPr>
          <w:p>
            <w:pPr>
              <w:pStyle w:val="TableContents"/>
              <w:spacing w:before="0" w:after="283"/>
              <w:rPr/>
            </w:pPr>
            <w:r>
              <w:rPr/>
              <w:t xml:space="preserve">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89" w:type="dxa"/>
            <w:gridSpan w:val="3"/>
            <w:tcBorders/>
            <w:shd w:fill="FFFFFF" w:val="clear"/>
          </w:tcPr>
          <w:p>
            <w:pPr>
              <w:pStyle w:val="TableContents"/>
              <w:spacing w:before="0" w:after="0"/>
              <w:jc w:val="left"/>
              <w:rPr>
                <w:sz w:val="17"/>
              </w:rPr>
            </w:pPr>
            <w:r>
              <w:rPr>
                <w:sz w:val="17"/>
              </w:rPr>
              <w:t>/s/  Tim Moore</w:t>
            </w:r>
          </w:p>
          <w:p>
            <w:pPr>
              <w:pStyle w:val="TableContents"/>
              <w:spacing w:before="0" w:after="0"/>
              <w:rPr/>
            </w:pPr>
            <w:r>
              <w:rPr/>
            </w:r>
          </w:p>
          <w:p>
            <w:pPr>
              <w:pStyle w:val="TableContents"/>
              <w:spacing w:before="0" w:after="0"/>
              <w:rPr>
                <w:sz w:val="17"/>
              </w:rPr>
            </w:pPr>
            <w:r>
              <w:rPr>
                <w:sz w:val="17"/>
              </w:rPr>
              <w:t xml:space="preserve">Tim Moore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tcPr>
          <w:p>
            <w:pPr>
              <w:pStyle w:val="TableContents"/>
              <w:spacing w:before="0" w:after="283"/>
              <w:jc w:val="center"/>
              <w:rPr>
                <w:sz w:val="17"/>
              </w:rPr>
            </w:pPr>
            <w:r>
              <w:rPr>
                <w:sz w:val="17"/>
              </w:rPr>
              <w:t xml:space="preserve">Vice President and Director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89"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vAlign w:val="bottom"/>
          </w:tcPr>
          <w:p>
            <w:pPr>
              <w:pStyle w:val="TableContents"/>
              <w:spacing w:before="0" w:after="283"/>
              <w:rPr/>
            </w:pPr>
            <w:r>
              <w:rPr/>
              <w:t xml:space="preserve">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89"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Greg L. Armstrong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tcPr>
          <w:p>
            <w:pPr>
              <w:pStyle w:val="TableContents"/>
              <w:spacing w:before="0" w:after="283"/>
              <w:jc w:val="center"/>
              <w:rPr>
                <w:sz w:val="17"/>
              </w:rPr>
            </w:pPr>
            <w:r>
              <w:rPr>
                <w:sz w:val="17"/>
              </w:rPr>
              <w:t xml:space="preserve">Director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89"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vAlign w:val="bottom"/>
          </w:tcPr>
          <w:p>
            <w:pPr>
              <w:pStyle w:val="TableContents"/>
              <w:spacing w:before="0" w:after="283"/>
              <w:rPr/>
            </w:pPr>
            <w:r>
              <w:rPr/>
              <w:t xml:space="preserve">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89"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Harry N. Pefanis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tcPr>
          <w:p>
            <w:pPr>
              <w:pStyle w:val="TableContents"/>
              <w:spacing w:before="0" w:after="283"/>
              <w:jc w:val="center"/>
              <w:rPr>
                <w:sz w:val="17"/>
              </w:rPr>
            </w:pPr>
            <w:r>
              <w:rPr>
                <w:sz w:val="17"/>
              </w:rPr>
              <w:t xml:space="preserve">Director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509"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xml:space="preserve">  </w:t>
            </w:r>
          </w:p>
        </w:tc>
        <w:tc>
          <w:tcPr>
            <w:tcW w:w="3878"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vAlign w:val="bottom"/>
          </w:tcPr>
          <w:p>
            <w:pPr>
              <w:pStyle w:val="TableContents"/>
              <w:spacing w:before="0" w:after="283"/>
              <w:rPr/>
            </w:pPr>
            <w:r>
              <w:rPr/>
              <w:t xml:space="preserve">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509" w:type="dxa"/>
            <w:tcBorders/>
            <w:shd w:fill="FFFFFF" w:val="clear"/>
          </w:tcPr>
          <w:p>
            <w:pPr>
              <w:pStyle w:val="TableContents"/>
              <w:spacing w:before="0" w:after="283"/>
              <w:jc w:val="left"/>
              <w:rPr>
                <w:sz w:val="17"/>
              </w:rPr>
            </w:pPr>
            <w:r>
              <w:rPr>
                <w:sz w:val="17"/>
              </w:rPr>
              <w:t xml:space="preserve">By: </w:t>
            </w:r>
          </w:p>
        </w:tc>
        <w:tc>
          <w:tcPr>
            <w:tcW w:w="102" w:type="dxa"/>
            <w:tcBorders/>
            <w:shd w:fill="FFFFFF" w:val="clear"/>
            <w:vAlign w:val="bottom"/>
          </w:tcPr>
          <w:p>
            <w:pPr>
              <w:pStyle w:val="TableContents"/>
              <w:spacing w:before="0" w:after="283"/>
              <w:rPr/>
            </w:pPr>
            <w:r>
              <w:rPr/>
              <w:t xml:space="preserve">  </w:t>
            </w:r>
          </w:p>
        </w:tc>
        <w:tc>
          <w:tcPr>
            <w:tcW w:w="3878" w:type="dxa"/>
            <w:tcBorders/>
            <w:shd w:fill="FFFFFF" w:val="clear"/>
          </w:tcPr>
          <w:p>
            <w:pPr>
              <w:pStyle w:val="TableContents"/>
              <w:spacing w:before="0" w:after="0"/>
              <w:jc w:val="left"/>
              <w:rPr>
                <w:sz w:val="17"/>
              </w:rPr>
            </w:pPr>
            <w:r>
              <w:rPr>
                <w:sz w:val="17"/>
              </w:rPr>
              <w:t>/s/  Tim Moore</w:t>
            </w:r>
          </w:p>
          <w:p>
            <w:pPr>
              <w:pStyle w:val="TableContents"/>
              <w:spacing w:before="0" w:after="0"/>
              <w:jc w:val="left"/>
              <w:rPr/>
            </w:pPr>
            <w:r>
              <w:rPr/>
            </w:r>
          </w:p>
          <w:p>
            <w:pPr>
              <w:pStyle w:val="TableContents"/>
              <w:spacing w:before="0" w:after="0"/>
              <w:jc w:val="left"/>
              <w:rPr>
                <w:sz w:val="17"/>
              </w:rPr>
            </w:pPr>
            <w:r>
              <w:rPr>
                <w:sz w:val="17"/>
              </w:rPr>
              <w:t xml:space="preserve">(Attorney-in-Fact)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tcPr>
          <w:p>
            <w:pPr>
              <w:pStyle w:val="TableContents"/>
              <w:spacing w:before="0" w:after="283"/>
              <w:jc w:val="center"/>
              <w:rPr/>
            </w:pPr>
            <w:r>
              <w:rPr/>
              <w:t xml:space="preserve">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pPr>
            <w:r>
              <w:rPr/>
              <w:t xml:space="preserve">  </w:t>
            </w:r>
          </w:p>
        </w:tc>
      </w:tr>
    </w:tbl>
    <w:p>
      <w:pPr>
        <w:pStyle w:val="TextBody"/>
        <w:spacing w:before="1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PACIFIC ENERGY GROUP LLC, for itself and as the sole member of PACIFIC L.A. MARINE TERMINAL, LLC, PACIFIC MARKETING AND TRANSPORTATION LLC, ROCKY MOUNTAIN PIPELINE SYSTEM LLC, PACIFIC ATLANTIC TERMINALS LLC and RANCH PIPELINE LLC</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509"/>
        <w:gridCol w:w="102"/>
        <w:gridCol w:w="3879"/>
        <w:gridCol w:w="305"/>
        <w:gridCol w:w="3879"/>
        <w:gridCol w:w="306"/>
        <w:gridCol w:w="1225"/>
      </w:tblGrid>
      <w:tr>
        <w:trPr/>
        <w:tc>
          <w:tcPr>
            <w:tcW w:w="509"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3879"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3879" w:type="dxa"/>
            <w:tcBorders/>
            <w:shd w:fill="FFFFFF" w:val="clear"/>
            <w:vAlign w:val="bottom"/>
          </w:tcPr>
          <w:p>
            <w:pPr>
              <w:pStyle w:val="TableContents"/>
              <w:spacing w:before="0" w:after="283"/>
              <w:rPr/>
            </w:pPr>
            <w:r>
              <w:rPr/>
              <w:t> </w:t>
            </w:r>
          </w:p>
        </w:tc>
        <w:tc>
          <w:tcPr>
            <w:tcW w:w="306" w:type="dxa"/>
            <w:tcBorders/>
            <w:shd w:fill="FFFFFF" w:val="clear"/>
            <w:vAlign w:val="bottom"/>
          </w:tcPr>
          <w:p>
            <w:pPr>
              <w:pStyle w:val="TableContents"/>
              <w:spacing w:before="0" w:after="283"/>
              <w:rPr/>
            </w:pPr>
            <w:r>
              <w:rPr/>
              <w:t> </w:t>
            </w:r>
          </w:p>
        </w:tc>
        <w:tc>
          <w:tcPr>
            <w:tcW w:w="1225" w:type="dxa"/>
            <w:tcBorders/>
            <w:shd w:fill="FFFFFF" w:val="clear"/>
            <w:vAlign w:val="bottom"/>
          </w:tcPr>
          <w:p>
            <w:pPr>
              <w:pStyle w:val="TableContents"/>
              <w:spacing w:before="0" w:after="283"/>
              <w:rPr/>
            </w:pPr>
            <w:r>
              <w:rPr/>
              <w:t> </w:t>
            </w:r>
          </w:p>
        </w:tc>
      </w:tr>
      <w:tr>
        <w:trPr/>
        <w:tc>
          <w:tcPr>
            <w:tcW w:w="4490"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Greg L. Armstrong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Chief Executive Officer (Principal</w:t>
              <w:br/>
              <w:t xml:space="preserve">Executive Officer)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90" w:type="dxa"/>
            <w:gridSpan w:val="3"/>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90"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Phil Kramer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Executive Vice President and Chief Financial Officer (Principal</w:t>
              <w:br/>
              <w:t xml:space="preserve">Financial Officer)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90" w:type="dxa"/>
            <w:gridSpan w:val="3"/>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90"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Tina L. Val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Vice President  Accounting and Chief Accounting Officer (Principal</w:t>
              <w:br/>
              <w:t xml:space="preserve">Accounting Officer)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509"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509" w:type="dxa"/>
            <w:tcBorders/>
            <w:shd w:fill="FFFFFF" w:val="clear"/>
          </w:tcPr>
          <w:p>
            <w:pPr>
              <w:pStyle w:val="TableContents"/>
              <w:spacing w:before="0" w:after="283"/>
              <w:jc w:val="left"/>
              <w:rPr>
                <w:sz w:val="17"/>
              </w:rPr>
            </w:pPr>
            <w:r>
              <w:rPr>
                <w:sz w:val="17"/>
              </w:rPr>
              <w:t xml:space="preserve">By: </w:t>
            </w:r>
          </w:p>
        </w:tc>
        <w:tc>
          <w:tcPr>
            <w:tcW w:w="102"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0"/>
              <w:jc w:val="left"/>
              <w:rPr>
                <w:sz w:val="17"/>
              </w:rPr>
            </w:pPr>
            <w:r>
              <w:rPr>
                <w:sz w:val="17"/>
              </w:rPr>
              <w:t>/s/  Tim Moore</w:t>
            </w:r>
          </w:p>
          <w:p>
            <w:pPr>
              <w:pStyle w:val="TableContents"/>
              <w:spacing w:before="0" w:after="0"/>
              <w:jc w:val="left"/>
              <w:rPr/>
            </w:pPr>
            <w:r>
              <w:rPr/>
            </w:r>
          </w:p>
          <w:p>
            <w:pPr>
              <w:pStyle w:val="TableContents"/>
              <w:spacing w:before="0" w:after="0"/>
              <w:jc w:val="left"/>
              <w:rPr>
                <w:sz w:val="17"/>
              </w:rPr>
            </w:pPr>
            <w:r>
              <w:rPr>
                <w:sz w:val="17"/>
              </w:rPr>
              <w:t xml:space="preserve">(Attorney-in-Fact)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pPr>
            <w:r>
              <w:rPr/>
              <w:t xml:space="preserv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PEG CANADA GP, LLC, for itself and as the general partner of PEG CANADA L.P.</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509"/>
        <w:gridCol w:w="102"/>
        <w:gridCol w:w="3879"/>
        <w:gridCol w:w="305"/>
        <w:gridCol w:w="3879"/>
        <w:gridCol w:w="306"/>
        <w:gridCol w:w="1225"/>
      </w:tblGrid>
      <w:tr>
        <w:trPr/>
        <w:tc>
          <w:tcPr>
            <w:tcW w:w="509"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3879"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3879" w:type="dxa"/>
            <w:tcBorders/>
            <w:shd w:fill="FFFFFF" w:val="clear"/>
            <w:vAlign w:val="bottom"/>
          </w:tcPr>
          <w:p>
            <w:pPr>
              <w:pStyle w:val="TableContents"/>
              <w:spacing w:before="0" w:after="283"/>
              <w:rPr/>
            </w:pPr>
            <w:r>
              <w:rPr/>
              <w:t> </w:t>
            </w:r>
          </w:p>
        </w:tc>
        <w:tc>
          <w:tcPr>
            <w:tcW w:w="306" w:type="dxa"/>
            <w:tcBorders/>
            <w:shd w:fill="FFFFFF" w:val="clear"/>
            <w:vAlign w:val="bottom"/>
          </w:tcPr>
          <w:p>
            <w:pPr>
              <w:pStyle w:val="TableContents"/>
              <w:spacing w:before="0" w:after="283"/>
              <w:rPr/>
            </w:pPr>
            <w:r>
              <w:rPr/>
              <w:t> </w:t>
            </w:r>
          </w:p>
        </w:tc>
        <w:tc>
          <w:tcPr>
            <w:tcW w:w="1225" w:type="dxa"/>
            <w:tcBorders/>
            <w:shd w:fill="FFFFFF" w:val="clear"/>
            <w:vAlign w:val="bottom"/>
          </w:tcPr>
          <w:p>
            <w:pPr>
              <w:pStyle w:val="TableContents"/>
              <w:spacing w:before="0" w:after="283"/>
              <w:rPr/>
            </w:pPr>
            <w:r>
              <w:rPr/>
              <w:t> </w:t>
            </w:r>
          </w:p>
        </w:tc>
      </w:tr>
      <w:tr>
        <w:trPr/>
        <w:tc>
          <w:tcPr>
            <w:tcW w:w="4490"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Greg L. Armstrong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Chief Executive Officer (Principal</w:t>
              <w:br/>
              <w:t xml:space="preserve">Executive Officer)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90" w:type="dxa"/>
            <w:gridSpan w:val="3"/>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90"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Phil Kramer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Executive Vice President and Chief Financial Officer (Principal</w:t>
              <w:br/>
              <w:t xml:space="preserve">Financial Officer)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90" w:type="dxa"/>
            <w:gridSpan w:val="3"/>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90"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Tina L. Val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sz w:val="17"/>
              </w:rPr>
            </w:pPr>
            <w:r>
              <w:rPr>
                <w:sz w:val="17"/>
              </w:rPr>
              <w:t>Vice President  Accounting and Chief Accounting Officer (Principal</w:t>
              <w:br/>
              <w:t xml:space="preserve">Accounting Officer)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509"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509" w:type="dxa"/>
            <w:tcBorders/>
            <w:shd w:fill="FFFFFF" w:val="clear"/>
          </w:tcPr>
          <w:p>
            <w:pPr>
              <w:pStyle w:val="TableContents"/>
              <w:spacing w:before="0" w:after="283"/>
              <w:jc w:val="left"/>
              <w:rPr>
                <w:sz w:val="17"/>
              </w:rPr>
            </w:pPr>
            <w:r>
              <w:rPr>
                <w:sz w:val="17"/>
              </w:rPr>
              <w:t xml:space="preserve">By: </w:t>
            </w:r>
          </w:p>
        </w:tc>
        <w:tc>
          <w:tcPr>
            <w:tcW w:w="102"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0"/>
              <w:jc w:val="left"/>
              <w:rPr>
                <w:sz w:val="17"/>
              </w:rPr>
            </w:pPr>
            <w:r>
              <w:rPr>
                <w:sz w:val="17"/>
              </w:rPr>
              <w:t>/s/  Tim Moore</w:t>
            </w:r>
          </w:p>
          <w:p>
            <w:pPr>
              <w:pStyle w:val="TableContents"/>
              <w:spacing w:before="0" w:after="0"/>
              <w:jc w:val="left"/>
              <w:rPr/>
            </w:pPr>
            <w:r>
              <w:rPr/>
            </w:r>
          </w:p>
          <w:p>
            <w:pPr>
              <w:pStyle w:val="TableContents"/>
              <w:spacing w:before="0" w:after="0"/>
              <w:jc w:val="left"/>
              <w:rPr>
                <w:sz w:val="17"/>
              </w:rPr>
            </w:pPr>
            <w:r>
              <w:rPr>
                <w:sz w:val="17"/>
              </w:rPr>
              <w:t xml:space="preserve">(Attorney-in-Fact) </w:t>
            </w:r>
          </w:p>
        </w:tc>
        <w:tc>
          <w:tcPr>
            <w:tcW w:w="305" w:type="dxa"/>
            <w:tcBorders/>
            <w:shd w:fill="FFFFFF" w:val="clear"/>
            <w:vAlign w:val="bottom"/>
          </w:tcPr>
          <w:p>
            <w:pPr>
              <w:pStyle w:val="TableContents"/>
              <w:spacing w:before="0" w:after="283"/>
              <w:rPr/>
            </w:pPr>
            <w:r>
              <w:rPr/>
              <w:t xml:space="preserve">  </w:t>
            </w:r>
          </w:p>
        </w:tc>
        <w:tc>
          <w:tcPr>
            <w:tcW w:w="3879" w:type="dxa"/>
            <w:tcBorders/>
            <w:shd w:fill="FFFFFF" w:val="clear"/>
          </w:tcPr>
          <w:p>
            <w:pPr>
              <w:pStyle w:val="TableContents"/>
              <w:spacing w:before="0" w:after="283"/>
              <w:jc w:val="center"/>
              <w:rPr/>
            </w:pPr>
            <w:r>
              <w:rPr/>
              <w:t xml:space="preserve">  </w:t>
            </w:r>
          </w:p>
        </w:tc>
        <w:tc>
          <w:tcPr>
            <w:tcW w:w="306"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pPr>
            <w:r>
              <w:rPr/>
              <w:t xml:space="preserve">  </w:t>
            </w:r>
          </w:p>
        </w:tc>
      </w:tr>
    </w:tbl>
    <w:p>
      <w:pPr>
        <w:pStyle w:val="TextBody"/>
        <w:spacing w:before="18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RANGELAND MARKETING COMPANY</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RANGELAND NORTHERN PIPELINE COMPANY</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RANGELAND PIPELINE COMPANY, for itself and as managing partner of RANGELAND</w:t>
        <w:br/>
        <w:t>PIPELINE PARTNERSHIP</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509"/>
        <w:gridCol w:w="102"/>
        <w:gridCol w:w="3878"/>
        <w:gridCol w:w="306"/>
        <w:gridCol w:w="3878"/>
        <w:gridCol w:w="307"/>
        <w:gridCol w:w="1225"/>
      </w:tblGrid>
      <w:tr>
        <w:trPr/>
        <w:tc>
          <w:tcPr>
            <w:tcW w:w="509"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3878" w:type="dxa"/>
            <w:tcBorders/>
            <w:shd w:fill="FFFFFF" w:val="clear"/>
            <w:vAlign w:val="bottom"/>
          </w:tcPr>
          <w:p>
            <w:pPr>
              <w:pStyle w:val="TableContents"/>
              <w:spacing w:before="0" w:after="283"/>
              <w:rPr/>
            </w:pPr>
            <w:r>
              <w:rPr/>
              <w:t> </w:t>
            </w:r>
          </w:p>
        </w:tc>
        <w:tc>
          <w:tcPr>
            <w:tcW w:w="306" w:type="dxa"/>
            <w:tcBorders/>
            <w:shd w:fill="FFFFFF" w:val="clear"/>
            <w:vAlign w:val="bottom"/>
          </w:tcPr>
          <w:p>
            <w:pPr>
              <w:pStyle w:val="TableContents"/>
              <w:spacing w:before="0" w:after="283"/>
              <w:rPr/>
            </w:pPr>
            <w:r>
              <w:rPr/>
              <w:t> </w:t>
            </w:r>
          </w:p>
        </w:tc>
        <w:tc>
          <w:tcPr>
            <w:tcW w:w="3878" w:type="dxa"/>
            <w:tcBorders/>
            <w:shd w:fill="FFFFFF" w:val="clear"/>
            <w:vAlign w:val="bottom"/>
          </w:tcPr>
          <w:p>
            <w:pPr>
              <w:pStyle w:val="TableContents"/>
              <w:spacing w:before="0" w:after="283"/>
              <w:rPr/>
            </w:pPr>
            <w:r>
              <w:rPr/>
              <w:t> </w:t>
            </w:r>
          </w:p>
        </w:tc>
        <w:tc>
          <w:tcPr>
            <w:tcW w:w="307" w:type="dxa"/>
            <w:tcBorders/>
            <w:shd w:fill="FFFFFF" w:val="clear"/>
            <w:vAlign w:val="bottom"/>
          </w:tcPr>
          <w:p>
            <w:pPr>
              <w:pStyle w:val="TableContents"/>
              <w:spacing w:before="0" w:after="283"/>
              <w:rPr/>
            </w:pPr>
            <w:r>
              <w:rPr/>
              <w:t> </w:t>
            </w:r>
          </w:p>
        </w:tc>
        <w:tc>
          <w:tcPr>
            <w:tcW w:w="1225" w:type="dxa"/>
            <w:tcBorders/>
            <w:shd w:fill="FFFFFF" w:val="clear"/>
            <w:vAlign w:val="bottom"/>
          </w:tcPr>
          <w:p>
            <w:pPr>
              <w:pStyle w:val="TableContents"/>
              <w:spacing w:before="0" w:after="283"/>
              <w:rPr/>
            </w:pPr>
            <w:r>
              <w:rPr/>
              <w:t> </w:t>
            </w:r>
          </w:p>
        </w:tc>
      </w:tr>
      <w:tr>
        <w:trPr/>
        <w:tc>
          <w:tcPr>
            <w:tcW w:w="4489"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Dave Duckett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tcPr>
          <w:p>
            <w:pPr>
              <w:pStyle w:val="TableContents"/>
              <w:spacing w:before="0" w:after="283"/>
              <w:jc w:val="center"/>
              <w:rPr>
                <w:sz w:val="17"/>
              </w:rPr>
            </w:pPr>
            <w:r>
              <w:rPr>
                <w:sz w:val="17"/>
              </w:rPr>
              <w:t xml:space="preserve">President (Principal Executive Officer)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89"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vAlign w:val="bottom"/>
          </w:tcPr>
          <w:p>
            <w:pPr>
              <w:pStyle w:val="TableContents"/>
              <w:spacing w:before="0" w:after="283"/>
              <w:rPr/>
            </w:pPr>
            <w:r>
              <w:rPr/>
              <w:t xml:space="preserve">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89"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Mark Alenius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tcPr>
          <w:p>
            <w:pPr>
              <w:pStyle w:val="TableContents"/>
              <w:spacing w:before="0" w:after="283"/>
              <w:jc w:val="center"/>
              <w:rPr>
                <w:sz w:val="17"/>
              </w:rPr>
            </w:pPr>
            <w:r>
              <w:rPr>
                <w:sz w:val="17"/>
              </w:rPr>
              <w:t xml:space="preserve">Vice President and Chief Financial Officer (Principal Financial and Accounting Officer)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89"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vAlign w:val="bottom"/>
          </w:tcPr>
          <w:p>
            <w:pPr>
              <w:pStyle w:val="TableContents"/>
              <w:spacing w:before="0" w:after="283"/>
              <w:rPr/>
            </w:pPr>
            <w:r>
              <w:rPr/>
              <w:t xml:space="preserve">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89"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Greg L. Armstrong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tcPr>
          <w:p>
            <w:pPr>
              <w:pStyle w:val="TableContents"/>
              <w:spacing w:before="0" w:after="283"/>
              <w:jc w:val="center"/>
              <w:rPr>
                <w:sz w:val="17"/>
              </w:rPr>
            </w:pPr>
            <w:r>
              <w:rPr>
                <w:sz w:val="17"/>
              </w:rPr>
              <w:t xml:space="preserve">Director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89"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vAlign w:val="bottom"/>
          </w:tcPr>
          <w:p>
            <w:pPr>
              <w:pStyle w:val="TableContents"/>
              <w:spacing w:before="0" w:after="283"/>
              <w:rPr/>
            </w:pPr>
            <w:r>
              <w:rPr/>
              <w:t xml:space="preserve">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89"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Harry Pefanis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tcPr>
          <w:p>
            <w:pPr>
              <w:pStyle w:val="TableContents"/>
              <w:spacing w:before="0" w:after="283"/>
              <w:jc w:val="center"/>
              <w:rPr>
                <w:sz w:val="17"/>
              </w:rPr>
            </w:pPr>
            <w:r>
              <w:rPr>
                <w:sz w:val="17"/>
              </w:rPr>
              <w:t xml:space="preserve">Director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89"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vAlign w:val="bottom"/>
          </w:tcPr>
          <w:p>
            <w:pPr>
              <w:pStyle w:val="TableContents"/>
              <w:spacing w:before="0" w:after="283"/>
              <w:rPr/>
            </w:pPr>
            <w:r>
              <w:rPr/>
              <w:t xml:space="preserve">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89" w:type="dxa"/>
            <w:gridSpan w:val="3"/>
            <w:tcBorders/>
            <w:shd w:fill="FFFFFF" w:val="clear"/>
          </w:tcPr>
          <w:p>
            <w:pPr>
              <w:pStyle w:val="TableContents"/>
              <w:spacing w:before="0" w:after="0"/>
              <w:jc w:val="left"/>
              <w:rPr>
                <w:sz w:val="17"/>
              </w:rPr>
            </w:pPr>
            <w:r>
              <w:rPr>
                <w:sz w:val="17"/>
              </w:rPr>
              <w:t>/s/  Tim Moore</w:t>
            </w:r>
          </w:p>
          <w:p>
            <w:pPr>
              <w:pStyle w:val="TableContents"/>
              <w:spacing w:before="0" w:after="0"/>
              <w:rPr/>
            </w:pPr>
            <w:r>
              <w:rPr/>
            </w:r>
          </w:p>
          <w:p>
            <w:pPr>
              <w:pStyle w:val="TableContents"/>
              <w:spacing w:before="0" w:after="0"/>
              <w:rPr>
                <w:sz w:val="17"/>
              </w:rPr>
            </w:pPr>
            <w:r>
              <w:rPr>
                <w:sz w:val="17"/>
              </w:rPr>
              <w:t xml:space="preserve">Tim Moore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tcPr>
          <w:p>
            <w:pPr>
              <w:pStyle w:val="TableContents"/>
              <w:spacing w:before="0" w:after="283"/>
              <w:jc w:val="center"/>
              <w:rPr>
                <w:sz w:val="17"/>
              </w:rPr>
            </w:pPr>
            <w:r>
              <w:rPr>
                <w:sz w:val="17"/>
              </w:rPr>
              <w:t xml:space="preserve">Vice President and Director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509"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xml:space="preserve">  </w:t>
            </w:r>
          </w:p>
        </w:tc>
        <w:tc>
          <w:tcPr>
            <w:tcW w:w="3878"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vAlign w:val="bottom"/>
          </w:tcPr>
          <w:p>
            <w:pPr>
              <w:pStyle w:val="TableContents"/>
              <w:spacing w:before="0" w:after="283"/>
              <w:rPr/>
            </w:pPr>
            <w:r>
              <w:rPr/>
              <w:t xml:space="preserve">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509" w:type="dxa"/>
            <w:tcBorders/>
            <w:shd w:fill="FFFFFF" w:val="clear"/>
          </w:tcPr>
          <w:p>
            <w:pPr>
              <w:pStyle w:val="TableContents"/>
              <w:spacing w:before="0" w:after="283"/>
              <w:jc w:val="left"/>
              <w:rPr>
                <w:sz w:val="17"/>
              </w:rPr>
            </w:pPr>
            <w:r>
              <w:rPr>
                <w:sz w:val="17"/>
              </w:rPr>
              <w:t xml:space="preserve">By: </w:t>
            </w:r>
          </w:p>
        </w:tc>
        <w:tc>
          <w:tcPr>
            <w:tcW w:w="102" w:type="dxa"/>
            <w:tcBorders/>
            <w:shd w:fill="FFFFFF" w:val="clear"/>
            <w:vAlign w:val="bottom"/>
          </w:tcPr>
          <w:p>
            <w:pPr>
              <w:pStyle w:val="TableContents"/>
              <w:spacing w:before="0" w:after="283"/>
              <w:rPr/>
            </w:pPr>
            <w:r>
              <w:rPr/>
              <w:t xml:space="preserve">  </w:t>
            </w:r>
          </w:p>
        </w:tc>
        <w:tc>
          <w:tcPr>
            <w:tcW w:w="3878" w:type="dxa"/>
            <w:tcBorders/>
            <w:shd w:fill="FFFFFF" w:val="clear"/>
          </w:tcPr>
          <w:p>
            <w:pPr>
              <w:pStyle w:val="TableContents"/>
              <w:spacing w:before="0" w:after="0"/>
              <w:jc w:val="left"/>
              <w:rPr>
                <w:sz w:val="17"/>
              </w:rPr>
            </w:pPr>
            <w:r>
              <w:rPr>
                <w:sz w:val="17"/>
              </w:rPr>
              <w:t>/s/  Tim Moore</w:t>
            </w:r>
          </w:p>
          <w:p>
            <w:pPr>
              <w:pStyle w:val="TableContents"/>
              <w:spacing w:before="0" w:after="0"/>
              <w:jc w:val="left"/>
              <w:rPr/>
            </w:pPr>
            <w:r>
              <w:rPr/>
            </w:r>
          </w:p>
          <w:p>
            <w:pPr>
              <w:pStyle w:val="TableContents"/>
              <w:spacing w:before="0" w:after="0"/>
              <w:jc w:val="left"/>
              <w:rPr>
                <w:sz w:val="17"/>
              </w:rPr>
            </w:pPr>
            <w:r>
              <w:rPr>
                <w:sz w:val="17"/>
              </w:rPr>
              <w:t xml:space="preserve">(Attorney-in-Fact)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tcPr>
          <w:p>
            <w:pPr>
              <w:pStyle w:val="TableContents"/>
              <w:spacing w:before="0" w:after="283"/>
              <w:jc w:val="center"/>
              <w:rPr/>
            </w:pPr>
            <w:r>
              <w:rPr/>
              <w:t xml:space="preserve">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pPr>
            <w:r>
              <w:rPr/>
              <w:t xml:space="preserv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AURORA PIPELINE COMPANY LTD.</w:t>
      </w:r>
      <w:r>
        <w:rPr>
          <w:rFonts w:ascii="Arial;Helvetica" w:hAnsi="Arial;Helvetica"/>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509"/>
        <w:gridCol w:w="102"/>
        <w:gridCol w:w="3878"/>
        <w:gridCol w:w="306"/>
        <w:gridCol w:w="3878"/>
        <w:gridCol w:w="307"/>
        <w:gridCol w:w="1225"/>
      </w:tblGrid>
      <w:tr>
        <w:trPr/>
        <w:tc>
          <w:tcPr>
            <w:tcW w:w="509"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3878" w:type="dxa"/>
            <w:tcBorders/>
            <w:shd w:fill="FFFFFF" w:val="clear"/>
            <w:vAlign w:val="bottom"/>
          </w:tcPr>
          <w:p>
            <w:pPr>
              <w:pStyle w:val="TableContents"/>
              <w:spacing w:before="0" w:after="283"/>
              <w:rPr/>
            </w:pPr>
            <w:r>
              <w:rPr/>
              <w:t> </w:t>
            </w:r>
          </w:p>
        </w:tc>
        <w:tc>
          <w:tcPr>
            <w:tcW w:w="306" w:type="dxa"/>
            <w:tcBorders/>
            <w:shd w:fill="FFFFFF" w:val="clear"/>
            <w:vAlign w:val="bottom"/>
          </w:tcPr>
          <w:p>
            <w:pPr>
              <w:pStyle w:val="TableContents"/>
              <w:spacing w:before="0" w:after="283"/>
              <w:rPr/>
            </w:pPr>
            <w:r>
              <w:rPr/>
              <w:t> </w:t>
            </w:r>
          </w:p>
        </w:tc>
        <w:tc>
          <w:tcPr>
            <w:tcW w:w="3878" w:type="dxa"/>
            <w:tcBorders/>
            <w:shd w:fill="FFFFFF" w:val="clear"/>
            <w:vAlign w:val="bottom"/>
          </w:tcPr>
          <w:p>
            <w:pPr>
              <w:pStyle w:val="TableContents"/>
              <w:spacing w:before="0" w:after="283"/>
              <w:rPr/>
            </w:pPr>
            <w:r>
              <w:rPr/>
              <w:t> </w:t>
            </w:r>
          </w:p>
        </w:tc>
        <w:tc>
          <w:tcPr>
            <w:tcW w:w="307" w:type="dxa"/>
            <w:tcBorders/>
            <w:shd w:fill="FFFFFF" w:val="clear"/>
            <w:vAlign w:val="bottom"/>
          </w:tcPr>
          <w:p>
            <w:pPr>
              <w:pStyle w:val="TableContents"/>
              <w:spacing w:before="0" w:after="283"/>
              <w:rPr/>
            </w:pPr>
            <w:r>
              <w:rPr/>
              <w:t> </w:t>
            </w:r>
          </w:p>
        </w:tc>
        <w:tc>
          <w:tcPr>
            <w:tcW w:w="1225" w:type="dxa"/>
            <w:tcBorders/>
            <w:shd w:fill="FFFFFF" w:val="clear"/>
            <w:vAlign w:val="bottom"/>
          </w:tcPr>
          <w:p>
            <w:pPr>
              <w:pStyle w:val="TableContents"/>
              <w:spacing w:before="0" w:after="283"/>
              <w:rPr/>
            </w:pPr>
            <w:r>
              <w:rPr/>
              <w:t> </w:t>
            </w:r>
          </w:p>
        </w:tc>
      </w:tr>
      <w:tr>
        <w:trPr/>
        <w:tc>
          <w:tcPr>
            <w:tcW w:w="4489"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Dave Duckett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tcPr>
          <w:p>
            <w:pPr>
              <w:pStyle w:val="TableContents"/>
              <w:spacing w:before="0" w:after="283"/>
              <w:jc w:val="center"/>
              <w:rPr>
                <w:sz w:val="17"/>
              </w:rPr>
            </w:pPr>
            <w:r>
              <w:rPr>
                <w:sz w:val="17"/>
              </w:rPr>
              <w:t>President and Director (Principal</w:t>
              <w:br/>
              <w:t xml:space="preserve">Executive Officer)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89"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vAlign w:val="bottom"/>
          </w:tcPr>
          <w:p>
            <w:pPr>
              <w:pStyle w:val="TableContents"/>
              <w:spacing w:before="0" w:after="283"/>
              <w:rPr/>
            </w:pPr>
            <w:r>
              <w:rPr/>
              <w:t xml:space="preserve">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89"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Mark Alenius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tcPr>
          <w:p>
            <w:pPr>
              <w:pStyle w:val="TableContents"/>
              <w:spacing w:before="0" w:after="283"/>
              <w:jc w:val="center"/>
              <w:rPr>
                <w:sz w:val="17"/>
              </w:rPr>
            </w:pPr>
            <w:r>
              <w:rPr>
                <w:sz w:val="17"/>
              </w:rPr>
              <w:t xml:space="preserve">Vice President and Chief Financial Officer (Principal Financial and Accounting Officer)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89"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vAlign w:val="bottom"/>
          </w:tcPr>
          <w:p>
            <w:pPr>
              <w:pStyle w:val="TableContents"/>
              <w:spacing w:before="0" w:after="283"/>
              <w:rPr/>
            </w:pPr>
            <w:r>
              <w:rPr/>
              <w:t xml:space="preserve">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89"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Greg L. Armstrong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tcPr>
          <w:p>
            <w:pPr>
              <w:pStyle w:val="TableContents"/>
              <w:spacing w:before="0" w:after="283"/>
              <w:jc w:val="center"/>
              <w:rPr>
                <w:sz w:val="17"/>
              </w:rPr>
            </w:pPr>
            <w:r>
              <w:rPr>
                <w:sz w:val="17"/>
              </w:rPr>
              <w:t xml:space="preserve">Director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89"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vAlign w:val="bottom"/>
          </w:tcPr>
          <w:p>
            <w:pPr>
              <w:pStyle w:val="TableContents"/>
              <w:spacing w:before="0" w:after="283"/>
              <w:rPr/>
            </w:pPr>
            <w:r>
              <w:rPr/>
              <w:t xml:space="preserve">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89" w:type="dxa"/>
            <w:gridSpan w:val="3"/>
            <w:tcBorders/>
            <w:shd w:fill="FFFFFF" w:val="clear"/>
          </w:tcPr>
          <w:p>
            <w:pPr>
              <w:pStyle w:val="TableContents"/>
              <w:spacing w:before="0" w:after="0"/>
              <w:jc w:val="center"/>
              <w:rPr>
                <w:sz w:val="17"/>
              </w:rPr>
            </w:pPr>
            <w:r>
              <w:rPr>
                <w:sz w:val="17"/>
              </w:rPr>
              <w:t>*</w:t>
            </w:r>
          </w:p>
          <w:p>
            <w:pPr>
              <w:pStyle w:val="TableContents"/>
              <w:spacing w:before="0" w:after="0"/>
              <w:rPr/>
            </w:pPr>
            <w:r>
              <w:rPr/>
            </w:r>
          </w:p>
          <w:p>
            <w:pPr>
              <w:pStyle w:val="TableContents"/>
              <w:spacing w:before="0" w:after="0"/>
              <w:rPr>
                <w:sz w:val="17"/>
              </w:rPr>
            </w:pPr>
            <w:r>
              <w:rPr>
                <w:sz w:val="17"/>
              </w:rPr>
              <w:t xml:space="preserve">Harry Pefanis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tcPr>
          <w:p>
            <w:pPr>
              <w:pStyle w:val="TableContents"/>
              <w:spacing w:before="0" w:after="283"/>
              <w:jc w:val="center"/>
              <w:rPr>
                <w:sz w:val="17"/>
              </w:rPr>
            </w:pPr>
            <w:r>
              <w:rPr>
                <w:sz w:val="17"/>
              </w:rPr>
              <w:t xml:space="preserve">Director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4489" w:type="dxa"/>
            <w:gridSpan w:val="3"/>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vAlign w:val="bottom"/>
          </w:tcPr>
          <w:p>
            <w:pPr>
              <w:pStyle w:val="TableContents"/>
              <w:spacing w:before="0" w:after="283"/>
              <w:rPr/>
            </w:pPr>
            <w:r>
              <w:rPr/>
              <w:t xml:space="preserve">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4489" w:type="dxa"/>
            <w:gridSpan w:val="3"/>
            <w:tcBorders/>
            <w:shd w:fill="FFFFFF" w:val="clear"/>
          </w:tcPr>
          <w:p>
            <w:pPr>
              <w:pStyle w:val="TableContents"/>
              <w:spacing w:before="0" w:after="0"/>
              <w:jc w:val="left"/>
              <w:rPr>
                <w:sz w:val="17"/>
              </w:rPr>
            </w:pPr>
            <w:r>
              <w:rPr>
                <w:sz w:val="17"/>
              </w:rPr>
              <w:t>/s/  Tim Moore</w:t>
            </w:r>
          </w:p>
          <w:p>
            <w:pPr>
              <w:pStyle w:val="TableContents"/>
              <w:spacing w:before="0" w:after="0"/>
              <w:rPr/>
            </w:pPr>
            <w:r>
              <w:rPr/>
            </w:r>
          </w:p>
          <w:p>
            <w:pPr>
              <w:pStyle w:val="TableContents"/>
              <w:spacing w:before="0" w:after="0"/>
              <w:rPr>
                <w:sz w:val="17"/>
              </w:rPr>
            </w:pPr>
            <w:r>
              <w:rPr>
                <w:sz w:val="17"/>
              </w:rPr>
              <w:t xml:space="preserve">Tim Moore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tcPr>
          <w:p>
            <w:pPr>
              <w:pStyle w:val="TableContents"/>
              <w:spacing w:before="0" w:after="283"/>
              <w:jc w:val="center"/>
              <w:rPr>
                <w:sz w:val="17"/>
              </w:rPr>
            </w:pPr>
            <w:r>
              <w:rPr>
                <w:sz w:val="17"/>
              </w:rPr>
              <w:t xml:space="preserve">Vice President and Director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sz w:val="17"/>
              </w:rPr>
            </w:pPr>
            <w:r>
              <w:rPr>
                <w:sz w:val="17"/>
              </w:rPr>
              <w:t xml:space="preserve">May 11, 2007 </w:t>
            </w:r>
          </w:p>
        </w:tc>
      </w:tr>
      <w:tr>
        <w:trPr/>
        <w:tc>
          <w:tcPr>
            <w:tcW w:w="509"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xml:space="preserve">  </w:t>
            </w:r>
          </w:p>
        </w:tc>
        <w:tc>
          <w:tcPr>
            <w:tcW w:w="3878"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vAlign w:val="bottom"/>
          </w:tcPr>
          <w:p>
            <w:pPr>
              <w:pStyle w:val="TableContents"/>
              <w:spacing w:before="0" w:after="283"/>
              <w:rPr/>
            </w:pPr>
            <w:r>
              <w:rPr/>
              <w:t xml:space="preserve">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vAlign w:val="bottom"/>
          </w:tcPr>
          <w:p>
            <w:pPr>
              <w:pStyle w:val="TableContents"/>
              <w:spacing w:before="0" w:after="283"/>
              <w:rPr/>
            </w:pPr>
            <w:r>
              <w:rPr/>
              <w:t xml:space="preserve">  </w:t>
            </w:r>
          </w:p>
        </w:tc>
      </w:tr>
      <w:tr>
        <w:trPr/>
        <w:tc>
          <w:tcPr>
            <w:tcW w:w="509" w:type="dxa"/>
            <w:tcBorders/>
            <w:shd w:fill="FFFFFF" w:val="clear"/>
          </w:tcPr>
          <w:p>
            <w:pPr>
              <w:pStyle w:val="TableContents"/>
              <w:spacing w:before="0" w:after="283"/>
              <w:jc w:val="left"/>
              <w:rPr>
                <w:sz w:val="17"/>
              </w:rPr>
            </w:pPr>
            <w:r>
              <w:rPr>
                <w:sz w:val="17"/>
              </w:rPr>
              <w:t xml:space="preserve">By: </w:t>
            </w:r>
          </w:p>
        </w:tc>
        <w:tc>
          <w:tcPr>
            <w:tcW w:w="102" w:type="dxa"/>
            <w:tcBorders/>
            <w:shd w:fill="FFFFFF" w:val="clear"/>
            <w:vAlign w:val="bottom"/>
          </w:tcPr>
          <w:p>
            <w:pPr>
              <w:pStyle w:val="TableContents"/>
              <w:spacing w:before="0" w:after="283"/>
              <w:rPr/>
            </w:pPr>
            <w:r>
              <w:rPr/>
              <w:t xml:space="preserve">  </w:t>
            </w:r>
          </w:p>
        </w:tc>
        <w:tc>
          <w:tcPr>
            <w:tcW w:w="3878" w:type="dxa"/>
            <w:tcBorders/>
            <w:shd w:fill="FFFFFF" w:val="clear"/>
          </w:tcPr>
          <w:p>
            <w:pPr>
              <w:pStyle w:val="TableContents"/>
              <w:spacing w:before="0" w:after="0"/>
              <w:jc w:val="left"/>
              <w:rPr>
                <w:sz w:val="17"/>
              </w:rPr>
            </w:pPr>
            <w:r>
              <w:rPr>
                <w:sz w:val="17"/>
              </w:rPr>
              <w:t>/s/  Tim Moore</w:t>
            </w:r>
          </w:p>
          <w:p>
            <w:pPr>
              <w:pStyle w:val="TableContents"/>
              <w:spacing w:before="0" w:after="0"/>
              <w:jc w:val="left"/>
              <w:rPr/>
            </w:pPr>
            <w:r>
              <w:rPr/>
            </w:r>
          </w:p>
          <w:p>
            <w:pPr>
              <w:pStyle w:val="TableContents"/>
              <w:spacing w:before="0" w:after="0"/>
              <w:jc w:val="left"/>
              <w:rPr>
                <w:sz w:val="17"/>
              </w:rPr>
            </w:pPr>
            <w:r>
              <w:rPr>
                <w:sz w:val="17"/>
              </w:rPr>
              <w:t xml:space="preserve">(Attorney-in-Fact) </w:t>
            </w:r>
          </w:p>
        </w:tc>
        <w:tc>
          <w:tcPr>
            <w:tcW w:w="306" w:type="dxa"/>
            <w:tcBorders/>
            <w:shd w:fill="FFFFFF" w:val="clear"/>
            <w:vAlign w:val="bottom"/>
          </w:tcPr>
          <w:p>
            <w:pPr>
              <w:pStyle w:val="TableContents"/>
              <w:spacing w:before="0" w:after="283"/>
              <w:rPr/>
            </w:pPr>
            <w:r>
              <w:rPr/>
              <w:t xml:space="preserve">  </w:t>
            </w:r>
          </w:p>
        </w:tc>
        <w:tc>
          <w:tcPr>
            <w:tcW w:w="3878" w:type="dxa"/>
            <w:tcBorders/>
            <w:shd w:fill="FFFFFF" w:val="clear"/>
          </w:tcPr>
          <w:p>
            <w:pPr>
              <w:pStyle w:val="TableContents"/>
              <w:spacing w:before="0" w:after="283"/>
              <w:jc w:val="center"/>
              <w:rPr/>
            </w:pPr>
            <w:r>
              <w:rPr/>
              <w:t xml:space="preserve">  </w:t>
            </w:r>
          </w:p>
        </w:tc>
        <w:tc>
          <w:tcPr>
            <w:tcW w:w="307" w:type="dxa"/>
            <w:tcBorders/>
            <w:shd w:fill="FFFFFF" w:val="clear"/>
            <w:vAlign w:val="bottom"/>
          </w:tcPr>
          <w:p>
            <w:pPr>
              <w:pStyle w:val="TableContents"/>
              <w:spacing w:before="0" w:after="283"/>
              <w:rPr/>
            </w:pPr>
            <w:r>
              <w:rPr/>
              <w:t xml:space="preserve">  </w:t>
            </w:r>
          </w:p>
        </w:tc>
        <w:tc>
          <w:tcPr>
            <w:tcW w:w="1225" w:type="dxa"/>
            <w:tcBorders/>
            <w:shd w:fill="FFFFFF" w:val="clear"/>
          </w:tcPr>
          <w:p>
            <w:pPr>
              <w:pStyle w:val="TableContents"/>
              <w:spacing w:before="0" w:after="283"/>
              <w:jc w:val="center"/>
              <w:rPr/>
            </w:pPr>
            <w:r>
              <w:rPr/>
              <w:t xml:space="preserv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INDEX TO EXHIBITS</w:t>
      </w:r>
      <w:r>
        <w:rPr>
          <w:rFonts w:ascii="Arial;Helvetica" w:hAnsi="Arial;Helvetica"/>
          <w:color w:val="000000"/>
          <w:sz w:val="17"/>
          <w:highlight w:val="white"/>
        </w:rPr>
        <w:t xml:space="preserve"> </w:t>
      </w:r>
    </w:p>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247"/>
        <w:gridCol w:w="203"/>
        <w:gridCol w:w="395"/>
        <w:gridCol w:w="124"/>
        <w:gridCol w:w="383"/>
        <w:gridCol w:w="124"/>
        <w:gridCol w:w="8729"/>
      </w:tblGrid>
      <w:tr>
        <w:trPr/>
        <w:tc>
          <w:tcPr>
            <w:tcW w:w="247" w:type="dxa"/>
            <w:tcBorders/>
            <w:shd w:fill="FFFFFF" w:val="clear"/>
            <w:vAlign w:val="bottom"/>
          </w:tcPr>
          <w:p>
            <w:pPr>
              <w:pStyle w:val="TableContents"/>
              <w:spacing w:before="0" w:after="283"/>
              <w:jc w:val="right"/>
              <w:rPr/>
            </w:pPr>
            <w:r>
              <w:rPr/>
              <w:t> </w:t>
            </w:r>
          </w:p>
        </w:tc>
        <w:tc>
          <w:tcPr>
            <w:tcW w:w="203" w:type="dxa"/>
            <w:tcBorders/>
            <w:shd w:fill="FFFFFF" w:val="clear"/>
            <w:vAlign w:val="bottom"/>
          </w:tcPr>
          <w:p>
            <w:pPr>
              <w:pStyle w:val="TableContents"/>
              <w:spacing w:before="0" w:after="283"/>
              <w:jc w:val="right"/>
              <w:rPr/>
            </w:pPr>
            <w:r>
              <w:rPr/>
              <w:t> </w:t>
            </w:r>
          </w:p>
        </w:tc>
        <w:tc>
          <w:tcPr>
            <w:tcW w:w="395" w:type="dxa"/>
            <w:tcBorders/>
            <w:shd w:fill="FFFFFF" w:val="clear"/>
            <w:vAlign w:val="bottom"/>
          </w:tcPr>
          <w:p>
            <w:pPr>
              <w:pStyle w:val="TableContents"/>
              <w:spacing w:before="0" w:after="283"/>
              <w:jc w:val="left"/>
              <w:rPr/>
            </w:pPr>
            <w:r>
              <w:rPr/>
              <w:t> </w:t>
            </w:r>
          </w:p>
        </w:tc>
        <w:tc>
          <w:tcPr>
            <w:tcW w:w="124" w:type="dxa"/>
            <w:tcBorders/>
            <w:shd w:fill="FFFFFF" w:val="clear"/>
            <w:vAlign w:val="bottom"/>
          </w:tcPr>
          <w:p>
            <w:pPr>
              <w:pStyle w:val="TableContents"/>
              <w:spacing w:before="0" w:after="283"/>
              <w:rPr/>
            </w:pPr>
            <w:r>
              <w:rPr/>
              <w:t> </w:t>
            </w:r>
          </w:p>
        </w:tc>
        <w:tc>
          <w:tcPr>
            <w:tcW w:w="383"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rPr/>
            </w:pPr>
            <w:r>
              <w:rPr/>
              <w:t> </w:t>
            </w:r>
          </w:p>
        </w:tc>
        <w:tc>
          <w:tcPr>
            <w:tcW w:w="8729" w:type="dxa"/>
            <w:tcBorders/>
            <w:shd w:fill="FFFFFF" w:val="clear"/>
            <w:vAlign w:val="bottom"/>
          </w:tcPr>
          <w:p>
            <w:pPr>
              <w:pStyle w:val="TableContents"/>
              <w:spacing w:before="0" w:after="283"/>
              <w:rPr/>
            </w:pPr>
            <w:r>
              <w:rPr/>
              <w:t>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.1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Indenture dated September 25, 2002 among Plains All American Pipeline, L.P., PAA Finance Corp. and Wachovia Bank, National Association (incorporated by reference to Exhibit 4.1 to Quarterly Report on Form 10-Q for the quarter ended September 30, 2002)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.2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First Supplemental Indenture (Series A and Series B 7.75% Senior Notes due 2012) dated as of September 25, 2002 among Plains All American Pipeline, L.P., PAA Finance Corp., the Subsidiary Guarantors named therein and Wachovia Bank, National Association (incorporated by reference to Exhibit 4.2 to Quarterly Report on Form 10-Q for the quarter ended September 30, 2002)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.3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Second Supplemental Indenture (Series A and Series B 5.625% Senior Notes due 2013) dated as of December 10, 2003 among Plains All American Pipeline, L.P., PAA Finance Corp., the Subsidiary Guarantors named therein and Wachovia Bank, National Association (incorporated by reference to Exhibit 4.4 to Annual Report on Form 10-K for the year ended December 31, 2003)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.4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Third Supplemental Indenture (Series A and Series B 4.750% Senior Notes due 2009) dated August 12, 2004 among Plains All American Pipeline, L.P., PAA Finance Corp., the Subsidiary Guarantors named therein and Wachovia, National Association (incorporated by reference to Exhibit 4.4 to the Registration Statement on Form S-4, File No. 333-121168)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.5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Fourth Supplemental Indenture (Series A and Series B 5.875% Senior Notes due 2016) dated August 12, 2004 among Plains All American Pipeline, L.P., PAA Finance Corp., the Subsidiary Guarantors named therein and Wachovia, National Association (incorporated by reference to Exhibit 4.5 to the Registration Statement on Form S-4, File No. 333-121168)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.6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Fifth Supplemental Indenture (Series A and Series B 5.25% Senior Notes due 2015) dated May 27, 2005 among Plains All American Pipeline, L.P., PAA Finance Corp., the Subsidiary Guarantors named therein and Wachovia Bank, National Association (incorporated by reference to Exhibit 4.1 to Current Report on Form 8-K filed May 31, 2005)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.7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Sixth Supplemental Indenture (Series A and Series B 6.70% Senior Notes due 2036) dated May 12, 2006 among Plains All American Pipeline, L.P., PAA Finance Corp., the Subsidiary Guarantors named therein and Wachovia Bank, National Association (incorporated by reference to Exhibit 4.1 to Current Report on Form 8-K filed May 12, 2006)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.8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Exchange and Registration Rights Agreement, dated as of May 12, 2006, among Plains All American Pipeline, L.P., PAA Finance Corp., the Guarantors named therein and the Initial Purchasers named therein (incorporated by reference to Exhibit 4.2 to Current Report on Form 8-K filed May 12, 2006)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.9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Seventh Supplemental Indenture, dated as of May 12, 2006, to Indenture, dated as of September 25, 2002, among Plains All American Pipeline, L.P., PAA Finance Corp., Plains LPG Services GP LLC, Plains LPG Services, L.P. and Lone Star Trucking, LLC and Wachovia Bank, National Association (incorporated by reference to Exhibit 4.3 to Current Report on Form 8-K filed May 12, 2006)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.10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Eighth Supplemental Indenture, dated as of August 25, 2006, to Indenture, dated as of September 25, 2002, among Plains All American Pipeline, L.P., PAA Finance Corp., Plains Marketing International GP LLC, Plains Marketing International, L.P. and Plains LPG Marketing, L.P. and Wachovia Bank, National Association (incorporated by reference to Exhibit 4.1 to Current Report on Form 8-K filed August 25, 2006)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.11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Ninth Supplemental Indenture (Series A and Series B 6.125% Senior Notes due 2017), dated as of October 30, 2006, to Indenture, dated as of September 25, 2002, among Plains All American Pipeline, L.P., PAA Finance Corp. and subsidiary guarantors signatory thereto and U.S. Bank National Association, as trustee (incorporated by reference to Exhibit 4.1 to the Current Report on Form 8-K filed October 30, 2006)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.12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Tenth Supplemental Indenture (Series A and Series B 6.650% Senior Notes due 2037), dated as of October 30, 2006, to Indenture, dated as of September 25, 2002, among Plains All American Pipeline, L.P., PAA Finance Corp. and subsidiary guarantors signatory thereto and U.S. Bank National Association, as trustee (incorporated by reference to Exhibit 4.2 to the Current Report on Form 8-K filed October 30, 2006) </w:t>
            </w:r>
          </w:p>
        </w:tc>
      </w:tr>
    </w:tbl>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247"/>
        <w:gridCol w:w="201"/>
        <w:gridCol w:w="392"/>
        <w:gridCol w:w="123"/>
        <w:gridCol w:w="383"/>
        <w:gridCol w:w="123"/>
        <w:gridCol w:w="8736"/>
      </w:tblGrid>
      <w:tr>
        <w:trPr/>
        <w:tc>
          <w:tcPr>
            <w:tcW w:w="247" w:type="dxa"/>
            <w:tcBorders/>
            <w:shd w:fill="FFFFFF" w:val="clear"/>
            <w:vAlign w:val="bottom"/>
          </w:tcPr>
          <w:p>
            <w:pPr>
              <w:pStyle w:val="TableContents"/>
              <w:spacing w:before="0" w:after="283"/>
              <w:jc w:val="right"/>
              <w:rPr/>
            </w:pPr>
            <w:r>
              <w:rPr/>
              <w:t> </w:t>
            </w:r>
          </w:p>
        </w:tc>
        <w:tc>
          <w:tcPr>
            <w:tcW w:w="201" w:type="dxa"/>
            <w:tcBorders/>
            <w:shd w:fill="FFFFFF" w:val="clear"/>
            <w:vAlign w:val="bottom"/>
          </w:tcPr>
          <w:p>
            <w:pPr>
              <w:pStyle w:val="TableContents"/>
              <w:spacing w:before="0" w:after="283"/>
              <w:jc w:val="right"/>
              <w:rPr/>
            </w:pPr>
            <w:r>
              <w:rPr/>
              <w:t> </w:t>
            </w:r>
          </w:p>
        </w:tc>
        <w:tc>
          <w:tcPr>
            <w:tcW w:w="392" w:type="dxa"/>
            <w:tcBorders/>
            <w:shd w:fill="FFFFFF" w:val="clear"/>
            <w:vAlign w:val="bottom"/>
          </w:tcPr>
          <w:p>
            <w:pPr>
              <w:pStyle w:val="TableContents"/>
              <w:spacing w:before="0" w:after="283"/>
              <w:jc w:val="left"/>
              <w:rPr/>
            </w:pPr>
            <w:r>
              <w:rPr/>
              <w:t> </w:t>
            </w:r>
          </w:p>
        </w:tc>
        <w:tc>
          <w:tcPr>
            <w:tcW w:w="123" w:type="dxa"/>
            <w:tcBorders/>
            <w:shd w:fill="FFFFFF" w:val="clear"/>
            <w:vAlign w:val="bottom"/>
          </w:tcPr>
          <w:p>
            <w:pPr>
              <w:pStyle w:val="TableContents"/>
              <w:spacing w:before="0" w:after="283"/>
              <w:rPr/>
            </w:pPr>
            <w:r>
              <w:rPr/>
              <w:t> </w:t>
            </w:r>
          </w:p>
        </w:tc>
        <w:tc>
          <w:tcPr>
            <w:tcW w:w="383"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rPr/>
            </w:pPr>
            <w:r>
              <w:rPr/>
              <w:t> </w:t>
            </w:r>
          </w:p>
        </w:tc>
        <w:tc>
          <w:tcPr>
            <w:tcW w:w="8736" w:type="dxa"/>
            <w:tcBorders/>
            <w:shd w:fill="FFFFFF" w:val="clear"/>
            <w:vAlign w:val="bottom"/>
          </w:tcPr>
          <w:p>
            <w:pPr>
              <w:pStyle w:val="TableContents"/>
              <w:spacing w:before="0" w:after="283"/>
              <w:rPr/>
            </w:pPr>
            <w:r>
              <w:rPr/>
              <w:t>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.13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Exchange and Registration Rights Agreement dated as of October 30, 2006, among Plains All American Pipeline, L.P., PAA Finance Corp., Plains Marketing, L.P., Plains Pipeline, L.P., Plains Marketing GP Inc., Plains Marketing Canada LLC, PMC (Nova Scotia) Company, Plains Marketing Canada, L.P., Basin Holdings GP LLC, Basin Pipeline Holdings, L.P., Rancho Holdings GP LLC, Rancho Pipeline Holdings, L.P., Plains LPG Services GP LLC, Plains LPG Services, L.P., Lone Star Trucking, LLC, Plains Marketing International GP LLC, Plains LPG Marketing, L.P., Plains Marketing International, L.P., Citigroup Global Markets Inc., UBS Securities LLC, Banc of America Securities LLC, J.P. Morgan Securities Inc., Wachovia Capital Markets, LLC, BNP Paribas Securities Corp., SunTrust Capital Markets, Inc., Fortis Securities LLC, Scotia Capital (USA) Inc., Comerica Securities, Inc., Commerzbank Capital Markets Corp., Daiwa Securities America Inc., DnB NOR Markets, Inc., HSBC Securities (USA) Inc., ING Financial Markets LLC, Mitsubishi UFJ Securities International plc, Piper Jaffray &amp; Co., RBC Capital Markets Corporation, SG Americas Securities, LLC, Wedbush Morgan Securities Inc. and Wells Fargo Securities, LLC relating to the 2017 Notes (incorporated by reference to Exhibit 4.3 to the Current Report on Form 8-K filed October 30, 2006)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.14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Exchange and Registration Rights Agreement dated as of October 30, 2006, among Plains All American Pipeline, L.P., PAA Finance Corp., Plains Marketing, L.P., Plains Pipeline, L.P., Plains Marketing GP Inc., Plains Marketing Canada LLC, PMC (Nova Scotia) Company, Plains Marketing Canada, L.P., Basin Holdings GP LLC, Basin Pipeline Holdings, L.P., Rancho Holdings GP LLC, Rancho Pipeline Holdings, L.P., Plains LPG Services GP LLC, Plains LPG Services, L.P., Lone Star Trucking, LLC, Plains Marketing International GP LLC, Plains LPG Marketing, L.P., Plains Marketing International, L.P., Citigroup Global Markets Inc., UBS Securities LLC, Banc of America Securities LLC, J.P. Morgan Securities Inc., Wachovia Capital Markets, LLC, BNP Paribas Securities Corp., SunTrust Capital Markets, Inc., Fortis Securities LLC, Scotia Capital (USA) Inc., Comerica Securities, Inc., Commerzbank Capital Markets Corp., Daiwa Securities America Inc., DnB NOR Markets, Inc., HSBC Securities (USA) Inc., ING Financial Markets LLC, Mitsubishi UFJ Securities International plc, Piper Jaffray &amp; Co., RBC Capital Markets Corporation, SG Americas Securities Inc. and Wells Fargo Securities, LLC relating to the 2037 Notes (incorporated by reference to Exhibit 4.4 to the Current Report on Form 8-K filed October 30, 2006)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.15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Eleventh Supplemental Indenture dated November 15, 2006 to Indenture dated as of September 25, 2002, among Plains All American Pipeline, L.P., PAA Finance Corp., the guarantors named therein and U.S. Bank National Association, as trustee (incorporated by reference to Exhibit 4.1 to the Current Report on Form 8-K filed November 21, 2006)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.16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Indenture dated June 16, 2004 among Pacific Energy Partners, L.P. and Pacific Energy Finance Corporation, the guarantors named therein and Wells Fargo Bank, National Association, as trustee of the 71/8% senior notes due 2014 (incorporated by reference to Exhibit 4.21 to Pacifics Quarterly Report on Form 10-Q for the quarter ended June 30, 2004)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.17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First Supplemental Indenture dated March 3, 2005 among Pacific Energy Partners, L.P. and Pacific Energy Finance Corporation, the guarantors named therein and Wells Fargo Bank, National Association, as trustee of the 71/8% senior notes due 2014 (incorporated by reference to Exhibit 4.1 to Pacifics Current Report on Form 8-K filed March 9, 2005)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.18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Second Supplemental Indenture dated September 23, 2005 among Pacific Energy Partners, L.P. and Pacific Energy Finance Corporation, the guarantors named therein and Wells Fargo Bank, National Association, as trustee of the 71/8% senior notes due 2014 (incorporated by reference to Exhibit 4.17 to the Annual Report on Form 10-K for the year ended December 31, 2006)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.19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Third Supplemental Indenture dated November 15, 2006 to Indenture dated as of June 16, 2004, among Plains All American Pipeline, L.P., Pacific Energy Finance Corporation, the guarantors named therein and Wells Fargo Bank, National Association, as trustee (incorporated by reference to Exhibit 4.2 to the Current Report on Form 8-K filed November 21, 2006)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.20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Indenture dated September 23, 2005 among Pacific Energy Partners, L.P. and Pacific Energy Finance Corporation, the guarantors named therein and Wells Fargo Bank, National Association, as trustee of the 61/4% senior notes due 2015 (incorporated by reference to Exhibit 4.1 to Pacifics Current Report on Form 8-K filed September 28, 2005) </w:t>
            </w:r>
          </w:p>
        </w:tc>
      </w:tr>
    </w:tbl>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177"/>
        <w:gridCol w:w="579"/>
        <w:gridCol w:w="447"/>
        <w:gridCol w:w="127"/>
        <w:gridCol w:w="323"/>
        <w:gridCol w:w="127"/>
        <w:gridCol w:w="8425"/>
      </w:tblGrid>
      <w:tr>
        <w:trPr/>
        <w:tc>
          <w:tcPr>
            <w:tcW w:w="177" w:type="dxa"/>
            <w:tcBorders/>
            <w:shd w:fill="FFFFFF" w:val="clear"/>
            <w:vAlign w:val="bottom"/>
          </w:tcPr>
          <w:p>
            <w:pPr>
              <w:pStyle w:val="TableContents"/>
              <w:spacing w:before="0" w:after="283"/>
              <w:jc w:val="right"/>
              <w:rPr/>
            </w:pPr>
            <w:r>
              <w:rPr/>
              <w:t> </w:t>
            </w:r>
          </w:p>
        </w:tc>
        <w:tc>
          <w:tcPr>
            <w:tcW w:w="579" w:type="dxa"/>
            <w:tcBorders/>
            <w:shd w:fill="FFFFFF" w:val="clear"/>
            <w:vAlign w:val="bottom"/>
          </w:tcPr>
          <w:p>
            <w:pPr>
              <w:pStyle w:val="TableContents"/>
              <w:spacing w:before="0" w:after="283"/>
              <w:jc w:val="right"/>
              <w:rPr/>
            </w:pPr>
            <w:r>
              <w:rPr/>
              <w:t> </w:t>
            </w:r>
          </w:p>
        </w:tc>
        <w:tc>
          <w:tcPr>
            <w:tcW w:w="447"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rPr/>
            </w:pPr>
            <w:r>
              <w:rPr/>
              <w:t> </w:t>
            </w:r>
          </w:p>
        </w:tc>
        <w:tc>
          <w:tcPr>
            <w:tcW w:w="32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8425" w:type="dxa"/>
            <w:tcBorders/>
            <w:shd w:fill="FFFFFF" w:val="clear"/>
            <w:vAlign w:val="bottom"/>
          </w:tcPr>
          <w:p>
            <w:pPr>
              <w:pStyle w:val="TableContents"/>
              <w:spacing w:before="0" w:after="283"/>
              <w:rPr/>
            </w:pPr>
            <w:r>
              <w:rPr/>
              <w:t> </w:t>
            </w:r>
          </w:p>
        </w:tc>
      </w:tr>
      <w:tr>
        <w:trPr/>
        <w:tc>
          <w:tcPr>
            <w:tcW w:w="177" w:type="dxa"/>
            <w:tcBorders/>
            <w:shd w:fill="CCEEFF" w:val="clear"/>
          </w:tcPr>
          <w:p>
            <w:pPr>
              <w:pStyle w:val="TableContents"/>
              <w:spacing w:before="0" w:after="283"/>
              <w:jc w:val="left"/>
              <w:rPr/>
            </w:pPr>
            <w:r>
              <w:rPr/>
              <w:t xml:space="preserve">  </w:t>
            </w:r>
          </w:p>
        </w:tc>
        <w:tc>
          <w:tcPr>
            <w:tcW w:w="579" w:type="dxa"/>
            <w:tcBorders/>
            <w:shd w:fill="CCEEFF" w:val="clear"/>
          </w:tcPr>
          <w:p>
            <w:pPr>
              <w:pStyle w:val="TableContents"/>
              <w:spacing w:before="0" w:after="283"/>
              <w:jc w:val="right"/>
              <w:rPr/>
            </w:pPr>
            <w:r>
              <w:rPr/>
              <w:t xml:space="preserve">4 </w:t>
            </w:r>
          </w:p>
        </w:tc>
        <w:tc>
          <w:tcPr>
            <w:tcW w:w="447" w:type="dxa"/>
            <w:tcBorders/>
            <w:shd w:fill="CCEEFF" w:val="clear"/>
          </w:tcPr>
          <w:p>
            <w:pPr>
              <w:pStyle w:val="TableContents"/>
              <w:spacing w:before="0" w:after="283"/>
              <w:jc w:val="left"/>
              <w:rPr/>
            </w:pPr>
            <w:r>
              <w:rPr/>
              <w:t xml:space="preserve">.21 </w:t>
            </w:r>
          </w:p>
        </w:tc>
        <w:tc>
          <w:tcPr>
            <w:tcW w:w="127" w:type="dxa"/>
            <w:tcBorders/>
            <w:shd w:fill="CCEEFF" w:val="clear"/>
            <w:vAlign w:val="bottom"/>
          </w:tcPr>
          <w:p>
            <w:pPr>
              <w:pStyle w:val="TableContents"/>
              <w:spacing w:before="0" w:after="283"/>
              <w:rPr/>
            </w:pPr>
            <w:r>
              <w:rPr/>
              <w:t xml:space="preserve">  </w:t>
            </w:r>
          </w:p>
        </w:tc>
        <w:tc>
          <w:tcPr>
            <w:tcW w:w="323" w:type="dxa"/>
            <w:tcBorders/>
            <w:shd w:fill="CCEEFF" w:val="clear"/>
          </w:tcPr>
          <w:p>
            <w:pPr>
              <w:pStyle w:val="TableContents"/>
              <w:spacing w:before="0" w:after="283"/>
              <w:jc w:val="right"/>
              <w:rPr>
                <w:sz w:val="17"/>
              </w:rPr>
            </w:pPr>
            <w:r>
              <w:rPr>
                <w:sz w:val="17"/>
              </w:rPr>
              <w:t xml:space="preserve"> </w:t>
            </w:r>
          </w:p>
        </w:tc>
        <w:tc>
          <w:tcPr>
            <w:tcW w:w="127" w:type="dxa"/>
            <w:tcBorders/>
            <w:shd w:fill="CCEEFF" w:val="clear"/>
            <w:vAlign w:val="bottom"/>
          </w:tcPr>
          <w:p>
            <w:pPr>
              <w:pStyle w:val="TableContents"/>
              <w:spacing w:before="0" w:after="283"/>
              <w:rPr/>
            </w:pPr>
            <w:r>
              <w:rPr/>
              <w:t xml:space="preserve">  </w:t>
            </w:r>
          </w:p>
        </w:tc>
        <w:tc>
          <w:tcPr>
            <w:tcW w:w="8425" w:type="dxa"/>
            <w:tcBorders/>
            <w:shd w:fill="CCEEFF" w:val="clear"/>
          </w:tcPr>
          <w:p>
            <w:pPr>
              <w:pStyle w:val="TableContents"/>
              <w:spacing w:before="0" w:after="283"/>
              <w:jc w:val="left"/>
              <w:rPr>
                <w:sz w:val="17"/>
              </w:rPr>
            </w:pPr>
            <w:r>
              <w:rPr>
                <w:sz w:val="17"/>
              </w:rPr>
              <w:t xml:space="preserve">First Supplemental Indenture dated November 15, 2006 to Indenture dated as of September 23, 2005, among Plains All American Pipeline, L.P., Pacific Energy Finance Corporation, the guarantors named therein and Wells Fargo Bank, National Association, as trustee (incorporated by reference to Exhibit 4.3 to the Current Report on Form 8-K filed November 21, 2006) </w:t>
            </w:r>
          </w:p>
        </w:tc>
      </w:tr>
      <w:tr>
        <w:trPr/>
        <w:tc>
          <w:tcPr>
            <w:tcW w:w="177" w:type="dxa"/>
            <w:tcBorders/>
            <w:shd w:fill="FFFFFF" w:val="clear"/>
          </w:tcPr>
          <w:p>
            <w:pPr>
              <w:pStyle w:val="TableContents"/>
              <w:spacing w:before="0" w:after="283"/>
              <w:jc w:val="left"/>
              <w:rPr/>
            </w:pPr>
            <w:r>
              <w:rPr/>
              <w:t xml:space="preserve">  </w:t>
            </w:r>
          </w:p>
        </w:tc>
        <w:tc>
          <w:tcPr>
            <w:tcW w:w="579" w:type="dxa"/>
            <w:tcBorders/>
            <w:shd w:fill="FFFFFF" w:val="clear"/>
          </w:tcPr>
          <w:p>
            <w:pPr>
              <w:pStyle w:val="TableContents"/>
              <w:spacing w:before="0" w:after="283"/>
              <w:jc w:val="right"/>
              <w:rPr/>
            </w:pPr>
            <w:r>
              <w:rPr/>
              <w:t xml:space="preserve">5 </w:t>
            </w:r>
          </w:p>
        </w:tc>
        <w:tc>
          <w:tcPr>
            <w:tcW w:w="447" w:type="dxa"/>
            <w:tcBorders/>
            <w:shd w:fill="FFFFFF" w:val="clear"/>
          </w:tcPr>
          <w:p>
            <w:pPr>
              <w:pStyle w:val="TableContents"/>
              <w:spacing w:before="0" w:after="283"/>
              <w:jc w:val="left"/>
              <w:rPr/>
            </w:pPr>
            <w:r>
              <w:rPr/>
              <w:t xml:space="preserve">.1* </w:t>
            </w:r>
          </w:p>
        </w:tc>
        <w:tc>
          <w:tcPr>
            <w:tcW w:w="127" w:type="dxa"/>
            <w:tcBorders/>
            <w:shd w:fill="FFFFFF" w:val="clear"/>
            <w:vAlign w:val="bottom"/>
          </w:tcPr>
          <w:p>
            <w:pPr>
              <w:pStyle w:val="TableContents"/>
              <w:spacing w:before="0" w:after="283"/>
              <w:rPr/>
            </w:pPr>
            <w:r>
              <w:rPr/>
              <w:t xml:space="preserve">  </w:t>
            </w:r>
          </w:p>
        </w:tc>
        <w:tc>
          <w:tcPr>
            <w:tcW w:w="323"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425" w:type="dxa"/>
            <w:tcBorders/>
            <w:shd w:fill="FFFFFF" w:val="clear"/>
          </w:tcPr>
          <w:p>
            <w:pPr>
              <w:pStyle w:val="TableContents"/>
              <w:spacing w:before="0" w:after="283"/>
              <w:jc w:val="left"/>
              <w:rPr>
                <w:sz w:val="17"/>
              </w:rPr>
            </w:pPr>
            <w:r>
              <w:rPr>
                <w:sz w:val="17"/>
              </w:rPr>
              <w:t xml:space="preserve">Opinion of Vinson &amp; Elkins L.L.P. as to the legality of the securities being registered </w:t>
            </w:r>
          </w:p>
        </w:tc>
      </w:tr>
      <w:tr>
        <w:trPr/>
        <w:tc>
          <w:tcPr>
            <w:tcW w:w="177" w:type="dxa"/>
            <w:tcBorders/>
            <w:shd w:fill="CCEEFF" w:val="clear"/>
          </w:tcPr>
          <w:p>
            <w:pPr>
              <w:pStyle w:val="TableContents"/>
              <w:spacing w:before="0" w:after="283"/>
              <w:jc w:val="left"/>
              <w:rPr/>
            </w:pPr>
            <w:r>
              <w:rPr/>
              <w:t xml:space="preserve">  </w:t>
            </w:r>
          </w:p>
        </w:tc>
        <w:tc>
          <w:tcPr>
            <w:tcW w:w="579" w:type="dxa"/>
            <w:tcBorders/>
            <w:shd w:fill="CCEEFF" w:val="clear"/>
          </w:tcPr>
          <w:p>
            <w:pPr>
              <w:pStyle w:val="TableContents"/>
              <w:spacing w:before="0" w:after="283"/>
              <w:jc w:val="right"/>
              <w:rPr/>
            </w:pPr>
            <w:r>
              <w:rPr/>
              <w:t xml:space="preserve">8 </w:t>
            </w:r>
          </w:p>
        </w:tc>
        <w:tc>
          <w:tcPr>
            <w:tcW w:w="447" w:type="dxa"/>
            <w:tcBorders/>
            <w:shd w:fill="CCEEFF" w:val="clear"/>
          </w:tcPr>
          <w:p>
            <w:pPr>
              <w:pStyle w:val="TableContents"/>
              <w:spacing w:before="0" w:after="283"/>
              <w:jc w:val="left"/>
              <w:rPr/>
            </w:pPr>
            <w:r>
              <w:rPr/>
              <w:t xml:space="preserve">.1* </w:t>
            </w:r>
          </w:p>
        </w:tc>
        <w:tc>
          <w:tcPr>
            <w:tcW w:w="127" w:type="dxa"/>
            <w:tcBorders/>
            <w:shd w:fill="CCEEFF" w:val="clear"/>
            <w:vAlign w:val="bottom"/>
          </w:tcPr>
          <w:p>
            <w:pPr>
              <w:pStyle w:val="TableContents"/>
              <w:spacing w:before="0" w:after="283"/>
              <w:rPr/>
            </w:pPr>
            <w:r>
              <w:rPr/>
              <w:t xml:space="preserve">  </w:t>
            </w:r>
          </w:p>
        </w:tc>
        <w:tc>
          <w:tcPr>
            <w:tcW w:w="323" w:type="dxa"/>
            <w:tcBorders/>
            <w:shd w:fill="CCEEFF" w:val="clear"/>
          </w:tcPr>
          <w:p>
            <w:pPr>
              <w:pStyle w:val="TableContents"/>
              <w:spacing w:before="0" w:after="283"/>
              <w:jc w:val="right"/>
              <w:rPr>
                <w:sz w:val="17"/>
              </w:rPr>
            </w:pPr>
            <w:r>
              <w:rPr>
                <w:sz w:val="17"/>
              </w:rPr>
              <w:t xml:space="preserve"> </w:t>
            </w:r>
          </w:p>
        </w:tc>
        <w:tc>
          <w:tcPr>
            <w:tcW w:w="127" w:type="dxa"/>
            <w:tcBorders/>
            <w:shd w:fill="CCEEFF" w:val="clear"/>
            <w:vAlign w:val="bottom"/>
          </w:tcPr>
          <w:p>
            <w:pPr>
              <w:pStyle w:val="TableContents"/>
              <w:spacing w:before="0" w:after="283"/>
              <w:rPr/>
            </w:pPr>
            <w:r>
              <w:rPr/>
              <w:t xml:space="preserve">  </w:t>
            </w:r>
          </w:p>
        </w:tc>
        <w:tc>
          <w:tcPr>
            <w:tcW w:w="8425" w:type="dxa"/>
            <w:tcBorders/>
            <w:shd w:fill="CCEEFF" w:val="clear"/>
          </w:tcPr>
          <w:p>
            <w:pPr>
              <w:pStyle w:val="TableContents"/>
              <w:spacing w:before="0" w:after="283"/>
              <w:jc w:val="left"/>
              <w:rPr>
                <w:sz w:val="17"/>
              </w:rPr>
            </w:pPr>
            <w:r>
              <w:rPr>
                <w:sz w:val="17"/>
              </w:rPr>
              <w:t xml:space="preserve">Opinion of Vinson &amp; Elkins L.L.P. as to tax matters (contained in Exhibit 5.1) </w:t>
            </w:r>
          </w:p>
        </w:tc>
      </w:tr>
      <w:tr>
        <w:trPr/>
        <w:tc>
          <w:tcPr>
            <w:tcW w:w="177" w:type="dxa"/>
            <w:tcBorders/>
            <w:shd w:fill="FFFFFF" w:val="clear"/>
          </w:tcPr>
          <w:p>
            <w:pPr>
              <w:pStyle w:val="TableContents"/>
              <w:spacing w:before="0" w:after="283"/>
              <w:jc w:val="left"/>
              <w:rPr/>
            </w:pPr>
            <w:r>
              <w:rPr/>
              <w:t xml:space="preserve">  </w:t>
            </w:r>
          </w:p>
        </w:tc>
        <w:tc>
          <w:tcPr>
            <w:tcW w:w="579" w:type="dxa"/>
            <w:tcBorders/>
            <w:shd w:fill="FFFFFF" w:val="clear"/>
          </w:tcPr>
          <w:p>
            <w:pPr>
              <w:pStyle w:val="TableContents"/>
              <w:spacing w:before="0" w:after="283"/>
              <w:jc w:val="right"/>
              <w:rPr/>
            </w:pPr>
            <w:r>
              <w:rPr/>
              <w:t xml:space="preserve">12 </w:t>
            </w:r>
          </w:p>
        </w:tc>
        <w:tc>
          <w:tcPr>
            <w:tcW w:w="447" w:type="dxa"/>
            <w:tcBorders/>
            <w:shd w:fill="FFFFFF" w:val="clear"/>
          </w:tcPr>
          <w:p>
            <w:pPr>
              <w:pStyle w:val="TableContents"/>
              <w:spacing w:before="0" w:after="283"/>
              <w:jc w:val="left"/>
              <w:rPr/>
            </w:pPr>
            <w:r>
              <w:rPr/>
              <w:t xml:space="preserve">.1* </w:t>
            </w:r>
          </w:p>
        </w:tc>
        <w:tc>
          <w:tcPr>
            <w:tcW w:w="127" w:type="dxa"/>
            <w:tcBorders/>
            <w:shd w:fill="FFFFFF" w:val="clear"/>
            <w:vAlign w:val="bottom"/>
          </w:tcPr>
          <w:p>
            <w:pPr>
              <w:pStyle w:val="TableContents"/>
              <w:spacing w:before="0" w:after="283"/>
              <w:rPr/>
            </w:pPr>
            <w:r>
              <w:rPr/>
              <w:t xml:space="preserve">  </w:t>
            </w:r>
          </w:p>
        </w:tc>
        <w:tc>
          <w:tcPr>
            <w:tcW w:w="323"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425" w:type="dxa"/>
            <w:tcBorders/>
            <w:shd w:fill="FFFFFF" w:val="clear"/>
          </w:tcPr>
          <w:p>
            <w:pPr>
              <w:pStyle w:val="TableContents"/>
              <w:spacing w:before="0" w:after="283"/>
              <w:jc w:val="left"/>
              <w:rPr>
                <w:sz w:val="17"/>
              </w:rPr>
            </w:pPr>
            <w:r>
              <w:rPr>
                <w:sz w:val="17"/>
              </w:rPr>
              <w:t xml:space="preserve">Ratio of Earnings to Fixed Charges </w:t>
            </w:r>
          </w:p>
        </w:tc>
      </w:tr>
      <w:tr>
        <w:trPr/>
        <w:tc>
          <w:tcPr>
            <w:tcW w:w="177" w:type="dxa"/>
            <w:tcBorders/>
            <w:shd w:fill="CCEEFF" w:val="clear"/>
          </w:tcPr>
          <w:p>
            <w:pPr>
              <w:pStyle w:val="TableContents"/>
              <w:spacing w:before="0" w:after="283"/>
              <w:jc w:val="left"/>
              <w:rPr/>
            </w:pPr>
            <w:r>
              <w:rPr/>
              <w:t xml:space="preserve">  </w:t>
            </w:r>
          </w:p>
        </w:tc>
        <w:tc>
          <w:tcPr>
            <w:tcW w:w="579" w:type="dxa"/>
            <w:tcBorders/>
            <w:shd w:fill="CCEEFF" w:val="clear"/>
          </w:tcPr>
          <w:p>
            <w:pPr>
              <w:pStyle w:val="TableContents"/>
              <w:spacing w:before="0" w:after="283"/>
              <w:jc w:val="right"/>
              <w:rPr/>
            </w:pPr>
            <w:r>
              <w:rPr/>
              <w:t xml:space="preserve">23 </w:t>
            </w:r>
          </w:p>
        </w:tc>
        <w:tc>
          <w:tcPr>
            <w:tcW w:w="447" w:type="dxa"/>
            <w:tcBorders/>
            <w:shd w:fill="CCEEFF" w:val="clear"/>
          </w:tcPr>
          <w:p>
            <w:pPr>
              <w:pStyle w:val="TableContents"/>
              <w:spacing w:before="0" w:after="283"/>
              <w:jc w:val="left"/>
              <w:rPr/>
            </w:pPr>
            <w:r>
              <w:rPr/>
              <w:t xml:space="preserve">.1* </w:t>
            </w:r>
          </w:p>
        </w:tc>
        <w:tc>
          <w:tcPr>
            <w:tcW w:w="127" w:type="dxa"/>
            <w:tcBorders/>
            <w:shd w:fill="CCEEFF" w:val="clear"/>
            <w:vAlign w:val="bottom"/>
          </w:tcPr>
          <w:p>
            <w:pPr>
              <w:pStyle w:val="TableContents"/>
              <w:spacing w:before="0" w:after="283"/>
              <w:rPr/>
            </w:pPr>
            <w:r>
              <w:rPr/>
              <w:t xml:space="preserve">  </w:t>
            </w:r>
          </w:p>
        </w:tc>
        <w:tc>
          <w:tcPr>
            <w:tcW w:w="323" w:type="dxa"/>
            <w:tcBorders/>
            <w:shd w:fill="CCEEFF" w:val="clear"/>
          </w:tcPr>
          <w:p>
            <w:pPr>
              <w:pStyle w:val="TableContents"/>
              <w:spacing w:before="0" w:after="283"/>
              <w:jc w:val="right"/>
              <w:rPr>
                <w:sz w:val="17"/>
              </w:rPr>
            </w:pPr>
            <w:r>
              <w:rPr>
                <w:sz w:val="17"/>
              </w:rPr>
              <w:t xml:space="preserve"> </w:t>
            </w:r>
          </w:p>
        </w:tc>
        <w:tc>
          <w:tcPr>
            <w:tcW w:w="127" w:type="dxa"/>
            <w:tcBorders/>
            <w:shd w:fill="CCEEFF" w:val="clear"/>
            <w:vAlign w:val="bottom"/>
          </w:tcPr>
          <w:p>
            <w:pPr>
              <w:pStyle w:val="TableContents"/>
              <w:spacing w:before="0" w:after="283"/>
              <w:rPr/>
            </w:pPr>
            <w:r>
              <w:rPr/>
              <w:t xml:space="preserve">  </w:t>
            </w:r>
          </w:p>
        </w:tc>
        <w:tc>
          <w:tcPr>
            <w:tcW w:w="8425" w:type="dxa"/>
            <w:tcBorders/>
            <w:shd w:fill="CCEEFF" w:val="clear"/>
          </w:tcPr>
          <w:p>
            <w:pPr>
              <w:pStyle w:val="TableContents"/>
              <w:spacing w:before="0" w:after="283"/>
              <w:jc w:val="left"/>
              <w:rPr>
                <w:sz w:val="17"/>
              </w:rPr>
            </w:pPr>
            <w:r>
              <w:rPr>
                <w:sz w:val="17"/>
              </w:rPr>
              <w:t xml:space="preserve">Consent of PricewaterhouseCoopers LLP </w:t>
            </w:r>
          </w:p>
        </w:tc>
      </w:tr>
      <w:tr>
        <w:trPr/>
        <w:tc>
          <w:tcPr>
            <w:tcW w:w="177" w:type="dxa"/>
            <w:tcBorders/>
            <w:shd w:fill="FFFFFF" w:val="clear"/>
          </w:tcPr>
          <w:p>
            <w:pPr>
              <w:pStyle w:val="TableContents"/>
              <w:spacing w:before="0" w:after="283"/>
              <w:jc w:val="left"/>
              <w:rPr/>
            </w:pPr>
            <w:r>
              <w:rPr/>
              <w:t xml:space="preserve">  </w:t>
            </w:r>
          </w:p>
        </w:tc>
        <w:tc>
          <w:tcPr>
            <w:tcW w:w="579" w:type="dxa"/>
            <w:tcBorders/>
            <w:shd w:fill="FFFFFF" w:val="clear"/>
          </w:tcPr>
          <w:p>
            <w:pPr>
              <w:pStyle w:val="TableContents"/>
              <w:spacing w:before="0" w:after="283"/>
              <w:jc w:val="right"/>
              <w:rPr/>
            </w:pPr>
            <w:r>
              <w:rPr/>
              <w:t xml:space="preserve">23 </w:t>
            </w:r>
          </w:p>
        </w:tc>
        <w:tc>
          <w:tcPr>
            <w:tcW w:w="447" w:type="dxa"/>
            <w:tcBorders/>
            <w:shd w:fill="FFFFFF" w:val="clear"/>
          </w:tcPr>
          <w:p>
            <w:pPr>
              <w:pStyle w:val="TableContents"/>
              <w:spacing w:before="0" w:after="283"/>
              <w:jc w:val="left"/>
              <w:rPr/>
            </w:pPr>
            <w:r>
              <w:rPr/>
              <w:t xml:space="preserve">.2* </w:t>
            </w:r>
          </w:p>
        </w:tc>
        <w:tc>
          <w:tcPr>
            <w:tcW w:w="127" w:type="dxa"/>
            <w:tcBorders/>
            <w:shd w:fill="FFFFFF" w:val="clear"/>
            <w:vAlign w:val="bottom"/>
          </w:tcPr>
          <w:p>
            <w:pPr>
              <w:pStyle w:val="TableContents"/>
              <w:spacing w:before="0" w:after="283"/>
              <w:rPr/>
            </w:pPr>
            <w:r>
              <w:rPr/>
              <w:t xml:space="preserve">  </w:t>
            </w:r>
          </w:p>
        </w:tc>
        <w:tc>
          <w:tcPr>
            <w:tcW w:w="323"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425" w:type="dxa"/>
            <w:tcBorders/>
            <w:shd w:fill="FFFFFF" w:val="clear"/>
          </w:tcPr>
          <w:p>
            <w:pPr>
              <w:pStyle w:val="TableContents"/>
              <w:spacing w:before="0" w:after="283"/>
              <w:jc w:val="left"/>
              <w:rPr>
                <w:sz w:val="17"/>
              </w:rPr>
            </w:pPr>
            <w:r>
              <w:rPr>
                <w:sz w:val="17"/>
              </w:rPr>
              <w:t xml:space="preserve">Consent of KPMG LLP </w:t>
            </w:r>
          </w:p>
        </w:tc>
      </w:tr>
      <w:tr>
        <w:trPr/>
        <w:tc>
          <w:tcPr>
            <w:tcW w:w="177" w:type="dxa"/>
            <w:tcBorders/>
            <w:shd w:fill="CCEEFF" w:val="clear"/>
          </w:tcPr>
          <w:p>
            <w:pPr>
              <w:pStyle w:val="TableContents"/>
              <w:spacing w:before="0" w:after="283"/>
              <w:jc w:val="left"/>
              <w:rPr/>
            </w:pPr>
            <w:r>
              <w:rPr/>
              <w:t xml:space="preserve">  </w:t>
            </w:r>
          </w:p>
        </w:tc>
        <w:tc>
          <w:tcPr>
            <w:tcW w:w="579" w:type="dxa"/>
            <w:tcBorders/>
            <w:shd w:fill="CCEEFF" w:val="clear"/>
          </w:tcPr>
          <w:p>
            <w:pPr>
              <w:pStyle w:val="TableContents"/>
              <w:spacing w:before="0" w:after="283"/>
              <w:jc w:val="right"/>
              <w:rPr/>
            </w:pPr>
            <w:r>
              <w:rPr/>
              <w:t xml:space="preserve">23 </w:t>
            </w:r>
          </w:p>
        </w:tc>
        <w:tc>
          <w:tcPr>
            <w:tcW w:w="447" w:type="dxa"/>
            <w:tcBorders/>
            <w:shd w:fill="CCEEFF" w:val="clear"/>
          </w:tcPr>
          <w:p>
            <w:pPr>
              <w:pStyle w:val="TableContents"/>
              <w:spacing w:before="0" w:after="283"/>
              <w:jc w:val="left"/>
              <w:rPr/>
            </w:pPr>
            <w:r>
              <w:rPr/>
              <w:t xml:space="preserve">.3* </w:t>
            </w:r>
          </w:p>
        </w:tc>
        <w:tc>
          <w:tcPr>
            <w:tcW w:w="127" w:type="dxa"/>
            <w:tcBorders/>
            <w:shd w:fill="CCEEFF" w:val="clear"/>
            <w:vAlign w:val="bottom"/>
          </w:tcPr>
          <w:p>
            <w:pPr>
              <w:pStyle w:val="TableContents"/>
              <w:spacing w:before="0" w:after="283"/>
              <w:rPr/>
            </w:pPr>
            <w:r>
              <w:rPr/>
              <w:t xml:space="preserve">  </w:t>
            </w:r>
          </w:p>
        </w:tc>
        <w:tc>
          <w:tcPr>
            <w:tcW w:w="323" w:type="dxa"/>
            <w:tcBorders/>
            <w:shd w:fill="CCEEFF" w:val="clear"/>
          </w:tcPr>
          <w:p>
            <w:pPr>
              <w:pStyle w:val="TableContents"/>
              <w:spacing w:before="0" w:after="283"/>
              <w:jc w:val="right"/>
              <w:rPr>
                <w:sz w:val="17"/>
              </w:rPr>
            </w:pPr>
            <w:r>
              <w:rPr>
                <w:sz w:val="17"/>
              </w:rPr>
              <w:t xml:space="preserve"> </w:t>
            </w:r>
          </w:p>
        </w:tc>
        <w:tc>
          <w:tcPr>
            <w:tcW w:w="127" w:type="dxa"/>
            <w:tcBorders/>
            <w:shd w:fill="CCEEFF" w:val="clear"/>
            <w:vAlign w:val="bottom"/>
          </w:tcPr>
          <w:p>
            <w:pPr>
              <w:pStyle w:val="TableContents"/>
              <w:spacing w:before="0" w:after="283"/>
              <w:rPr/>
            </w:pPr>
            <w:r>
              <w:rPr/>
              <w:t xml:space="preserve">  </w:t>
            </w:r>
          </w:p>
        </w:tc>
        <w:tc>
          <w:tcPr>
            <w:tcW w:w="8425" w:type="dxa"/>
            <w:tcBorders/>
            <w:shd w:fill="CCEEFF" w:val="clear"/>
          </w:tcPr>
          <w:p>
            <w:pPr>
              <w:pStyle w:val="TableContents"/>
              <w:spacing w:before="0" w:after="283"/>
              <w:jc w:val="left"/>
              <w:rPr>
                <w:sz w:val="17"/>
              </w:rPr>
            </w:pPr>
            <w:r>
              <w:rPr>
                <w:sz w:val="17"/>
              </w:rPr>
              <w:t xml:space="preserve">Consent of Vinson &amp; Elkins L.L.P. (contained in Exhibit 5.1) </w:t>
            </w:r>
          </w:p>
        </w:tc>
      </w:tr>
      <w:tr>
        <w:trPr/>
        <w:tc>
          <w:tcPr>
            <w:tcW w:w="177" w:type="dxa"/>
            <w:tcBorders/>
            <w:shd w:fill="FFFFFF" w:val="clear"/>
          </w:tcPr>
          <w:p>
            <w:pPr>
              <w:pStyle w:val="TableContents"/>
              <w:spacing w:before="0" w:after="283"/>
              <w:jc w:val="left"/>
              <w:rPr/>
            </w:pPr>
            <w:r>
              <w:rPr/>
              <w:t xml:space="preserve">  </w:t>
            </w:r>
          </w:p>
        </w:tc>
        <w:tc>
          <w:tcPr>
            <w:tcW w:w="579" w:type="dxa"/>
            <w:tcBorders/>
            <w:shd w:fill="FFFFFF" w:val="clear"/>
          </w:tcPr>
          <w:p>
            <w:pPr>
              <w:pStyle w:val="TableContents"/>
              <w:spacing w:before="0" w:after="283"/>
              <w:jc w:val="right"/>
              <w:rPr/>
            </w:pPr>
            <w:r>
              <w:rPr/>
              <w:t xml:space="preserve">24 </w:t>
            </w:r>
          </w:p>
        </w:tc>
        <w:tc>
          <w:tcPr>
            <w:tcW w:w="447" w:type="dxa"/>
            <w:tcBorders/>
            <w:shd w:fill="FFFFFF" w:val="clear"/>
          </w:tcPr>
          <w:p>
            <w:pPr>
              <w:pStyle w:val="TableContents"/>
              <w:spacing w:before="0" w:after="283"/>
              <w:jc w:val="left"/>
              <w:rPr/>
            </w:pPr>
            <w:r>
              <w:rPr/>
              <w:t xml:space="preserve">.1 </w:t>
            </w:r>
          </w:p>
        </w:tc>
        <w:tc>
          <w:tcPr>
            <w:tcW w:w="127" w:type="dxa"/>
            <w:tcBorders/>
            <w:shd w:fill="FFFFFF" w:val="clear"/>
            <w:vAlign w:val="bottom"/>
          </w:tcPr>
          <w:p>
            <w:pPr>
              <w:pStyle w:val="TableContents"/>
              <w:spacing w:before="0" w:after="283"/>
              <w:rPr/>
            </w:pPr>
            <w:r>
              <w:rPr/>
              <w:t xml:space="preserve">  </w:t>
            </w:r>
          </w:p>
        </w:tc>
        <w:tc>
          <w:tcPr>
            <w:tcW w:w="323"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425" w:type="dxa"/>
            <w:tcBorders/>
            <w:shd w:fill="FFFFFF" w:val="clear"/>
          </w:tcPr>
          <w:p>
            <w:pPr>
              <w:pStyle w:val="TableContents"/>
              <w:spacing w:before="0" w:after="283"/>
              <w:jc w:val="left"/>
              <w:rPr>
                <w:sz w:val="17"/>
              </w:rPr>
            </w:pPr>
            <w:r>
              <w:rPr>
                <w:sz w:val="17"/>
              </w:rPr>
              <w:t xml:space="preserve">Powers of Attorney (included on the previously filed page) </w:t>
            </w:r>
          </w:p>
        </w:tc>
      </w:tr>
      <w:tr>
        <w:trPr/>
        <w:tc>
          <w:tcPr>
            <w:tcW w:w="177" w:type="dxa"/>
            <w:tcBorders/>
            <w:shd w:fill="CCEEFF" w:val="clear"/>
          </w:tcPr>
          <w:p>
            <w:pPr>
              <w:pStyle w:val="TableContents"/>
              <w:spacing w:before="0" w:after="283"/>
              <w:jc w:val="left"/>
              <w:rPr/>
            </w:pPr>
            <w:r>
              <w:rPr/>
              <w:t xml:space="preserve">  </w:t>
            </w:r>
          </w:p>
        </w:tc>
        <w:tc>
          <w:tcPr>
            <w:tcW w:w="579" w:type="dxa"/>
            <w:tcBorders/>
            <w:shd w:fill="CCEEFF" w:val="clear"/>
          </w:tcPr>
          <w:p>
            <w:pPr>
              <w:pStyle w:val="TableContents"/>
              <w:spacing w:before="0" w:after="283"/>
              <w:jc w:val="right"/>
              <w:rPr/>
            </w:pPr>
            <w:r>
              <w:rPr/>
              <w:t xml:space="preserve">25 </w:t>
            </w:r>
          </w:p>
        </w:tc>
        <w:tc>
          <w:tcPr>
            <w:tcW w:w="447" w:type="dxa"/>
            <w:tcBorders/>
            <w:shd w:fill="CCEEFF" w:val="clear"/>
          </w:tcPr>
          <w:p>
            <w:pPr>
              <w:pStyle w:val="TableContents"/>
              <w:spacing w:before="0" w:after="283"/>
              <w:jc w:val="left"/>
              <w:rPr/>
            </w:pPr>
            <w:r>
              <w:rPr/>
              <w:t xml:space="preserve">.1 </w:t>
            </w:r>
          </w:p>
        </w:tc>
        <w:tc>
          <w:tcPr>
            <w:tcW w:w="127" w:type="dxa"/>
            <w:tcBorders/>
            <w:shd w:fill="CCEEFF" w:val="clear"/>
            <w:vAlign w:val="bottom"/>
          </w:tcPr>
          <w:p>
            <w:pPr>
              <w:pStyle w:val="TableContents"/>
              <w:spacing w:before="0" w:after="283"/>
              <w:rPr/>
            </w:pPr>
            <w:r>
              <w:rPr/>
              <w:t xml:space="preserve">  </w:t>
            </w:r>
          </w:p>
        </w:tc>
        <w:tc>
          <w:tcPr>
            <w:tcW w:w="323" w:type="dxa"/>
            <w:tcBorders/>
            <w:shd w:fill="CCEEFF" w:val="clear"/>
          </w:tcPr>
          <w:p>
            <w:pPr>
              <w:pStyle w:val="TableContents"/>
              <w:spacing w:before="0" w:after="283"/>
              <w:jc w:val="right"/>
              <w:rPr>
                <w:sz w:val="17"/>
              </w:rPr>
            </w:pPr>
            <w:r>
              <w:rPr>
                <w:sz w:val="17"/>
              </w:rPr>
              <w:t xml:space="preserve"> </w:t>
            </w:r>
          </w:p>
        </w:tc>
        <w:tc>
          <w:tcPr>
            <w:tcW w:w="127" w:type="dxa"/>
            <w:tcBorders/>
            <w:shd w:fill="CCEEFF" w:val="clear"/>
            <w:vAlign w:val="bottom"/>
          </w:tcPr>
          <w:p>
            <w:pPr>
              <w:pStyle w:val="TableContents"/>
              <w:spacing w:before="0" w:after="283"/>
              <w:rPr/>
            </w:pPr>
            <w:r>
              <w:rPr/>
              <w:t xml:space="preserve">  </w:t>
            </w:r>
          </w:p>
        </w:tc>
        <w:tc>
          <w:tcPr>
            <w:tcW w:w="8425" w:type="dxa"/>
            <w:tcBorders/>
            <w:shd w:fill="CCEEFF" w:val="clear"/>
          </w:tcPr>
          <w:p>
            <w:pPr>
              <w:pStyle w:val="TableContents"/>
              <w:spacing w:before="0" w:after="283"/>
              <w:jc w:val="left"/>
              <w:rPr>
                <w:sz w:val="17"/>
              </w:rPr>
            </w:pPr>
            <w:r>
              <w:rPr>
                <w:sz w:val="17"/>
              </w:rPr>
              <w:t xml:space="preserve">Form T-1 Statement of Eligibility and Qualification under the Trust Indenture Act of 1939 of the trustee under the Indenture with respect to the 6.125% Senior Notes due 2017 and the 6.650% Senior Notes due 2037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146"/>
        <w:gridCol w:w="106"/>
        <w:gridCol w:w="9953"/>
      </w:tblGrid>
      <w:tr>
        <w:trPr/>
        <w:tc>
          <w:tcPr>
            <w:tcW w:w="146" w:type="dxa"/>
            <w:tcBorders/>
            <w:shd w:fill="FFFFFF" w:val="clear"/>
            <w:vAlign w:val="center"/>
          </w:tcPr>
          <w:p>
            <w:pPr>
              <w:pStyle w:val="TableContents"/>
              <w:spacing w:before="0" w:after="283"/>
              <w:rPr>
                <w:sz w:val="4"/>
                <w:szCs w:val="4"/>
              </w:rPr>
            </w:pPr>
            <w:r>
              <w:rPr>
                <w:sz w:val="4"/>
                <w:szCs w:val="4"/>
              </w:rPr>
            </w:r>
          </w:p>
        </w:tc>
        <w:tc>
          <w:tcPr>
            <w:tcW w:w="106" w:type="dxa"/>
            <w:tcBorders/>
            <w:shd w:fill="FFFFFF" w:val="clear"/>
            <w:vAlign w:val="center"/>
          </w:tcPr>
          <w:p>
            <w:pPr>
              <w:pStyle w:val="TableContents"/>
              <w:spacing w:before="0" w:after="283"/>
              <w:rPr>
                <w:sz w:val="4"/>
                <w:szCs w:val="4"/>
              </w:rPr>
            </w:pPr>
            <w:r>
              <w:rPr>
                <w:sz w:val="4"/>
                <w:szCs w:val="4"/>
              </w:rPr>
            </w:r>
          </w:p>
        </w:tc>
        <w:tc>
          <w:tcPr>
            <w:tcW w:w="9953" w:type="dxa"/>
            <w:tcBorders/>
            <w:shd w:fill="FFFFFF" w:val="clear"/>
            <w:vAlign w:val="center"/>
          </w:tcPr>
          <w:p>
            <w:pPr>
              <w:pStyle w:val="TableContents"/>
              <w:spacing w:before="0" w:after="283"/>
              <w:rPr>
                <w:sz w:val="4"/>
                <w:szCs w:val="4"/>
              </w:rPr>
            </w:pPr>
            <w:r>
              <w:rPr>
                <w:sz w:val="4"/>
                <w:szCs w:val="4"/>
              </w:rPr>
            </w:r>
          </w:p>
        </w:tc>
      </w:tr>
      <w:tr>
        <w:trPr/>
        <w:tc>
          <w:tcPr>
            <w:tcW w:w="146" w:type="dxa"/>
            <w:tcBorders/>
            <w:shd w:fill="FFFFFF" w:val="clear"/>
          </w:tcPr>
          <w:p>
            <w:pPr>
              <w:pStyle w:val="TableContents"/>
              <w:spacing w:before="0" w:after="283"/>
              <w:rPr/>
            </w:pPr>
            <w:r>
              <w:rPr/>
              <w:t xml:space="preserve">* </w:t>
            </w:r>
          </w:p>
        </w:tc>
        <w:tc>
          <w:tcPr>
            <w:tcW w:w="106" w:type="dxa"/>
            <w:tcBorders/>
            <w:shd w:fill="FFFFFF" w:val="clear"/>
            <w:vAlign w:val="center"/>
          </w:tcPr>
          <w:p>
            <w:pPr>
              <w:pStyle w:val="TableContents"/>
              <w:spacing w:before="0" w:after="283"/>
              <w:rPr>
                <w:sz w:val="4"/>
                <w:szCs w:val="4"/>
              </w:rPr>
            </w:pPr>
            <w:r>
              <w:rPr>
                <w:sz w:val="4"/>
                <w:szCs w:val="4"/>
              </w:rPr>
            </w:r>
          </w:p>
        </w:tc>
        <w:tc>
          <w:tcPr>
            <w:tcW w:w="9953" w:type="dxa"/>
            <w:tcBorders/>
            <w:shd w:fill="FFFFFF" w:val="clear"/>
            <w:vAlign w:val="bottom"/>
          </w:tcPr>
          <w:p>
            <w:pPr>
              <w:pStyle w:val="TableContents"/>
              <w:spacing w:before="0" w:after="283"/>
              <w:rPr/>
            </w:pPr>
            <w:r>
              <w:rPr/>
              <w:t>Filed herewith.</w:t>
            </w:r>
          </w:p>
        </w:tc>
      </w:tr>
    </w:tbl>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202"/>
        <w:gridCol w:w="107"/>
        <w:gridCol w:w="9896"/>
      </w:tblGrid>
      <w:tr>
        <w:trPr/>
        <w:tc>
          <w:tcPr>
            <w:tcW w:w="202" w:type="dxa"/>
            <w:tcBorders/>
            <w:shd w:fill="FFFFFF" w:val="clear"/>
            <w:vAlign w:val="center"/>
          </w:tcPr>
          <w:p>
            <w:pPr>
              <w:pStyle w:val="TableContents"/>
              <w:spacing w:before="0" w:after="283"/>
              <w:rPr>
                <w:sz w:val="4"/>
                <w:szCs w:val="4"/>
              </w:rPr>
            </w:pPr>
            <w:r>
              <w:rPr>
                <w:sz w:val="4"/>
                <w:szCs w:val="4"/>
              </w:rPr>
            </w:r>
          </w:p>
        </w:tc>
        <w:tc>
          <w:tcPr>
            <w:tcW w:w="107" w:type="dxa"/>
            <w:tcBorders/>
            <w:shd w:fill="FFFFFF" w:val="clear"/>
            <w:vAlign w:val="center"/>
          </w:tcPr>
          <w:p>
            <w:pPr>
              <w:pStyle w:val="TableContents"/>
              <w:spacing w:before="0" w:after="283"/>
              <w:rPr>
                <w:sz w:val="4"/>
                <w:szCs w:val="4"/>
              </w:rPr>
            </w:pPr>
            <w:r>
              <w:rPr>
                <w:sz w:val="4"/>
                <w:szCs w:val="4"/>
              </w:rPr>
            </w:r>
          </w:p>
        </w:tc>
        <w:tc>
          <w:tcPr>
            <w:tcW w:w="9896" w:type="dxa"/>
            <w:tcBorders/>
            <w:shd w:fill="FFFFFF" w:val="clear"/>
            <w:vAlign w:val="center"/>
          </w:tcPr>
          <w:p>
            <w:pPr>
              <w:pStyle w:val="TableContents"/>
              <w:spacing w:before="0" w:after="283"/>
              <w:rPr>
                <w:sz w:val="4"/>
                <w:szCs w:val="4"/>
              </w:rPr>
            </w:pPr>
            <w:r>
              <w:rPr>
                <w:sz w:val="4"/>
                <w:szCs w:val="4"/>
              </w:rPr>
            </w:r>
          </w:p>
        </w:tc>
      </w:tr>
      <w:tr>
        <w:trPr/>
        <w:tc>
          <w:tcPr>
            <w:tcW w:w="202" w:type="dxa"/>
            <w:tcBorders/>
            <w:shd w:fill="FFFFFF" w:val="clear"/>
          </w:tcPr>
          <w:p>
            <w:pPr>
              <w:pStyle w:val="TableContents"/>
              <w:spacing w:before="0" w:after="283"/>
              <w:rPr/>
            </w:pPr>
            <w:r>
              <w:rPr/>
              <w:t xml:space="preserve"> </w:t>
            </w:r>
          </w:p>
        </w:tc>
        <w:tc>
          <w:tcPr>
            <w:tcW w:w="107" w:type="dxa"/>
            <w:tcBorders/>
            <w:shd w:fill="FFFFFF" w:val="clear"/>
            <w:vAlign w:val="center"/>
          </w:tcPr>
          <w:p>
            <w:pPr>
              <w:pStyle w:val="TableContents"/>
              <w:spacing w:before="0" w:after="283"/>
              <w:rPr>
                <w:sz w:val="4"/>
                <w:szCs w:val="4"/>
              </w:rPr>
            </w:pPr>
            <w:r>
              <w:rPr>
                <w:sz w:val="4"/>
                <w:szCs w:val="4"/>
              </w:rPr>
            </w:r>
          </w:p>
        </w:tc>
        <w:tc>
          <w:tcPr>
            <w:tcW w:w="9896" w:type="dxa"/>
            <w:tcBorders/>
            <w:shd w:fill="FFFFFF" w:val="clear"/>
            <w:vAlign w:val="bottom"/>
          </w:tcPr>
          <w:p>
            <w:pPr>
              <w:pStyle w:val="TableContents"/>
              <w:spacing w:before="0" w:after="283"/>
              <w:rPr/>
            </w:pPr>
            <w:r>
              <w:rPr/>
              <w:t>Previously filed.</w:t>
            </w:r>
          </w:p>
        </w:tc>
      </w:tr>
    </w:tbl>
    <w:p>
      <w:pPr>
        <w:pStyle w:val="Heading5"/>
        <w:jc w:val="left"/>
        <w:rPr/>
      </w:pPr>
      <w:r>
        <w:br w:type="page"/>
      </w:r>
      <w:bookmarkStart w:id="17" w:name="h43563a1exv5w1.htm"/>
      <w:bookmarkStart w:id="18" w:name="ksh43563a1exv5w1"/>
      <w:bookmarkEnd w:id="17"/>
      <w:bookmarkEnd w:id="18"/>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5.1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May 11, 2007 </w:t>
      </w:r>
    </w:p>
    <w:p>
      <w:pPr>
        <w:pStyle w:val="TextBody"/>
        <w:spacing w:before="120" w:after="283"/>
        <w:jc w:val="left"/>
        <w:rPr>
          <w:rFonts w:ascii="Times New Roman;Times;serif" w:hAnsi="Times New Roman;Times;serif"/>
          <w:sz w:val="17"/>
        </w:rPr>
      </w:pPr>
      <w:r>
        <w:rPr>
          <w:rFonts w:ascii="Times New Roman;Times;serif" w:hAnsi="Times New Roman;Times;serif"/>
          <w:sz w:val="17"/>
        </w:rPr>
        <w:t>Plains All American Pipeline, L.P.</w:t>
        <w:br/>
        <w:t>333 Clay Street, Suite 1600</w:t>
        <w:br/>
        <w:t xml:space="preserve">Houston, Texas 77002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xml:space="preserve">      </w:t>
      </w:r>
      <w:r>
        <w:rPr>
          <w:rFonts w:ascii="Times New Roman;Times;serif" w:hAnsi="Times New Roman;Times;serif"/>
          <w:sz w:val="17"/>
        </w:rPr>
        <w:t xml:space="preserve">We have acted as counsel for Plains All American Pipeline, L.P., a Delaware limited partnership (the Partnership), PAA Finance Corp. (PAA Finance and collectively with the Partnership, the Issuers) and certain of the Partnerships other subsidiaries with respect to with the preparation of the Registration Statement on Form S-4 (the Registration Statement) filed with the Securities and Exchange Commission (the Commission) in connection with the registration by the Issuers under the Securities Act of 1933, as amended (the Securities Act) of (i) the offers and exchanges by the Issuers (the Exchange Offers) of up to $400,000,000 aggregate principal amount of their 6.125% Senior Notes due 2017 (2017 Notes) and of up to $600,000,000 aggregate principal amount of their 6.650% Senior Notes due 2037 (2037 Notes, and together with the 2017 Notes, the Outstanding Notes), for new series of notes bearing substantially identical terms and in like principal amount (the Exchange Notes) and (ii) the guarantees (the Guarantees) of certain subsidiaries of the Issuers listed in the Registration Statement as guarantors (the Subsidiary Guarantors) of the Outstanding Notes and the Exchange Notes. The Outstanding Notes and the Exchange Notes are collectively referred to herein as the Notes. The Outstanding Notes were issued, and the Exchange Notes will be issued, under an Indenture dated as of September 25, 2002, supplemented by the Ninth Supplemental Indenture dated October 30, 2006 and the Tenth Supplemental Indenture dated October 30, 2006 among the Issuers, the Subsidiary Guarantors and U.S. Bank, National Association, as Trustee (collectively, the Indenture). The Exchange Offers will be conducted on such terms and conditions as are set forth in the prospectus contained in the Registration Statement to which this opinion is an exhibit. </w:t>
      </w:r>
    </w:p>
    <w:p>
      <w:pPr>
        <w:pStyle w:val="TextBody"/>
        <w:spacing w:before="120" w:after="283"/>
        <w:jc w:val="left"/>
        <w:rPr/>
      </w:pPr>
      <w:r>
        <w:rPr/>
        <w:t xml:space="preserve">      </w:t>
      </w:r>
      <w:r>
        <w:rPr>
          <w:rFonts w:ascii="Times New Roman;Times;serif" w:hAnsi="Times New Roman;Times;serif"/>
          <w:sz w:val="17"/>
        </w:rPr>
        <w:t xml:space="preserve">We have examined originals or copies, certified or otherwise identified to our satisfaction, of (i) the Registration Statement, (ii) the Indenture and (iii) such other certificates, statutes and other instruments and documents as we considered appropriate for purposes of the opinions hereafter expressed. In connection with this opinion, we have assumed that the Registration Statement, and any amendments thereto (including post-effective amendments), will have become effective and the Exchange Notes will be issued and sold in compliance with applicable federal and state securities laws and in the manner described in the Registration Statement. </w:t>
      </w:r>
    </w:p>
    <w:p>
      <w:pPr>
        <w:pStyle w:val="TextBody"/>
        <w:spacing w:before="120" w:after="283"/>
        <w:jc w:val="left"/>
        <w:rPr/>
      </w:pPr>
      <w:r>
        <w:rPr/>
        <w:t xml:space="preserve">      </w:t>
      </w:r>
      <w:r>
        <w:rPr>
          <w:rFonts w:ascii="Times New Roman;Times;serif" w:hAnsi="Times New Roman;Times;serif"/>
          <w:sz w:val="17"/>
        </w:rPr>
        <w:t xml:space="preserve">Based on the foregoing, we are of the opinion that: </w:t>
      </w:r>
    </w:p>
    <w:p>
      <w:pPr>
        <w:pStyle w:val="TextBody"/>
        <w:spacing w:before="120" w:after="283"/>
        <w:jc w:val="left"/>
        <w:rPr/>
      </w:pPr>
      <w:r>
        <w:rPr/>
        <w:t xml:space="preserve">      </w:t>
      </w:r>
      <w:r>
        <w:rPr>
          <w:rFonts w:ascii="Times New Roman;Times;serif" w:hAnsi="Times New Roman;Times;serif"/>
          <w:sz w:val="17"/>
        </w:rPr>
        <w:t xml:space="preserve">(a) When the Exchange Notes have been duly executed, authenticated, issued and delivered in accordance with the provisions of the Indenture, (i) such Exchange Notes will be legally issued and will constitute valid and binding obligations of the Issuers enforceable against the Issuers in accordance with their terms, and (ii) the Guarantees of the Subsidiary Guarantors remain valid and binding obligations of such subsidiaries, enforceable against the Issuers and each such Subsidiary Guarantor in accordance with their terms, except in each case as such enforcement is subject to any applicable bankruptcy, insolvency, reorganization or other law relating to or affecting creditors rights generally and general principles of equity. </w:t>
      </w:r>
    </w:p>
    <w:p>
      <w:pPr>
        <w:pStyle w:val="TextBody"/>
        <w:spacing w:before="120" w:after="283"/>
        <w:jc w:val="left"/>
        <w:rPr/>
      </w:pPr>
      <w:r>
        <w:rPr/>
        <w:t xml:space="preserve">      </w:t>
      </w:r>
      <w:r>
        <w:rPr>
          <w:rFonts w:ascii="Times New Roman;Times;serif" w:hAnsi="Times New Roman;Times;serif"/>
          <w:sz w:val="17"/>
        </w:rPr>
        <w:t xml:space="preserve">(b) We hereby confirm that the discussion and the legal conclusions set forth in the Registration Statement under the heading Material U.S. Federal Income Tax Consequences are accurate and complete in all material respects and constitute our opinion, which is subject to the assumptions and qualifications set forth therein, as to the material tax consequences of the exchange of the Outstanding Notes for Exchange Notes. </w:t>
      </w:r>
    </w:p>
    <w:p>
      <w:pPr>
        <w:pStyle w:val="TextBody"/>
        <w:spacing w:before="120" w:after="283"/>
        <w:jc w:val="left"/>
        <w:rPr/>
      </w:pPr>
      <w:r>
        <w:rPr/>
        <w:t xml:space="preserve">      </w:t>
      </w:r>
      <w:r>
        <w:rPr>
          <w:rFonts w:ascii="Times New Roman;Times;serif" w:hAnsi="Times New Roman;Times;serif"/>
          <w:sz w:val="17"/>
        </w:rPr>
        <w:t xml:space="preserve">We express no opinions concerning (a) the validity or enforceability of any provisions contained in the Indenture that purport to waive or not give effect to rights to notices, defenses, subrogation or other rights or benefits that cannot be effectively waived under applicable law; or (b) the enforceability of indemnification provisions to the extent they purport to relate to liabilities resulting from or based upon negligence or any violation of federal or state securities or blue sky laws. </w:t>
      </w:r>
    </w:p>
    <w:p>
      <w:pPr>
        <w:pStyle w:val="TextBody"/>
        <w:spacing w:before="120" w:after="283"/>
        <w:jc w:val="left"/>
        <w:rPr/>
      </w:pPr>
      <w:r>
        <w:rPr/>
        <w:t xml:space="preserve">      </w:t>
      </w:r>
      <w:r>
        <w:rPr>
          <w:rFonts w:ascii="Times New Roman;Times;serif" w:hAnsi="Times New Roman;Times;serif"/>
          <w:sz w:val="17"/>
        </w:rPr>
        <w:t xml:space="preserve">We hereby consent to the filing of this opinion as an exhibit to the Registration Statement and to the use of our firm name in the prospectus forming a part of the Registration Statement under the captions Legal Matters and Material U.S. Federal Income Tax Consequences. By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giving such consent, we do not admit that we are within the category of persons whose consent is required under Section 7 of the Securities Act or the rules and regulations of the Commission issued thereunder. </w:t>
      </w:r>
    </w:p>
    <w:p>
      <w:pPr>
        <w:pStyle w:val="TextBody"/>
        <w:spacing w:before="720" w:after="283"/>
        <w:jc w:val="left"/>
        <w:rPr>
          <w:rFonts w:ascii="Times New Roman;Times;serif" w:hAnsi="Times New Roman;Times;serif"/>
          <w:sz w:val="17"/>
        </w:rPr>
      </w:pPr>
      <w:r>
        <w:rPr>
          <w:rFonts w:ascii="Times New Roman;Times;serif" w:hAnsi="Times New Roman;Times;serif"/>
          <w:sz w:val="17"/>
        </w:rPr>
        <w:t xml:space="preserve">Very truly yours </w:t>
      </w:r>
    </w:p>
    <w:p>
      <w:pPr>
        <w:pStyle w:val="TextBody"/>
        <w:spacing w:before="320" w:after="283"/>
        <w:jc w:val="left"/>
        <w:rPr>
          <w:rFonts w:ascii="Times New Roman;Times;serif" w:hAnsi="Times New Roman;Times;serif"/>
          <w:sz w:val="17"/>
        </w:rPr>
      </w:pPr>
      <w:r>
        <w:rPr>
          <w:rFonts w:ascii="Times New Roman;Times;serif" w:hAnsi="Times New Roman;Times;serif"/>
          <w:sz w:val="17"/>
        </w:rPr>
        <w:t xml:space="preserve">/s/ Vinson &amp; Elkins L.L.P. </w:t>
      </w:r>
    </w:p>
    <w:p>
      <w:pPr>
        <w:pStyle w:val="TextBody"/>
        <w:jc w:val="center"/>
        <w:rPr/>
      </w:pPr>
      <w:r>
        <w:rPr/>
        <w:t xml:space="preserve">  </w:t>
      </w:r>
      <w:r>
        <w:br w:type="page"/>
      </w:r>
    </w:p>
    <w:p>
      <w:pPr>
        <w:pStyle w:val="Heading5"/>
        <w:jc w:val="left"/>
        <w:rPr/>
      </w:pPr>
      <w:bookmarkStart w:id="19" w:name="h43563a1exv12w1.htm"/>
      <w:bookmarkStart w:id="20" w:name="ksh43563a1exv12w1"/>
      <w:bookmarkEnd w:id="19"/>
      <w:bookmarkEnd w:id="20"/>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12.1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STATEMENT OF COMPUTATION OF RATIO OF EARNINGS TO FIXED CHARGES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102"/>
        <w:gridCol w:w="248"/>
        <w:gridCol w:w="283"/>
        <w:gridCol w:w="714"/>
        <w:gridCol w:w="284"/>
        <w:gridCol w:w="248"/>
        <w:gridCol w:w="247"/>
        <w:gridCol w:w="569"/>
        <w:gridCol w:w="247"/>
        <w:gridCol w:w="248"/>
        <w:gridCol w:w="247"/>
        <w:gridCol w:w="569"/>
        <w:gridCol w:w="247"/>
        <w:gridCol w:w="248"/>
        <w:gridCol w:w="247"/>
        <w:gridCol w:w="569"/>
        <w:gridCol w:w="247"/>
        <w:gridCol w:w="248"/>
        <w:gridCol w:w="247"/>
        <w:gridCol w:w="569"/>
        <w:gridCol w:w="247"/>
        <w:gridCol w:w="247"/>
        <w:gridCol w:w="247"/>
        <w:gridCol w:w="569"/>
        <w:gridCol w:w="267"/>
      </w:tblGrid>
      <w:tr>
        <w:trPr/>
        <w:tc>
          <w:tcPr>
            <w:tcW w:w="2102"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r>
      <w:tr>
        <w:trPr/>
        <w:tc>
          <w:tcPr>
            <w:tcW w:w="2102"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81" w:type="dxa"/>
            <w:gridSpan w:val="3"/>
            <w:tcBorders/>
            <w:shd w:fill="auto" w:val="clear"/>
            <w:vAlign w:val="bottom"/>
          </w:tcPr>
          <w:p>
            <w:pPr>
              <w:pStyle w:val="TableContents"/>
              <w:spacing w:before="0" w:after="283"/>
              <w:jc w:val="center"/>
              <w:rPr>
                <w:b/>
              </w:rPr>
            </w:pPr>
            <w:r>
              <w:rPr>
                <w:b/>
              </w:rPr>
              <w:t>Three</w:t>
              <w:br/>
              <w:t>Months</w:t>
              <w:br/>
              <w:t>Ended</w:t>
              <w:br/>
              <w:t>March 31,</w:t>
            </w:r>
          </w:p>
        </w:tc>
        <w:tc>
          <w:tcPr>
            <w:tcW w:w="248" w:type="dxa"/>
            <w:tcBorders/>
            <w:shd w:fill="auto" w:val="clear"/>
            <w:vAlign w:val="bottom"/>
          </w:tcPr>
          <w:p>
            <w:pPr>
              <w:pStyle w:val="TableContents"/>
              <w:spacing w:before="0" w:after="283"/>
              <w:rPr/>
            </w:pPr>
            <w:r>
              <w:rPr/>
              <w:t> </w:t>
            </w:r>
          </w:p>
        </w:tc>
        <w:tc>
          <w:tcPr>
            <w:tcW w:w="6326" w:type="dxa"/>
            <w:gridSpan w:val="19"/>
            <w:tcBorders>
              <w:bottom w:val="single" w:sz="2" w:space="0" w:color="000000"/>
            </w:tcBorders>
            <w:shd w:fill="auto" w:val="clear"/>
            <w:tcMar>
              <w:bottom w:w="28" w:type="dxa"/>
            </w:tcMar>
            <w:vAlign w:val="bottom"/>
          </w:tcPr>
          <w:p>
            <w:pPr>
              <w:pStyle w:val="TableContents"/>
              <w:spacing w:before="0" w:after="283"/>
              <w:jc w:val="center"/>
              <w:rPr>
                <w:b/>
              </w:rPr>
            </w:pPr>
            <w:r>
              <w:rPr>
                <w:b/>
              </w:rPr>
              <w:t>Year Ended December 31,</w:t>
            </w:r>
          </w:p>
        </w:tc>
      </w:tr>
      <w:tr>
        <w:trPr/>
        <w:tc>
          <w:tcPr>
            <w:tcW w:w="2102"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81" w:type="dxa"/>
            <w:gridSpan w:val="3"/>
            <w:tcBorders/>
            <w:shd w:fill="auto" w:val="clear"/>
            <w:vAlign w:val="bottom"/>
          </w:tcPr>
          <w:p>
            <w:pPr>
              <w:pStyle w:val="TableContents"/>
              <w:spacing w:before="0" w:after="283"/>
              <w:jc w:val="center"/>
              <w:rPr>
                <w:b/>
              </w:rPr>
            </w:pPr>
            <w:r>
              <w:rPr>
                <w:b/>
              </w:rPr>
              <w:t>2007</w:t>
            </w:r>
          </w:p>
        </w:tc>
        <w:tc>
          <w:tcPr>
            <w:tcW w:w="248" w:type="dxa"/>
            <w:tcBorders/>
            <w:shd w:fill="auto" w:val="clear"/>
            <w:vAlign w:val="bottom"/>
          </w:tcPr>
          <w:p>
            <w:pPr>
              <w:pStyle w:val="TableContents"/>
              <w:spacing w:before="0" w:after="283"/>
              <w:rPr/>
            </w:pPr>
            <w:r>
              <w:rPr/>
              <w:t> </w:t>
            </w:r>
          </w:p>
        </w:tc>
        <w:tc>
          <w:tcPr>
            <w:tcW w:w="1063" w:type="dxa"/>
            <w:gridSpan w:val="3"/>
            <w:tcBorders/>
            <w:shd w:fill="auto" w:val="clear"/>
            <w:vAlign w:val="bottom"/>
          </w:tcPr>
          <w:p>
            <w:pPr>
              <w:pStyle w:val="TableContents"/>
              <w:spacing w:before="0" w:after="283"/>
              <w:jc w:val="center"/>
              <w:rPr>
                <w:b/>
              </w:rPr>
            </w:pPr>
            <w:r>
              <w:rPr>
                <w:b/>
              </w:rPr>
              <w:t>2006</w:t>
            </w:r>
          </w:p>
        </w:tc>
        <w:tc>
          <w:tcPr>
            <w:tcW w:w="248" w:type="dxa"/>
            <w:tcBorders/>
            <w:shd w:fill="auto" w:val="clear"/>
            <w:vAlign w:val="bottom"/>
          </w:tcPr>
          <w:p>
            <w:pPr>
              <w:pStyle w:val="TableContents"/>
              <w:spacing w:before="0" w:after="283"/>
              <w:rPr/>
            </w:pPr>
            <w:r>
              <w:rPr/>
              <w:t> </w:t>
            </w:r>
          </w:p>
        </w:tc>
        <w:tc>
          <w:tcPr>
            <w:tcW w:w="1063" w:type="dxa"/>
            <w:gridSpan w:val="3"/>
            <w:tcBorders/>
            <w:shd w:fill="auto" w:val="clear"/>
            <w:vAlign w:val="bottom"/>
          </w:tcPr>
          <w:p>
            <w:pPr>
              <w:pStyle w:val="TableContents"/>
              <w:spacing w:before="0" w:after="283"/>
              <w:jc w:val="center"/>
              <w:rPr>
                <w:b/>
              </w:rPr>
            </w:pPr>
            <w:r>
              <w:rPr>
                <w:b/>
              </w:rPr>
              <w:t>2005</w:t>
            </w:r>
          </w:p>
        </w:tc>
        <w:tc>
          <w:tcPr>
            <w:tcW w:w="248" w:type="dxa"/>
            <w:tcBorders/>
            <w:shd w:fill="auto" w:val="clear"/>
            <w:vAlign w:val="bottom"/>
          </w:tcPr>
          <w:p>
            <w:pPr>
              <w:pStyle w:val="TableContents"/>
              <w:spacing w:before="0" w:after="283"/>
              <w:rPr/>
            </w:pPr>
            <w:r>
              <w:rPr/>
              <w:t> </w:t>
            </w:r>
          </w:p>
        </w:tc>
        <w:tc>
          <w:tcPr>
            <w:tcW w:w="1063" w:type="dxa"/>
            <w:gridSpan w:val="3"/>
            <w:tcBorders/>
            <w:shd w:fill="auto" w:val="clear"/>
            <w:vAlign w:val="bottom"/>
          </w:tcPr>
          <w:p>
            <w:pPr>
              <w:pStyle w:val="TableContents"/>
              <w:spacing w:before="0" w:after="283"/>
              <w:jc w:val="center"/>
              <w:rPr>
                <w:b/>
              </w:rPr>
            </w:pPr>
            <w:r>
              <w:rPr>
                <w:b/>
              </w:rPr>
              <w:t>2004</w:t>
            </w:r>
          </w:p>
        </w:tc>
        <w:tc>
          <w:tcPr>
            <w:tcW w:w="248" w:type="dxa"/>
            <w:tcBorders/>
            <w:shd w:fill="auto" w:val="clear"/>
            <w:vAlign w:val="bottom"/>
          </w:tcPr>
          <w:p>
            <w:pPr>
              <w:pStyle w:val="TableContents"/>
              <w:spacing w:before="0" w:after="283"/>
              <w:rPr/>
            </w:pPr>
            <w:r>
              <w:rPr/>
              <w:t> </w:t>
            </w:r>
          </w:p>
        </w:tc>
        <w:tc>
          <w:tcPr>
            <w:tcW w:w="1063" w:type="dxa"/>
            <w:gridSpan w:val="3"/>
            <w:tcBorders/>
            <w:shd w:fill="auto" w:val="clear"/>
            <w:vAlign w:val="bottom"/>
          </w:tcPr>
          <w:p>
            <w:pPr>
              <w:pStyle w:val="TableContents"/>
              <w:spacing w:before="0" w:after="283"/>
              <w:jc w:val="center"/>
              <w:rPr>
                <w:b/>
              </w:rPr>
            </w:pPr>
            <w:r>
              <w:rPr>
                <w:b/>
              </w:rPr>
              <w:t>2003</w:t>
            </w:r>
          </w:p>
        </w:tc>
        <w:tc>
          <w:tcPr>
            <w:tcW w:w="247" w:type="dxa"/>
            <w:tcBorders/>
            <w:shd w:fill="auto" w:val="clear"/>
            <w:vAlign w:val="bottom"/>
          </w:tcPr>
          <w:p>
            <w:pPr>
              <w:pStyle w:val="TableContents"/>
              <w:spacing w:before="0" w:after="283"/>
              <w:rPr/>
            </w:pPr>
            <w:r>
              <w:rPr/>
              <w:t> </w:t>
            </w:r>
          </w:p>
        </w:tc>
        <w:tc>
          <w:tcPr>
            <w:tcW w:w="1083" w:type="dxa"/>
            <w:gridSpan w:val="3"/>
            <w:tcBorders/>
            <w:shd w:fill="auto" w:val="clear"/>
            <w:vAlign w:val="bottom"/>
          </w:tcPr>
          <w:p>
            <w:pPr>
              <w:pStyle w:val="TableContents"/>
              <w:spacing w:before="0" w:after="283"/>
              <w:jc w:val="center"/>
              <w:rPr>
                <w:b/>
              </w:rPr>
            </w:pPr>
            <w:r>
              <w:rPr>
                <w:b/>
              </w:rPr>
              <w:t>2002</w:t>
            </w:r>
          </w:p>
        </w:tc>
      </w:tr>
      <w:tr>
        <w:trPr/>
        <w:tc>
          <w:tcPr>
            <w:tcW w:w="2102" w:type="dxa"/>
            <w:tcBorders/>
            <w:shd w:fill="CCEEFF" w:val="clear"/>
            <w:vAlign w:val="bottom"/>
          </w:tcPr>
          <w:p>
            <w:pPr>
              <w:pStyle w:val="TableContents"/>
              <w:spacing w:before="0" w:after="0"/>
              <w:ind w:left="225" w:right="0" w:hanging="225"/>
              <w:rPr>
                <w:b/>
              </w:rPr>
            </w:pPr>
            <w:r>
              <w:rPr>
                <w:b/>
              </w:rPr>
              <w:t>EARNINGS</w:t>
            </w:r>
          </w:p>
        </w:tc>
        <w:tc>
          <w:tcPr>
            <w:tcW w:w="248"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sz w:val="4"/>
                <w:szCs w:val="4"/>
              </w:rPr>
            </w:pPr>
            <w:r>
              <w:rPr>
                <w:sz w:val="4"/>
                <w:szCs w:val="4"/>
              </w:rPr>
            </w:r>
          </w:p>
        </w:tc>
        <w:tc>
          <w:tcPr>
            <w:tcW w:w="714" w:type="dxa"/>
            <w:tcBorders/>
            <w:shd w:fill="CCEEFF" w:val="clear"/>
            <w:vAlign w:val="bottom"/>
          </w:tcPr>
          <w:p>
            <w:pPr>
              <w:pStyle w:val="TableContents"/>
              <w:spacing w:before="0" w:after="283"/>
              <w:rPr>
                <w:sz w:val="4"/>
                <w:szCs w:val="4"/>
              </w:rPr>
            </w:pPr>
            <w:r>
              <w:rPr>
                <w:sz w:val="4"/>
                <w:szCs w:val="4"/>
              </w:rPr>
            </w:r>
          </w:p>
        </w:tc>
        <w:tc>
          <w:tcPr>
            <w:tcW w:w="284" w:type="dxa"/>
            <w:tcBorders/>
            <w:shd w:fill="CCEEFF" w:val="clear"/>
            <w:vAlign w:val="bottom"/>
          </w:tcPr>
          <w:p>
            <w:pPr>
              <w:pStyle w:val="TableContents"/>
              <w:spacing w:before="0" w:after="283"/>
              <w:rPr>
                <w:sz w:val="4"/>
                <w:szCs w:val="4"/>
              </w:rPr>
            </w:pPr>
            <w:r>
              <w:rPr>
                <w:sz w:val="4"/>
                <w:szCs w:val="4"/>
              </w:rPr>
            </w:r>
          </w:p>
        </w:tc>
        <w:tc>
          <w:tcPr>
            <w:tcW w:w="248" w:type="dxa"/>
            <w:tcBorders/>
            <w:shd w:fill="CCEEFF" w:val="clear"/>
            <w:vAlign w:val="bottom"/>
          </w:tcPr>
          <w:p>
            <w:pPr>
              <w:pStyle w:val="TableContents"/>
              <w:spacing w:before="0" w:after="283"/>
              <w:rPr>
                <w:sz w:val="4"/>
                <w:szCs w:val="4"/>
              </w:rPr>
            </w:pPr>
            <w:r>
              <w:rPr>
                <w:sz w:val="4"/>
                <w:szCs w:val="4"/>
              </w:rPr>
            </w:r>
          </w:p>
        </w:tc>
        <w:tc>
          <w:tcPr>
            <w:tcW w:w="24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r>
      <w:tr>
        <w:trPr/>
        <w:tc>
          <w:tcPr>
            <w:tcW w:w="2102" w:type="dxa"/>
            <w:tcBorders/>
            <w:shd w:fill="auto" w:val="clear"/>
            <w:vAlign w:val="bottom"/>
          </w:tcPr>
          <w:p>
            <w:pPr>
              <w:pStyle w:val="TableContents"/>
              <w:spacing w:before="0" w:after="0"/>
              <w:ind w:left="450" w:right="0" w:hanging="225"/>
              <w:rPr/>
            </w:pPr>
            <w:r>
              <w:rPr/>
              <w:t>Income from continuing operations before income from equity investees (1)</w:t>
            </w:r>
          </w:p>
        </w:tc>
        <w:tc>
          <w:tcPr>
            <w:tcW w:w="248"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jc w:val="right"/>
              <w:rPr/>
            </w:pPr>
            <w:r>
              <w:rPr/>
              <w:t>$</w:t>
            </w:r>
          </w:p>
        </w:tc>
        <w:tc>
          <w:tcPr>
            <w:tcW w:w="714" w:type="dxa"/>
            <w:tcBorders/>
            <w:shd w:fill="auto" w:val="clear"/>
            <w:vAlign w:val="bottom"/>
          </w:tcPr>
          <w:p>
            <w:pPr>
              <w:pStyle w:val="TableContents"/>
              <w:spacing w:before="0" w:after="283"/>
              <w:jc w:val="right"/>
              <w:rPr/>
            </w:pPr>
            <w:r>
              <w:rPr/>
              <w:t>81.0</w:t>
            </w:r>
          </w:p>
        </w:tc>
        <w:tc>
          <w:tcPr>
            <w:tcW w:w="284"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jc w:val="right"/>
              <w:rPr/>
            </w:pPr>
            <w:r>
              <w:rPr/>
              <w:t>$</w:t>
            </w:r>
          </w:p>
        </w:tc>
        <w:tc>
          <w:tcPr>
            <w:tcW w:w="569" w:type="dxa"/>
            <w:tcBorders/>
            <w:shd w:fill="auto" w:val="clear"/>
            <w:vAlign w:val="bottom"/>
          </w:tcPr>
          <w:p>
            <w:pPr>
              <w:pStyle w:val="TableContents"/>
              <w:spacing w:before="0" w:after="283"/>
              <w:jc w:val="right"/>
              <w:rPr/>
            </w:pPr>
            <w:r>
              <w:rPr/>
              <w:t>277.4</w:t>
            </w:r>
          </w:p>
        </w:tc>
        <w:tc>
          <w:tcPr>
            <w:tcW w:w="24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right"/>
              <w:rPr/>
            </w:pPr>
            <w:r>
              <w:rPr/>
              <w:t>$</w:t>
            </w:r>
          </w:p>
        </w:tc>
        <w:tc>
          <w:tcPr>
            <w:tcW w:w="569" w:type="dxa"/>
            <w:tcBorders/>
            <w:shd w:fill="auto" w:val="clear"/>
            <w:vAlign w:val="bottom"/>
          </w:tcPr>
          <w:p>
            <w:pPr>
              <w:pStyle w:val="TableContents"/>
              <w:spacing w:before="0" w:after="283"/>
              <w:jc w:val="right"/>
              <w:rPr/>
            </w:pPr>
            <w:r>
              <w:rPr/>
              <w:t>215.9</w:t>
            </w:r>
          </w:p>
        </w:tc>
        <w:tc>
          <w:tcPr>
            <w:tcW w:w="24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right"/>
              <w:rPr/>
            </w:pPr>
            <w:r>
              <w:rPr/>
              <w:t>$</w:t>
            </w:r>
          </w:p>
        </w:tc>
        <w:tc>
          <w:tcPr>
            <w:tcW w:w="569" w:type="dxa"/>
            <w:tcBorders/>
            <w:shd w:fill="auto" w:val="clear"/>
            <w:vAlign w:val="bottom"/>
          </w:tcPr>
          <w:p>
            <w:pPr>
              <w:pStyle w:val="TableContents"/>
              <w:spacing w:before="0" w:after="283"/>
              <w:jc w:val="right"/>
              <w:rPr/>
            </w:pPr>
            <w:r>
              <w:rPr/>
              <w:t>129.5</w:t>
            </w:r>
          </w:p>
        </w:tc>
        <w:tc>
          <w:tcPr>
            <w:tcW w:w="24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right"/>
              <w:rPr/>
            </w:pPr>
            <w:r>
              <w:rPr/>
              <w:t>$</w:t>
            </w:r>
          </w:p>
        </w:tc>
        <w:tc>
          <w:tcPr>
            <w:tcW w:w="569" w:type="dxa"/>
            <w:tcBorders/>
            <w:shd w:fill="auto" w:val="clear"/>
            <w:vAlign w:val="bottom"/>
          </w:tcPr>
          <w:p>
            <w:pPr>
              <w:pStyle w:val="TableContents"/>
              <w:spacing w:before="0" w:after="283"/>
              <w:jc w:val="right"/>
              <w:rPr/>
            </w:pPr>
            <w:r>
              <w:rPr/>
              <w:t>59.3</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right"/>
              <w:rPr/>
            </w:pPr>
            <w:r>
              <w:rPr/>
              <w:t>$</w:t>
            </w:r>
          </w:p>
        </w:tc>
        <w:tc>
          <w:tcPr>
            <w:tcW w:w="569" w:type="dxa"/>
            <w:tcBorders/>
            <w:shd w:fill="auto" w:val="clear"/>
            <w:vAlign w:val="bottom"/>
          </w:tcPr>
          <w:p>
            <w:pPr>
              <w:pStyle w:val="TableContents"/>
              <w:spacing w:before="0" w:after="283"/>
              <w:jc w:val="right"/>
              <w:rPr/>
            </w:pPr>
            <w:r>
              <w:rPr/>
              <w:t>64.8</w:t>
            </w:r>
          </w:p>
        </w:tc>
        <w:tc>
          <w:tcPr>
            <w:tcW w:w="267" w:type="dxa"/>
            <w:tcBorders/>
            <w:shd w:fill="auto" w:val="clear"/>
            <w:vAlign w:val="bottom"/>
          </w:tcPr>
          <w:p>
            <w:pPr>
              <w:pStyle w:val="TableContents"/>
              <w:spacing w:before="0" w:after="283"/>
              <w:rPr/>
            </w:pPr>
            <w:r>
              <w:rPr/>
              <w:t> </w:t>
            </w:r>
          </w:p>
        </w:tc>
      </w:tr>
      <w:tr>
        <w:trPr/>
        <w:tc>
          <w:tcPr>
            <w:tcW w:w="2102" w:type="dxa"/>
            <w:tcBorders/>
            <w:shd w:fill="CCEEFF" w:val="clear"/>
            <w:vAlign w:val="bottom"/>
          </w:tcPr>
          <w:p>
            <w:pPr>
              <w:pStyle w:val="TableContents"/>
              <w:spacing w:before="0" w:after="0"/>
              <w:ind w:left="450" w:right="0" w:hanging="225"/>
              <w:rPr/>
            </w:pPr>
            <w:r>
              <w:rPr/>
              <w:t>Add: Fixed Charges</w:t>
            </w:r>
          </w:p>
        </w:tc>
        <w:tc>
          <w:tcPr>
            <w:tcW w:w="248"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sz w:val="4"/>
                <w:szCs w:val="4"/>
              </w:rPr>
            </w:pPr>
            <w:r>
              <w:rPr>
                <w:sz w:val="4"/>
                <w:szCs w:val="4"/>
              </w:rPr>
            </w:r>
          </w:p>
        </w:tc>
        <w:tc>
          <w:tcPr>
            <w:tcW w:w="714" w:type="dxa"/>
            <w:tcBorders/>
            <w:shd w:fill="CCEEFF" w:val="clear"/>
            <w:vAlign w:val="bottom"/>
          </w:tcPr>
          <w:p>
            <w:pPr>
              <w:pStyle w:val="TableContents"/>
              <w:spacing w:before="0" w:after="283"/>
              <w:jc w:val="right"/>
              <w:rPr/>
            </w:pPr>
            <w:r>
              <w:rPr/>
              <w:t>57.9</w:t>
            </w:r>
          </w:p>
        </w:tc>
        <w:tc>
          <w:tcPr>
            <w:tcW w:w="284" w:type="dxa"/>
            <w:tcBorders/>
            <w:shd w:fill="CCEEFF" w:val="clear"/>
            <w:vAlign w:val="bottom"/>
          </w:tcPr>
          <w:p>
            <w:pPr>
              <w:pStyle w:val="TableContents"/>
              <w:spacing w:before="0" w:after="283"/>
              <w:rPr>
                <w:sz w:val="4"/>
                <w:szCs w:val="4"/>
              </w:rPr>
            </w:pPr>
            <w:r>
              <w:rPr>
                <w:sz w:val="4"/>
                <w:szCs w:val="4"/>
              </w:rPr>
            </w:r>
          </w:p>
        </w:tc>
        <w:tc>
          <w:tcPr>
            <w:tcW w:w="248" w:type="dxa"/>
            <w:tcBorders/>
            <w:shd w:fill="CCEEFF" w:val="clear"/>
            <w:vAlign w:val="bottom"/>
          </w:tcPr>
          <w:p>
            <w:pPr>
              <w:pStyle w:val="TableContents"/>
              <w:spacing w:before="0" w:after="283"/>
              <w:rPr>
                <w:sz w:val="4"/>
                <w:szCs w:val="4"/>
              </w:rPr>
            </w:pPr>
            <w:r>
              <w:rPr>
                <w:sz w:val="4"/>
                <w:szCs w:val="4"/>
              </w:rPr>
            </w:r>
          </w:p>
        </w:tc>
        <w:tc>
          <w:tcPr>
            <w:tcW w:w="24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149.2</w:t>
            </w:r>
          </w:p>
        </w:tc>
        <w:tc>
          <w:tcPr>
            <w:tcW w:w="247"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92.0</w:t>
            </w:r>
          </w:p>
        </w:tc>
        <w:tc>
          <w:tcPr>
            <w:tcW w:w="247"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54.6</w:t>
            </w:r>
          </w:p>
        </w:tc>
        <w:tc>
          <w:tcPr>
            <w:tcW w:w="247"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43.7</w:t>
            </w:r>
          </w:p>
        </w:tc>
        <w:tc>
          <w:tcPr>
            <w:tcW w:w="247"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39.2</w:t>
            </w:r>
          </w:p>
        </w:tc>
        <w:tc>
          <w:tcPr>
            <w:tcW w:w="267" w:type="dxa"/>
            <w:tcBorders/>
            <w:shd w:fill="CCEEFF" w:val="clear"/>
            <w:vAlign w:val="bottom"/>
          </w:tcPr>
          <w:p>
            <w:pPr>
              <w:pStyle w:val="TableContents"/>
              <w:spacing w:before="0" w:after="283"/>
              <w:rPr/>
            </w:pPr>
            <w:r>
              <w:rPr/>
              <w:t> </w:t>
            </w:r>
          </w:p>
        </w:tc>
      </w:tr>
      <w:tr>
        <w:trPr/>
        <w:tc>
          <w:tcPr>
            <w:tcW w:w="2102" w:type="dxa"/>
            <w:tcBorders/>
            <w:shd w:fill="auto" w:val="clear"/>
            <w:vAlign w:val="bottom"/>
          </w:tcPr>
          <w:p>
            <w:pPr>
              <w:pStyle w:val="TableContents"/>
              <w:spacing w:before="0" w:after="0"/>
              <w:ind w:left="450" w:right="0" w:hanging="225"/>
              <w:rPr/>
            </w:pPr>
            <w:r>
              <w:rPr/>
              <w:t>Distributed income of equity investees</w:t>
            </w:r>
          </w:p>
        </w:tc>
        <w:tc>
          <w:tcPr>
            <w:tcW w:w="248"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jc w:val="right"/>
              <w:rPr/>
            </w:pPr>
            <w:r>
              <w:rPr/>
              <w:t>0.3</w:t>
            </w:r>
          </w:p>
        </w:tc>
        <w:tc>
          <w:tcPr>
            <w:tcW w:w="284"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1.1</w:t>
            </w:r>
          </w:p>
        </w:tc>
        <w:tc>
          <w:tcPr>
            <w:tcW w:w="24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0.8</w:t>
            </w:r>
          </w:p>
        </w:tc>
        <w:tc>
          <w:tcPr>
            <w:tcW w:w="24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0.4</w:t>
            </w:r>
          </w:p>
        </w:tc>
        <w:tc>
          <w:tcPr>
            <w:tcW w:w="24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0.3</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w:t>
            </w:r>
          </w:p>
        </w:tc>
        <w:tc>
          <w:tcPr>
            <w:tcW w:w="267" w:type="dxa"/>
            <w:tcBorders/>
            <w:shd w:fill="auto" w:val="clear"/>
            <w:vAlign w:val="bottom"/>
          </w:tcPr>
          <w:p>
            <w:pPr>
              <w:pStyle w:val="TableContents"/>
              <w:spacing w:before="0" w:after="283"/>
              <w:rPr/>
            </w:pPr>
            <w:r>
              <w:rPr/>
              <w:t> </w:t>
            </w:r>
          </w:p>
        </w:tc>
      </w:tr>
      <w:tr>
        <w:trPr/>
        <w:tc>
          <w:tcPr>
            <w:tcW w:w="2102" w:type="dxa"/>
            <w:tcBorders/>
            <w:shd w:fill="CCEEFF" w:val="clear"/>
            <w:vAlign w:val="bottom"/>
          </w:tcPr>
          <w:p>
            <w:pPr>
              <w:pStyle w:val="TableContents"/>
              <w:spacing w:before="0" w:after="0"/>
              <w:ind w:left="450" w:right="0" w:hanging="225"/>
              <w:rPr/>
            </w:pPr>
            <w:r>
              <w:rPr/>
              <w:t>Subtract: Capitalized Interest</w:t>
            </w:r>
          </w:p>
        </w:tc>
        <w:tc>
          <w:tcPr>
            <w:tcW w:w="248"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sz w:val="4"/>
                <w:szCs w:val="4"/>
              </w:rPr>
            </w:pPr>
            <w:r>
              <w:rPr>
                <w:sz w:val="4"/>
                <w:szCs w:val="4"/>
              </w:rPr>
            </w:r>
          </w:p>
        </w:tc>
        <w:tc>
          <w:tcPr>
            <w:tcW w:w="714" w:type="dxa"/>
            <w:tcBorders/>
            <w:shd w:fill="CCEEFF" w:val="clear"/>
            <w:vAlign w:val="bottom"/>
          </w:tcPr>
          <w:p>
            <w:pPr>
              <w:pStyle w:val="TableContents"/>
              <w:spacing w:before="0" w:after="283"/>
              <w:jc w:val="right"/>
              <w:rPr/>
            </w:pPr>
            <w:r>
              <w:rPr/>
              <w:t>(2.8</w:t>
            </w:r>
          </w:p>
        </w:tc>
        <w:tc>
          <w:tcPr>
            <w:tcW w:w="284" w:type="dxa"/>
            <w:tcBorders/>
            <w:shd w:fill="CCEEFF" w:val="clear"/>
            <w:vAlign w:val="bottom"/>
          </w:tcPr>
          <w:p>
            <w:pPr>
              <w:pStyle w:val="TableContents"/>
              <w:spacing w:before="0" w:after="283"/>
              <w:rPr/>
            </w:pPr>
            <w:r>
              <w:rPr/>
              <w:t>)</w:t>
            </w:r>
          </w:p>
        </w:tc>
        <w:tc>
          <w:tcPr>
            <w:tcW w:w="248" w:type="dxa"/>
            <w:tcBorders/>
            <w:shd w:fill="CCEEFF" w:val="clear"/>
            <w:vAlign w:val="bottom"/>
          </w:tcPr>
          <w:p>
            <w:pPr>
              <w:pStyle w:val="TableContents"/>
              <w:spacing w:before="0" w:after="283"/>
              <w:rPr>
                <w:sz w:val="4"/>
                <w:szCs w:val="4"/>
              </w:rPr>
            </w:pPr>
            <w:r>
              <w:rPr>
                <w:sz w:val="4"/>
                <w:szCs w:val="4"/>
              </w:rPr>
            </w:r>
          </w:p>
        </w:tc>
        <w:tc>
          <w:tcPr>
            <w:tcW w:w="247" w:type="dxa"/>
            <w:tcBorders/>
            <w:shd w:fill="CCEEFF" w:val="clear"/>
            <w:vAlign w:val="bottom"/>
          </w:tcPr>
          <w:p>
            <w:pPr>
              <w:pStyle w:val="TableContents"/>
              <w:spacing w:before="0" w:after="283"/>
              <w:jc w:val="right"/>
              <w:rPr/>
            </w:pPr>
            <w:r>
              <w:rPr/>
              <w:t> </w:t>
            </w:r>
          </w:p>
        </w:tc>
        <w:tc>
          <w:tcPr>
            <w:tcW w:w="569" w:type="dxa"/>
            <w:tcBorders/>
            <w:shd w:fill="CCEEFF" w:val="clear"/>
            <w:vAlign w:val="bottom"/>
          </w:tcPr>
          <w:p>
            <w:pPr>
              <w:pStyle w:val="TableContents"/>
              <w:spacing w:before="0" w:after="283"/>
              <w:jc w:val="right"/>
              <w:rPr/>
            </w:pPr>
            <w:r>
              <w:rPr/>
              <w:t>(6.0</w:t>
            </w:r>
          </w:p>
        </w:tc>
        <w:tc>
          <w:tcPr>
            <w:tcW w:w="247" w:type="dxa"/>
            <w:tcBorders/>
            <w:shd w:fill="CCEEFF" w:val="clear"/>
            <w:vAlign w:val="bottom"/>
          </w:tcPr>
          <w:p>
            <w:pPr>
              <w:pStyle w:val="TableContents"/>
              <w:spacing w:before="0" w:after="283"/>
              <w:rPr/>
            </w:pPr>
            <w:r>
              <w:rPr/>
              <w:t>)</w:t>
            </w:r>
          </w:p>
        </w:tc>
        <w:tc>
          <w:tcPr>
            <w:tcW w:w="24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right"/>
              <w:rPr/>
            </w:pPr>
            <w:r>
              <w:rPr/>
              <w:t> </w:t>
            </w:r>
          </w:p>
        </w:tc>
        <w:tc>
          <w:tcPr>
            <w:tcW w:w="569" w:type="dxa"/>
            <w:tcBorders/>
            <w:shd w:fill="CCEEFF" w:val="clear"/>
            <w:vAlign w:val="bottom"/>
          </w:tcPr>
          <w:p>
            <w:pPr>
              <w:pStyle w:val="TableContents"/>
              <w:spacing w:before="0" w:after="283"/>
              <w:jc w:val="right"/>
              <w:rPr/>
            </w:pPr>
            <w:r>
              <w:rPr/>
              <w:t>(1.8</w:t>
            </w:r>
          </w:p>
        </w:tc>
        <w:tc>
          <w:tcPr>
            <w:tcW w:w="247" w:type="dxa"/>
            <w:tcBorders/>
            <w:shd w:fill="CCEEFF" w:val="clear"/>
            <w:vAlign w:val="bottom"/>
          </w:tcPr>
          <w:p>
            <w:pPr>
              <w:pStyle w:val="TableContents"/>
              <w:spacing w:before="0" w:after="283"/>
              <w:rPr/>
            </w:pPr>
            <w:r>
              <w:rPr/>
              <w:t>)</w:t>
            </w:r>
          </w:p>
        </w:tc>
        <w:tc>
          <w:tcPr>
            <w:tcW w:w="24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right"/>
              <w:rPr/>
            </w:pPr>
            <w:r>
              <w:rPr/>
              <w:t> </w:t>
            </w:r>
          </w:p>
        </w:tc>
        <w:tc>
          <w:tcPr>
            <w:tcW w:w="569" w:type="dxa"/>
            <w:tcBorders/>
            <w:shd w:fill="CCEEFF" w:val="clear"/>
            <w:vAlign w:val="bottom"/>
          </w:tcPr>
          <w:p>
            <w:pPr>
              <w:pStyle w:val="TableContents"/>
              <w:spacing w:before="0" w:after="283"/>
              <w:jc w:val="right"/>
              <w:rPr/>
            </w:pPr>
            <w:r>
              <w:rPr/>
              <w:t>(0.5</w:t>
            </w:r>
          </w:p>
        </w:tc>
        <w:tc>
          <w:tcPr>
            <w:tcW w:w="247" w:type="dxa"/>
            <w:tcBorders/>
            <w:shd w:fill="CCEEFF" w:val="clear"/>
            <w:vAlign w:val="bottom"/>
          </w:tcPr>
          <w:p>
            <w:pPr>
              <w:pStyle w:val="TableContents"/>
              <w:spacing w:before="0" w:after="283"/>
              <w:rPr/>
            </w:pPr>
            <w:r>
              <w:rPr/>
              <w:t>)</w:t>
            </w:r>
          </w:p>
        </w:tc>
        <w:tc>
          <w:tcPr>
            <w:tcW w:w="24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right"/>
              <w:rPr/>
            </w:pPr>
            <w:r>
              <w:rPr/>
              <w:t> </w:t>
            </w:r>
          </w:p>
        </w:tc>
        <w:tc>
          <w:tcPr>
            <w:tcW w:w="569" w:type="dxa"/>
            <w:tcBorders/>
            <w:shd w:fill="CCEEFF" w:val="clear"/>
            <w:vAlign w:val="bottom"/>
          </w:tcPr>
          <w:p>
            <w:pPr>
              <w:pStyle w:val="TableContents"/>
              <w:spacing w:before="0" w:after="283"/>
              <w:jc w:val="right"/>
              <w:rPr/>
            </w:pPr>
            <w:r>
              <w:rPr/>
              <w:t>(0.5</w:t>
            </w:r>
          </w:p>
        </w:tc>
        <w:tc>
          <w:tcPr>
            <w:tcW w:w="247" w:type="dxa"/>
            <w:tcBorders/>
            <w:shd w:fill="CCEEFF" w:val="clear"/>
            <w:vAlign w:val="bottom"/>
          </w:tcPr>
          <w:p>
            <w:pPr>
              <w:pStyle w:val="TableContents"/>
              <w:spacing w:before="0" w:after="283"/>
              <w:rPr/>
            </w:pPr>
            <w:r>
              <w:rPr/>
              <w:t>)</w:t>
            </w:r>
          </w:p>
        </w:tc>
        <w:tc>
          <w:tcPr>
            <w:tcW w:w="247"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right"/>
              <w:rPr/>
            </w:pPr>
            <w:r>
              <w:rPr/>
              <w:t> </w:t>
            </w:r>
          </w:p>
        </w:tc>
        <w:tc>
          <w:tcPr>
            <w:tcW w:w="569" w:type="dxa"/>
            <w:tcBorders/>
            <w:shd w:fill="CCEEFF" w:val="clear"/>
            <w:vAlign w:val="bottom"/>
          </w:tcPr>
          <w:p>
            <w:pPr>
              <w:pStyle w:val="TableContents"/>
              <w:spacing w:before="0" w:after="283"/>
              <w:jc w:val="right"/>
              <w:rPr/>
            </w:pPr>
            <w:r>
              <w:rPr/>
              <w:t>(0.8</w:t>
            </w:r>
          </w:p>
        </w:tc>
        <w:tc>
          <w:tcPr>
            <w:tcW w:w="267" w:type="dxa"/>
            <w:tcBorders/>
            <w:shd w:fill="CCEEFF" w:val="clear"/>
            <w:vAlign w:val="bottom"/>
          </w:tcPr>
          <w:p>
            <w:pPr>
              <w:pStyle w:val="TableContents"/>
              <w:spacing w:before="0" w:after="283"/>
              <w:rPr/>
            </w:pPr>
            <w:r>
              <w:rPr/>
              <w:t>)</w:t>
            </w:r>
          </w:p>
        </w:tc>
      </w:tr>
      <w:tr>
        <w:trPr/>
        <w:tc>
          <w:tcPr>
            <w:tcW w:w="2102" w:type="dxa"/>
            <w:tcBorders/>
            <w:shd w:fill="auto" w:val="clear"/>
            <w:vAlign w:val="bottom"/>
          </w:tcPr>
          <w:p>
            <w:pPr>
              <w:pStyle w:val="TableContents"/>
              <w:spacing w:before="0" w:after="0"/>
              <w:ind w:left="450" w:right="0" w:hanging="225"/>
              <w:rPr/>
            </w:pPr>
            <w:r>
              <w:rPr/>
              <w:t>Total Earnings (1)</w:t>
            </w:r>
          </w:p>
        </w:tc>
        <w:tc>
          <w:tcPr>
            <w:tcW w:w="248"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jc w:val="right"/>
              <w:rPr/>
            </w:pPr>
            <w:r>
              <w:rPr/>
              <w:t>136.4</w:t>
            </w:r>
          </w:p>
        </w:tc>
        <w:tc>
          <w:tcPr>
            <w:tcW w:w="284"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421.7</w:t>
            </w:r>
          </w:p>
        </w:tc>
        <w:tc>
          <w:tcPr>
            <w:tcW w:w="24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306.9</w:t>
            </w:r>
          </w:p>
        </w:tc>
        <w:tc>
          <w:tcPr>
            <w:tcW w:w="24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184.0</w:t>
            </w:r>
          </w:p>
        </w:tc>
        <w:tc>
          <w:tcPr>
            <w:tcW w:w="24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102.8</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103.2</w:t>
            </w:r>
          </w:p>
        </w:tc>
        <w:tc>
          <w:tcPr>
            <w:tcW w:w="267" w:type="dxa"/>
            <w:tcBorders/>
            <w:shd w:fill="auto" w:val="clear"/>
            <w:vAlign w:val="bottom"/>
          </w:tcPr>
          <w:p>
            <w:pPr>
              <w:pStyle w:val="TableContents"/>
              <w:spacing w:before="0" w:after="283"/>
              <w:rPr/>
            </w:pPr>
            <w:r>
              <w:rPr/>
              <w:t> </w:t>
            </w:r>
          </w:p>
        </w:tc>
      </w:tr>
      <w:tr>
        <w:trPr/>
        <w:tc>
          <w:tcPr>
            <w:tcW w:w="2102" w:type="dxa"/>
            <w:tcBorders/>
            <w:shd w:fill="auto" w:val="clear"/>
            <w:vAlign w:val="bottom"/>
          </w:tcPr>
          <w:p>
            <w:pPr>
              <w:pStyle w:val="TableContents"/>
              <w:spacing w:before="0" w:after="0"/>
              <w:ind w:left="225" w:right="0" w:hanging="225"/>
              <w:rPr/>
            </w:pPr>
            <w:r>
              <w:rPr/>
              <w:t> </w:t>
            </w:r>
          </w:p>
        </w:tc>
        <w:tc>
          <w:tcPr>
            <w:tcW w:w="248"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r>
      <w:tr>
        <w:trPr/>
        <w:tc>
          <w:tcPr>
            <w:tcW w:w="2102" w:type="dxa"/>
            <w:tcBorders/>
            <w:shd w:fill="CCEEFF" w:val="clear"/>
            <w:vAlign w:val="bottom"/>
          </w:tcPr>
          <w:p>
            <w:pPr>
              <w:pStyle w:val="TableContents"/>
              <w:spacing w:before="0" w:after="0"/>
              <w:ind w:left="225" w:right="0" w:hanging="225"/>
              <w:rPr>
                <w:b/>
              </w:rPr>
            </w:pPr>
            <w:r>
              <w:rPr>
                <w:b/>
              </w:rPr>
              <w:t>FIXED CHARGES</w:t>
            </w:r>
          </w:p>
        </w:tc>
        <w:tc>
          <w:tcPr>
            <w:tcW w:w="248"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sz w:val="4"/>
                <w:szCs w:val="4"/>
              </w:rPr>
            </w:pPr>
            <w:r>
              <w:rPr>
                <w:sz w:val="4"/>
                <w:szCs w:val="4"/>
              </w:rPr>
            </w:r>
          </w:p>
        </w:tc>
        <w:tc>
          <w:tcPr>
            <w:tcW w:w="714" w:type="dxa"/>
            <w:tcBorders/>
            <w:shd w:fill="CCEEFF" w:val="clear"/>
            <w:vAlign w:val="bottom"/>
          </w:tcPr>
          <w:p>
            <w:pPr>
              <w:pStyle w:val="TableContents"/>
              <w:spacing w:before="0" w:after="283"/>
              <w:rPr>
                <w:sz w:val="4"/>
                <w:szCs w:val="4"/>
              </w:rPr>
            </w:pPr>
            <w:r>
              <w:rPr>
                <w:sz w:val="4"/>
                <w:szCs w:val="4"/>
              </w:rPr>
            </w:r>
          </w:p>
        </w:tc>
        <w:tc>
          <w:tcPr>
            <w:tcW w:w="284" w:type="dxa"/>
            <w:tcBorders/>
            <w:shd w:fill="CCEEFF" w:val="clear"/>
            <w:vAlign w:val="bottom"/>
          </w:tcPr>
          <w:p>
            <w:pPr>
              <w:pStyle w:val="TableContents"/>
              <w:spacing w:before="0" w:after="283"/>
              <w:rPr>
                <w:sz w:val="4"/>
                <w:szCs w:val="4"/>
              </w:rPr>
            </w:pPr>
            <w:r>
              <w:rPr>
                <w:sz w:val="4"/>
                <w:szCs w:val="4"/>
              </w:rPr>
            </w:r>
          </w:p>
        </w:tc>
        <w:tc>
          <w:tcPr>
            <w:tcW w:w="248" w:type="dxa"/>
            <w:tcBorders/>
            <w:shd w:fill="CCEEFF" w:val="clear"/>
            <w:vAlign w:val="bottom"/>
          </w:tcPr>
          <w:p>
            <w:pPr>
              <w:pStyle w:val="TableContents"/>
              <w:spacing w:before="0" w:after="283"/>
              <w:rPr>
                <w:sz w:val="4"/>
                <w:szCs w:val="4"/>
              </w:rPr>
            </w:pPr>
            <w:r>
              <w:rPr>
                <w:sz w:val="4"/>
                <w:szCs w:val="4"/>
              </w:rPr>
            </w:r>
          </w:p>
        </w:tc>
        <w:tc>
          <w:tcPr>
            <w:tcW w:w="24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r>
      <w:tr>
        <w:trPr/>
        <w:tc>
          <w:tcPr>
            <w:tcW w:w="2102" w:type="dxa"/>
            <w:tcBorders/>
            <w:shd w:fill="auto" w:val="clear"/>
            <w:vAlign w:val="bottom"/>
          </w:tcPr>
          <w:p>
            <w:pPr>
              <w:pStyle w:val="TableContents"/>
              <w:spacing w:before="0" w:after="0"/>
              <w:ind w:left="450" w:right="0" w:hanging="225"/>
              <w:rPr/>
            </w:pPr>
            <w:r>
              <w:rPr/>
              <w:t>Interest Expensed and Capitalized (2)</w:t>
            </w:r>
          </w:p>
        </w:tc>
        <w:tc>
          <w:tcPr>
            <w:tcW w:w="248"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jc w:val="right"/>
              <w:rPr/>
            </w:pPr>
            <w:r>
              <w:rPr/>
              <w:t>55.1</w:t>
            </w:r>
          </w:p>
        </w:tc>
        <w:tc>
          <w:tcPr>
            <w:tcW w:w="284"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140.9</w:t>
            </w:r>
          </w:p>
        </w:tc>
        <w:tc>
          <w:tcPr>
            <w:tcW w:w="24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84.9</w:t>
            </w:r>
          </w:p>
        </w:tc>
        <w:tc>
          <w:tcPr>
            <w:tcW w:w="24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49.2</w:t>
            </w:r>
          </w:p>
        </w:tc>
        <w:tc>
          <w:tcPr>
            <w:tcW w:w="24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36.8</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32.8</w:t>
            </w:r>
          </w:p>
        </w:tc>
        <w:tc>
          <w:tcPr>
            <w:tcW w:w="267" w:type="dxa"/>
            <w:tcBorders/>
            <w:shd w:fill="auto" w:val="clear"/>
            <w:vAlign w:val="bottom"/>
          </w:tcPr>
          <w:p>
            <w:pPr>
              <w:pStyle w:val="TableContents"/>
              <w:spacing w:before="0" w:after="283"/>
              <w:rPr/>
            </w:pPr>
            <w:r>
              <w:rPr/>
              <w:t> </w:t>
            </w:r>
          </w:p>
        </w:tc>
      </w:tr>
      <w:tr>
        <w:trPr/>
        <w:tc>
          <w:tcPr>
            <w:tcW w:w="2102" w:type="dxa"/>
            <w:tcBorders/>
            <w:shd w:fill="CCEEFF" w:val="clear"/>
            <w:vAlign w:val="bottom"/>
          </w:tcPr>
          <w:p>
            <w:pPr>
              <w:pStyle w:val="TableContents"/>
              <w:spacing w:before="0" w:after="0"/>
              <w:ind w:left="450" w:right="0" w:hanging="225"/>
              <w:rPr/>
            </w:pPr>
            <w:r>
              <w:rPr/>
              <w:t>Amortization of Debt Expense</w:t>
            </w:r>
          </w:p>
        </w:tc>
        <w:tc>
          <w:tcPr>
            <w:tcW w:w="248"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sz w:val="4"/>
                <w:szCs w:val="4"/>
              </w:rPr>
            </w:pPr>
            <w:r>
              <w:rPr>
                <w:sz w:val="4"/>
                <w:szCs w:val="4"/>
              </w:rPr>
            </w:r>
          </w:p>
        </w:tc>
        <w:tc>
          <w:tcPr>
            <w:tcW w:w="714" w:type="dxa"/>
            <w:tcBorders/>
            <w:shd w:fill="CCEEFF" w:val="clear"/>
            <w:vAlign w:val="bottom"/>
          </w:tcPr>
          <w:p>
            <w:pPr>
              <w:pStyle w:val="TableContents"/>
              <w:spacing w:before="0" w:after="283"/>
              <w:jc w:val="right"/>
              <w:rPr/>
            </w:pPr>
            <w:r>
              <w:rPr/>
              <w:t>0.8</w:t>
            </w:r>
          </w:p>
        </w:tc>
        <w:tc>
          <w:tcPr>
            <w:tcW w:w="284" w:type="dxa"/>
            <w:tcBorders/>
            <w:shd w:fill="CCEEFF" w:val="clear"/>
            <w:vAlign w:val="bottom"/>
          </w:tcPr>
          <w:p>
            <w:pPr>
              <w:pStyle w:val="TableContents"/>
              <w:spacing w:before="0" w:after="283"/>
              <w:rPr>
                <w:sz w:val="4"/>
                <w:szCs w:val="4"/>
              </w:rPr>
            </w:pPr>
            <w:r>
              <w:rPr>
                <w:sz w:val="4"/>
                <w:szCs w:val="4"/>
              </w:rPr>
            </w:r>
          </w:p>
        </w:tc>
        <w:tc>
          <w:tcPr>
            <w:tcW w:w="248" w:type="dxa"/>
            <w:tcBorders/>
            <w:shd w:fill="CCEEFF" w:val="clear"/>
            <w:vAlign w:val="bottom"/>
          </w:tcPr>
          <w:p>
            <w:pPr>
              <w:pStyle w:val="TableContents"/>
              <w:spacing w:before="0" w:after="283"/>
              <w:rPr>
                <w:sz w:val="4"/>
                <w:szCs w:val="4"/>
              </w:rPr>
            </w:pPr>
            <w:r>
              <w:rPr>
                <w:sz w:val="4"/>
                <w:szCs w:val="4"/>
              </w:rPr>
            </w:r>
          </w:p>
        </w:tc>
        <w:tc>
          <w:tcPr>
            <w:tcW w:w="24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3.2</w:t>
            </w:r>
          </w:p>
        </w:tc>
        <w:tc>
          <w:tcPr>
            <w:tcW w:w="247"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2.9</w:t>
            </w:r>
          </w:p>
        </w:tc>
        <w:tc>
          <w:tcPr>
            <w:tcW w:w="247"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2.5</w:t>
            </w:r>
          </w:p>
        </w:tc>
        <w:tc>
          <w:tcPr>
            <w:tcW w:w="247"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3.8</w:t>
            </w:r>
          </w:p>
        </w:tc>
        <w:tc>
          <w:tcPr>
            <w:tcW w:w="247"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3.7</w:t>
            </w:r>
          </w:p>
        </w:tc>
        <w:tc>
          <w:tcPr>
            <w:tcW w:w="267" w:type="dxa"/>
            <w:tcBorders/>
            <w:shd w:fill="CCEEFF" w:val="clear"/>
            <w:vAlign w:val="bottom"/>
          </w:tcPr>
          <w:p>
            <w:pPr>
              <w:pStyle w:val="TableContents"/>
              <w:spacing w:before="0" w:after="283"/>
              <w:rPr/>
            </w:pPr>
            <w:r>
              <w:rPr/>
              <w:t> </w:t>
            </w:r>
          </w:p>
        </w:tc>
      </w:tr>
      <w:tr>
        <w:trPr/>
        <w:tc>
          <w:tcPr>
            <w:tcW w:w="2102" w:type="dxa"/>
            <w:tcBorders/>
            <w:shd w:fill="auto" w:val="clear"/>
            <w:vAlign w:val="bottom"/>
          </w:tcPr>
          <w:p>
            <w:pPr>
              <w:pStyle w:val="TableContents"/>
              <w:spacing w:before="0" w:after="0"/>
              <w:ind w:left="450" w:right="0" w:hanging="225"/>
              <w:rPr/>
            </w:pPr>
            <w:r>
              <w:rPr/>
              <w:t>Portion of rent expense related to interest (33%)</w:t>
            </w:r>
          </w:p>
        </w:tc>
        <w:tc>
          <w:tcPr>
            <w:tcW w:w="248"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jc w:val="right"/>
              <w:rPr/>
            </w:pPr>
            <w:r>
              <w:rPr/>
              <w:t>2.0</w:t>
            </w:r>
          </w:p>
        </w:tc>
        <w:tc>
          <w:tcPr>
            <w:tcW w:w="284"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5.1</w:t>
            </w:r>
          </w:p>
        </w:tc>
        <w:tc>
          <w:tcPr>
            <w:tcW w:w="24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4.2</w:t>
            </w:r>
          </w:p>
        </w:tc>
        <w:tc>
          <w:tcPr>
            <w:tcW w:w="24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2.9</w:t>
            </w:r>
          </w:p>
        </w:tc>
        <w:tc>
          <w:tcPr>
            <w:tcW w:w="24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3.1</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2.7</w:t>
            </w:r>
          </w:p>
        </w:tc>
        <w:tc>
          <w:tcPr>
            <w:tcW w:w="267" w:type="dxa"/>
            <w:tcBorders/>
            <w:shd w:fill="auto" w:val="clear"/>
            <w:vAlign w:val="bottom"/>
          </w:tcPr>
          <w:p>
            <w:pPr>
              <w:pStyle w:val="TableContents"/>
              <w:spacing w:before="0" w:after="283"/>
              <w:rPr/>
            </w:pPr>
            <w:r>
              <w:rPr/>
              <w:t> </w:t>
            </w:r>
          </w:p>
        </w:tc>
      </w:tr>
      <w:tr>
        <w:trPr/>
        <w:tc>
          <w:tcPr>
            <w:tcW w:w="2102" w:type="dxa"/>
            <w:tcBorders/>
            <w:shd w:fill="CCEEFF" w:val="clear"/>
            <w:vAlign w:val="bottom"/>
          </w:tcPr>
          <w:p>
            <w:pPr>
              <w:pStyle w:val="TableContents"/>
              <w:spacing w:before="0" w:after="0"/>
              <w:ind w:left="450" w:right="0" w:hanging="225"/>
              <w:rPr/>
            </w:pPr>
            <w:r>
              <w:rPr/>
              <w:t>Total Fixed Charges</w:t>
            </w:r>
          </w:p>
        </w:tc>
        <w:tc>
          <w:tcPr>
            <w:tcW w:w="248"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sz w:val="4"/>
                <w:szCs w:val="4"/>
              </w:rPr>
            </w:pPr>
            <w:r>
              <w:rPr>
                <w:sz w:val="4"/>
                <w:szCs w:val="4"/>
              </w:rPr>
            </w:r>
          </w:p>
        </w:tc>
        <w:tc>
          <w:tcPr>
            <w:tcW w:w="714" w:type="dxa"/>
            <w:tcBorders/>
            <w:shd w:fill="CCEEFF" w:val="clear"/>
            <w:vAlign w:val="bottom"/>
          </w:tcPr>
          <w:p>
            <w:pPr>
              <w:pStyle w:val="TableContents"/>
              <w:spacing w:before="0" w:after="283"/>
              <w:jc w:val="right"/>
              <w:rPr/>
            </w:pPr>
            <w:r>
              <w:rPr/>
              <w:t>57.9</w:t>
            </w:r>
          </w:p>
        </w:tc>
        <w:tc>
          <w:tcPr>
            <w:tcW w:w="284" w:type="dxa"/>
            <w:tcBorders/>
            <w:shd w:fill="CCEEFF" w:val="clear"/>
            <w:vAlign w:val="bottom"/>
          </w:tcPr>
          <w:p>
            <w:pPr>
              <w:pStyle w:val="TableContents"/>
              <w:spacing w:before="0" w:after="283"/>
              <w:rPr>
                <w:sz w:val="4"/>
                <w:szCs w:val="4"/>
              </w:rPr>
            </w:pPr>
            <w:r>
              <w:rPr>
                <w:sz w:val="4"/>
                <w:szCs w:val="4"/>
              </w:rPr>
            </w:r>
          </w:p>
        </w:tc>
        <w:tc>
          <w:tcPr>
            <w:tcW w:w="248" w:type="dxa"/>
            <w:tcBorders/>
            <w:shd w:fill="CCEEFF" w:val="clear"/>
            <w:vAlign w:val="bottom"/>
          </w:tcPr>
          <w:p>
            <w:pPr>
              <w:pStyle w:val="TableContents"/>
              <w:spacing w:before="0" w:after="283"/>
              <w:rPr>
                <w:sz w:val="4"/>
                <w:szCs w:val="4"/>
              </w:rPr>
            </w:pPr>
            <w:r>
              <w:rPr>
                <w:sz w:val="4"/>
                <w:szCs w:val="4"/>
              </w:rPr>
            </w:r>
          </w:p>
        </w:tc>
        <w:tc>
          <w:tcPr>
            <w:tcW w:w="24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149.2</w:t>
            </w:r>
          </w:p>
        </w:tc>
        <w:tc>
          <w:tcPr>
            <w:tcW w:w="247"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92.0</w:t>
            </w:r>
          </w:p>
        </w:tc>
        <w:tc>
          <w:tcPr>
            <w:tcW w:w="247"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54.6</w:t>
            </w:r>
          </w:p>
        </w:tc>
        <w:tc>
          <w:tcPr>
            <w:tcW w:w="247"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43.7</w:t>
            </w:r>
          </w:p>
        </w:tc>
        <w:tc>
          <w:tcPr>
            <w:tcW w:w="247"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39.2</w:t>
            </w:r>
          </w:p>
        </w:tc>
        <w:tc>
          <w:tcPr>
            <w:tcW w:w="267" w:type="dxa"/>
            <w:tcBorders/>
            <w:shd w:fill="CCEEFF" w:val="clear"/>
            <w:vAlign w:val="bottom"/>
          </w:tcPr>
          <w:p>
            <w:pPr>
              <w:pStyle w:val="TableContents"/>
              <w:spacing w:before="0" w:after="283"/>
              <w:rPr/>
            </w:pPr>
            <w:r>
              <w:rPr/>
              <w:t> </w:t>
            </w:r>
          </w:p>
        </w:tc>
      </w:tr>
      <w:tr>
        <w:trPr/>
        <w:tc>
          <w:tcPr>
            <w:tcW w:w="2102" w:type="dxa"/>
            <w:tcBorders/>
            <w:shd w:fill="auto" w:val="clear"/>
            <w:vAlign w:val="bottom"/>
          </w:tcPr>
          <w:p>
            <w:pPr>
              <w:pStyle w:val="TableContents"/>
              <w:spacing w:before="0" w:after="0"/>
              <w:ind w:left="225" w:right="0" w:hanging="225"/>
              <w:rPr/>
            </w:pPr>
            <w:r>
              <w:rPr/>
              <w:t> </w:t>
            </w:r>
          </w:p>
        </w:tc>
        <w:tc>
          <w:tcPr>
            <w:tcW w:w="248"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r>
      <w:tr>
        <w:trPr/>
        <w:tc>
          <w:tcPr>
            <w:tcW w:w="2102" w:type="dxa"/>
            <w:tcBorders/>
            <w:shd w:fill="auto" w:val="clear"/>
            <w:vAlign w:val="bottom"/>
          </w:tcPr>
          <w:p>
            <w:pPr>
              <w:pStyle w:val="TableContents"/>
              <w:spacing w:before="0" w:after="0"/>
              <w:ind w:left="225" w:right="0" w:hanging="225"/>
              <w:rPr>
                <w:b/>
              </w:rPr>
            </w:pPr>
            <w:r>
              <w:rPr>
                <w:b/>
              </w:rPr>
              <w:t>RATIO OF EARNINGS TO FIXED CHARGES</w:t>
            </w:r>
          </w:p>
        </w:tc>
        <w:tc>
          <w:tcPr>
            <w:tcW w:w="248"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jc w:val="right"/>
              <w:rPr/>
            </w:pPr>
            <w:r>
              <w:rPr/>
              <w:t>2.36</w:t>
            </w:r>
          </w:p>
        </w:tc>
        <w:tc>
          <w:tcPr>
            <w:tcW w:w="284" w:type="dxa"/>
            <w:tcBorders/>
            <w:shd w:fill="auto" w:val="clear"/>
            <w:vAlign w:val="bottom"/>
          </w:tcPr>
          <w:p>
            <w:pPr>
              <w:pStyle w:val="TableContents"/>
              <w:spacing w:before="0" w:after="283"/>
              <w:rPr/>
            </w:pPr>
            <w:r>
              <w:rPr/>
              <w:t>x</w:t>
            </w:r>
          </w:p>
        </w:tc>
        <w:tc>
          <w:tcPr>
            <w:tcW w:w="248"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2.83</w:t>
            </w:r>
          </w:p>
        </w:tc>
        <w:tc>
          <w:tcPr>
            <w:tcW w:w="247" w:type="dxa"/>
            <w:tcBorders/>
            <w:shd w:fill="auto" w:val="clear"/>
            <w:vAlign w:val="bottom"/>
          </w:tcPr>
          <w:p>
            <w:pPr>
              <w:pStyle w:val="TableContents"/>
              <w:spacing w:before="0" w:after="283"/>
              <w:rPr/>
            </w:pPr>
            <w:r>
              <w:rPr/>
              <w:t>x</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3.34</w:t>
            </w:r>
          </w:p>
        </w:tc>
        <w:tc>
          <w:tcPr>
            <w:tcW w:w="247" w:type="dxa"/>
            <w:tcBorders/>
            <w:shd w:fill="auto" w:val="clear"/>
            <w:vAlign w:val="bottom"/>
          </w:tcPr>
          <w:p>
            <w:pPr>
              <w:pStyle w:val="TableContents"/>
              <w:spacing w:before="0" w:after="283"/>
              <w:rPr/>
            </w:pPr>
            <w:r>
              <w:rPr/>
              <w:t>x</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3.37</w:t>
            </w:r>
          </w:p>
        </w:tc>
        <w:tc>
          <w:tcPr>
            <w:tcW w:w="247" w:type="dxa"/>
            <w:tcBorders/>
            <w:shd w:fill="auto" w:val="clear"/>
            <w:vAlign w:val="bottom"/>
          </w:tcPr>
          <w:p>
            <w:pPr>
              <w:pStyle w:val="TableContents"/>
              <w:spacing w:before="0" w:after="283"/>
              <w:rPr/>
            </w:pPr>
            <w:r>
              <w:rPr/>
              <w:t>x</w:t>
            </w:r>
          </w:p>
        </w:tc>
        <w:tc>
          <w:tcPr>
            <w:tcW w:w="24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2.36</w:t>
            </w:r>
          </w:p>
        </w:tc>
        <w:tc>
          <w:tcPr>
            <w:tcW w:w="247" w:type="dxa"/>
            <w:tcBorders/>
            <w:shd w:fill="auto" w:val="clear"/>
            <w:vAlign w:val="bottom"/>
          </w:tcPr>
          <w:p>
            <w:pPr>
              <w:pStyle w:val="TableContents"/>
              <w:spacing w:before="0" w:after="283"/>
              <w:rPr/>
            </w:pPr>
            <w:r>
              <w:rPr/>
              <w:t>x</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2.64</w:t>
            </w:r>
          </w:p>
        </w:tc>
        <w:tc>
          <w:tcPr>
            <w:tcW w:w="267" w:type="dxa"/>
            <w:tcBorders/>
            <w:shd w:fill="auto" w:val="clear"/>
            <w:vAlign w:val="bottom"/>
          </w:tcPr>
          <w:p>
            <w:pPr>
              <w:pStyle w:val="TableContents"/>
              <w:spacing w:before="0" w:after="283"/>
              <w:rPr/>
            </w:pPr>
            <w:r>
              <w:rPr/>
              <w:t>x</w:t>
            </w:r>
          </w:p>
        </w:tc>
      </w:tr>
    </w:tbl>
    <w:p>
      <w:pPr>
        <w:pStyle w:val="TextBody"/>
        <w:spacing w:before="320" w:after="283"/>
        <w:jc w:val="center"/>
        <w:rPr>
          <w:bdr w:val="single" w:sz="2" w:space="1" w:color="000000"/>
        </w:rPr>
      </w:pPr>
      <w:r>
        <w:rPr>
          <w:bdr w:val="single" w:sz="2" w:space="1" w:color="000000"/>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(1)       For purposes of computing the ratio of earnings to fixed charges, earnings consists of pretax income from continuing operations plus fixed charges (excluding capitalized interest). Fixed charges represent interest incurred (whether expensed or capitalized), amortization of debt expense, and that portion of rental expense on operating leases deemed to be the equivalent of interest.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(2)       Includes interest costs attributable to borrowings for inventory stored in a contango market of $11.2 million for the three months ended March 31, 2007 and $49.2 million, $23.7 million, $2.0 million, $1.0 million and $3.0 million for each of the years ended December 31, 2006, 2005, 2004, 2003 and 2002, respectively. </w:t>
      </w:r>
      <w:r>
        <w:br w:type="page"/>
      </w:r>
    </w:p>
    <w:p>
      <w:pPr>
        <w:pStyle w:val="Heading5"/>
        <w:jc w:val="left"/>
        <w:rPr/>
      </w:pPr>
      <w:bookmarkStart w:id="21" w:name="h43563a1exv23w1.htm"/>
      <w:bookmarkStart w:id="22" w:name="ksh43563a1exv23w1"/>
      <w:bookmarkEnd w:id="21"/>
      <w:bookmarkEnd w:id="22"/>
      <w:r>
        <w:rPr/>
        <w:t> </w:t>
      </w:r>
    </w:p>
    <w:p>
      <w:pPr>
        <w:pStyle w:val="TextBody"/>
        <w:spacing w:before="0" w:after="283"/>
        <w:jc w:val="right"/>
        <w:rPr>
          <w:rFonts w:ascii="Times New Roman;Times;serif" w:hAnsi="Times New Roman;Times;serif"/>
          <w:sz w:val="17"/>
        </w:rPr>
      </w:pPr>
      <w:r>
        <w:rPr>
          <w:rFonts w:ascii="Times New Roman;Times;serif" w:hAnsi="Times New Roman;Times;serif"/>
          <w:b/>
          <w:sz w:val="17"/>
        </w:rPr>
        <w:t>Exhibit 23.1</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CONSENT OF INDEPENDENT REGISTERED PUBLIC ACCOUNTING FIRM</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hereby consent to the incorporation by reference in this Amendment No. 1 to Registration Statement on Form S-4 of our report dated March 1, 2007 relating to the consolidated financial statements, managements assessment of the effectiveness of internal control over financial reporting and the effectiveness of internal control over financial reporting, which appears in Plains All American Pipeline L.P.s Annual Report on Form 10-K for the year ended December 31, 2006 and our report dated April 30, 2007 relating to the balance sheet of Plains AAP, L.P., which appears in Plains All American Pipeline L.P.s Current Report on Form 8-K filed on May 2, 2007. We also consent to the references to us under the heading Experts in such Registration Statement. </w:t>
      </w:r>
    </w:p>
    <w:p>
      <w:pPr>
        <w:pStyle w:val="TextBody"/>
        <w:spacing w:before="360" w:after="283"/>
        <w:jc w:val="left"/>
        <w:rPr>
          <w:rFonts w:ascii="Times New Roman;Times;serif" w:hAnsi="Times New Roman;Times;serif"/>
          <w:sz w:val="17"/>
        </w:rPr>
      </w:pPr>
      <w:r>
        <w:rPr>
          <w:rFonts w:ascii="Times New Roman;Times;serif" w:hAnsi="Times New Roman;Times;serif"/>
          <w:sz w:val="17"/>
        </w:rPr>
        <w:t>/s/ PricewaterhouseCoopers LLP</w:t>
        <w:br/>
        <w:t>Houston, Texas</w:t>
      </w:r>
    </w:p>
    <w:p>
      <w:pPr>
        <w:pStyle w:val="TextBody"/>
        <w:spacing w:before="360" w:after="283"/>
        <w:jc w:val="left"/>
        <w:rPr>
          <w:rFonts w:ascii="Times New Roman;Times;serif" w:hAnsi="Times New Roman;Times;serif"/>
          <w:sz w:val="17"/>
        </w:rPr>
      </w:pPr>
      <w:r>
        <w:rPr>
          <w:rFonts w:ascii="Times New Roman;Times;serif" w:hAnsi="Times New Roman;Times;serif"/>
          <w:sz w:val="17"/>
        </w:rPr>
        <w:t xml:space="preserve">May 9, 2007 </w:t>
      </w:r>
    </w:p>
    <w:p>
      <w:pPr>
        <w:pStyle w:val="TextBody"/>
        <w:jc w:val="center"/>
        <w:rPr/>
      </w:pPr>
      <w:r>
        <w:rPr/>
        <w:t xml:space="preserve">  </w:t>
      </w:r>
      <w:r>
        <w:br w:type="page"/>
      </w:r>
    </w:p>
    <w:p>
      <w:pPr>
        <w:pStyle w:val="Heading5"/>
        <w:jc w:val="left"/>
        <w:rPr/>
      </w:pPr>
      <w:bookmarkStart w:id="23" w:name="h43563a1exv23w2.htm"/>
      <w:bookmarkStart w:id="24" w:name="ksh43563a1exv23w2"/>
      <w:bookmarkEnd w:id="23"/>
      <w:bookmarkEnd w:id="24"/>
      <w:r>
        <w:rPr/>
        <w:t> </w:t>
      </w:r>
    </w:p>
    <w:p>
      <w:pPr>
        <w:pStyle w:val="TextBody"/>
        <w:spacing w:before="0" w:after="283"/>
        <w:jc w:val="right"/>
        <w:rPr>
          <w:rFonts w:ascii="Times New Roman;Times;serif" w:hAnsi="Times New Roman;Times;serif"/>
          <w:sz w:val="17"/>
        </w:rPr>
      </w:pPr>
      <w:r>
        <w:rPr>
          <w:rFonts w:ascii="Times New Roman;Times;serif" w:hAnsi="Times New Roman;Times;serif"/>
          <w:b/>
          <w:sz w:val="17"/>
        </w:rPr>
        <w:t>Exhibit 23.2</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Consent of Independent Registered Public Accounting Firm</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consent to the use of our report dated March 10, 2006, with respect to the consolidated balance sheets of Pacific Energy Partners, L.P. and subsidiaries as of December 31, 2005 and 2004, and the related consolidated statements of income, partners capital, comprehensive income, and cash flows for each of the years in the three-year period ended December 31, 2005 incorporated by reference herein and to the reference to our firm under the heading Experts in the registration statement on Form S-4. </w:t>
      </w:r>
    </w:p>
    <w:p>
      <w:pPr>
        <w:pStyle w:val="TextBody"/>
        <w:spacing w:before="360" w:after="283"/>
        <w:jc w:val="left"/>
        <w:rPr>
          <w:rFonts w:ascii="Times New Roman;Times;serif" w:hAnsi="Times New Roman;Times;serif"/>
          <w:sz w:val="17"/>
        </w:rPr>
      </w:pPr>
      <w:r>
        <w:rPr>
          <w:rFonts w:ascii="Times New Roman;Times;serif" w:hAnsi="Times New Roman;Times;serif"/>
          <w:sz w:val="17"/>
        </w:rPr>
        <w:t>/s/ KPMG LLP</w:t>
        <w:br/>
        <w:t>Los Angeles, California</w:t>
        <w:br/>
        <w:t xml:space="preserve">May 8, 2007 </w:t>
      </w:r>
    </w:p>
    <w:p>
      <w:pPr>
        <w:pStyle w:val="TextBody"/>
        <w:jc w:val="center"/>
        <w:rPr/>
      </w:pPr>
      <w:r>
        <w:rPr/>
        <w:t xml:space="preserve">  </w:t>
      </w:r>
      <w:r>
        <w:br w:type="page"/>
      </w:r>
    </w:p>
    <w:p>
      <w:pPr>
        <w:pStyle w:val="Heading5"/>
        <w:jc w:val="left"/>
        <w:rPr/>
      </w:pPr>
      <w:bookmarkStart w:id="25" w:name="filename6.htm"/>
      <w:bookmarkStart w:id="26" w:name="ksfilename6"/>
      <w:bookmarkEnd w:id="25"/>
      <w:bookmarkEnd w:id="26"/>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[Letterhead of Plains All American Pipeline, L.P.]</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May 11, 2007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Via EDGAR and Facsimile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Securities and Exchange Commission</w:t>
        <w:br/>
        <w:t>Division of Corporation Finance</w:t>
        <w:br/>
        <w:t>100 F Street, N.E.</w:t>
        <w:br/>
        <w:t>Mail Stop 7010</w:t>
        <w:br/>
        <w:t>Washington, D.C. 20549-7010</w:t>
        <w:br/>
        <w:t xml:space="preserve">Attention: Carmen Moncada-Terry </w:t>
      </w:r>
    </w:p>
    <w:tbl>
      <w:tblPr>
        <w:tblW w:w="5000" w:type="pct"/>
        <w:jc w:val="left"/>
        <w:tblInd w:w="0" w:type="dxa"/>
        <w:tblCellMar>
          <w:top w:w="0" w:type="dxa"/>
          <w:left w:w="0" w:type="dxa"/>
          <w:bottom w:w="0" w:type="dxa"/>
          <w:right w:w="0" w:type="dxa"/>
        </w:tblCellMar>
      </w:tblPr>
      <w:tblGrid>
        <w:gridCol w:w="358"/>
        <w:gridCol w:w="109"/>
        <w:gridCol w:w="9738"/>
      </w:tblGrid>
      <w:tr>
        <w:trPr/>
        <w:tc>
          <w:tcPr>
            <w:tcW w:w="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38" w:type="dxa"/>
            <w:tcBorders/>
            <w:shd w:fill="auto" w:val="clear"/>
            <w:vAlign w:val="center"/>
          </w:tcPr>
          <w:p>
            <w:pPr>
              <w:pStyle w:val="TableContents"/>
              <w:spacing w:before="0" w:after="283"/>
              <w:rPr>
                <w:sz w:val="4"/>
                <w:szCs w:val="4"/>
              </w:rPr>
            </w:pPr>
            <w:r>
              <w:rPr>
                <w:sz w:val="4"/>
                <w:szCs w:val="4"/>
              </w:rPr>
            </w:r>
          </w:p>
        </w:tc>
      </w:tr>
      <w:tr>
        <w:trPr/>
        <w:tc>
          <w:tcPr>
            <w:tcW w:w="358" w:type="dxa"/>
            <w:tcBorders/>
            <w:shd w:fill="auto" w:val="clear"/>
          </w:tcPr>
          <w:p>
            <w:pPr>
              <w:pStyle w:val="TableContents"/>
              <w:spacing w:before="0" w:after="283"/>
              <w:jc w:val="left"/>
              <w:rPr/>
            </w:pPr>
            <w:r>
              <w:rPr/>
              <w:t>Re:</w:t>
            </w:r>
          </w:p>
        </w:tc>
        <w:tc>
          <w:tcPr>
            <w:tcW w:w="109" w:type="dxa"/>
            <w:tcBorders/>
            <w:shd w:fill="auto" w:val="clear"/>
          </w:tcPr>
          <w:p>
            <w:pPr>
              <w:pStyle w:val="TableContents"/>
              <w:spacing w:before="0" w:after="283"/>
              <w:rPr/>
            </w:pPr>
            <w:r>
              <w:rPr/>
              <w:t> </w:t>
            </w:r>
          </w:p>
        </w:tc>
        <w:tc>
          <w:tcPr>
            <w:tcW w:w="9738" w:type="dxa"/>
            <w:tcBorders/>
            <w:shd w:fill="auto" w:val="clear"/>
          </w:tcPr>
          <w:p>
            <w:pPr>
              <w:pStyle w:val="TableContents"/>
              <w:spacing w:before="0" w:after="283"/>
              <w:rPr/>
            </w:pPr>
            <w:r>
              <w:rPr>
                <w:b/>
              </w:rPr>
              <w:t>Plains All American Pipeline, L.P.</w:t>
            </w:r>
            <w:r>
              <w:rPr/>
              <w:br/>
              <w:t>Registration Statement on Form S-4</w:t>
              <w:br/>
              <w:t>Filed March 26, 2007</w:t>
              <w:br/>
              <w:t>File No. 333-141557</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Dear Ms. Moncada-Terry: </w:t>
      </w:r>
    </w:p>
    <w:p>
      <w:pPr>
        <w:pStyle w:val="TextBody"/>
        <w:spacing w:before="120" w:after="283"/>
        <w:jc w:val="left"/>
        <w:rPr/>
      </w:pPr>
      <w:r>
        <w:rPr/>
        <w:t>     </w:t>
      </w:r>
      <w:r>
        <w:rPr>
          <w:rFonts w:ascii="Times New Roman;Times;serif" w:hAnsi="Times New Roman;Times;serif"/>
          <w:sz w:val="17"/>
        </w:rPr>
        <w:t>Set forth below are the responses of Plains All American Pipeline, L.P., a Delaware limited partnership (</w:t>
      </w:r>
      <w:r>
        <w:rPr>
          <w:rFonts w:ascii="Times New Roman;Times;serif" w:hAnsi="Times New Roman;Times;serif"/>
          <w:i/>
          <w:sz w:val="17"/>
        </w:rPr>
        <w:t>Plains</w:t>
      </w:r>
      <w:r>
        <w:rPr>
          <w:rFonts w:ascii="Times New Roman;Times;serif" w:hAnsi="Times New Roman;Times;serif"/>
          <w:sz w:val="17"/>
        </w:rPr>
        <w:t> or the </w:t>
      </w:r>
      <w:r>
        <w:rPr>
          <w:rFonts w:ascii="Times New Roman;Times;serif" w:hAnsi="Times New Roman;Times;serif"/>
          <w:i/>
          <w:sz w:val="17"/>
        </w:rPr>
        <w:t>Company</w:t>
      </w:r>
      <w:r>
        <w:rPr>
          <w:rFonts w:ascii="Times New Roman;Times;serif" w:hAnsi="Times New Roman;Times;serif"/>
          <w:sz w:val="17"/>
        </w:rPr>
        <w:t>), to comments received from the staff of the Division of Corporation Finance (the </w:t>
      </w:r>
      <w:r>
        <w:rPr>
          <w:rFonts w:ascii="Times New Roman;Times;serif" w:hAnsi="Times New Roman;Times;serif"/>
          <w:i/>
          <w:sz w:val="17"/>
        </w:rPr>
        <w:t>Staff</w:t>
      </w:r>
      <w:r>
        <w:rPr>
          <w:rFonts w:ascii="Times New Roman;Times;serif" w:hAnsi="Times New Roman;Times;serif"/>
          <w:sz w:val="17"/>
        </w:rPr>
        <w:t>) of the Securities and Exchange Commission (the </w:t>
      </w:r>
      <w:r>
        <w:rPr>
          <w:rFonts w:ascii="Times New Roman;Times;serif" w:hAnsi="Times New Roman;Times;serif"/>
          <w:i/>
          <w:sz w:val="17"/>
        </w:rPr>
        <w:t>Commission</w:t>
      </w:r>
      <w:r>
        <w:rPr>
          <w:rFonts w:ascii="Times New Roman;Times;serif" w:hAnsi="Times New Roman;Times;serif"/>
          <w:sz w:val="17"/>
        </w:rPr>
        <w:t>) by letter dated April 20, 2007, with respect to Plains Form S-4 filed with the Commission on March 26, 2007, File No. 333-141557 (the </w:t>
      </w:r>
      <w:r>
        <w:rPr>
          <w:rFonts w:ascii="Times New Roman;Times;serif" w:hAnsi="Times New Roman;Times;serif"/>
          <w:i/>
          <w:sz w:val="17"/>
        </w:rPr>
        <w:t>Registration Statement</w:t>
      </w:r>
      <w:r>
        <w:rPr>
          <w:rFonts w:ascii="Times New Roman;Times;serif" w:hAnsi="Times New Roman;Times;serif"/>
          <w:sz w:val="17"/>
        </w:rPr>
        <w:t xml:space="preserve">). For your convenience, each response is prefaced by the exact text of the Staffs corresponding comment in italicized text. The references to page numbers in the response to the Staffs comments correspond to the pages in the Registration Statement, which the Company has filed today via EDGAR. </w:t>
      </w:r>
    </w:p>
    <w:p>
      <w:pPr>
        <w:pStyle w:val="TextBody"/>
        <w:spacing w:before="240" w:after="283"/>
        <w:jc w:val="left"/>
        <w:rPr>
          <w:rFonts w:ascii="Times New Roman;Times;serif" w:hAnsi="Times New Roman;Times;serif"/>
          <w:sz w:val="17"/>
        </w:rPr>
      </w:pPr>
      <w:r>
        <w:rPr>
          <w:rFonts w:ascii="Times New Roman;Times;serif" w:hAnsi="Times New Roman;Times;serif"/>
          <w:b/>
          <w:sz w:val="17"/>
          <w:u w:val="single"/>
        </w:rPr>
        <w:t>Form S-4</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u w:val="single"/>
        </w:rPr>
        <w:t>General</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1"/>
        <w:gridCol w:w="125"/>
        <w:gridCol w:w="9879"/>
      </w:tblGrid>
      <w:tr>
        <w:trPr/>
        <w:tc>
          <w:tcPr>
            <w:tcW w:w="201" w:type="dxa"/>
            <w:tcBorders/>
            <w:shd w:fill="auto" w:val="clear"/>
          </w:tcPr>
          <w:p>
            <w:pPr>
              <w:pStyle w:val="TableContents"/>
              <w:spacing w:before="0" w:after="283"/>
              <w:jc w:val="left"/>
              <w:rPr>
                <w:i/>
              </w:rPr>
            </w:pPr>
            <w:r>
              <w:rPr>
                <w:i/>
              </w:rPr>
              <w:t>1.</w:t>
            </w:r>
          </w:p>
        </w:tc>
        <w:tc>
          <w:tcPr>
            <w:tcW w:w="125" w:type="dxa"/>
            <w:tcBorders/>
            <w:shd w:fill="auto" w:val="clear"/>
          </w:tcPr>
          <w:p>
            <w:pPr>
              <w:pStyle w:val="TableContents"/>
              <w:spacing w:before="0" w:after="283"/>
              <w:rPr/>
            </w:pPr>
            <w:r>
              <w:rPr/>
              <w:t> </w:t>
            </w:r>
          </w:p>
        </w:tc>
        <w:tc>
          <w:tcPr>
            <w:tcW w:w="9879" w:type="dxa"/>
            <w:tcBorders/>
            <w:shd w:fill="auto" w:val="clear"/>
          </w:tcPr>
          <w:p>
            <w:pPr>
              <w:pStyle w:val="TableContents"/>
              <w:spacing w:before="0" w:after="283"/>
              <w:rPr/>
            </w:pPr>
            <w:r>
              <w:rPr>
                <w:i/>
              </w:rPr>
              <w:t>On September 22, 2006, the staff issued you a comment letter regarding the Form S-4</w:t>
            </w:r>
            <w:r>
              <w:rPr/>
              <w:t xml:space="preserve"> </w:t>
            </w:r>
            <w:r>
              <w:rPr>
                <w:i/>
              </w:rPr>
              <w:t>filed August 28, 2006. On October 25, 2006, you filed a letter of response. We refer you to those prior comments and responses. In future filings, please give effect to comments the staff has previously issued to the extent applicable.</w:t>
            </w:r>
          </w:p>
        </w:tc>
      </w:tr>
      <w:tr>
        <w:trPr/>
        <w:tc>
          <w:tcPr>
            <w:tcW w:w="201" w:type="dxa"/>
            <w:tcBorders/>
            <w:shd w:fill="auto" w:val="clear"/>
            <w:vAlign w:val="center"/>
          </w:tcPr>
          <w:p>
            <w:pPr>
              <w:pStyle w:val="TableContents"/>
              <w:spacing w:before="0" w:after="283"/>
              <w:rPr/>
            </w:pPr>
            <w:r>
              <w:rPr/>
              <w:t> </w:t>
            </w:r>
          </w:p>
        </w:tc>
        <w:tc>
          <w:tcPr>
            <w:tcW w:w="10004" w:type="dxa"/>
            <w:gridSpan w:val="2"/>
            <w:tcBorders/>
            <w:shd w:fill="auto" w:val="clear"/>
          </w:tcPr>
          <w:p>
            <w:pPr>
              <w:pStyle w:val="TableContents"/>
              <w:spacing w:before="0" w:after="283"/>
              <w:rPr>
                <w:sz w:val="4"/>
                <w:szCs w:val="4"/>
              </w:rPr>
            </w:pPr>
            <w:r>
              <w:rPr>
                <w:sz w:val="4"/>
                <w:szCs w:val="4"/>
              </w:rPr>
            </w:r>
          </w:p>
        </w:tc>
      </w:tr>
      <w:tr>
        <w:trPr/>
        <w:tc>
          <w:tcPr>
            <w:tcW w:w="201" w:type="dxa"/>
            <w:tcBorders/>
            <w:shd w:fill="auto" w:val="clear"/>
            <w:vAlign w:val="center"/>
          </w:tcPr>
          <w:p>
            <w:pPr>
              <w:pStyle w:val="TableContents"/>
              <w:spacing w:before="0" w:after="283"/>
              <w:rPr>
                <w:sz w:val="4"/>
                <w:szCs w:val="4"/>
              </w:rPr>
            </w:pPr>
            <w:r>
              <w:rPr>
                <w:sz w:val="4"/>
                <w:szCs w:val="4"/>
              </w:rPr>
            </w:r>
          </w:p>
        </w:tc>
        <w:tc>
          <w:tcPr>
            <w:tcW w:w="10004" w:type="dxa"/>
            <w:gridSpan w:val="2"/>
            <w:tcBorders/>
            <w:shd w:fill="auto" w:val="clear"/>
          </w:tcPr>
          <w:p>
            <w:pPr>
              <w:pStyle w:val="TableContents"/>
              <w:spacing w:before="0" w:after="283"/>
              <w:rPr>
                <w:sz w:val="4"/>
                <w:szCs w:val="4"/>
              </w:rPr>
            </w:pPr>
            <w:r>
              <w:rPr>
                <w:sz w:val="4"/>
                <w:szCs w:val="4"/>
              </w:rPr>
            </w:r>
          </w:p>
        </w:tc>
      </w:tr>
      <w:tr>
        <w:trPr/>
        <w:tc>
          <w:tcPr>
            <w:tcW w:w="201" w:type="dxa"/>
            <w:tcBorders/>
            <w:shd w:fill="auto" w:val="clear"/>
          </w:tcPr>
          <w:p>
            <w:pPr>
              <w:pStyle w:val="TableContents"/>
              <w:spacing w:before="0" w:after="283"/>
              <w:jc w:val="left"/>
              <w:rPr/>
            </w:pPr>
            <w:r>
              <w:rPr/>
              <w:t> </w:t>
            </w:r>
          </w:p>
        </w:tc>
        <w:tc>
          <w:tcPr>
            <w:tcW w:w="125" w:type="dxa"/>
            <w:tcBorders/>
            <w:shd w:fill="auto" w:val="clear"/>
          </w:tcPr>
          <w:p>
            <w:pPr>
              <w:pStyle w:val="TableContents"/>
              <w:spacing w:before="0" w:after="283"/>
              <w:rPr/>
            </w:pPr>
            <w:r>
              <w:rPr/>
              <w:t> </w:t>
            </w:r>
          </w:p>
        </w:tc>
        <w:tc>
          <w:tcPr>
            <w:tcW w:w="9879" w:type="dxa"/>
            <w:tcBorders/>
            <w:shd w:fill="auto" w:val="clear"/>
          </w:tcPr>
          <w:p>
            <w:pPr>
              <w:pStyle w:val="TableContents"/>
              <w:spacing w:before="0" w:after="283"/>
              <w:rPr/>
            </w:pPr>
            <w:r>
              <w:rPr>
                <w:b/>
                <w:u w:val="single"/>
              </w:rPr>
              <w:t>Response</w:t>
            </w:r>
            <w:r>
              <w:rPr/>
              <w:t>: We have reviewed the staffs comment letter dated September 22, 2006. With the addition of the changes described in Responses 2 and 3 below, we believe that the Registration Statement now gives effect to the prior comments.</w:t>
            </w:r>
          </w:p>
        </w:tc>
      </w:tr>
      <w:tr>
        <w:trPr/>
        <w:tc>
          <w:tcPr>
            <w:tcW w:w="201" w:type="dxa"/>
            <w:tcBorders/>
            <w:shd w:fill="auto" w:val="clear"/>
            <w:vAlign w:val="center"/>
          </w:tcPr>
          <w:p>
            <w:pPr>
              <w:pStyle w:val="TableContents"/>
              <w:spacing w:before="0" w:after="283"/>
              <w:rPr>
                <w:sz w:val="4"/>
                <w:szCs w:val="4"/>
              </w:rPr>
            </w:pPr>
            <w:r>
              <w:rPr>
                <w:sz w:val="4"/>
                <w:szCs w:val="4"/>
              </w:rPr>
            </w:r>
          </w:p>
        </w:tc>
        <w:tc>
          <w:tcPr>
            <w:tcW w:w="10004" w:type="dxa"/>
            <w:gridSpan w:val="2"/>
            <w:tcBorders/>
            <w:shd w:fill="auto" w:val="clear"/>
          </w:tcPr>
          <w:p>
            <w:pPr>
              <w:pStyle w:val="TableContents"/>
              <w:spacing w:before="0" w:after="283"/>
              <w:rPr>
                <w:sz w:val="4"/>
                <w:szCs w:val="4"/>
              </w:rPr>
            </w:pPr>
            <w:r>
              <w:rPr>
                <w:sz w:val="4"/>
                <w:szCs w:val="4"/>
              </w:rPr>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u w:val="single"/>
        </w:rPr>
        <w:t>U.S. Federal Income Tax Considerations, page 29</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1"/>
        <w:gridCol w:w="125"/>
        <w:gridCol w:w="9879"/>
      </w:tblGrid>
      <w:tr>
        <w:trPr/>
        <w:tc>
          <w:tcPr>
            <w:tcW w:w="201" w:type="dxa"/>
            <w:tcBorders/>
            <w:shd w:fill="auto" w:val="clear"/>
          </w:tcPr>
          <w:p>
            <w:pPr>
              <w:pStyle w:val="TableContents"/>
              <w:spacing w:before="0" w:after="283"/>
              <w:jc w:val="left"/>
              <w:rPr>
                <w:i/>
              </w:rPr>
            </w:pPr>
            <w:r>
              <w:rPr>
                <w:i/>
              </w:rPr>
              <w:t>2.</w:t>
            </w:r>
          </w:p>
        </w:tc>
        <w:tc>
          <w:tcPr>
            <w:tcW w:w="125" w:type="dxa"/>
            <w:tcBorders/>
            <w:shd w:fill="auto" w:val="clear"/>
          </w:tcPr>
          <w:p>
            <w:pPr>
              <w:pStyle w:val="TableContents"/>
              <w:spacing w:before="0" w:after="283"/>
              <w:rPr/>
            </w:pPr>
            <w:r>
              <w:rPr/>
              <w:t> </w:t>
            </w:r>
          </w:p>
        </w:tc>
        <w:tc>
          <w:tcPr>
            <w:tcW w:w="9879" w:type="dxa"/>
            <w:tcBorders/>
            <w:shd w:fill="auto" w:val="clear"/>
          </w:tcPr>
          <w:p>
            <w:pPr>
              <w:pStyle w:val="TableContents"/>
              <w:spacing w:before="0" w:after="283"/>
              <w:rPr>
                <w:i/>
              </w:rPr>
            </w:pPr>
            <w:r>
              <w:rPr>
                <w:i/>
              </w:rPr>
              <w:t>Revise the caption and text to make clear that the disclosure addresses all material U.S. federal income tax consequences. This comment was issued previously on September 22, 2006.</w:t>
            </w:r>
          </w:p>
        </w:tc>
      </w:tr>
      <w:tr>
        <w:trPr/>
        <w:tc>
          <w:tcPr>
            <w:tcW w:w="201" w:type="dxa"/>
            <w:tcBorders/>
            <w:shd w:fill="auto" w:val="clear"/>
            <w:vAlign w:val="center"/>
          </w:tcPr>
          <w:p>
            <w:pPr>
              <w:pStyle w:val="TableContents"/>
              <w:spacing w:before="0" w:after="283"/>
              <w:rPr/>
            </w:pPr>
            <w:r>
              <w:rPr/>
              <w:t> </w:t>
            </w:r>
          </w:p>
        </w:tc>
        <w:tc>
          <w:tcPr>
            <w:tcW w:w="10004" w:type="dxa"/>
            <w:gridSpan w:val="2"/>
            <w:tcBorders/>
            <w:shd w:fill="auto" w:val="clear"/>
          </w:tcPr>
          <w:p>
            <w:pPr>
              <w:pStyle w:val="TableContents"/>
              <w:spacing w:before="0" w:after="283"/>
              <w:rPr>
                <w:sz w:val="4"/>
                <w:szCs w:val="4"/>
              </w:rPr>
            </w:pPr>
            <w:r>
              <w:rPr>
                <w:sz w:val="4"/>
                <w:szCs w:val="4"/>
              </w:rPr>
            </w:r>
          </w:p>
        </w:tc>
      </w:tr>
      <w:tr>
        <w:trPr/>
        <w:tc>
          <w:tcPr>
            <w:tcW w:w="201" w:type="dxa"/>
            <w:tcBorders/>
            <w:shd w:fill="auto" w:val="clear"/>
          </w:tcPr>
          <w:p>
            <w:pPr>
              <w:pStyle w:val="TableContents"/>
              <w:spacing w:before="0" w:after="283"/>
              <w:jc w:val="left"/>
              <w:rPr/>
            </w:pPr>
            <w:r>
              <w:rPr/>
              <w:t> </w:t>
            </w:r>
          </w:p>
        </w:tc>
        <w:tc>
          <w:tcPr>
            <w:tcW w:w="125" w:type="dxa"/>
            <w:tcBorders/>
            <w:shd w:fill="auto" w:val="clear"/>
          </w:tcPr>
          <w:p>
            <w:pPr>
              <w:pStyle w:val="TableContents"/>
              <w:spacing w:before="0" w:after="283"/>
              <w:rPr/>
            </w:pPr>
            <w:r>
              <w:rPr/>
              <w:t> </w:t>
            </w:r>
          </w:p>
        </w:tc>
        <w:tc>
          <w:tcPr>
            <w:tcW w:w="9879" w:type="dxa"/>
            <w:tcBorders/>
            <w:shd w:fill="auto" w:val="clear"/>
          </w:tcPr>
          <w:p>
            <w:pPr>
              <w:pStyle w:val="TableContents"/>
              <w:spacing w:before="0" w:after="283"/>
              <w:rPr/>
            </w:pPr>
            <w:r>
              <w:rPr>
                <w:b/>
                <w:u w:val="single"/>
              </w:rPr>
              <w:t>Response</w:t>
            </w:r>
            <w:r>
              <w:rPr/>
              <w:t>: The Registration Statement has been revised accordingly. Please see page 29.</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Securities and Exchange Commission</w:t>
        <w:br/>
        <w:t>May 11, 2007</w:t>
        <w:br/>
        <w:t xml:space="preserve">Page 2 </w:t>
      </w:r>
    </w:p>
    <w:p>
      <w:pPr>
        <w:pStyle w:val="TextBody"/>
        <w:spacing w:before="240" w:after="283"/>
        <w:jc w:val="left"/>
        <w:rPr>
          <w:rFonts w:ascii="Times New Roman;Times;serif" w:hAnsi="Times New Roman;Times;serif"/>
          <w:sz w:val="17"/>
        </w:rPr>
      </w:pPr>
      <w:r>
        <w:rPr>
          <w:rFonts w:ascii="Times New Roman;Times;serif" w:hAnsi="Times New Roman;Times;serif"/>
          <w:b/>
          <w:sz w:val="17"/>
          <w:u w:val="single"/>
        </w:rPr>
        <w:t>Exhibit 5.1</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1"/>
        <w:gridCol w:w="125"/>
        <w:gridCol w:w="9879"/>
      </w:tblGrid>
      <w:tr>
        <w:trPr/>
        <w:tc>
          <w:tcPr>
            <w:tcW w:w="201" w:type="dxa"/>
            <w:tcBorders/>
            <w:shd w:fill="auto" w:val="clear"/>
          </w:tcPr>
          <w:p>
            <w:pPr>
              <w:pStyle w:val="TableContents"/>
              <w:spacing w:before="0" w:after="283"/>
              <w:jc w:val="left"/>
              <w:rPr>
                <w:i/>
              </w:rPr>
            </w:pPr>
            <w:r>
              <w:rPr>
                <w:i/>
              </w:rPr>
              <w:t>3.</w:t>
            </w:r>
          </w:p>
        </w:tc>
        <w:tc>
          <w:tcPr>
            <w:tcW w:w="125" w:type="dxa"/>
            <w:tcBorders/>
            <w:shd w:fill="auto" w:val="clear"/>
          </w:tcPr>
          <w:p>
            <w:pPr>
              <w:pStyle w:val="TableContents"/>
              <w:spacing w:before="0" w:after="283"/>
              <w:rPr/>
            </w:pPr>
            <w:r>
              <w:rPr/>
              <w:t> </w:t>
            </w:r>
          </w:p>
        </w:tc>
        <w:tc>
          <w:tcPr>
            <w:tcW w:w="9879" w:type="dxa"/>
            <w:tcBorders/>
            <w:shd w:fill="auto" w:val="clear"/>
          </w:tcPr>
          <w:p>
            <w:pPr>
              <w:pStyle w:val="TableContents"/>
              <w:spacing w:before="0" w:after="283"/>
              <w:rPr>
                <w:i/>
              </w:rPr>
            </w:pPr>
            <w:r>
              <w:rPr>
                <w:i/>
              </w:rPr>
              <w:t>Please obtain an opinion of counsel that opines on all applicable law. On September 22, 2006, we noted that counsels attempt to limit its opinion to New York and Delaware law appeared inappropriate. Similarly, counsels attempt to limit the current opinion to the law of New York appears to be inappropriate. We note that some guarantees are governed by the laws of Texas, Delaware, California, Nova Scotia or Alberta.</w:t>
            </w:r>
          </w:p>
        </w:tc>
      </w:tr>
      <w:tr>
        <w:trPr/>
        <w:tc>
          <w:tcPr>
            <w:tcW w:w="201" w:type="dxa"/>
            <w:tcBorders/>
            <w:shd w:fill="auto" w:val="clear"/>
            <w:vAlign w:val="center"/>
          </w:tcPr>
          <w:p>
            <w:pPr>
              <w:pStyle w:val="TableContents"/>
              <w:spacing w:before="0" w:after="283"/>
              <w:rPr/>
            </w:pPr>
            <w:r>
              <w:rPr/>
              <w:t> </w:t>
            </w:r>
          </w:p>
        </w:tc>
        <w:tc>
          <w:tcPr>
            <w:tcW w:w="10004" w:type="dxa"/>
            <w:gridSpan w:val="2"/>
            <w:tcBorders/>
            <w:shd w:fill="auto" w:val="clear"/>
          </w:tcPr>
          <w:p>
            <w:pPr>
              <w:pStyle w:val="TableContents"/>
              <w:spacing w:before="0" w:after="283"/>
              <w:rPr>
                <w:sz w:val="4"/>
                <w:szCs w:val="4"/>
              </w:rPr>
            </w:pPr>
            <w:r>
              <w:rPr>
                <w:sz w:val="4"/>
                <w:szCs w:val="4"/>
              </w:rPr>
            </w:r>
          </w:p>
        </w:tc>
      </w:tr>
      <w:tr>
        <w:trPr/>
        <w:tc>
          <w:tcPr>
            <w:tcW w:w="201" w:type="dxa"/>
            <w:tcBorders/>
            <w:shd w:fill="auto" w:val="clear"/>
          </w:tcPr>
          <w:p>
            <w:pPr>
              <w:pStyle w:val="TableContents"/>
              <w:spacing w:before="0" w:after="283"/>
              <w:jc w:val="left"/>
              <w:rPr/>
            </w:pPr>
            <w:r>
              <w:rPr/>
              <w:t> </w:t>
            </w:r>
          </w:p>
        </w:tc>
        <w:tc>
          <w:tcPr>
            <w:tcW w:w="125" w:type="dxa"/>
            <w:tcBorders/>
            <w:shd w:fill="auto" w:val="clear"/>
          </w:tcPr>
          <w:p>
            <w:pPr>
              <w:pStyle w:val="TableContents"/>
              <w:spacing w:before="0" w:after="283"/>
              <w:rPr/>
            </w:pPr>
            <w:r>
              <w:rPr/>
              <w:t> </w:t>
            </w:r>
          </w:p>
        </w:tc>
        <w:tc>
          <w:tcPr>
            <w:tcW w:w="9879" w:type="dxa"/>
            <w:tcBorders/>
            <w:shd w:fill="auto" w:val="clear"/>
          </w:tcPr>
          <w:p>
            <w:pPr>
              <w:pStyle w:val="TableContents"/>
              <w:spacing w:before="0" w:after="283"/>
              <w:rPr/>
            </w:pPr>
            <w:r>
              <w:rPr>
                <w:b/>
                <w:u w:val="single"/>
              </w:rPr>
              <w:t>Response</w:t>
            </w:r>
            <w:r>
              <w:rPr/>
              <w:t>: Our counsel has revised its opinion accordingly. Please see the revised opinion filed as Exhibit 5.1 to Amendment No. 1 to the Registration Statement.</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Securities and Exchange Commission</w:t>
        <w:br/>
        <w:t>May 11, 2007</w:t>
        <w:br/>
        <w:t xml:space="preserve">Page 3 </w:t>
      </w:r>
    </w:p>
    <w:p>
      <w:pPr>
        <w:pStyle w:val="TextBody"/>
        <w:spacing w:before="120" w:after="283"/>
        <w:jc w:val="left"/>
        <w:rPr/>
      </w:pPr>
      <w:r>
        <w:rPr/>
        <w:t>     </w:t>
      </w:r>
      <w:r>
        <w:rPr>
          <w:rFonts w:ascii="Times New Roman;Times;serif" w:hAnsi="Times New Roman;Times;serif"/>
          <w:sz w:val="17"/>
        </w:rPr>
        <w:t xml:space="preserve">Please direct any questions or comments regarding the foregoing to me at (713) 646-4100 or Alan Beck of Vinson &amp; Elkins L.L.P. at (713) 758-3638. </w:t>
      </w:r>
    </w:p>
    <w:tbl>
      <w:tblPr>
        <w:tblW w:w="5000" w:type="pct"/>
        <w:jc w:val="left"/>
        <w:tblInd w:w="0" w:type="dxa"/>
        <w:tblCellMar>
          <w:top w:w="0" w:type="dxa"/>
          <w:left w:w="0" w:type="dxa"/>
          <w:bottom w:w="0" w:type="dxa"/>
          <w:right w:w="0" w:type="dxa"/>
        </w:tblCellMar>
      </w:tblPr>
      <w:tblGrid>
        <w:gridCol w:w="4563"/>
        <w:gridCol w:w="348"/>
        <w:gridCol w:w="315"/>
        <w:gridCol w:w="3519"/>
        <w:gridCol w:w="1460"/>
      </w:tblGrid>
      <w:tr>
        <w:trPr/>
        <w:tc>
          <w:tcPr>
            <w:tcW w:w="4563"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315" w:type="dxa"/>
            <w:tcBorders/>
            <w:shd w:fill="auto" w:val="clear"/>
            <w:vAlign w:val="center"/>
          </w:tcPr>
          <w:p>
            <w:pPr>
              <w:pStyle w:val="TableContents"/>
              <w:spacing w:before="0" w:after="283"/>
              <w:rPr/>
            </w:pPr>
            <w:r>
              <w:rPr/>
              <w:t> </w:t>
            </w:r>
          </w:p>
        </w:tc>
        <w:tc>
          <w:tcPr>
            <w:tcW w:w="3519"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rPr/>
            </w:pPr>
            <w:r>
              <w:rPr/>
              <w:t> </w:t>
            </w:r>
          </w:p>
        </w:tc>
      </w:tr>
      <w:tr>
        <w:trPr/>
        <w:tc>
          <w:tcPr>
            <w:tcW w:w="4563" w:type="dxa"/>
            <w:tcBorders/>
            <w:shd w:fill="auto" w:val="clear"/>
          </w:tcPr>
          <w:p>
            <w:pPr>
              <w:pStyle w:val="TableContents"/>
              <w:spacing w:before="0" w:after="283"/>
              <w:jc w:val="left"/>
              <w:rPr/>
            </w:pPr>
            <w:r>
              <w:rPr/>
              <w:t> </w:t>
            </w:r>
          </w:p>
        </w:tc>
        <w:tc>
          <w:tcPr>
            <w:tcW w:w="4182" w:type="dxa"/>
            <w:gridSpan w:val="3"/>
            <w:tcBorders/>
            <w:shd w:fill="auto" w:val="clear"/>
            <w:vAlign w:val="center"/>
          </w:tcPr>
          <w:p>
            <w:pPr>
              <w:pStyle w:val="TableContents"/>
              <w:spacing w:before="0" w:after="283"/>
              <w:jc w:val="left"/>
              <w:rPr/>
            </w:pPr>
            <w:r>
              <w:rPr/>
              <w:t>Sincerely,</w:t>
              <w:br/>
              <w:t> </w:t>
            </w:r>
          </w:p>
        </w:tc>
        <w:tc>
          <w:tcPr>
            <w:tcW w:w="1460" w:type="dxa"/>
            <w:tcBorders/>
            <w:shd w:fill="auto" w:val="clear"/>
            <w:vAlign w:val="center"/>
          </w:tcPr>
          <w:p>
            <w:pPr>
              <w:pStyle w:val="TableContents"/>
              <w:spacing w:before="0" w:after="283"/>
              <w:rPr/>
            </w:pPr>
            <w:r>
              <w:rPr/>
              <w:t> </w:t>
            </w:r>
          </w:p>
        </w:tc>
      </w:tr>
      <w:tr>
        <w:trPr/>
        <w:tc>
          <w:tcPr>
            <w:tcW w:w="4563" w:type="dxa"/>
            <w:tcBorders/>
            <w:shd w:fill="auto" w:val="clear"/>
            <w:vAlign w:val="center"/>
          </w:tcPr>
          <w:p>
            <w:pPr>
              <w:pStyle w:val="TableContents"/>
              <w:spacing w:before="0" w:after="283"/>
              <w:jc w:val="left"/>
              <w:rPr/>
            </w:pPr>
            <w:r>
              <w:rPr/>
              <w:t> </w:t>
            </w:r>
          </w:p>
        </w:tc>
        <w:tc>
          <w:tcPr>
            <w:tcW w:w="4182" w:type="dxa"/>
            <w:gridSpan w:val="3"/>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460" w:type="dxa"/>
            <w:tcBorders/>
            <w:shd w:fill="auto" w:val="clear"/>
            <w:vAlign w:val="center"/>
          </w:tcPr>
          <w:p>
            <w:pPr>
              <w:pStyle w:val="TableContents"/>
              <w:spacing w:before="0" w:after="283"/>
              <w:rPr/>
            </w:pPr>
            <w:r>
              <w:rPr/>
              <w:t> </w:t>
            </w:r>
          </w:p>
        </w:tc>
      </w:tr>
      <w:tr>
        <w:trPr/>
        <w:tc>
          <w:tcPr>
            <w:tcW w:w="4563" w:type="dxa"/>
            <w:tcBorders/>
            <w:shd w:fill="auto" w:val="clear"/>
            <w:vAlign w:val="center"/>
          </w:tcPr>
          <w:p>
            <w:pPr>
              <w:pStyle w:val="TableContents"/>
              <w:spacing w:before="0" w:after="283"/>
              <w:jc w:val="left"/>
              <w:rPr/>
            </w:pPr>
            <w:r>
              <w:rPr/>
              <w:t> </w:t>
            </w:r>
          </w:p>
        </w:tc>
        <w:tc>
          <w:tcPr>
            <w:tcW w:w="4182" w:type="dxa"/>
            <w:gridSpan w:val="3"/>
            <w:tcBorders/>
            <w:shd w:fill="auto" w:val="clear"/>
            <w:vAlign w:val="center"/>
          </w:tcPr>
          <w:p>
            <w:pPr>
              <w:pStyle w:val="TableContents"/>
              <w:spacing w:before="0" w:after="283"/>
              <w:jc w:val="left"/>
              <w:rPr/>
            </w:pPr>
            <w:r>
              <w:rPr/>
              <w:t>Tim Moore </w:t>
            </w:r>
          </w:p>
        </w:tc>
        <w:tc>
          <w:tcPr>
            <w:tcW w:w="1460" w:type="dxa"/>
            <w:tcBorders/>
            <w:shd w:fill="auto" w:val="clear"/>
            <w:vAlign w:val="center"/>
          </w:tcPr>
          <w:p>
            <w:pPr>
              <w:pStyle w:val="TableContents"/>
              <w:spacing w:before="0" w:after="283"/>
              <w:rPr/>
            </w:pPr>
            <w:r>
              <w:rPr/>
              <w:t> </w:t>
            </w:r>
          </w:p>
        </w:tc>
      </w:tr>
      <w:tr>
        <w:trPr/>
        <w:tc>
          <w:tcPr>
            <w:tcW w:w="4563" w:type="dxa"/>
            <w:tcBorders/>
            <w:shd w:fill="auto" w:val="clear"/>
            <w:vAlign w:val="center"/>
          </w:tcPr>
          <w:p>
            <w:pPr>
              <w:pStyle w:val="TableContents"/>
              <w:spacing w:before="0" w:after="283"/>
              <w:jc w:val="left"/>
              <w:rPr/>
            </w:pPr>
            <w:r>
              <w:rPr/>
              <w:t> </w:t>
            </w:r>
          </w:p>
        </w:tc>
        <w:tc>
          <w:tcPr>
            <w:tcW w:w="4182" w:type="dxa"/>
            <w:gridSpan w:val="3"/>
            <w:tcBorders/>
            <w:shd w:fill="auto" w:val="clear"/>
            <w:vAlign w:val="center"/>
          </w:tcPr>
          <w:p>
            <w:pPr>
              <w:pStyle w:val="TableContents"/>
              <w:spacing w:before="0" w:after="283"/>
              <w:jc w:val="left"/>
              <w:rPr/>
            </w:pPr>
            <w:r>
              <w:rPr/>
              <w:t>Vice President</w:t>
              <w:br/>
              <w:t>Plains All American Pipeline, L.P. </w:t>
            </w:r>
          </w:p>
        </w:tc>
        <w:tc>
          <w:tcPr>
            <w:tcW w:w="146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cc:   Alan Beck, Vinson &amp; Elkins L.L.P. </w:t>
      </w:r>
    </w:p>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76</Pages>
  <Words>32700</Words>
  <CharactersWithSpaces>203621</CharactersWithSpaces>
  <Paragraphs>4182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