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172009z424b3.htm"/>
      <w:bookmarkStart w:id="1" w:name="ksa2172009z424b3"/>
      <w:bookmarkStart w:id="2" w:name="a2172009z424b3.htm"/>
      <w:bookmarkStart w:id="3" w:name="ksa2172009z424b3"/>
      <w:bookmarkEnd w:id="2"/>
      <w:bookmarkEnd w:id="3"/>
    </w:p>
    <w:p>
      <w:pPr>
        <w:pStyle w:val="TextBody"/>
        <w:rPr/>
      </w:pPr>
      <w:r>
        <w:rPr>
          <w:sz w:val="24"/>
        </w:rPr>
        <w:t>Use these links to rapidly review the document</w:t>
        <w:br/>
      </w:r>
      <w:hyperlink w:anchor="eg1181_table_of_contents">
        <w:r>
          <w:rPr>
            <w:rStyle w:val="InternetLink"/>
            <w:sz w:val="24"/>
          </w:rPr>
          <w:t>Table of Contents</w:t>
        </w:r>
      </w:hyperlink>
    </w:p>
    <w:p>
      <w:pPr>
        <w:pStyle w:val="TextBody"/>
        <w:jc w:val="right"/>
        <w:rPr>
          <w:sz w:val="20"/>
        </w:rPr>
      </w:pPr>
      <w:r>
        <w:rPr>
          <w:sz w:val="20"/>
        </w:rPr>
        <w:t>Filed Pursuant to Rule 424(b)(3)</w:t>
        <w:br/>
        <w:t xml:space="preserve">Registration No. 333-126447 </w:t>
      </w:r>
    </w:p>
    <w:p>
      <w:pPr>
        <w:pStyle w:val="TextBody"/>
        <w:rPr>
          <w:b/>
          <w:color w:val="FF4040"/>
          <w:sz w:val="20"/>
        </w:rPr>
      </w:pPr>
      <w:r>
        <w:rPr>
          <w:b/>
          <w:color w:val="FF4040"/>
          <w:sz w:val="20"/>
        </w:rPr>
        <w:t xml:space="preserve">The information in this preliminary prospectus supplement is not complete and may be changed. This preliminary prospectus supplement and the attached prospectus are not an offer to sell and do not seek an offer to buy these securities in any jurisdiction where the offer or sale is not permitted. </w:t>
      </w:r>
    </w:p>
    <w:p>
      <w:pPr>
        <w:pStyle w:val="TextBody"/>
        <w:jc w:val="center"/>
        <w:rPr>
          <w:b/>
          <w:color w:val="FF4040"/>
          <w:sz w:val="20"/>
        </w:rPr>
      </w:pPr>
      <w:r>
        <w:rPr>
          <w:b/>
          <w:color w:val="FF4040"/>
          <w:sz w:val="20"/>
        </w:rPr>
        <w:t>SUBJECT TO COMPLETION, DATED JULY 20, 2006</w:t>
      </w:r>
    </w:p>
    <w:p>
      <w:pPr>
        <w:pStyle w:val="TextBody"/>
        <w:rPr>
          <w:b/>
          <w:sz w:val="20"/>
        </w:rPr>
      </w:pPr>
      <w:r>
        <w:rPr>
          <w:b/>
          <w:sz w:val="20"/>
        </w:rPr>
        <w:t>PROSPECTUS SUPPLEMENT</w:t>
        <w:br/>
        <w:t xml:space="preserve">(To Prospectus Dated July 22, 2005) </w:t>
      </w:r>
    </w:p>
    <w:p>
      <w:pPr>
        <w:pStyle w:val="TextBody"/>
        <w:jc w:val="center"/>
        <w:rPr/>
      </w:pPr>
      <w:r>
        <w:rPr/>
        <w:drawing>
          <wp:inline distT="0" distB="0" distL="0" distR="0">
            <wp:extent cx="36099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9975" cy="1114425"/>
                    </a:xfrm>
                    <a:prstGeom prst="rect">
                      <a:avLst/>
                    </a:prstGeom>
                  </pic:spPr>
                </pic:pic>
              </a:graphicData>
            </a:graphic>
          </wp:inline>
        </w:drawing>
      </w:r>
      <w:r>
        <w:rPr/>
        <w:t xml:space="preserve"> </w:t>
      </w:r>
    </w:p>
    <w:p>
      <w:pPr>
        <w:pStyle w:val="TextBody"/>
        <w:jc w:val="center"/>
        <w:rPr>
          <w:b/>
          <w:sz w:val="28"/>
        </w:rPr>
      </w:pPr>
      <w:r>
        <w:rPr>
          <w:b/>
          <w:sz w:val="28"/>
        </w:rPr>
        <w:t>3,720,930 Common Units</w:t>
        <w:br/>
        <w:t xml:space="preserve">Representing Limited Partner Interests </w:t>
      </w:r>
    </w:p>
    <w:p>
      <w:pPr>
        <w:pStyle w:val="HorizontalLine"/>
        <w:pBdr>
          <w:bottom w:val="single" w:sz="20" w:space="0" w:color="808080"/>
        </w:pBdr>
        <w:rPr/>
      </w:pPr>
      <w:r>
        <w:rPr/>
      </w:r>
    </w:p>
    <w:p>
      <w:pPr>
        <w:pStyle w:val="TextBody"/>
        <w:rPr/>
      </w:pPr>
      <w:r>
        <w:rPr/>
        <w:t>        </w:t>
      </w:r>
      <w:r>
        <w:rPr>
          <w:sz w:val="20"/>
        </w:rPr>
        <w:t xml:space="preserve">We are offering 3,720,930 common units directly to certain purchasers (the "Purchasers") in a privately negotiated transaction at a price of $43.00 per unit. We expect to receive net proceeds of approximately $163.2 million, including our general partner's proportionate capital contribution after deducting offering expenses, from this sale of our common units. </w:t>
      </w:r>
    </w:p>
    <w:p>
      <w:pPr>
        <w:pStyle w:val="HorizontalLine"/>
        <w:pBdr>
          <w:bottom w:val="single" w:sz="20" w:space="0" w:color="808080"/>
        </w:pBdr>
        <w:rPr/>
      </w:pPr>
      <w:r>
        <w:rPr/>
      </w:r>
    </w:p>
    <w:p>
      <w:pPr>
        <w:pStyle w:val="TextBody"/>
        <w:rPr/>
      </w:pPr>
      <w:r>
        <w:rPr/>
        <w:t>        </w:t>
      </w:r>
      <w:r>
        <w:rPr>
          <w:sz w:val="20"/>
        </w:rPr>
        <w:t xml:space="preserve">Our common units are listed on The New York Stock Exchange under the symbol "PAA." The last reported sale price of our common units on the New York Stock Exchange on July 19, 2006 was $44.92 per share. </w:t>
      </w:r>
    </w:p>
    <w:p>
      <w:pPr>
        <w:pStyle w:val="HorizontalLine"/>
        <w:pBdr>
          <w:bottom w:val="single" w:sz="20" w:space="0" w:color="808080"/>
        </w:pBdr>
        <w:rPr/>
      </w:pPr>
      <w:r>
        <w:rPr/>
      </w:r>
    </w:p>
    <w:p>
      <w:pPr>
        <w:pStyle w:val="TextBody"/>
        <w:rPr/>
      </w:pPr>
      <w:r>
        <w:rPr/>
        <w:t>        </w:t>
      </w:r>
      <w:r>
        <w:rPr>
          <w:b/>
          <w:sz w:val="24"/>
        </w:rPr>
        <w:t>Investing in our common units involves risks. See "Risk Factors" beginning on page S-4 of the accompanying prospectus.</w:t>
      </w:r>
    </w:p>
    <w:p>
      <w:pPr>
        <w:pStyle w:val="HorizontalLine"/>
        <w:pBdr>
          <w:bottom w:val="single" w:sz="20" w:space="0" w:color="808080"/>
        </w:pBdr>
        <w:rPr/>
      </w:pPr>
      <w:r>
        <w:rPr/>
      </w:r>
    </w:p>
    <w:p>
      <w:pPr>
        <w:pStyle w:val="TextBody"/>
        <w:rPr/>
      </w:pPr>
      <w:r>
        <w:rPr/>
        <w:t>        </w:t>
      </w:r>
      <w:r>
        <w:rPr>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jc w:val="center"/>
        <w:rPr>
          <w:sz w:val="20"/>
        </w:rPr>
      </w:pPr>
      <w:r>
        <w:rPr>
          <w:sz w:val="20"/>
        </w:rPr>
        <w:t xml:space="preserve">The date of this prospectus supplement is July     , 2006. </w:t>
      </w:r>
    </w:p>
    <w:p>
      <w:pPr>
        <w:pStyle w:val="HorizontalLine"/>
        <w:pBdr>
          <w:bottom w:val="single" w:sz="20" w:space="0" w:color="808080"/>
        </w:pBdr>
        <w:rPr/>
      </w:pPr>
      <w:r>
        <w:rPr/>
      </w:r>
      <w:r>
        <w:br w:type="page"/>
      </w:r>
    </w:p>
    <w:p>
      <w:pPr>
        <w:pStyle w:val="TextBody"/>
        <w:rPr/>
      </w:pPr>
      <w:bookmarkStart w:id="4" w:name="page_bg1181_1_1"/>
      <w:bookmarkEnd w:id="4"/>
      <w:r>
        <w:rPr/>
        <w:t>        </w:t>
      </w:r>
      <w:r>
        <w:rPr>
          <w:sz w:val="20"/>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rPr/>
      </w:pPr>
      <w:r>
        <w:rPr/>
        <w:t>        </w:t>
      </w:r>
      <w:r>
        <w:rPr>
          <w:sz w:val="20"/>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rPr/>
      </w:pPr>
      <w:r>
        <w:rPr/>
        <w:t>        </w:t>
      </w:r>
      <w:r>
        <w:rPr>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jc w:val="center"/>
        <w:rPr/>
      </w:pPr>
      <w:bookmarkStart w:id="5" w:name="toc_bg1181_1"/>
      <w:bookmarkStart w:id="6" w:name="bg1181_table_of_contents"/>
      <w:bookmarkEnd w:id="5"/>
      <w:bookmarkEnd w:id="6"/>
      <w:r>
        <w:rPr>
          <w:sz w:val="20"/>
        </w:rPr>
        <w:br/>
      </w:r>
      <w:r>
        <w:rPr>
          <w:b/>
          <w:sz w:val="20"/>
        </w:rPr>
        <w:t xml:space="preserve">TABLE OF CONTENTS </w:t>
      </w:r>
    </w:p>
    <w:p>
      <w:pPr>
        <w:pStyle w:val="TextBody"/>
        <w:jc w:val="center"/>
        <w:rPr/>
      </w:pPr>
      <w:bookmarkStart w:id="7" w:name="toc_bg1181_2"/>
      <w:bookmarkStart w:id="8" w:name="bg1181_prospectus_supplement"/>
      <w:bookmarkEnd w:id="7"/>
      <w:bookmarkEnd w:id="8"/>
      <w:r>
        <w:rPr>
          <w:sz w:val="20"/>
        </w:rPr>
        <w:br/>
      </w:r>
      <w:r>
        <w:rPr>
          <w:b/>
          <w:sz w:val="20"/>
        </w:rPr>
        <w:t xml:space="preserve">Prospectus Supplement </w:t>
      </w:r>
    </w:p>
    <w:tbl>
      <w:tblPr>
        <w:tblW w:w="3900" w:type="pct"/>
        <w:jc w:val="left"/>
        <w:tblInd w:w="0" w:type="dxa"/>
        <w:tblCellMar>
          <w:top w:w="0" w:type="dxa"/>
          <w:left w:w="0" w:type="dxa"/>
          <w:bottom w:w="0" w:type="dxa"/>
          <w:right w:w="0" w:type="dxa"/>
        </w:tblCellMar>
      </w:tblPr>
      <w:tblGrid>
        <w:gridCol w:w="7244"/>
        <w:gridCol w:w="238"/>
        <w:gridCol w:w="477"/>
      </w:tblGrid>
      <w:tr>
        <w:trPr/>
        <w:tc>
          <w:tcPr>
            <w:tcW w:w="7244" w:type="dxa"/>
            <w:tcBorders/>
            <w:shd w:fill="CCEEFF" w:val="clear"/>
          </w:tcPr>
          <w:p>
            <w:pPr>
              <w:pStyle w:val="TableContents"/>
              <w:spacing w:before="0" w:after="283"/>
              <w:rPr>
                <w:sz w:val="20"/>
              </w:rPr>
            </w:pPr>
            <w:r>
              <w:rPr>
                <w:sz w:val="20"/>
              </w:rPr>
              <w:t>PLAINS ALL AMERICAN PIPELINE, L.P.</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S-1</w:t>
            </w:r>
          </w:p>
        </w:tc>
      </w:tr>
      <w:tr>
        <w:trPr/>
        <w:tc>
          <w:tcPr>
            <w:tcW w:w="7244" w:type="dxa"/>
            <w:tcBorders/>
            <w:shd w:fill="FFFFFF" w:val="clear"/>
          </w:tcPr>
          <w:p>
            <w:pPr>
              <w:pStyle w:val="TableContents"/>
              <w:spacing w:before="0" w:after="283"/>
              <w:rPr>
                <w:sz w:val="20"/>
              </w:rPr>
            </w:pPr>
            <w:r>
              <w:rPr>
                <w:sz w:val="20"/>
              </w:rPr>
              <w:t>PROPOSED ACQUISITION OF PACIFIC ENERGY PARTNERS, L.P.</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S-3</w:t>
            </w:r>
          </w:p>
        </w:tc>
      </w:tr>
      <w:tr>
        <w:trPr/>
        <w:tc>
          <w:tcPr>
            <w:tcW w:w="7244" w:type="dxa"/>
            <w:tcBorders/>
            <w:shd w:fill="CCEEFF" w:val="clear"/>
          </w:tcPr>
          <w:p>
            <w:pPr>
              <w:pStyle w:val="TableContents"/>
              <w:spacing w:before="0" w:after="283"/>
              <w:rPr>
                <w:sz w:val="20"/>
              </w:rPr>
            </w:pPr>
            <w:r>
              <w:rPr>
                <w:sz w:val="20"/>
              </w:rPr>
              <w:t>RISK FACTORS</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S-4</w:t>
            </w:r>
          </w:p>
        </w:tc>
      </w:tr>
      <w:tr>
        <w:trPr/>
        <w:tc>
          <w:tcPr>
            <w:tcW w:w="7244" w:type="dxa"/>
            <w:tcBorders/>
            <w:shd w:fill="FFFFFF" w:val="clear"/>
          </w:tcPr>
          <w:p>
            <w:pPr>
              <w:pStyle w:val="TableContents"/>
              <w:spacing w:before="0" w:after="283"/>
              <w:rPr>
                <w:sz w:val="20"/>
              </w:rPr>
            </w:pPr>
            <w:r>
              <w:rPr>
                <w:sz w:val="20"/>
              </w:rPr>
              <w:t>USE OF PROCEEDS</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S-20</w:t>
            </w:r>
          </w:p>
        </w:tc>
      </w:tr>
      <w:tr>
        <w:trPr/>
        <w:tc>
          <w:tcPr>
            <w:tcW w:w="7244" w:type="dxa"/>
            <w:tcBorders/>
            <w:shd w:fill="CCEEFF" w:val="clear"/>
          </w:tcPr>
          <w:p>
            <w:pPr>
              <w:pStyle w:val="TableContents"/>
              <w:spacing w:before="0" w:after="283"/>
              <w:rPr>
                <w:sz w:val="20"/>
              </w:rPr>
            </w:pPr>
            <w:r>
              <w:rPr>
                <w:sz w:val="20"/>
              </w:rPr>
              <w:t>PRICE RANGE OF COMMON UNITS AND DISTRIBUTIONS</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S-20</w:t>
            </w:r>
          </w:p>
        </w:tc>
      </w:tr>
      <w:tr>
        <w:trPr/>
        <w:tc>
          <w:tcPr>
            <w:tcW w:w="7244" w:type="dxa"/>
            <w:tcBorders/>
            <w:shd w:fill="FFFFFF" w:val="clear"/>
          </w:tcPr>
          <w:p>
            <w:pPr>
              <w:pStyle w:val="TableContents"/>
              <w:spacing w:before="0" w:after="283"/>
              <w:rPr>
                <w:sz w:val="20"/>
              </w:rPr>
            </w:pPr>
            <w:r>
              <w:rPr>
                <w:sz w:val="20"/>
              </w:rPr>
              <w:t>PLAN OF DISTRIBUTION</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S-21</w:t>
            </w:r>
          </w:p>
        </w:tc>
      </w:tr>
      <w:tr>
        <w:trPr/>
        <w:tc>
          <w:tcPr>
            <w:tcW w:w="7244" w:type="dxa"/>
            <w:tcBorders/>
            <w:shd w:fill="CCEEFF" w:val="clear"/>
          </w:tcPr>
          <w:p>
            <w:pPr>
              <w:pStyle w:val="TableContents"/>
              <w:spacing w:before="0" w:after="283"/>
              <w:rPr>
                <w:sz w:val="20"/>
              </w:rPr>
            </w:pPr>
            <w:r>
              <w:rPr>
                <w:sz w:val="20"/>
              </w:rPr>
              <w:t>WHERE YOU CAN FIND MORE INFORMATION</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S-22</w:t>
            </w:r>
          </w:p>
        </w:tc>
      </w:tr>
      <w:tr>
        <w:trPr/>
        <w:tc>
          <w:tcPr>
            <w:tcW w:w="7244" w:type="dxa"/>
            <w:tcBorders/>
            <w:shd w:fill="FFFFFF" w:val="clear"/>
          </w:tcPr>
          <w:p>
            <w:pPr>
              <w:pStyle w:val="TableContents"/>
              <w:spacing w:before="0" w:after="283"/>
              <w:rPr>
                <w:sz w:val="20"/>
              </w:rPr>
            </w:pPr>
            <w:r>
              <w:rPr>
                <w:sz w:val="20"/>
              </w:rPr>
              <w:t>EXPERTS</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S-24</w:t>
            </w:r>
          </w:p>
        </w:tc>
      </w:tr>
    </w:tbl>
    <w:p>
      <w:pPr>
        <w:pStyle w:val="TextBody"/>
        <w:jc w:val="center"/>
        <w:rPr/>
      </w:pPr>
      <w:bookmarkStart w:id="9" w:name="toc_bg1181_3"/>
      <w:bookmarkStart w:id="10" w:name="bg1181_prospectus"/>
      <w:bookmarkEnd w:id="9"/>
      <w:bookmarkEnd w:id="10"/>
      <w:r>
        <w:rPr>
          <w:sz w:val="20"/>
        </w:rPr>
        <w:br/>
      </w:r>
      <w:r>
        <w:rPr>
          <w:b/>
          <w:sz w:val="20"/>
        </w:rPr>
        <w:t xml:space="preserve">Prospectus </w:t>
      </w:r>
    </w:p>
    <w:tbl>
      <w:tblPr>
        <w:tblW w:w="3900" w:type="pct"/>
        <w:jc w:val="left"/>
        <w:tblInd w:w="0" w:type="dxa"/>
        <w:tblCellMar>
          <w:top w:w="0" w:type="dxa"/>
          <w:left w:w="0" w:type="dxa"/>
          <w:bottom w:w="0" w:type="dxa"/>
          <w:right w:w="0" w:type="dxa"/>
        </w:tblCellMar>
      </w:tblPr>
      <w:tblGrid>
        <w:gridCol w:w="7482"/>
        <w:gridCol w:w="238"/>
        <w:gridCol w:w="239"/>
      </w:tblGrid>
      <w:tr>
        <w:trPr/>
        <w:tc>
          <w:tcPr>
            <w:tcW w:w="7482" w:type="dxa"/>
            <w:tcBorders/>
            <w:shd w:fill="CCEEFF" w:val="clear"/>
          </w:tcPr>
          <w:p>
            <w:pPr>
              <w:pStyle w:val="TableContents"/>
              <w:spacing w:before="0" w:after="283"/>
              <w:rPr>
                <w:sz w:val="20"/>
              </w:rPr>
            </w:pPr>
            <w:r>
              <w:rPr>
                <w:sz w:val="20"/>
              </w:rPr>
              <w:t>About this Prospectus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i</w:t>
            </w:r>
          </w:p>
        </w:tc>
      </w:tr>
      <w:tr>
        <w:trPr/>
        <w:tc>
          <w:tcPr>
            <w:tcW w:w="7482" w:type="dxa"/>
            <w:tcBorders/>
            <w:shd w:fill="FFFFFF" w:val="clear"/>
          </w:tcPr>
          <w:p>
            <w:pPr>
              <w:pStyle w:val="TableContents"/>
              <w:spacing w:before="0" w:after="283"/>
              <w:rPr>
                <w:sz w:val="20"/>
              </w:rPr>
            </w:pPr>
            <w:r>
              <w:rPr>
                <w:sz w:val="20"/>
              </w:rPr>
              <w:t>Where You Can Find More Information</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1</w:t>
            </w:r>
          </w:p>
        </w:tc>
      </w:tr>
      <w:tr>
        <w:trPr/>
        <w:tc>
          <w:tcPr>
            <w:tcW w:w="7482" w:type="dxa"/>
            <w:tcBorders/>
            <w:shd w:fill="CCEEFF" w:val="clear"/>
          </w:tcPr>
          <w:p>
            <w:pPr>
              <w:pStyle w:val="TableContents"/>
              <w:spacing w:before="0" w:after="283"/>
              <w:rPr>
                <w:sz w:val="20"/>
              </w:rPr>
            </w:pPr>
            <w:r>
              <w:rPr>
                <w:sz w:val="20"/>
              </w:rPr>
              <w:t>Forward-Looking Statements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2</w:t>
            </w:r>
          </w:p>
        </w:tc>
      </w:tr>
      <w:tr>
        <w:trPr/>
        <w:tc>
          <w:tcPr>
            <w:tcW w:w="7482" w:type="dxa"/>
            <w:tcBorders/>
            <w:shd w:fill="FFFFFF" w:val="clear"/>
          </w:tcPr>
          <w:p>
            <w:pPr>
              <w:pStyle w:val="TableContents"/>
              <w:spacing w:before="0" w:after="283"/>
              <w:rPr>
                <w:sz w:val="20"/>
              </w:rPr>
            </w:pPr>
            <w:r>
              <w:rPr>
                <w:sz w:val="20"/>
              </w:rPr>
              <w:t>Who We Are</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3</w:t>
            </w:r>
          </w:p>
        </w:tc>
      </w:tr>
      <w:tr>
        <w:trPr/>
        <w:tc>
          <w:tcPr>
            <w:tcW w:w="7482" w:type="dxa"/>
            <w:tcBorders/>
            <w:shd w:fill="CCEEFF" w:val="clear"/>
          </w:tcPr>
          <w:p>
            <w:pPr>
              <w:pStyle w:val="TableContents"/>
              <w:spacing w:before="0" w:after="283"/>
              <w:rPr>
                <w:sz w:val="20"/>
              </w:rPr>
            </w:pPr>
            <w:r>
              <w:rPr>
                <w:sz w:val="20"/>
              </w:rPr>
              <w:t>Risk Factors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5</w:t>
            </w:r>
          </w:p>
        </w:tc>
      </w:tr>
      <w:tr>
        <w:trPr/>
        <w:tc>
          <w:tcPr>
            <w:tcW w:w="7482" w:type="dxa"/>
            <w:tcBorders/>
            <w:shd w:fill="FFFFFF" w:val="clear"/>
          </w:tcPr>
          <w:p>
            <w:pPr>
              <w:pStyle w:val="TableContents"/>
              <w:spacing w:before="0" w:after="283"/>
              <w:rPr>
                <w:sz w:val="20"/>
              </w:rPr>
            </w:pPr>
            <w:r>
              <w:rPr>
                <w:sz w:val="20"/>
              </w:rPr>
              <w:t>Use of Proceeds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14</w:t>
            </w:r>
          </w:p>
        </w:tc>
      </w:tr>
      <w:tr>
        <w:trPr/>
        <w:tc>
          <w:tcPr>
            <w:tcW w:w="7482" w:type="dxa"/>
            <w:tcBorders/>
            <w:shd w:fill="CCEEFF" w:val="clear"/>
          </w:tcPr>
          <w:p>
            <w:pPr>
              <w:pStyle w:val="TableContents"/>
              <w:spacing w:before="0" w:after="283"/>
              <w:rPr>
                <w:sz w:val="20"/>
              </w:rPr>
            </w:pPr>
            <w:r>
              <w:rPr>
                <w:sz w:val="20"/>
              </w:rPr>
              <w:t>Ratio of Earnings to Fixed Charges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14</w:t>
            </w:r>
          </w:p>
        </w:tc>
      </w:tr>
      <w:tr>
        <w:trPr/>
        <w:tc>
          <w:tcPr>
            <w:tcW w:w="7482" w:type="dxa"/>
            <w:tcBorders/>
            <w:shd w:fill="FFFFFF" w:val="clear"/>
          </w:tcPr>
          <w:p>
            <w:pPr>
              <w:pStyle w:val="TableContents"/>
              <w:spacing w:before="0" w:after="283"/>
              <w:rPr>
                <w:sz w:val="20"/>
              </w:rPr>
            </w:pPr>
            <w:r>
              <w:rPr>
                <w:sz w:val="20"/>
              </w:rPr>
              <w:t>Description of Our Debt Securities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15</w:t>
            </w:r>
          </w:p>
        </w:tc>
      </w:tr>
      <w:tr>
        <w:trPr/>
        <w:tc>
          <w:tcPr>
            <w:tcW w:w="7482" w:type="dxa"/>
            <w:tcBorders/>
            <w:shd w:fill="CCEEFF" w:val="clear"/>
          </w:tcPr>
          <w:p>
            <w:pPr>
              <w:pStyle w:val="TableContents"/>
              <w:spacing w:before="0" w:after="283"/>
              <w:rPr>
                <w:sz w:val="20"/>
              </w:rPr>
            </w:pPr>
            <w:r>
              <w:rPr>
                <w:sz w:val="20"/>
              </w:rPr>
              <w:t>Description of Our Common Units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23</w:t>
            </w:r>
          </w:p>
        </w:tc>
      </w:tr>
      <w:tr>
        <w:trPr/>
        <w:tc>
          <w:tcPr>
            <w:tcW w:w="7482" w:type="dxa"/>
            <w:tcBorders/>
            <w:shd w:fill="FFFFFF" w:val="clear"/>
          </w:tcPr>
          <w:p>
            <w:pPr>
              <w:pStyle w:val="TableContents"/>
              <w:spacing w:before="0" w:after="283"/>
              <w:rPr>
                <w:sz w:val="20"/>
              </w:rPr>
            </w:pPr>
            <w:r>
              <w:rPr>
                <w:sz w:val="20"/>
              </w:rPr>
              <w:t>Cash Distribution Policy</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25</w:t>
            </w:r>
          </w:p>
        </w:tc>
      </w:tr>
      <w:tr>
        <w:trPr/>
        <w:tc>
          <w:tcPr>
            <w:tcW w:w="7482" w:type="dxa"/>
            <w:tcBorders/>
            <w:shd w:fill="CCEEFF" w:val="clear"/>
          </w:tcPr>
          <w:p>
            <w:pPr>
              <w:pStyle w:val="TableContents"/>
              <w:spacing w:before="0" w:after="283"/>
              <w:rPr>
                <w:sz w:val="20"/>
              </w:rPr>
            </w:pPr>
            <w:r>
              <w:rPr>
                <w:sz w:val="20"/>
              </w:rPr>
              <w:t>Description of Our Partnership Agreement</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29</w:t>
            </w:r>
          </w:p>
        </w:tc>
      </w:tr>
      <w:tr>
        <w:trPr/>
        <w:tc>
          <w:tcPr>
            <w:tcW w:w="7482" w:type="dxa"/>
            <w:tcBorders/>
            <w:shd w:fill="FFFFFF" w:val="clear"/>
          </w:tcPr>
          <w:p>
            <w:pPr>
              <w:pStyle w:val="TableContents"/>
              <w:spacing w:before="0" w:after="283"/>
              <w:rPr>
                <w:sz w:val="20"/>
              </w:rPr>
            </w:pPr>
            <w:r>
              <w:rPr>
                <w:sz w:val="20"/>
              </w:rPr>
              <w:t>Tax Considerations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32</w:t>
            </w:r>
          </w:p>
        </w:tc>
      </w:tr>
      <w:tr>
        <w:trPr/>
        <w:tc>
          <w:tcPr>
            <w:tcW w:w="7482" w:type="dxa"/>
            <w:tcBorders/>
            <w:shd w:fill="CCEEFF" w:val="clear"/>
          </w:tcPr>
          <w:p>
            <w:pPr>
              <w:pStyle w:val="TableContents"/>
              <w:spacing w:before="0" w:after="283"/>
              <w:rPr>
                <w:sz w:val="20"/>
              </w:rPr>
            </w:pPr>
            <w:r>
              <w:rPr>
                <w:sz w:val="20"/>
              </w:rPr>
              <w:t>Plan of Distribution</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46</w:t>
            </w:r>
          </w:p>
        </w:tc>
      </w:tr>
      <w:tr>
        <w:trPr/>
        <w:tc>
          <w:tcPr>
            <w:tcW w:w="7482" w:type="dxa"/>
            <w:tcBorders/>
            <w:shd w:fill="FFFFFF" w:val="clear"/>
          </w:tcPr>
          <w:p>
            <w:pPr>
              <w:pStyle w:val="TableContents"/>
              <w:spacing w:before="0" w:after="283"/>
              <w:rPr>
                <w:sz w:val="20"/>
              </w:rPr>
            </w:pPr>
            <w:r>
              <w:rPr>
                <w:sz w:val="20"/>
              </w:rPr>
              <w:t>Legal Matters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47</w:t>
            </w:r>
          </w:p>
        </w:tc>
      </w:tr>
      <w:tr>
        <w:trPr/>
        <w:tc>
          <w:tcPr>
            <w:tcW w:w="7482" w:type="dxa"/>
            <w:tcBorders/>
            <w:shd w:fill="CCEEFF" w:val="clear"/>
          </w:tcPr>
          <w:p>
            <w:pPr>
              <w:pStyle w:val="TableContents"/>
              <w:spacing w:before="0" w:after="283"/>
              <w:rPr>
                <w:sz w:val="20"/>
              </w:rPr>
            </w:pPr>
            <w:r>
              <w:rPr>
                <w:sz w:val="20"/>
              </w:rPr>
              <w:t>Experts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47</w:t>
            </w:r>
          </w:p>
        </w:tc>
      </w:tr>
    </w:tbl>
    <w:p>
      <w:pPr>
        <w:pStyle w:val="TextBody"/>
        <w:jc w:val="center"/>
        <w:rPr>
          <w:sz w:val="20"/>
        </w:rPr>
      </w:pPr>
      <w:r>
        <w:rPr>
          <w:sz w:val="20"/>
        </w:rPr>
        <w:t>S-i</w:t>
      </w:r>
    </w:p>
    <w:p>
      <w:pPr>
        <w:pStyle w:val="HorizontalLine"/>
        <w:pBdr>
          <w:bottom w:val="single" w:sz="20" w:space="0" w:color="808080"/>
        </w:pBdr>
        <w:rPr/>
      </w:pPr>
      <w:r>
        <w:rPr/>
      </w:r>
      <w:r>
        <w:br w:type="page"/>
      </w:r>
    </w:p>
    <w:p>
      <w:pPr>
        <w:pStyle w:val="TextBody"/>
        <w:jc w:val="center"/>
        <w:rPr/>
      </w:pPr>
      <w:bookmarkStart w:id="11" w:name="toc_da1181_1"/>
      <w:bookmarkStart w:id="12" w:name="da1181_plains_all_american_pipeline,_l.p"/>
      <w:bookmarkStart w:id="13" w:name="page_da1181_1_1"/>
      <w:bookmarkEnd w:id="11"/>
      <w:bookmarkEnd w:id="12"/>
      <w:bookmarkEnd w:id="13"/>
      <w:r>
        <w:rPr>
          <w:sz w:val="20"/>
        </w:rPr>
        <w:br/>
      </w:r>
      <w:r>
        <w:rPr>
          <w:b/>
          <w:sz w:val="20"/>
        </w:rPr>
        <w:t xml:space="preserve">PLAINS ALL AMERICAN PIPELINE, L.P. </w:t>
      </w:r>
    </w:p>
    <w:p>
      <w:pPr>
        <w:pStyle w:val="TextBody"/>
        <w:rPr/>
      </w:pPr>
      <w:r>
        <w:rPr/>
        <w:t>        </w:t>
      </w:r>
      <w:r>
        <w:rPr>
          <w:i/>
          <w:sz w:val="20"/>
        </w:rPr>
        <w:t>"Plains," "our," "we," "us" and similar terms as used in this prospectus supplement and the accompanying prospectus refer solely to Plains All American Pipeline, L.P. and its subsidiaries, and do not refer to Pacific Energy Partners, L.P. Unless the context indicates otherwise, "Pacific" as used in this prospectus supplement refers to Pacific Energy Partners, L.P. and its subsidiaries. References to the "combined company" in this prospectus supplement mean Plains All American Pipeline, L.P. and its subsidiaries following the closing of our proposed merger with Pacific and related transactions.</w:t>
      </w:r>
    </w:p>
    <w:p>
      <w:pPr>
        <w:pStyle w:val="TextBody"/>
        <w:rPr/>
      </w:pPr>
      <w:r>
        <w:rPr/>
        <w:t>        </w:t>
      </w:r>
      <w:r>
        <w:rPr>
          <w:sz w:val="20"/>
        </w:rPr>
        <w:t xml:space="preserve">Plains All American Pipeline, L.P. is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liquefied petroleum gas and other natural gas related petroleum products collectively as "LPG." In addition, through our 50% equity ownership in PAA/Vulcan Gas Storage, LLC ("PAA/Vulcan"), we are engaged in the development and operation of natural gas storage facilities. On July 20, 2006, we announced an acquisition that, when completed, will represent our initial entry into the refined products transportation business. </w:t>
      </w:r>
    </w:p>
    <w:p>
      <w:pPr>
        <w:pStyle w:val="TextBody"/>
        <w:rPr/>
      </w:pPr>
      <w:r>
        <w:rPr/>
        <w:t>        </w:t>
      </w:r>
      <w:r>
        <w:rPr>
          <w:sz w:val="20"/>
        </w:rPr>
        <w:t xml:space="preserve">We are one of the largest midstream crude oil companies in North America. We have an extensive network of pipeline transportation, terminalling, storage and gathering assets in key oil producing basins, transportation corridors and at major market hubs in the United States and Canada. Our crude oil and LPG operations can be categorized into two primary business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pPr>
      <w:r>
        <w:rPr>
          <w:i/>
          <w:sz w:val="20"/>
        </w:rPr>
        <w:t>Crude Oil Pipeline Transportation Operations</w:t>
      </w:r>
      <w:r>
        <w:rPr>
          <w:sz w:val="20"/>
        </w:rPr>
        <w:t xml:space="preserve">.    As of March 31, 2006, we owned approximately 15,000 miles of active gathering and mainline crude oil pipelines located throughout the United States and Canada (of which approximately 13,000 miles are included in our pipeline segment). Our activities from pipeline operations generally consist of transporting volumes of crude oil for a fee and third party leases of pipeline capacity, barrel exchanges and buy/sell arrangements.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pPr>
      <w:r>
        <w:rPr>
          <w:i/>
          <w:sz w:val="20"/>
        </w:rPr>
        <w:t>Gathering, Marketing, Terminalling and Storage Operations</w:t>
      </w:r>
      <w:r>
        <w:rPr>
          <w:sz w:val="20"/>
        </w:rPr>
        <w:t xml:space="preserve">.    As of March 31, 2006, we owned approximately 39 million barrels of active above-ground crude oil terminalling and storage facilities, approximately 15 million barrels of which relate to our gathering, marketing, terminalling and storage segment (the remaining approximately 24 million barrels of tankage are associated with our pipeline transportation operations within our pipeline segment). These facilities include a crude oil terminalling and storage facility at Cushing, Oklahoma. Cushing, which we refer to as the Cushing Interchange, is one of the largest crude oil market hubs in the United States and is the designated delivery point for New York Mercantile Exchange, or NYMEX, crude oil futures contracts. In 2005, we began construction of a 3.2 million barrel crude oil terminal at the St. James crude oil interchange in Louisiana, which is one of the three most liquid crude oil interchanges in the United States. The facility is expected to be operational in mid-2007. We utilize our storage tanks to counter-cyclically balance our gathering and marketing operations and to execute various hedging strategies to stabilize profits and reduce the negative impact of crude oil market volatility, while at the same time providing upside exposure to opportunities inherent in volatile market conditions. Our terminalling and storage operations also generate revenue at the Cushing Interchange and our other locations through a combination of storage and throughput charges to third parties. We also own approximately 1.8 million barrels of LPG storage. </w:t>
      </w:r>
    </w:p>
    <w:p>
      <w:pPr>
        <w:pStyle w:val="TextBody"/>
        <w:jc w:val="center"/>
        <w:rPr>
          <w:sz w:val="20"/>
        </w:rPr>
      </w:pPr>
      <w:r>
        <w:rPr>
          <w:sz w:val="20"/>
        </w:rPr>
        <w:t>S-1</w:t>
      </w:r>
    </w:p>
    <w:p>
      <w:pPr>
        <w:pStyle w:val="HorizontalLine"/>
        <w:pBdr>
          <w:bottom w:val="single" w:sz="20" w:space="0" w:color="808080"/>
        </w:pBdr>
        <w:rPr/>
      </w:pPr>
      <w:r>
        <w:rPr/>
      </w:r>
      <w:r>
        <w:br w:type="page"/>
      </w:r>
    </w:p>
    <w:p>
      <w:pPr>
        <w:pStyle w:val="ListHeading"/>
        <w:numPr>
          <w:ilvl w:val="0"/>
          <w:numId w:val="0"/>
        </w:numPr>
        <w:spacing w:before="0" w:after="0"/>
        <w:ind w:left="1414" w:right="0" w:hanging="0"/>
        <w:rPr>
          <w:sz w:val="20"/>
        </w:rPr>
      </w:pPr>
      <w:bookmarkStart w:id="14" w:name="page_da1181_1_2"/>
      <w:bookmarkEnd w:id="14"/>
      <w:r>
        <w:rPr>
          <w:sz w:val="20"/>
        </w:rPr>
        <w:t></w:t>
      </w:r>
    </w:p>
    <w:p>
      <w:pPr>
        <w:pStyle w:val="ListContents"/>
        <w:numPr>
          <w:ilvl w:val="0"/>
          <w:numId w:val="0"/>
        </w:numPr>
        <w:spacing w:before="0" w:after="283"/>
        <w:ind w:left="1981" w:right="0" w:hanging="0"/>
        <w:rPr/>
      </w:pPr>
      <w:r>
        <w:rPr>
          <w:i/>
          <w:sz w:val="20"/>
        </w:rPr>
        <w:t>Crude Oil</w:t>
      </w:r>
      <w:r>
        <w:rPr>
          <w:sz w:val="20"/>
        </w:rPr>
        <w:t xml:space="preserve">.    Our crude oil gathering and marketing activities include: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purchasing crude oil from producers at the wellhead and in bulk from aggregators at major pipeline interconnects or trading locations, as well as foreign cargoes at their load port and various other locations in transit;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transporting crude oil on our proprietary gathering assets and our common carrier pipelines or, when necessary or cost effective, assets owned and operated by third parties, including pipelines, trucks, barges and ocean-going vessels;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exchanging crude oil for another grade of crude oil or at a different geographic location, as appropriate, in order to maximize margins or meet contract delivery requirements; and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marketing crude oil to refiners or other resellers. </w:t>
      </w:r>
    </w:p>
    <w:p>
      <w:pPr>
        <w:pStyle w:val="TextBody"/>
        <w:rPr/>
      </w:pPr>
      <w:r>
        <w:rPr/>
      </w:r>
    </w:p>
    <w:p>
      <w:pPr>
        <w:pStyle w:val="TextBody"/>
        <w:rPr/>
      </w:pPr>
      <w:r>
        <w:rPr/>
        <w:t>        </w:t>
      </w:r>
      <w:r>
        <w:rPr>
          <w:sz w:val="20"/>
        </w:rPr>
        <w:t xml:space="preserve">We purchase crude oil from multiple producers and believe that we generally have established broad-based relationships with the crude oil producers in our areas of operations. Gathering and marketing activities involve relatively large volumes of transactions, often with lower margins than pipeline and terminalling and storage operations. </w:t>
      </w:r>
    </w:p>
    <w:p>
      <w:pPr>
        <w:pStyle w:val="ListHeading"/>
        <w:numPr>
          <w:ilvl w:val="0"/>
          <w:numId w:val="0"/>
        </w:numPr>
        <w:spacing w:before="0" w:after="0"/>
        <w:ind w:left="1414" w:right="0" w:hanging="0"/>
        <w:rPr>
          <w:sz w:val="20"/>
        </w:rPr>
      </w:pPr>
      <w:r>
        <w:rPr>
          <w:sz w:val="20"/>
        </w:rPr>
        <w:t></w:t>
      </w:r>
    </w:p>
    <w:p>
      <w:pPr>
        <w:pStyle w:val="ListContents"/>
        <w:numPr>
          <w:ilvl w:val="0"/>
          <w:numId w:val="0"/>
        </w:numPr>
        <w:spacing w:before="0" w:after="283"/>
        <w:ind w:left="1981" w:right="0" w:hanging="0"/>
        <w:rPr/>
      </w:pPr>
      <w:r>
        <w:rPr>
          <w:i/>
          <w:sz w:val="20"/>
        </w:rPr>
        <w:t>Liquefied Petroleum Gas and Other Petroleum Products</w:t>
      </w:r>
      <w:r>
        <w:rPr>
          <w:sz w:val="20"/>
        </w:rPr>
        <w:t xml:space="preserve">.    We also market and store LPG and other petroleum products in the United States and Canada. These activities include: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purchasing LPG (primarily propane and butane) from producers at gas plants and in bulk at major pipeline terminal points and storage locations;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transporting the LPG via common carrier pipelines, railcars and trucks to our terminals and third party facilities for subsequent resale to retailers and other wholesale customers;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exchanging product to other locations to maximize margins and/or to meet contract delivery requirements; and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engaging in isomerization, fractionation, marketing and transportation of natural gas liquids. </w:t>
      </w:r>
    </w:p>
    <w:p>
      <w:pPr>
        <w:pStyle w:val="TextBody"/>
        <w:rPr/>
      </w:pPr>
      <w:r>
        <w:rPr/>
        <w:t>        </w:t>
      </w:r>
      <w:r>
        <w:rPr>
          <w:sz w:val="20"/>
        </w:rPr>
        <w:t xml:space="preserve">We purchase LPG from numerous producers and have established long-term, broad-based relationships with LPG producers in our areas of operation. We purchase LPG directly from gas plants, major pipeline terminals, refineries and storage locations. Marketing activities for LPG typically consist of smaller volumes per transaction relative to crude oil. </w:t>
      </w:r>
    </w:p>
    <w:p>
      <w:pPr>
        <w:pStyle w:val="TextBody"/>
        <w:jc w:val="center"/>
        <w:rPr>
          <w:sz w:val="20"/>
        </w:rPr>
      </w:pPr>
      <w:r>
        <w:rPr>
          <w:sz w:val="20"/>
        </w:rPr>
        <w:t>S-2</w:t>
      </w:r>
    </w:p>
    <w:p>
      <w:pPr>
        <w:pStyle w:val="HorizontalLine"/>
        <w:pBdr>
          <w:bottom w:val="single" w:sz="20" w:space="0" w:color="808080"/>
        </w:pBdr>
        <w:rPr/>
      </w:pPr>
      <w:r>
        <w:rPr/>
      </w:r>
      <w:r>
        <w:br w:type="page"/>
      </w:r>
    </w:p>
    <w:p>
      <w:pPr>
        <w:pStyle w:val="TextBody"/>
        <w:jc w:val="center"/>
        <w:rPr/>
      </w:pPr>
      <w:bookmarkStart w:id="15" w:name="toc_dc1181_1"/>
      <w:bookmarkStart w:id="16" w:name="dc1181_proposed_acquisition_of_pacific_e"/>
      <w:bookmarkStart w:id="17" w:name="page_dc1181_1_3"/>
      <w:bookmarkEnd w:id="15"/>
      <w:bookmarkEnd w:id="16"/>
      <w:bookmarkEnd w:id="17"/>
      <w:r>
        <w:rPr>
          <w:sz w:val="20"/>
        </w:rPr>
        <w:br/>
      </w:r>
      <w:r>
        <w:rPr>
          <w:b/>
          <w:sz w:val="20"/>
        </w:rPr>
        <w:t xml:space="preserve">PROPOSED ACQUISITION OF PACIFIC ENERGY PARTNERS, L.P. </w:t>
      </w:r>
    </w:p>
    <w:p>
      <w:pPr>
        <w:pStyle w:val="TextBody"/>
        <w:rPr/>
      </w:pPr>
      <w:r>
        <w:rPr/>
        <w:t>        </w:t>
      </w:r>
      <w:r>
        <w:rPr>
          <w:sz w:val="20"/>
        </w:rPr>
        <w:t xml:space="preserve">On June 11, 2006, we entered into a purchase agreement (the "Purchase Agreement") with LB Pacific, LP, a Delaware limited partnership ("LB Pacific"), pursuant to which we will purchase from LB Pacific for an aggregate purchase price of $700 million in cash: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the issued and outstanding limited partner interest in Pacific Energy GP, LP, the general partner of Pacific ("PPX General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sole member interest in Pacific Energy Management LLC, the general partner of PPX General Partner ("General Partner Holdco"),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2,616,250 common units in Pacific,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7,848,750 subordinated units in Pacific. </w:t>
      </w:r>
    </w:p>
    <w:p>
      <w:pPr>
        <w:pStyle w:val="TextBody"/>
        <w:rPr/>
      </w:pPr>
      <w:r>
        <w:rPr/>
        <w:t>        </w:t>
      </w:r>
      <w:r>
        <w:rPr>
          <w:sz w:val="20"/>
        </w:rPr>
        <w:t xml:space="preserve">On June 11, 2006, we also entered into a merger agreement with Pacific, PPX General Partner, General Partner Holdco, Plains AAP, L.P., a Delaware limited partnership, and Plains All American GP LLC, pursuant to which Pacific will be merged into Plains, and all outstanding common units of Pacific that we do not purchase pursuant to the Purchase Agreement will be converted into our common units based on an exchange ratio of 0.77 common units of Plains per common unit of Pacific. The merger agreement was unanimously approved by Plains All American GP LLC's board of directors, as well as by the board of directors of General Partner Holdco. </w:t>
      </w:r>
    </w:p>
    <w:p>
      <w:pPr>
        <w:pStyle w:val="TextBody"/>
        <w:rPr/>
      </w:pPr>
      <w:r>
        <w:rPr/>
        <w:t>        </w:t>
      </w:r>
      <w:r>
        <w:rPr>
          <w:sz w:val="20"/>
        </w:rPr>
        <w:t xml:space="preserve">Pacific is a publicly traded Delaware limited partnership engaged principally in the business of gathering, transporting, storing, and distributing crude oil, refined products and other related products. It generates revenue primarily by transporting such commodities on its pipelines, by leasing capacity in its storage tanks, and by providing other terminalling services. Pacific also buys and sells crude oil, activities that are generally complementary to its other crude oil operations. Pacific conducts its business through two business units, the West Coast Business Unit, incorporating activities in California and the Philadelphia, Pennsylvania area, and the Rocky Mountain Business Unit, which includes activities in five Rocky Mountain states and the province of Alberta, Canada. Pacific's common units are traded on the New York Stock Exchange under the symbol "PPX." </w:t>
      </w:r>
    </w:p>
    <w:p>
      <w:pPr>
        <w:pStyle w:val="TextBody"/>
        <w:rPr/>
      </w:pPr>
      <w:r>
        <w:rPr/>
        <w:t>        </w:t>
      </w:r>
      <w:r>
        <w:rPr>
          <w:sz w:val="20"/>
        </w:rPr>
        <w:t xml:space="preserve">On July 11, 2006, together with Pacific, we filed a joint proxy statement/prospectus on Form S-4 with the Securities and Exchange Commission in connection with the proposed merger. The joint proxy statement/prospectus has not yet been declared effective by the Commission. Investors are urged to read the joint proxy statement/prospectus and any other relevant documents filed with the Commission because they contain important information regarding Plains, Pacific, and the proposed merger. </w:t>
      </w:r>
    </w:p>
    <w:p>
      <w:pPr>
        <w:pStyle w:val="TextBody"/>
        <w:rPr/>
      </w:pPr>
      <w:r>
        <w:rPr/>
        <w:t>        </w:t>
      </w:r>
      <w:r>
        <w:rPr>
          <w:sz w:val="20"/>
        </w:rPr>
        <w:t xml:space="preserve">On July 14, 2006, we filed a current report on Form 8-K that included certain historical financial statements of Pacific and pro forma financial statements for the proposed merger. This Form 8-K is incorporated by reference into the registration statement of which this prospectus forms a part, and investors are urged to read these historical and pro forma financial statements because they contain important information regarding the proposed merger. </w:t>
      </w:r>
    </w:p>
    <w:p>
      <w:pPr>
        <w:pStyle w:val="TextBody"/>
        <w:rPr/>
      </w:pPr>
      <w:r>
        <w:rPr/>
        <w:t>        </w:t>
      </w:r>
      <w:r>
        <w:rPr>
          <w:sz w:val="20"/>
        </w:rPr>
        <w:t xml:space="preserve">Investors may obtain a copy of the joint proxy statement/prospectus and other documents filed by Plains and Pacific with the Commission free of charge at the website maintained by the Commission at </w:t>
      </w:r>
      <w:r>
        <w:rPr>
          <w:i/>
          <w:sz w:val="20"/>
        </w:rPr>
        <w:t>http://www.sec.gov</w:t>
      </w:r>
      <w:r>
        <w:rPr>
          <w:sz w:val="20"/>
        </w:rPr>
        <w:t xml:space="preserve">. </w:t>
      </w:r>
    </w:p>
    <w:p>
      <w:pPr>
        <w:pStyle w:val="TextBody"/>
        <w:rPr/>
      </w:pPr>
      <w:r>
        <w:rPr/>
        <w:t>        </w:t>
      </w:r>
      <w:r>
        <w:rPr>
          <w:sz w:val="20"/>
        </w:rPr>
        <w:t xml:space="preserve">The completion of the acquisition is subject to the approval of the unitholders of Plains and Pacific as well as customary regulatory approvals, including reviews under the Hart-Scott-Rodino Antitrust Improvements Act, and the approvals of certain state and Canadian regulatory agencies. </w:t>
      </w:r>
    </w:p>
    <w:p>
      <w:pPr>
        <w:pStyle w:val="TextBody"/>
        <w:jc w:val="center"/>
        <w:rPr>
          <w:sz w:val="20"/>
        </w:rPr>
      </w:pPr>
      <w:r>
        <w:rPr>
          <w:sz w:val="20"/>
        </w:rPr>
        <w:t>S-3</w:t>
      </w:r>
    </w:p>
    <w:p>
      <w:pPr>
        <w:pStyle w:val="HorizontalLine"/>
        <w:pBdr>
          <w:bottom w:val="single" w:sz="20" w:space="0" w:color="808080"/>
        </w:pBdr>
        <w:rPr/>
      </w:pPr>
      <w:r>
        <w:rPr/>
      </w:r>
      <w:r>
        <w:br w:type="page"/>
      </w:r>
    </w:p>
    <w:p>
      <w:pPr>
        <w:pStyle w:val="TextBody"/>
        <w:jc w:val="center"/>
        <w:rPr/>
      </w:pPr>
      <w:bookmarkStart w:id="18" w:name="toc_dc1181_2"/>
      <w:bookmarkStart w:id="19" w:name="dc1181_risk_factors"/>
      <w:bookmarkStart w:id="20" w:name="page_dc1181_1_4"/>
      <w:bookmarkEnd w:id="18"/>
      <w:bookmarkEnd w:id="19"/>
      <w:bookmarkEnd w:id="20"/>
      <w:r>
        <w:rPr>
          <w:sz w:val="20"/>
        </w:rPr>
        <w:br/>
      </w:r>
      <w:r>
        <w:rPr>
          <w:b/>
          <w:sz w:val="20"/>
        </w:rPr>
        <w:t xml:space="preserve">RISK FACTORS </w:t>
      </w:r>
    </w:p>
    <w:p>
      <w:pPr>
        <w:pStyle w:val="TextBody"/>
        <w:rPr/>
      </w:pPr>
      <w:r>
        <w:rPr/>
        <w:t>        </w:t>
      </w:r>
      <w:r>
        <w:rPr>
          <w:sz w:val="20"/>
        </w:rPr>
        <w:t xml:space="preserve">You should read carefully the discussion of the material risks relating to an investment in the common units offered by us as discussed below and under the caption "Risk Factors" beginning on page 5 of the accompanying base prospectus, as well as those risks discussed in our Annual Report on Form 10-K for the year ended December 31, 2005, which are incorporated by reference into this prospectus supplement. </w:t>
      </w:r>
    </w:p>
    <w:p>
      <w:pPr>
        <w:pStyle w:val="TextBody"/>
        <w:rPr>
          <w:b/>
          <w:sz w:val="20"/>
        </w:rPr>
      </w:pPr>
      <w:r>
        <w:rPr>
          <w:b/>
          <w:sz w:val="20"/>
        </w:rPr>
        <w:t xml:space="preserve">Risks Related to the Merger and the Related Transactions </w:t>
      </w:r>
    </w:p>
    <w:p>
      <w:pPr>
        <w:pStyle w:val="TextBody"/>
        <w:rPr/>
      </w:pPr>
      <w:r>
        <w:rPr/>
        <w:t>        </w:t>
      </w:r>
      <w:r>
        <w:rPr>
          <w:b/>
          <w:i/>
          <w:sz w:val="20"/>
        </w:rPr>
        <w:t xml:space="preserve">Plains may not be able to timely and successfully integrate Pacific's operations with its operations, and thus may fail to realize all of the anticipated benefits of the transaction. </w:t>
      </w:r>
    </w:p>
    <w:p>
      <w:pPr>
        <w:pStyle w:val="TextBody"/>
        <w:rPr/>
      </w:pPr>
      <w:r>
        <w:rPr/>
        <w:t>        </w:t>
      </w:r>
      <w:r>
        <w:rPr>
          <w:sz w:val="20"/>
        </w:rPr>
        <w:t xml:space="preserve">Integration of the two previously independent companies will be a complex, time consuming and costly process. Failure to timely and successfully integrate these companies may have a material adverse effect on the combined company's business, financial condition and results of operations. The difficulties of combining the companies will present challenges to the combined company's management,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combining companies with diverse backgrounds and organizational cultures;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experiencing operational interruptions or the loss of key employees, customers or suppliers;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operating a significantly larger combined company with operations in geographic areas and business lines in which Plains has not previously operated;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consolidating corporate and administrative functions. </w:t>
      </w:r>
    </w:p>
    <w:p>
      <w:pPr>
        <w:pStyle w:val="TextBody"/>
        <w:rPr/>
      </w:pPr>
      <w:r>
        <w:rPr/>
        <w:t>        </w:t>
      </w:r>
      <w:r>
        <w:rPr>
          <w:sz w:val="20"/>
        </w:rPr>
        <w:t xml:space="preserve">The combined company will also be exposed to other risks that are commonly associated with transactions similar to the merger, such as unanticipated liabilities and costs, some of which may be material, and diversion of management's attention. As a result, the anticipated benefits of the merger, including anticipated synergies, may not be fully realized, if at all. </w:t>
      </w:r>
    </w:p>
    <w:p>
      <w:pPr>
        <w:pStyle w:val="TextBody"/>
        <w:rPr/>
      </w:pPr>
      <w:r>
        <w:rPr/>
        <w:t>        </w:t>
      </w:r>
      <w:r>
        <w:rPr>
          <w:b/>
          <w:i/>
          <w:sz w:val="20"/>
        </w:rPr>
        <w:t xml:space="preserve">The transactions contemplated by the merger agreement may not be consummated even if unitholder approvals for the merger are obtained. </w:t>
      </w:r>
    </w:p>
    <w:p>
      <w:pPr>
        <w:pStyle w:val="TextBody"/>
        <w:rPr/>
      </w:pPr>
      <w:r>
        <w:rPr/>
        <w:t>        </w:t>
      </w:r>
      <w:r>
        <w:rPr>
          <w:sz w:val="20"/>
        </w:rPr>
        <w:t xml:space="preserve">The merger agreement contains conditions that, if not satisfied or waived, would result in the merger not occurring, even though Plains' unitholders and Pacific's unitholders may have voted in favor of the merger agreement and related matters. In addition, Pacific and Plains can agree not to consummate the merger even if all unitholder approvals have been received. The closing conditions to the merger may not be satisfied, and any unsatisfied conditions may not be waived, which may cause the merger not to occur. </w:t>
      </w:r>
    </w:p>
    <w:p>
      <w:pPr>
        <w:pStyle w:val="TextBody"/>
        <w:rPr/>
      </w:pPr>
      <w:r>
        <w:rPr/>
        <w:t>        </w:t>
      </w:r>
      <w:r>
        <w:rPr>
          <w:b/>
          <w:i/>
          <w:sz w:val="20"/>
        </w:rPr>
        <w:t xml:space="preserve">While the merger agreement is in effect, Plains may be limited in its ability to pursue other attractive business opportunities. </w:t>
      </w:r>
    </w:p>
    <w:p>
      <w:pPr>
        <w:pStyle w:val="TextBody"/>
        <w:rPr/>
      </w:pPr>
      <w:r>
        <w:rPr/>
        <w:t>        </w:t>
      </w:r>
      <w:r>
        <w:rPr>
          <w:sz w:val="20"/>
        </w:rPr>
        <w:t xml:space="preserve">The merger agreement provides for the payment of up to $40 million in termination fees under specified circumstances, which fees are intended to provide a financial incentive for Plains to seek to complete the proposed merger rather than to explore alternative transactions that potentially could be more favorable to its unitholders. </w:t>
      </w:r>
    </w:p>
    <w:p>
      <w:pPr>
        <w:pStyle w:val="TextBody"/>
        <w:rPr/>
      </w:pPr>
      <w:r>
        <w:rPr/>
        <w:t>        </w:t>
      </w:r>
      <w:r>
        <w:rPr>
          <w:sz w:val="20"/>
        </w:rPr>
        <w:t xml:space="preserve">Plains has also agreed to refrain from taking certain actions with respect to its business and financial affairs pending completion of the merger or termination of the merger agreement. These restrictions could be in effect for an extended period of time if completion of the merger is delayed. </w:t>
      </w:r>
    </w:p>
    <w:p>
      <w:pPr>
        <w:pStyle w:val="TextBody"/>
        <w:rPr/>
      </w:pPr>
      <w:r>
        <w:rPr/>
        <w:t>        </w:t>
      </w:r>
      <w:r>
        <w:rPr>
          <w:sz w:val="20"/>
        </w:rPr>
        <w:t xml:space="preserve">In addition to the economic costs associated with pursuing a merger, Plains' management is devoting substantial time and other human resources to the proposed transaction and related matters, </w:t>
      </w:r>
    </w:p>
    <w:p>
      <w:pPr>
        <w:pStyle w:val="TextBody"/>
        <w:jc w:val="center"/>
        <w:rPr>
          <w:sz w:val="20"/>
        </w:rPr>
      </w:pPr>
      <w:r>
        <w:rPr>
          <w:sz w:val="20"/>
        </w:rPr>
        <w:t>S-4</w:t>
      </w:r>
    </w:p>
    <w:p>
      <w:pPr>
        <w:pStyle w:val="HorizontalLine"/>
        <w:pBdr>
          <w:bottom w:val="single" w:sz="20" w:space="0" w:color="808080"/>
        </w:pBdr>
        <w:rPr/>
      </w:pPr>
      <w:r>
        <w:rPr/>
      </w:r>
      <w:r>
        <w:br w:type="page"/>
      </w:r>
    </w:p>
    <w:p>
      <w:pPr>
        <w:pStyle w:val="TextBody"/>
        <w:rPr/>
      </w:pPr>
      <w:r>
        <w:rPr/>
      </w:r>
      <w:bookmarkStart w:id="21" w:name="page_dc1181_1_5"/>
      <w:bookmarkStart w:id="22" w:name="page_dc1181_1_5"/>
      <w:bookmarkEnd w:id="22"/>
    </w:p>
    <w:p>
      <w:pPr>
        <w:pStyle w:val="TextBody"/>
        <w:rPr>
          <w:sz w:val="20"/>
        </w:rPr>
      </w:pPr>
      <w:r>
        <w:rPr>
          <w:sz w:val="20"/>
        </w:rPr>
        <w:t xml:space="preserve">which could limit Plains' ability to pursue other attractive business opportunities, including potential joint ventures, stand-alone projects and other transactions. If Plains is unable to pursue such other attractive business opportunities, then its growth prospects and the long-term strategic position of its business and the combined business could be adversely affected. </w:t>
      </w:r>
    </w:p>
    <w:p>
      <w:pPr>
        <w:pStyle w:val="TextBody"/>
        <w:rPr/>
      </w:pPr>
      <w:r>
        <w:rPr/>
        <w:t>        </w:t>
      </w:r>
      <w:r>
        <w:rPr>
          <w:b/>
          <w:i/>
          <w:sz w:val="20"/>
        </w:rPr>
        <w:t xml:space="preserve">Regulatory agencies may delay approval of the merger, which may diminish the anticipated benefits of the merger. </w:t>
      </w:r>
    </w:p>
    <w:p>
      <w:pPr>
        <w:pStyle w:val="TextBody"/>
        <w:rPr/>
      </w:pPr>
      <w:r>
        <w:rPr/>
        <w:t>        </w:t>
      </w:r>
      <w:r>
        <w:rPr>
          <w:sz w:val="20"/>
        </w:rPr>
        <w:t xml:space="preserve">Completion of the merger is conditioned upon the receipt of required governmental consents, approvals, orders and authorizations. Although Plains and Pacific intend to pursue vigorously all required governmental approvals, the requirement to receive these approvals before the merger could delay the completion of the merger, possibly for a significant period of time after Plains' and Pacific's unitholders have approved the merger. Any delay in the completion of the merger could diminish anticipated benefits of the merger or result in additional transaction costs, loss of revenue or other effects associated with uncertainty about the transaction. Any uncertainty over the ability of the partnerships to complete the merger could make it more difficult for them to retain key employees or to pursue business strategies. In addition, until the merger is completed, the attention of management may be diverted from ongoing business concerns and regular business responsibilities to the extent management is focused on matters relating to the transaction, such as obtaining regulatory approvals. </w:t>
      </w:r>
    </w:p>
    <w:p>
      <w:pPr>
        <w:pStyle w:val="TextBody"/>
        <w:rPr/>
      </w:pPr>
      <w:r>
        <w:rPr/>
        <w:t>        </w:t>
      </w:r>
      <w:r>
        <w:rPr>
          <w:b/>
          <w:i/>
          <w:sz w:val="20"/>
        </w:rPr>
        <w:t xml:space="preserve">Regulatory agencies may require that Plains and Pacific divest significant assets as a condition to their approval of the merger. </w:t>
      </w:r>
    </w:p>
    <w:p>
      <w:pPr>
        <w:pStyle w:val="TextBody"/>
        <w:rPr/>
      </w:pPr>
      <w:r>
        <w:rPr/>
        <w:t>        </w:t>
      </w:r>
      <w:r>
        <w:rPr>
          <w:sz w:val="20"/>
        </w:rPr>
        <w:t xml:space="preserve">Plains and Pacific cannot complete the merger until the waiting period under the Hart-Scott-Rodino Antitrust Improvements Act of 1976 has expired or is otherwise terminated. As a prerequisite to obtaining clearance of the proposed merger (or to avoid an injunction), the combined company (or either or both of Plains and Pacific) may be required to divest certain assets. Pursuant to the merger agreement, Pacific is required to agree to divest any assets required by an antitrust regulator to the extent such divestitures are recommended by Plains, and Plains is required to agree to divest any Pacific assets to the extent such divestitures would not result in a material adverse effect on the business being acquired by Plains. Notwithstanding the provisions of the merger agreement, Plains and Pacific may nonetheless elect to comply with divestiture requirements of an antitrust regulator to consummate the merger. </w:t>
      </w:r>
    </w:p>
    <w:p>
      <w:pPr>
        <w:pStyle w:val="TextBody"/>
        <w:rPr/>
      </w:pPr>
      <w:r>
        <w:rPr/>
        <w:t>        </w:t>
      </w:r>
      <w:r>
        <w:rPr>
          <w:sz w:val="20"/>
        </w:rPr>
        <w:t xml:space="preserve">Divestitures of assets can be time consuming and may delay completion of the proposed merger. Because there may be a limited number of potential buyers for the assets subject to divestiture and because potential buyers will likely be aware of the circumstances of the sale, these assets could be sold at prices lower than their fair market values or the prices Plains or Pacific paid for these assets. Asset divestitures could also significantly reduce the value of the combined company, eliminate potential cost savings opportunities or lessen the anticipated benefits of the merger. </w:t>
      </w:r>
    </w:p>
    <w:p>
      <w:pPr>
        <w:pStyle w:val="TextBody"/>
        <w:rPr/>
      </w:pPr>
      <w:r>
        <w:rPr/>
        <w:t>        </w:t>
      </w:r>
      <w:r>
        <w:rPr>
          <w:sz w:val="20"/>
        </w:rPr>
        <w:t xml:space="preserve">In addition, under section 704(c) of the Code, all or a portion of any gain recognized following the merger as a result of divestitures of Plains assets may be required to be allocated to the pre-merger Plains unitholders. No special distributions will be made to the unitholders with respect to any tax liability resulting from such allocations. </w:t>
      </w:r>
    </w:p>
    <w:p>
      <w:pPr>
        <w:pStyle w:val="TextBody"/>
        <w:rPr/>
      </w:pPr>
      <w:r>
        <w:rPr/>
        <w:t>        </w:t>
      </w:r>
      <w:r>
        <w:rPr>
          <w:b/>
          <w:i/>
          <w:sz w:val="20"/>
        </w:rPr>
        <w:t xml:space="preserve">The completion of the merger will effectively require the amendment or refinancing of Pacific's credit facility. </w:t>
      </w:r>
    </w:p>
    <w:p>
      <w:pPr>
        <w:pStyle w:val="TextBody"/>
        <w:rPr/>
      </w:pPr>
      <w:r>
        <w:rPr/>
        <w:t>        </w:t>
      </w:r>
      <w:r>
        <w:rPr>
          <w:sz w:val="20"/>
        </w:rPr>
        <w:t xml:space="preserve">The completion of the merger will result in an event of default under Pacific's credit facility. To avoid a default, the credit facility must be amended or refinanced at or before the completion of the merger. Plains currently intends to refinance this credit facility in connection with the completion of the merger. If Pacific's credit facility is not amended or refinanced prior to the completion of the merger, the resulting default could have a material adverse effect on the combined company. </w:t>
      </w:r>
    </w:p>
    <w:p>
      <w:pPr>
        <w:pStyle w:val="TextBody"/>
        <w:jc w:val="center"/>
        <w:rPr>
          <w:sz w:val="20"/>
        </w:rPr>
      </w:pPr>
      <w:r>
        <w:rPr>
          <w:sz w:val="20"/>
        </w:rPr>
        <w:t>S-5</w:t>
      </w:r>
    </w:p>
    <w:p>
      <w:pPr>
        <w:pStyle w:val="HorizontalLine"/>
        <w:pBdr>
          <w:bottom w:val="single" w:sz="20" w:space="0" w:color="808080"/>
        </w:pBdr>
        <w:rPr/>
      </w:pPr>
      <w:r>
        <w:rPr/>
      </w:r>
      <w:r>
        <w:br w:type="page"/>
      </w:r>
    </w:p>
    <w:p>
      <w:pPr>
        <w:pStyle w:val="TextBody"/>
        <w:rPr/>
      </w:pPr>
      <w:r>
        <w:rPr/>
      </w:r>
      <w:bookmarkStart w:id="23" w:name="page_dc1181_1_6"/>
      <w:bookmarkStart w:id="24" w:name="page_dc1181_1_6"/>
      <w:bookmarkEnd w:id="24"/>
    </w:p>
    <w:p>
      <w:pPr>
        <w:pStyle w:val="TextBody"/>
        <w:rPr/>
      </w:pPr>
      <w:r>
        <w:rPr/>
        <w:t>        </w:t>
      </w:r>
      <w:r>
        <w:rPr>
          <w:b/>
          <w:i/>
          <w:sz w:val="20"/>
        </w:rPr>
        <w:t xml:space="preserve">The closing of the merger may trigger a repurchase obligation with respect to Pacific's outstanding senior notes. </w:t>
      </w:r>
    </w:p>
    <w:p>
      <w:pPr>
        <w:pStyle w:val="TextBody"/>
        <w:rPr/>
      </w:pPr>
      <w:r>
        <w:rPr/>
        <w:t>        </w:t>
      </w:r>
      <w:r>
        <w:rPr>
          <w:sz w:val="20"/>
        </w:rPr>
        <w:t xml:space="preserve">The closing of the merger will constitute a "change of control" under Pacific's indentures for its senior notes. If the change of control results in a ratings downgrade of the Pacific senior notes by either Moody's Investors Service or Standard &amp; Poor's within 90 days after the change of control has occurred, the combined company will be obligated to offer to repurchase each holder's senior notes at 101% of their aggregate principal amount, plus accrued interest. Pacific has $425 million aggregate principal amount of senior notes outstanding. </w:t>
      </w:r>
    </w:p>
    <w:p>
      <w:pPr>
        <w:pStyle w:val="TextBody"/>
        <w:rPr/>
      </w:pPr>
      <w:r>
        <w:rPr/>
        <w:t>        </w:t>
      </w:r>
      <w:r>
        <w:rPr>
          <w:sz w:val="20"/>
        </w:rPr>
        <w:t xml:space="preserve">If the combined company makes an offer to repurchase the notes, it is possible that holders of a large amount of Pacific's notes may exercise their repurchase right, in which case the combined company would be required to raise significant capital in the short term to fulfill the repurchase obligations. If the combined company were for any reason unable to satisfy the repurchase obligations, it would result in an event of default under Pacific's indentures, which could have a material adverse effect on the combined company. </w:t>
      </w:r>
    </w:p>
    <w:p>
      <w:pPr>
        <w:pStyle w:val="TextBody"/>
        <w:rPr>
          <w:b/>
          <w:sz w:val="20"/>
        </w:rPr>
      </w:pPr>
      <w:r>
        <w:rPr>
          <w:b/>
          <w:sz w:val="20"/>
        </w:rPr>
        <w:t xml:space="preserve">Risks Related to the Combined Company's Business </w:t>
      </w:r>
    </w:p>
    <w:p>
      <w:pPr>
        <w:pStyle w:val="TextBody"/>
        <w:rPr/>
      </w:pPr>
      <w:r>
        <w:rPr/>
        <w:t>        </w:t>
      </w:r>
      <w:r>
        <w:rPr>
          <w:b/>
          <w:i/>
          <w:sz w:val="20"/>
        </w:rPr>
        <w:t xml:space="preserve">The combined company's future financial and operating flexibility may be adversely affected by restrictions in its debt agreements and by its leverage. </w:t>
      </w:r>
    </w:p>
    <w:p>
      <w:pPr>
        <w:pStyle w:val="TextBody"/>
        <w:rPr/>
      </w:pPr>
      <w:r>
        <w:rPr/>
        <w:t>        </w:t>
      </w:r>
      <w:r>
        <w:rPr>
          <w:sz w:val="20"/>
        </w:rPr>
        <w:t xml:space="preserve">Following the completion of the merger, the combined company will have a substantially increased level of consolidated debt. On a pro forma basis for the merger, the combined company's consolidated long-term debt as of March 31, 2006 is estimated to be approximately $2.3 billion. Among other things, this increased leverage may be viewed negatively by credit rating agencies. Pacific's indentures for its senior notes contain non-investment grade, or high-yield, financial covenants and other restrictions. These indentures restrict, among other things, Pacific's ability to pay distributions, incur debt, sell assets, enter into affiliate transactions or create liens on its assets. In the event that the combined company maintains Plains' current investment grade credit ratings, the high-yield covenants contained in Pacific's senior note indentures will fall away, effectively resulting in indentures with investment grade covenants. In the event that the combined company does not maintain Plains' investment grade credit ratings following the merger, the combined company will be subject to the high-yield covenants currently contained in Pacific's senior note indentures. Accordingly, the combined company would be required to comply with these restrictive covenants on an enterprise-wide basis and could be subject to increased capital costs. </w:t>
      </w:r>
    </w:p>
    <w:p>
      <w:pPr>
        <w:pStyle w:val="TextBody"/>
        <w:rPr/>
      </w:pPr>
      <w:r>
        <w:rPr/>
        <w:t>        </w:t>
      </w:r>
      <w:r>
        <w:rPr>
          <w:sz w:val="20"/>
        </w:rPr>
        <w:t xml:space="preserve">Debt service obligations, restrictive covenants in its revolving credit facility and the indentures governing its outstanding senior notes and maturities resulting from this leverage may adversely affect the combined company's ability to finance future operations, pursue acquisitions and fund other capital needs and the combined company's ability to pay cash distributions to unitholders, and may make the combined company's results of operations more susceptible to adverse economic or operating conditions. During an event of default under any of its debt agreements, the combined company would be prohibited from making cash distributions to its unitholders. </w:t>
      </w:r>
    </w:p>
    <w:p>
      <w:pPr>
        <w:pStyle w:val="TextBody"/>
        <w:rPr/>
      </w:pPr>
      <w:r>
        <w:rPr/>
        <w:t>        </w:t>
      </w:r>
      <w:r>
        <w:rPr>
          <w:b/>
          <w:i/>
          <w:sz w:val="20"/>
        </w:rPr>
        <w:t xml:space="preserve">The combined company's trading policies cannot eliminate all price risks. In addition, any non-compliance with the combined company's trading policies could result in significant financial losses. </w:t>
      </w:r>
    </w:p>
    <w:p>
      <w:pPr>
        <w:pStyle w:val="TextBody"/>
        <w:rPr/>
      </w:pPr>
      <w:r>
        <w:rPr/>
        <w:t>        </w:t>
      </w:r>
      <w:r>
        <w:rPr>
          <w:sz w:val="20"/>
        </w:rPr>
        <w:t xml:space="preserve">Generally, it will be the combined company's policy that it establish a margin for crude oil purchased by selling crude oil for physical delivery to third party users, such as independent refiners or major oil companies, or by entering into a future delivery obligation under futures contracts on the NYMEX, the Intercontinental Exchange and over-the-counter. Through these transactions, the combined company will seek to maintain a position that is substantially balanced between purchases, on the one hand, and sales or future delivery obligations, on the other hand. Plains expects that the </w:t>
      </w:r>
    </w:p>
    <w:p>
      <w:pPr>
        <w:pStyle w:val="TextBody"/>
        <w:jc w:val="center"/>
        <w:rPr>
          <w:sz w:val="20"/>
        </w:rPr>
      </w:pPr>
      <w:r>
        <w:rPr>
          <w:sz w:val="20"/>
        </w:rPr>
        <w:t>S-6</w:t>
      </w:r>
    </w:p>
    <w:p>
      <w:pPr>
        <w:pStyle w:val="HorizontalLine"/>
        <w:pBdr>
          <w:bottom w:val="single" w:sz="20" w:space="0" w:color="808080"/>
        </w:pBdr>
        <w:rPr/>
      </w:pPr>
      <w:r>
        <w:rPr/>
      </w:r>
      <w:r>
        <w:br w:type="page"/>
      </w:r>
    </w:p>
    <w:p>
      <w:pPr>
        <w:pStyle w:val="TextBody"/>
        <w:rPr/>
      </w:pPr>
      <w:r>
        <w:rPr/>
      </w:r>
      <w:bookmarkStart w:id="25" w:name="page_dc1181_1_7"/>
      <w:bookmarkStart w:id="26" w:name="page_dc1181_1_7"/>
      <w:bookmarkEnd w:id="26"/>
    </w:p>
    <w:p>
      <w:pPr>
        <w:pStyle w:val="TextBody"/>
        <w:rPr>
          <w:sz w:val="20"/>
        </w:rPr>
      </w:pPr>
      <w:r>
        <w:rPr>
          <w:sz w:val="20"/>
        </w:rPr>
        <w:t xml:space="preserve">combined company's policy generally will be not to acquire and hold crude oil, futures contracts or derivative products for the purpose of speculating on price changes. These policies and practices cannot, however, eliminate all price risks. For example, any event that disrupts the combined company's anticipated physical supply of crude oil could expose it to risk of loss resulting from price changes. The combined company will also be exposed to basis risk when crude oil is purchased against one pricing index and sold against a different index. Moreover, the combined company will be exposed to some risks that are not hedged, including price risks on certain of its inventory, such as pipeline linefill, which must be maintained in order to transport crude oil on pipelines. In addition, the combined company will engage in a controlled trading program for up to an aggregate of 500,000 barrels of crude oil. Although this activity will be monitored independently by the combined company's risk management function, it exposes the combined company to price risks within predefined limits and authorizations. </w:t>
      </w:r>
    </w:p>
    <w:p>
      <w:pPr>
        <w:pStyle w:val="TextBody"/>
        <w:rPr/>
      </w:pPr>
      <w:r>
        <w:rPr/>
        <w:t>        </w:t>
      </w:r>
      <w:r>
        <w:rPr>
          <w:sz w:val="20"/>
        </w:rPr>
        <w:t xml:space="preserve">In addition, the combined company's trading operations may involve the risk of non-compliance with its trading policies. For example, Plains discovered in November 1999 that its trading policy was violated by one of its former employees, which resulted in aggregate losses of approximately $181.0 million. Plains has taken steps within its organization to enhance its processes and procedures to detect unauthorized trading. There is no assurance, however, that these steps will detect and prevent all violations of the combined company's trading policies and procedures, particularly if deception or other intentional misconduct is involved. </w:t>
      </w:r>
    </w:p>
    <w:p>
      <w:pPr>
        <w:pStyle w:val="TextBody"/>
        <w:rPr/>
      </w:pPr>
      <w:r>
        <w:rPr/>
        <w:t>        </w:t>
      </w:r>
      <w:r>
        <w:rPr>
          <w:b/>
          <w:i/>
          <w:sz w:val="20"/>
        </w:rPr>
        <w:t xml:space="preserve">The nature of the combined company's business and assets will expose it to significant compliance costs and liabilities. </w:t>
      </w:r>
    </w:p>
    <w:p>
      <w:pPr>
        <w:pStyle w:val="TextBody"/>
        <w:rPr/>
      </w:pPr>
      <w:r>
        <w:rPr/>
        <w:t>        </w:t>
      </w:r>
      <w:r>
        <w:rPr>
          <w:sz w:val="20"/>
        </w:rPr>
        <w:t xml:space="preserve">The combined company's operations involving the storage, treatment, processing, and transportation of liquid hydrocarbons will be subject to stringent federal, state, and local laws and regulations governing the discharge of materials into the environment. The combined company's segment operations also will be subject to laws and regulations relating to protection of the environment, operational safety and related matters. Compliance with all of these laws and regulations will increase the combined company's overall cost of doing business, including its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inhibit or prohibit the combined company's operations, or claims of damages to property or persons. </w:t>
      </w:r>
    </w:p>
    <w:p>
      <w:pPr>
        <w:pStyle w:val="TextBody"/>
        <w:rPr/>
      </w:pPr>
      <w:r>
        <w:rPr/>
        <w:t>        </w:t>
      </w:r>
      <w:r>
        <w:rPr>
          <w:sz w:val="20"/>
        </w:rPr>
        <w:t xml:space="preserve">Pro forma for the merger, the combined company would own more than three times the miles of pipeline Plains owned three years ago. As Plains has expanded its pipeline assets, it has experienced a corresponding increase in the number of releases of crude oil to the environment. The combined company will be exposed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The incurrence of such expenses not covered by insurance, indemnity or reserves could materially adversely affect the combined company's results of operations. </w:t>
      </w:r>
    </w:p>
    <w:p>
      <w:pPr>
        <w:pStyle w:val="TextBody"/>
        <w:rPr/>
      </w:pPr>
      <w:r>
        <w:rPr/>
        <w:t>        </w:t>
      </w:r>
      <w:r>
        <w:rPr>
          <w:sz w:val="20"/>
        </w:rPr>
        <w:t xml:space="preserve">Plains and Pacific each currently spend substantial amounts to comply with DOT-mandated pipeline integrity rules. The U.S. Department of Transportation ("DOT") is currently in the process of expanding the scope of its pipeline regulation to include the establishment of additional pipeline integrity management programs for certain gathering pipeline systems that are not currently subject to regulation. Neither Plains nor Pacific currently knows what, if any, impact this will have on the combined company's operating expenses. </w:t>
      </w:r>
    </w:p>
    <w:p>
      <w:pPr>
        <w:pStyle w:val="TextBody"/>
        <w:jc w:val="center"/>
        <w:rPr>
          <w:sz w:val="20"/>
        </w:rPr>
      </w:pPr>
      <w:r>
        <w:rPr>
          <w:sz w:val="20"/>
        </w:rPr>
        <w:t>S-7</w:t>
      </w:r>
    </w:p>
    <w:p>
      <w:pPr>
        <w:pStyle w:val="HorizontalLine"/>
        <w:pBdr>
          <w:bottom w:val="single" w:sz="20" w:space="0" w:color="808080"/>
        </w:pBdr>
        <w:rPr/>
      </w:pPr>
      <w:r>
        <w:rPr/>
      </w:r>
      <w:r>
        <w:br w:type="page"/>
      </w:r>
    </w:p>
    <w:p>
      <w:pPr>
        <w:pStyle w:val="TextBody"/>
        <w:rPr/>
      </w:pPr>
      <w:bookmarkStart w:id="27" w:name="page_de1181_1_8"/>
      <w:bookmarkEnd w:id="27"/>
      <w:r>
        <w:rPr/>
        <w:t>        </w:t>
      </w:r>
      <w:r>
        <w:rPr>
          <w:sz w:val="20"/>
        </w:rPr>
        <w:t xml:space="preserve">During 2006, Plains is expanding an internal review process started in 2004 in which it is reviewing various aspects of its pipeline and gathering systems that are not subject to the DOT pipeline integrity management rules. The purpose of this process is to review the surrounding environment, condition and operating history of these pipeline and gathering assets to determine if such assets warrant additional investment or replacement. Accordingly, the combined company could be required (as a result of additional DOT regulation), or it may elect (as a result of its own internal initiatives), to spend substantial sums to ensure the integrity of and upgrade its pipeline systems to maintain environmental compliance, and in some cases, the combined company may take pipelines out of service if it believes the cost of upgrades will exceed the value of the pipelines. Plains cannot provide any assurance as to the ultimate amount or timing of future pipeline integrity expenditures for environmental compliance. </w:t>
      </w:r>
    </w:p>
    <w:p>
      <w:pPr>
        <w:pStyle w:val="TextBody"/>
        <w:rPr/>
      </w:pPr>
      <w:r>
        <w:rPr/>
        <w:t>        </w:t>
      </w:r>
      <w:r>
        <w:rPr>
          <w:b/>
          <w:i/>
          <w:sz w:val="20"/>
        </w:rPr>
        <w:t xml:space="preserve">Loss of credit rating or the ability to receive open credit could negatively affect the combined company's ability to capitalize on a volatile market. </w:t>
      </w:r>
    </w:p>
    <w:p>
      <w:pPr>
        <w:pStyle w:val="TextBody"/>
        <w:rPr/>
      </w:pPr>
      <w:r>
        <w:rPr/>
        <w:t>        </w:t>
      </w:r>
      <w:r>
        <w:rPr>
          <w:sz w:val="20"/>
        </w:rPr>
        <w:t xml:space="preserve">Plains believes that, because of the combined company's strategic asset base and complementary business models, the combined company will continue to benefit from swings in market prices and shifts in market structure during periods of volatility in the crude oil market. The combined company's ability to capture that benefit, however, will be subject to numerous risks and uncertainties, including its maintaining an attractive credit rating and continuing to receive open credit from its suppliers and trade counter-parties. </w:t>
      </w:r>
    </w:p>
    <w:p>
      <w:pPr>
        <w:pStyle w:val="TextBody"/>
        <w:rPr/>
      </w:pPr>
      <w:r>
        <w:rPr/>
        <w:t>        </w:t>
      </w:r>
      <w:r>
        <w:rPr>
          <w:b/>
          <w:i/>
          <w:sz w:val="20"/>
        </w:rPr>
        <w:t xml:space="preserve">A significant portion of the combined company's segment profit will be dependent upon an adequate supply of crude oil from fields located offshore and onshore in California. Production from these fields has experienced substantial production declines. </w:t>
      </w:r>
    </w:p>
    <w:p>
      <w:pPr>
        <w:pStyle w:val="TextBody"/>
        <w:rPr/>
      </w:pPr>
      <w:r>
        <w:rPr/>
        <w:t>        </w:t>
      </w:r>
      <w:r>
        <w:rPr>
          <w:sz w:val="20"/>
        </w:rPr>
        <w:t xml:space="preserve">A significant portion of the combined company's segment profit will be derived from pipeline transportation margins associated with the Santa Ynez and Point Arguello fields located offshore California and the onshore fields in the San Joaquin Valley. Plains expects that there will continue to be natural production declines from each of these fields as the underlying reservoirs are depleted. Plains estimates that a 5,000 barrel per day decline in volumes shipped from the outer continental shelf fields would result in a decrease in annual pipeline segment profit of the combined company of approximately $6.1 million ($3.6 million from Plains' operations and $2.5 million from Pacific's operations). A similar decline in volumes shipped from the San Joaquin Valley would result in an estimated $3.2 million decrease in annual pipeline segment profit of the combined company, the majority of which would be related to the Pacific business. In addition to natural production declines, any significant production disruption from the outer continental shelf fields and the San Joaquin Valley due to production problems, transportation problems or other reasons could also have a similar effect on the combined company's business. </w:t>
      </w:r>
    </w:p>
    <w:p>
      <w:pPr>
        <w:pStyle w:val="TextBody"/>
        <w:rPr/>
      </w:pPr>
      <w:r>
        <w:rPr/>
        <w:t>        </w:t>
      </w:r>
      <w:r>
        <w:rPr>
          <w:b/>
          <w:i/>
          <w:sz w:val="20"/>
        </w:rPr>
        <w:t xml:space="preserve">The profitability of the combined company's pipeline transportation and gathering, marketing, terminalling and storage operations will depend on the volume of crude oil shipped, purchased and gathered. </w:t>
      </w:r>
    </w:p>
    <w:p>
      <w:pPr>
        <w:pStyle w:val="TextBody"/>
        <w:rPr/>
      </w:pPr>
      <w:r>
        <w:rPr/>
        <w:t>        </w:t>
      </w:r>
      <w:r>
        <w:rPr>
          <w:sz w:val="20"/>
        </w:rPr>
        <w:t xml:space="preserve">Third party shippers generally do not have long-term contractual commitments to ship crude oil on Plains' or Pacific's pipelines. A decision by a shipper to substantially reduce or cease to ship volumes of crude oil on the combined company's pipelines could cause a significant decline in its revenues. For example, Plains estimates that an average 20,000 barrel per day variance in the Basin Pipeline System within the current operating window, equivalent to an approximate 7% volume variance on that system, would change annualized segment profit by approximately $1.4 million. In addition, Plains estimates that an average 10,000 barrel per day variance on the Capline Pipeline System, equivalent to an approximate 7% volume variance on that system, would change annualized segment profit by approximately $1.3 million. </w:t>
      </w:r>
    </w:p>
    <w:p>
      <w:pPr>
        <w:pStyle w:val="TextBody"/>
        <w:jc w:val="center"/>
        <w:rPr>
          <w:sz w:val="20"/>
        </w:rPr>
      </w:pPr>
      <w:r>
        <w:rPr>
          <w:sz w:val="20"/>
        </w:rPr>
        <w:t>S-8</w:t>
      </w:r>
    </w:p>
    <w:p>
      <w:pPr>
        <w:pStyle w:val="HorizontalLine"/>
        <w:pBdr>
          <w:bottom w:val="single" w:sz="20" w:space="0" w:color="808080"/>
        </w:pBdr>
        <w:rPr/>
      </w:pPr>
      <w:r>
        <w:rPr/>
      </w:r>
      <w:r>
        <w:br w:type="page"/>
      </w:r>
    </w:p>
    <w:p>
      <w:pPr>
        <w:pStyle w:val="TextBody"/>
        <w:rPr/>
      </w:pPr>
      <w:r>
        <w:rPr/>
      </w:r>
      <w:bookmarkStart w:id="28" w:name="page_de1181_1_9"/>
      <w:bookmarkStart w:id="29" w:name="page_de1181_1_9"/>
      <w:bookmarkEnd w:id="29"/>
    </w:p>
    <w:p>
      <w:pPr>
        <w:pStyle w:val="TextBody"/>
        <w:rPr/>
      </w:pPr>
      <w:r>
        <w:rPr/>
        <w:t>        </w:t>
      </w:r>
      <w:r>
        <w:rPr>
          <w:sz w:val="20"/>
        </w:rPr>
        <w:t xml:space="preserve">To maintain the volumes of crude oil the combined company purchases in connection with its gathering, marketing, terminalling and storage operations, the combined company will need to continue to contract for new supplies of domestic crude oil or increase its foreign activities in order to offset volumes lost because of natural declines in domestic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the combined company may experience difficulty acquiring crude oil at the wellhead in areas where relationships already exist between producers and other gatherers and purchasers of crude oil. Plains estimates that a 15,000 barrel per day decrease in barrels gathered by the combined company would have an approximate $4.4 million per year negative impact on segment profit. This impact assumes a reasonable margin throughout various market conditions. Actual margins vary based on the location of the crude oil, the strength or weakness of the market and the grade or quality of crude oil. Plains estimates that a $0.01 variance in the average segment profit per barrel would have an approximate $2.6 million annual effect on segment profit. </w:t>
      </w:r>
    </w:p>
    <w:p>
      <w:pPr>
        <w:pStyle w:val="TextBody"/>
        <w:rPr/>
      </w:pPr>
      <w:r>
        <w:rPr/>
        <w:t>        </w:t>
      </w:r>
      <w:r>
        <w:rPr>
          <w:b/>
          <w:i/>
          <w:sz w:val="20"/>
        </w:rPr>
        <w:t xml:space="preserve">Fluctuations in demand could negatively affect the combined company's operating results. </w:t>
      </w:r>
    </w:p>
    <w:p>
      <w:pPr>
        <w:pStyle w:val="TextBody"/>
        <w:rPr/>
      </w:pPr>
      <w:r>
        <w:rPr/>
        <w:t>        </w:t>
      </w:r>
      <w:r>
        <w:rPr>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the combined company's transportation assets to satisfy their demand by deliveries through those assets. </w:t>
      </w:r>
    </w:p>
    <w:p>
      <w:pPr>
        <w:pStyle w:val="TextBody"/>
        <w:rPr/>
      </w:pPr>
      <w:r>
        <w:rPr/>
        <w:t>        </w:t>
      </w:r>
      <w:r>
        <w:rPr>
          <w:sz w:val="20"/>
        </w:rPr>
        <w:t xml:space="preserve">Fluctuations in demand for crude oil, such as those caused by refinery downtime or shutdown, could have a negative effect on the combined company's operating results. Specifically, reduced demand in an area serviced by the combined company's transmission systems will negatively affect the throughput on such systems. Although the negative impact may be mitigated or overcome by the combined company's ability to capture differentials created by demand fluctuations, this ability is dependent on location and grade of crude oil, and thus is unpredictable. </w:t>
      </w:r>
    </w:p>
    <w:p>
      <w:pPr>
        <w:pStyle w:val="TextBody"/>
        <w:rPr/>
      </w:pPr>
      <w:r>
        <w:rPr/>
        <w:t>        </w:t>
      </w:r>
      <w:r>
        <w:rPr>
          <w:b/>
          <w:i/>
          <w:sz w:val="20"/>
        </w:rPr>
        <w:t xml:space="preserve">The combined company's pipeline systems will be dependent upon its interconnections with other crude oil pipelines to reach end markets. </w:t>
      </w:r>
    </w:p>
    <w:p>
      <w:pPr>
        <w:pStyle w:val="TextBody"/>
        <w:rPr/>
      </w:pPr>
      <w:r>
        <w:rPr/>
        <w:t>        </w:t>
      </w:r>
      <w:r>
        <w:rPr>
          <w:sz w:val="20"/>
        </w:rPr>
        <w:t xml:space="preserve">In many cases, the crude oil carried on the combined company's pipeline system will need to be routed onto third party pipelines to reach the refinery or other end market. Reduced throughput on these interconnecting pipelines as a result of testing, line repair, reduced operating pressures or other causes could result in reduced throughput on the combined company's pipeline systems that would adversely affect its profitability. </w:t>
      </w:r>
    </w:p>
    <w:p>
      <w:pPr>
        <w:pStyle w:val="TextBody"/>
        <w:rPr/>
      </w:pPr>
      <w:r>
        <w:rPr/>
        <w:t>        </w:t>
      </w:r>
      <w:r>
        <w:rPr>
          <w:b/>
          <w:i/>
          <w:sz w:val="20"/>
        </w:rPr>
        <w:t xml:space="preserve">The combined company will face competition in its pipeline and gathering, marketing, terminalling and storage activities. </w:t>
      </w:r>
    </w:p>
    <w:p>
      <w:pPr>
        <w:pStyle w:val="TextBody"/>
        <w:rPr/>
      </w:pPr>
      <w:r>
        <w:rPr/>
        <w:t>        </w:t>
      </w:r>
      <w:r>
        <w:rPr>
          <w:sz w:val="20"/>
        </w:rPr>
        <w:t xml:space="preserve">The combined company's competitors will include other crude oil pipelines, the major integrated oil companies, their marketing affiliates, and independent gatherers, brokers and marketers and local distribution companies of widely varying sizes, financial resources and experience. Some of these competitors have capital resources many times greater than those of the combined company and control greater supplies of crude oil. </w:t>
      </w:r>
    </w:p>
    <w:p>
      <w:pPr>
        <w:pStyle w:val="TextBody"/>
        <w:jc w:val="center"/>
        <w:rPr>
          <w:sz w:val="20"/>
        </w:rPr>
      </w:pPr>
      <w:r>
        <w:rPr>
          <w:sz w:val="20"/>
        </w:rPr>
        <w:t>S-9</w:t>
      </w:r>
    </w:p>
    <w:p>
      <w:pPr>
        <w:pStyle w:val="HorizontalLine"/>
        <w:pBdr>
          <w:bottom w:val="single" w:sz="20" w:space="0" w:color="808080"/>
        </w:pBdr>
        <w:rPr/>
      </w:pPr>
      <w:r>
        <w:rPr/>
      </w:r>
      <w:r>
        <w:br w:type="page"/>
      </w:r>
    </w:p>
    <w:p>
      <w:pPr>
        <w:pStyle w:val="TextBody"/>
        <w:rPr/>
      </w:pPr>
      <w:r>
        <w:rPr/>
      </w:r>
      <w:bookmarkStart w:id="30" w:name="page_de1181_1_10"/>
      <w:bookmarkStart w:id="31" w:name="page_de1181_1_10"/>
      <w:bookmarkEnd w:id="31"/>
    </w:p>
    <w:p>
      <w:pPr>
        <w:pStyle w:val="TextBody"/>
        <w:rPr/>
      </w:pPr>
      <w:r>
        <w:rPr/>
        <w:t>        </w:t>
      </w:r>
      <w:r>
        <w:rPr>
          <w:b/>
          <w:i/>
          <w:sz w:val="20"/>
        </w:rPr>
        <w:t xml:space="preserve">The combined company may not be able to fully capitalize upon planned growth projects. </w:t>
      </w:r>
    </w:p>
    <w:p>
      <w:pPr>
        <w:pStyle w:val="TextBody"/>
        <w:rPr/>
      </w:pPr>
      <w:r>
        <w:rPr/>
        <w:t>        </w:t>
      </w:r>
      <w:r>
        <w:rPr>
          <w:sz w:val="20"/>
        </w:rPr>
        <w:t xml:space="preserve">The combined company will have a number of significant organic growth projects that require the expenditure of significant amounts of capital, including Pacific's Pier 400 project, Salt Lake City expansion and Cheyenne pipeline projects, and Plains' Pine Prairie joint venture and St. James terminal projects. Many of these projects involve numerous regulatory, environmental, weather-related, political and legal uncertainties that will be beyond the control of the combined company. As these projects are undertaken, required approvals may not be obtained, may be delayed or may be obtained with conditions that materially alter the expected return associated with the underlying projects. These projects may require significant outlays of capital. Moreover, revenues associated with these organic growth projects will not increase immediately upon the expenditures of funds with respect to a particular project and these projects may be completed behind schedule or over budgeted cost. Because of continuing increased demand for materials, equipment and services, there could be shortages and cost increases associated with construction projects. The combined company may construct pipelines, facilities or other assets in anticipation of market demand that dissipates or market growth that never materializes. As a result of these uncertainties, the anticipated benefits associated with the combined company's capital projects may not be achieved. </w:t>
      </w:r>
    </w:p>
    <w:p>
      <w:pPr>
        <w:pStyle w:val="TextBody"/>
        <w:rPr/>
      </w:pPr>
      <w:r>
        <w:rPr/>
        <w:t>        </w:t>
      </w:r>
      <w:r>
        <w:rPr>
          <w:b/>
          <w:i/>
          <w:sz w:val="20"/>
        </w:rPr>
        <w:t xml:space="preserve">Plains has limited history in developing or operating natural gas storage facilities, and there are other risks associated with developing this business. </w:t>
      </w:r>
    </w:p>
    <w:p>
      <w:pPr>
        <w:pStyle w:val="TextBody"/>
        <w:rPr/>
      </w:pPr>
      <w:r>
        <w:rPr/>
        <w:t>        </w:t>
      </w:r>
      <w:r>
        <w:rPr>
          <w:sz w:val="20"/>
        </w:rPr>
        <w:t xml:space="preserve">Plains entered into the natural gas storage business in September 2005 in connection with PAA/Vulcan's acquisition of Energy Center Investments LLC. Although many aspects of the natural gas storage industry are similar in many respects to Plains' crude oil gathering, marketing, terminalling and storage operations, Plains' current management has little experience in developing and operating natural gas storage facilities. There are significant risks and costs inherent in Plains' efforts to engage in natural gas storage operations, including the risk that the new line of business may not be profitable and that the combined company might not be able to operate the natural gas storage business or implement its operating policies and strategies successfully. </w:t>
      </w:r>
    </w:p>
    <w:p>
      <w:pPr>
        <w:pStyle w:val="TextBody"/>
        <w:rPr/>
      </w:pPr>
      <w:r>
        <w:rPr/>
        <w:t>        </w:t>
      </w:r>
      <w:r>
        <w:rPr>
          <w:sz w:val="20"/>
        </w:rPr>
        <w:t xml:space="preserve">Plains' natural gas storage operations are conducted through PAA/Vulcan, a 50% joint venture. The board of directors of PAA/Vulcan, which includes an equal number of representatives from Plains and Vulcan Gas Storage, is responsible for providing strategic direction and policy making, and Plains is responsible for the day-to-day operations. As with any such joint venture arrangements, differences in views among the joint venture participants may result in delayed decisions or in failures to agree on major matters, potentially adversely affecting the business and operations of the joint ventures and in turn Plains' business and operations. </w:t>
      </w:r>
    </w:p>
    <w:p>
      <w:pPr>
        <w:pStyle w:val="TextBody"/>
        <w:rPr/>
      </w:pPr>
      <w:r>
        <w:rPr/>
        <w:t>        </w:t>
      </w:r>
      <w:r>
        <w:rPr>
          <w:sz w:val="20"/>
        </w:rPr>
        <w:t xml:space="preserve">The devotion of capital, management time and other resources to natural gas storage operations could adversely affect the combined company's existing business. Entering into the natural gas storage industry may require substantial changes, including acquisition costs, capital development expenditures, and adding management and employees who possess the skills needed to operate a natural gas storage business. For example, Pine Prairie is currently under development and there is no guarantee that it will be fully developed in the expected time frame or at the expected cost or generate the expected returns. Participation in the natural gas storage industry will require an investment in personnel and assets and the assumption of risks that may be greater than Plains previously assumed. </w:t>
      </w:r>
    </w:p>
    <w:p>
      <w:pPr>
        <w:pStyle w:val="TextBody"/>
        <w:rPr/>
      </w:pPr>
      <w:r>
        <w:rPr/>
        <w:t>        </w:t>
      </w:r>
      <w:r>
        <w:rPr>
          <w:b/>
          <w:i/>
          <w:sz w:val="20"/>
        </w:rPr>
        <w:t xml:space="preserve">If the combined company does not make acquisitions on economically acceptable terms its future growth may be limited. </w:t>
      </w:r>
    </w:p>
    <w:p>
      <w:pPr>
        <w:pStyle w:val="TextBody"/>
        <w:rPr/>
      </w:pPr>
      <w:r>
        <w:rPr/>
        <w:t>        </w:t>
      </w:r>
      <w:r>
        <w:rPr>
          <w:sz w:val="20"/>
        </w:rPr>
        <w:t xml:space="preserve">The combined company's ability to grow will depend in part on its ability to make acquisitions that result in an increase in available cash per unit. If the combined company is unable to complete such accretive acquisitions either because it is (i) unable to identify attractive acquisition candidates or </w:t>
      </w:r>
    </w:p>
    <w:p>
      <w:pPr>
        <w:pStyle w:val="TextBody"/>
        <w:jc w:val="center"/>
        <w:rPr>
          <w:sz w:val="20"/>
        </w:rPr>
      </w:pPr>
      <w:r>
        <w:rPr>
          <w:sz w:val="20"/>
        </w:rPr>
        <w:t>S-10</w:t>
      </w:r>
    </w:p>
    <w:p>
      <w:pPr>
        <w:pStyle w:val="HorizontalLine"/>
        <w:pBdr>
          <w:bottom w:val="single" w:sz="20" w:space="0" w:color="808080"/>
        </w:pBdr>
        <w:rPr/>
      </w:pPr>
      <w:r>
        <w:rPr/>
      </w:r>
      <w:r>
        <w:br w:type="page"/>
      </w:r>
    </w:p>
    <w:p>
      <w:pPr>
        <w:pStyle w:val="TextBody"/>
        <w:rPr/>
      </w:pPr>
      <w:r>
        <w:rPr/>
      </w:r>
      <w:bookmarkStart w:id="32" w:name="page_de1181_1_11"/>
      <w:bookmarkStart w:id="33" w:name="page_de1181_1_11"/>
      <w:bookmarkEnd w:id="33"/>
    </w:p>
    <w:p>
      <w:pPr>
        <w:pStyle w:val="TextBody"/>
        <w:rPr>
          <w:sz w:val="20"/>
        </w:rPr>
      </w:pPr>
      <w:r>
        <w:rPr>
          <w:sz w:val="20"/>
        </w:rPr>
        <w:t xml:space="preserve">negotiate acceptable purchase contracts, (ii) unable to raise financing for such acquisitions on economically acceptable terms, or (iii) outbid by competitors, its future growth will be limited. In particular, competition for midstream assets and businesses has intensified substantially and as a consequence such assets and businesses have become more costly. As a result, the combined company may not be able to complete the number or size of acquisitions that it targets internally or to continue to grow as quickly as Plains has historically. </w:t>
      </w:r>
    </w:p>
    <w:p>
      <w:pPr>
        <w:pStyle w:val="TextBody"/>
        <w:rPr/>
      </w:pPr>
      <w:r>
        <w:rPr/>
        <w:t>        </w:t>
      </w:r>
      <w:r>
        <w:rPr>
          <w:b/>
          <w:i/>
          <w:sz w:val="20"/>
        </w:rPr>
        <w:t xml:space="preserve">The combined company's acquisition strategy will require access to new capital. Tightened capital markets or other factors that increase the combined company's cost of capital could impair its ability to grow. </w:t>
      </w:r>
    </w:p>
    <w:p>
      <w:pPr>
        <w:pStyle w:val="TextBody"/>
        <w:rPr/>
      </w:pPr>
      <w:r>
        <w:rPr/>
        <w:t>        </w:t>
      </w:r>
      <w:r>
        <w:rPr>
          <w:sz w:val="20"/>
        </w:rPr>
        <w:t xml:space="preserve">The combined company will continuously consider and enter into discussions regarding potential acquisitions. These transactions can be effected quickly, may occur at any time and may be significant in size relative to the combined company's existing assets and operations. Any material acquisition will require access to capital. Any limitations on the combined company's access to capital or increase in the cost of that capital could significantly impair its ability to execute its acquisition strategy. The combined company's inability to maintain its targeted credit profile, including maintaining Plains' investment grade credit ratings, could negatively affect its cost of capital as well as its ability to execute its acquisition strategy. </w:t>
      </w:r>
    </w:p>
    <w:p>
      <w:pPr>
        <w:pStyle w:val="TextBody"/>
        <w:rPr/>
      </w:pPr>
      <w:r>
        <w:rPr/>
        <w:t>        </w:t>
      </w:r>
      <w:r>
        <w:rPr>
          <w:b/>
          <w:i/>
          <w:sz w:val="20"/>
        </w:rPr>
        <w:t xml:space="preserve">The combined company's acquisition strategy will involve risks that may adversely affect its business. </w:t>
      </w:r>
    </w:p>
    <w:p>
      <w:pPr>
        <w:pStyle w:val="TextBody"/>
        <w:rPr/>
      </w:pPr>
      <w:r>
        <w:rPr/>
        <w:t>        </w:t>
      </w:r>
      <w:r>
        <w:rPr>
          <w:sz w:val="20"/>
        </w:rPr>
        <w:t xml:space="preserve">Any acquisition involves potential risks,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performance from the acquired assets and businesses that is below the forecasts used in evaluating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significant increase in indebtedness and working capital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incurrence of substantial unforeseen environmental and other liabilities arising out of the acquired businesses or assets, including liabilities arising from the operation of the acquired businesses or assets prior to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risks associated with operating in lines of business that are distinct and separate from historical operations;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customer or key employee loss from the acquired businesses;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diversion of management's attention from other business concerns. </w:t>
      </w:r>
    </w:p>
    <w:p>
      <w:pPr>
        <w:pStyle w:val="TextBody"/>
        <w:rPr/>
      </w:pPr>
      <w:r>
        <w:rPr/>
        <w:t>        </w:t>
      </w:r>
      <w:r>
        <w:rPr>
          <w:sz w:val="20"/>
        </w:rPr>
        <w:t xml:space="preserve">Any of these factors could adversely affect the combined company's ability to achieve anticipated levels of cash flows from its acquisitions, to realize other anticipated benefits and to pay distributions or meet its debt service requirements. </w:t>
      </w:r>
    </w:p>
    <w:p>
      <w:pPr>
        <w:pStyle w:val="TextBody"/>
        <w:rPr/>
      </w:pPr>
      <w:r>
        <w:rPr/>
        <w:t>        </w:t>
      </w:r>
      <w:r>
        <w:rPr>
          <w:b/>
          <w:i/>
          <w:sz w:val="20"/>
        </w:rPr>
        <w:t xml:space="preserve">The combined company's assets will be subject to federal, state and provincial regulation. </w:t>
      </w:r>
    </w:p>
    <w:p>
      <w:pPr>
        <w:pStyle w:val="TextBody"/>
        <w:rPr/>
      </w:pPr>
      <w:r>
        <w:rPr/>
        <w:t>        </w:t>
      </w:r>
      <w:r>
        <w:rPr>
          <w:sz w:val="20"/>
        </w:rPr>
        <w:t xml:space="preserve">The combined company's domestic interstate common carrier pipelines will be subject to regulation by the FERC under the Interstate Commerce Act. The Interstate Commerce Act requires that tariff rates for petroleum pipelines be just and reasonable and non-discriminatory. The combined company's natural gas storage operations are subject to regulations by the FERC or the Michigan Public Service Commission. In addition, failure to comply with applicable regulations under the Natural Gas Act, and certain other state laws could result in the imposition of administrative, civil and criminal remedies. The combined company also will be subject to the Pipeline Safety Regulations of the DOT. The </w:t>
      </w:r>
    </w:p>
    <w:p>
      <w:pPr>
        <w:pStyle w:val="TextBody"/>
        <w:jc w:val="center"/>
        <w:rPr>
          <w:sz w:val="20"/>
        </w:rPr>
      </w:pPr>
      <w:r>
        <w:rPr>
          <w:sz w:val="20"/>
        </w:rPr>
        <w:t>S-11</w:t>
      </w:r>
    </w:p>
    <w:p>
      <w:pPr>
        <w:pStyle w:val="HorizontalLine"/>
        <w:pBdr>
          <w:bottom w:val="single" w:sz="20" w:space="0" w:color="808080"/>
        </w:pBdr>
        <w:rPr/>
      </w:pPr>
      <w:r>
        <w:rPr/>
      </w:r>
      <w:r>
        <w:br w:type="page"/>
      </w:r>
    </w:p>
    <w:p>
      <w:pPr>
        <w:pStyle w:val="TextBody"/>
        <w:rPr/>
      </w:pPr>
      <w:r>
        <w:rPr/>
      </w:r>
      <w:bookmarkStart w:id="34" w:name="page_de1181_1_12"/>
      <w:bookmarkStart w:id="35" w:name="page_de1181_1_12"/>
      <w:bookmarkEnd w:id="35"/>
    </w:p>
    <w:p>
      <w:pPr>
        <w:pStyle w:val="TextBody"/>
        <w:rPr>
          <w:sz w:val="20"/>
        </w:rPr>
      </w:pPr>
      <w:r>
        <w:rPr>
          <w:sz w:val="20"/>
        </w:rPr>
        <w:t xml:space="preserve">combined company's intrastate pipeline transportation activities will be subject to various state laws and regulations as well as orders of regulatory bodies. </w:t>
      </w:r>
    </w:p>
    <w:p>
      <w:pPr>
        <w:pStyle w:val="TextBody"/>
        <w:rPr/>
      </w:pPr>
      <w:r>
        <w:rPr/>
        <w:t>        </w:t>
      </w:r>
      <w:r>
        <w:rPr>
          <w:sz w:val="20"/>
        </w:rPr>
        <w:t xml:space="preserve">The combined company's Canadian pipelines will be subject to regulation by the National Energy Board ("NEB") or by provincial agencies. Under the National Energy Board Act, the NEB could investigate the tariff rates or the combined company's terms and conditions of service relating to a jurisdictional pipeline on its own initiative or at the urging of a shipper or other interested party and, if it found its rates or terms of service relating to such pipeline unjust or unreasonable or unjustly discriminatory, require the combined company to reduce its rates, provide access to other shippers, or change its terms of service. A provincial agency could, on the application of a shipper or other interested party, investigate the tariff rates or the combined company's terms and conditions of service relating to its provincially regulated proprietary pipelines and, if it found its rates or terms of service unreasonable or unjustly discriminatory, declare the pipelines to be common carrier pipelines and require it to reduce its rates, provide access to other shippers, or otherwise alter its terms of service. Any reduction in the combined company's tariff rates would most likely result in lower revenue and cash flows. </w:t>
      </w:r>
    </w:p>
    <w:p>
      <w:pPr>
        <w:pStyle w:val="TextBody"/>
        <w:rPr/>
      </w:pPr>
      <w:r>
        <w:rPr/>
        <w:t>        </w:t>
      </w:r>
      <w:r>
        <w:rPr>
          <w:sz w:val="20"/>
        </w:rPr>
        <w:t xml:space="preserve">The laws and regulations governing pipeline operations are subject to change and interpretation by the relevant governmental agency. Any such change or interpretation adverse to the combined company could have a material adverse effect on its operations, revenues and profitability. </w:t>
      </w:r>
    </w:p>
    <w:p>
      <w:pPr>
        <w:pStyle w:val="TextBody"/>
        <w:rPr/>
      </w:pPr>
      <w:r>
        <w:rPr/>
        <w:t>        </w:t>
      </w:r>
      <w:r>
        <w:rPr>
          <w:b/>
          <w:i/>
          <w:sz w:val="20"/>
        </w:rPr>
        <w:t xml:space="preserve">The combined company's operations will be subject to cross-border regulation. </w:t>
      </w:r>
    </w:p>
    <w:p>
      <w:pPr>
        <w:pStyle w:val="TextBody"/>
        <w:rPr/>
      </w:pPr>
      <w:r>
        <w:rPr/>
        <w:t>        </w:t>
      </w:r>
      <w:r>
        <w:rPr>
          <w:sz w:val="20"/>
        </w:rPr>
        <w:t xml:space="preserve">The combined company's cross-border activities with its Canadian subsidiaries will subject it to regulatory matters, including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license, tariffs and tax reporting requirements could result in the imposition of significant administrative, civil and criminal penalties. </w:t>
      </w:r>
    </w:p>
    <w:p>
      <w:pPr>
        <w:pStyle w:val="TextBody"/>
        <w:rPr/>
      </w:pPr>
      <w:r>
        <w:rPr/>
        <w:t>        </w:t>
      </w:r>
      <w:r>
        <w:rPr>
          <w:b/>
          <w:i/>
          <w:sz w:val="20"/>
        </w:rPr>
        <w:t xml:space="preserve">Rate regulation or a successful challenge to the rates the combined company charges on its pipeline systems may reduce the amount of cash the combined company generates. </w:t>
      </w:r>
    </w:p>
    <w:p>
      <w:pPr>
        <w:pStyle w:val="TextBody"/>
        <w:rPr/>
      </w:pPr>
      <w:r>
        <w:rPr/>
        <w:t>        </w:t>
      </w:r>
      <w:r>
        <w:rPr>
          <w:sz w:val="20"/>
        </w:rPr>
        <w:t xml:space="preserve">The Energy Policy Act of 1992 (the "EPAct"), among other things, deems "just and reasonable" within the meaning of the Interstate Commerce Act any oil pipeline rate in effect for the 365-day period ending on the date of the enactment of EPAct if the rate in effect was not subject to protest, investigation, or complaint during such 365-day period (that is, the EPAct "grandfathers" any such rates). The EPAct further protects any rate meeting this requirement from complaint unless the complainant can show that a substantial change occurred after the enactment of EPAct in the economic circumstances of the oil pipeline that were the basis for the rate or in the nature of the services provided which were a basis for the rate. This grandfathering protection does not apply, under certain specified circumstances, when the person filing the complaint was under a contractual prohibition against the filing of a complaint. </w:t>
      </w:r>
    </w:p>
    <w:p>
      <w:pPr>
        <w:pStyle w:val="TextBody"/>
        <w:rPr/>
      </w:pPr>
      <w:r>
        <w:rPr/>
        <w:t>        </w:t>
      </w:r>
      <w:r>
        <w:rPr>
          <w:sz w:val="20"/>
        </w:rPr>
        <w:t xml:space="preserve">For the combined company's domestic interstate common carrier pipelines subject to FERC regulation under the Interstate Commerce Act, shippers may protest the combined company's pipeline tariff filings, and the FERC may investigate new or changed tariff rates. Further, other than for rates set under market-based rate authority and for rates that remain grandfathered under EPAct, the FERC may order refunds of amounts collected under rates that were in excess of a just and reasonable level when taking into consideration the pipeline system's cost of service. In addition, shippers may challenge the lawfulness of tariff rates that have become final and effective. The FERC may also investigate such rates absent shipper complaint. The FERC's ratemaking methodologies may limit the combined </w:t>
      </w:r>
    </w:p>
    <w:p>
      <w:pPr>
        <w:pStyle w:val="TextBody"/>
        <w:jc w:val="center"/>
        <w:rPr>
          <w:sz w:val="20"/>
        </w:rPr>
      </w:pPr>
      <w:r>
        <w:rPr>
          <w:sz w:val="20"/>
        </w:rPr>
        <w:t>S-12</w:t>
      </w:r>
    </w:p>
    <w:p>
      <w:pPr>
        <w:pStyle w:val="HorizontalLine"/>
        <w:pBdr>
          <w:bottom w:val="single" w:sz="20" w:space="0" w:color="808080"/>
        </w:pBdr>
        <w:rPr/>
      </w:pPr>
      <w:r>
        <w:rPr/>
      </w:r>
      <w:r>
        <w:br w:type="page"/>
      </w:r>
    </w:p>
    <w:p>
      <w:pPr>
        <w:pStyle w:val="TextBody"/>
        <w:rPr/>
      </w:pPr>
      <w:r>
        <w:rPr/>
      </w:r>
      <w:bookmarkStart w:id="36" w:name="page_de1181_1_13"/>
      <w:bookmarkStart w:id="37" w:name="page_de1181_1_13"/>
      <w:bookmarkEnd w:id="37"/>
    </w:p>
    <w:p>
      <w:pPr>
        <w:pStyle w:val="TextBody"/>
        <w:rPr>
          <w:sz w:val="20"/>
        </w:rPr>
      </w:pPr>
      <w:r>
        <w:rPr>
          <w:sz w:val="20"/>
        </w:rPr>
        <w:t xml:space="preserve">company's ability to set rates based on its true costs or may delay the use of rates that reflect increased costs. </w:t>
      </w:r>
    </w:p>
    <w:p>
      <w:pPr>
        <w:pStyle w:val="TextBody"/>
        <w:rPr/>
      </w:pPr>
      <w:r>
        <w:rPr/>
        <w:t>        </w:t>
      </w:r>
      <w:r>
        <w:rPr>
          <w:sz w:val="20"/>
        </w:rPr>
        <w:t xml:space="preserve">The potential for a challenge to the status of the combined company's grandfathered rates under EPA (by showing a substantial change in circumstances) or a challenge to its indexed rates creates the risk that the FERC might find some of the combined company's rates to be in excess of a just and reasonable levelthat is, a level justified by its cost of service. In such an event, the FERC could order the combined company to reduce any such rates and could require the payment of reparations to complaining shippers for up to two years prior to the complaint. </w:t>
      </w:r>
    </w:p>
    <w:p>
      <w:pPr>
        <w:pStyle w:val="TextBody"/>
        <w:rPr/>
      </w:pPr>
      <w:r>
        <w:rPr/>
        <w:t>        </w:t>
      </w:r>
      <w:r>
        <w:rPr>
          <w:b/>
          <w:i/>
          <w:sz w:val="20"/>
        </w:rPr>
        <w:t xml:space="preserve">The combined company will be exposed to the credit risk of its customers in the ordinary course of its gathering and marketing activities. </w:t>
      </w:r>
    </w:p>
    <w:p>
      <w:pPr>
        <w:pStyle w:val="TextBody"/>
        <w:rPr/>
      </w:pPr>
      <w:r>
        <w:rPr/>
        <w:t>        </w:t>
      </w:r>
      <w:r>
        <w:rPr>
          <w:sz w:val="20"/>
        </w:rPr>
        <w:t xml:space="preserve">There can be no assurance that the combined company will adequately assess the creditworthiness of its existing or future counterparties or that there will not be an unanticipated deterioration in their creditworthiness, which could have an adverse impact on the combined company. </w:t>
      </w:r>
    </w:p>
    <w:p>
      <w:pPr>
        <w:pStyle w:val="TextBody"/>
        <w:rPr/>
      </w:pPr>
      <w:r>
        <w:rPr/>
        <w:t>        </w:t>
      </w:r>
      <w:r>
        <w:rPr>
          <w:sz w:val="20"/>
        </w:rPr>
        <w:t xml:space="preserve">In those cases in which the combined company provides division order services for crude oil purchased at the wellhead, it may be responsible for distribution of proceeds to all parties. In other cases, it may pay all of or a portion of the production proceeds to an operator who distributes these proceeds to the various interest owners. These arrangements will expose the combined company to operator credit risk, and there can be no assurance that it will not experience losses in dealings with other parties. </w:t>
      </w:r>
    </w:p>
    <w:p>
      <w:pPr>
        <w:pStyle w:val="TextBody"/>
        <w:rPr/>
      </w:pPr>
      <w:r>
        <w:rPr/>
        <w:t>        </w:t>
      </w:r>
      <w:r>
        <w:rPr>
          <w:b/>
          <w:i/>
          <w:sz w:val="20"/>
        </w:rPr>
        <w:t xml:space="preserve">The combined company may encounter increased costs and lack of availability of insurance. </w:t>
      </w:r>
    </w:p>
    <w:p>
      <w:pPr>
        <w:pStyle w:val="TextBody"/>
        <w:rPr/>
      </w:pPr>
      <w:r>
        <w:rPr/>
        <w:t>        </w:t>
      </w:r>
      <w:r>
        <w:rPr>
          <w:sz w:val="20"/>
        </w:rPr>
        <w:t xml:space="preserve">Over the last several years, as the scale and scope of Plains' and Pacific's respective businesses activities have expanded, the breadth and depth of available insurance markets have contracted. Some of this may be attributable to the events of September 11, 2001, which adversely impacted the availability and costs of certain types of coverage. Plains anticipates that the effects of hurricanes along the Gulf Coast during 2005 may also have an adverse effect on the availability and cost of coverage. You cannot be assured that the combined company will be able to maintain adequate insurance in the future at rates it considers reasonable. The occurrence of a significant event not fully insured could materially and adversely affect the combined company's operations and financial condition. </w:t>
      </w:r>
    </w:p>
    <w:p>
      <w:pPr>
        <w:pStyle w:val="TextBody"/>
        <w:rPr/>
      </w:pPr>
      <w:r>
        <w:rPr/>
        <w:t>        </w:t>
      </w:r>
      <w:r>
        <w:rPr>
          <w:b/>
          <w:i/>
          <w:sz w:val="20"/>
        </w:rPr>
        <w:t xml:space="preserve">Marine transportation of crude oil has inherent operating risks. </w:t>
      </w:r>
    </w:p>
    <w:p>
      <w:pPr>
        <w:pStyle w:val="TextBody"/>
        <w:rPr/>
      </w:pPr>
      <w:r>
        <w:rPr/>
        <w:t>        </w:t>
      </w:r>
      <w:r>
        <w:rPr>
          <w:sz w:val="20"/>
        </w:rPr>
        <w:t xml:space="preserve">The combined company's gathering and marketing operations will include purchasing crude oil that is carried on third party tankers and barges. The combined company's water borne cargoes of crude oil will be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the combined company's reputation and customer relationships generally. While certain of these risks may be covered under its insurance program, any of these circumstances or events could increase the combined company's costs or lower its revenues. </w:t>
      </w:r>
    </w:p>
    <w:p>
      <w:pPr>
        <w:pStyle w:val="TextBody"/>
        <w:rPr/>
      </w:pPr>
      <w:r>
        <w:rPr/>
        <w:t>        </w:t>
      </w:r>
      <w:r>
        <w:rPr>
          <w:sz w:val="20"/>
        </w:rPr>
        <w:t xml:space="preserve">In instances in which cargoes are purchased FOB (title transfers when the oil is loaded onto a vessel chartered by the purchaser) the contract to purchase is typically made prior to the vessel being chartered. In such circumstances the combined company will take the risk of higher than anticipated charter costs. The combined company will also be exposed to increased transit time and unanticipated demurrage charges, which involve extra payment to the owner of a vessel for delays in offloading, circumstances that the combined company may not control. </w:t>
      </w:r>
    </w:p>
    <w:p>
      <w:pPr>
        <w:pStyle w:val="TextBody"/>
        <w:jc w:val="center"/>
        <w:rPr>
          <w:sz w:val="20"/>
        </w:rPr>
      </w:pPr>
      <w:r>
        <w:rPr>
          <w:sz w:val="20"/>
        </w:rPr>
        <w:t>S-13</w:t>
      </w:r>
    </w:p>
    <w:p>
      <w:pPr>
        <w:pStyle w:val="HorizontalLine"/>
        <w:pBdr>
          <w:bottom w:val="single" w:sz="20" w:space="0" w:color="808080"/>
        </w:pBdr>
        <w:rPr/>
      </w:pPr>
      <w:r>
        <w:rPr/>
      </w:r>
      <w:r>
        <w:br w:type="page"/>
      </w:r>
    </w:p>
    <w:p>
      <w:pPr>
        <w:pStyle w:val="TextBody"/>
        <w:rPr/>
      </w:pPr>
      <w:bookmarkStart w:id="38" w:name="page_dg1181_1_14"/>
      <w:bookmarkEnd w:id="38"/>
      <w:r>
        <w:rPr/>
        <w:t>        </w:t>
      </w:r>
      <w:r>
        <w:rPr>
          <w:b/>
          <w:i/>
          <w:sz w:val="20"/>
        </w:rPr>
        <w:t xml:space="preserve">Maritime claimants could arrest the vessels carrying the combined company's cargoes. </w:t>
      </w:r>
    </w:p>
    <w:p>
      <w:pPr>
        <w:pStyle w:val="TextBody"/>
        <w:rPr/>
      </w:pPr>
      <w:r>
        <w:rPr/>
        <w:t>        </w:t>
      </w:r>
      <w:r>
        <w:rPr>
          <w:sz w:val="20"/>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the combined company's oil could substantially delay its shipment. </w:t>
      </w:r>
    </w:p>
    <w:p>
      <w:pPr>
        <w:pStyle w:val="TextBody"/>
        <w:rPr/>
      </w:pPr>
      <w:r>
        <w:rPr/>
        <w:t>        </w:t>
      </w:r>
      <w:r>
        <w:rPr>
          <w:sz w:val="20"/>
        </w:rPr>
        <w:t xml:space="preserve">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the combined company's cargo for claims relating to a vessel with which the combined company has no relation. </w:t>
      </w:r>
    </w:p>
    <w:p>
      <w:pPr>
        <w:pStyle w:val="TextBody"/>
        <w:rPr/>
      </w:pPr>
      <w:r>
        <w:rPr/>
        <w:t>        </w:t>
      </w:r>
      <w:r>
        <w:rPr>
          <w:b/>
          <w:i/>
          <w:sz w:val="20"/>
        </w:rPr>
        <w:t xml:space="preserve">The combined company will be dependent on use of a third-party marine dock for delivery of waterborne crude oil into its storage and distribution facilities in the Los Angeles basin. </w:t>
      </w:r>
    </w:p>
    <w:p>
      <w:pPr>
        <w:pStyle w:val="TextBody"/>
        <w:rPr/>
      </w:pPr>
      <w:r>
        <w:rPr/>
        <w:t>        </w:t>
      </w:r>
      <w:r>
        <w:rPr>
          <w:sz w:val="20"/>
        </w:rPr>
        <w:t xml:space="preserve">A portion of the combined company's storage and distribution business conducted in the Los Angeles basin will be dependent on its ability to receive waterborne crude oil and other dark products, a major portion of which are presently being received through dock facilities operated by Shell Oil Products in the Port of Long Beach. The agreement that will allow the combined company to utilize these dock facilities expires in October 2006, and there is no guarantee that it will be renewed. If this agreement is not renewed and if other alternative dock access cannot be arranged, the volumes of crude oil and other dark products that Pacific presently receives from its customers in the Los Angeles basin may be reduced, which could result in a reduction of storage and distribution revenue and cash flow. </w:t>
      </w:r>
    </w:p>
    <w:p>
      <w:pPr>
        <w:pStyle w:val="TextBody"/>
        <w:rPr/>
      </w:pPr>
      <w:r>
        <w:rPr/>
        <w:t>        </w:t>
      </w:r>
      <w:r>
        <w:rPr>
          <w:b/>
          <w:i/>
          <w:sz w:val="20"/>
        </w:rPr>
        <w:t xml:space="preserve">Changes in currency exchange rates could adversely affect the combined company's operating results. </w:t>
      </w:r>
    </w:p>
    <w:p>
      <w:pPr>
        <w:pStyle w:val="TextBody"/>
        <w:rPr/>
      </w:pPr>
      <w:r>
        <w:rPr/>
        <w:t>        </w:t>
      </w:r>
      <w:r>
        <w:rPr>
          <w:sz w:val="20"/>
        </w:rPr>
        <w:t xml:space="preserve">Because the combined company will conduct operations in Canada, it will be exposed to currency fluctuations and exchange rate risks that may adversely affect its results of operations. </w:t>
      </w:r>
    </w:p>
    <w:p>
      <w:pPr>
        <w:pStyle w:val="TextBody"/>
        <w:rPr/>
      </w:pPr>
      <w:r>
        <w:rPr/>
        <w:t>        </w:t>
      </w:r>
      <w:r>
        <w:rPr>
          <w:b/>
          <w:i/>
          <w:sz w:val="20"/>
        </w:rPr>
        <w:t xml:space="preserve">Terrorist attacks aimed at the combined company's facilities could adversely affect its business. </w:t>
      </w:r>
    </w:p>
    <w:p>
      <w:pPr>
        <w:pStyle w:val="TextBody"/>
        <w:rPr/>
      </w:pPr>
      <w:r>
        <w:rPr/>
        <w:t>        </w:t>
      </w:r>
      <w:r>
        <w:rPr>
          <w:sz w:val="20"/>
        </w:rPr>
        <w:t xml:space="preserve">Since the September 11, 2001 terrorist attacks, the U.S. government has issued warnings that energy assets, specifically the nation's pipeline infrastructure, may be future targets of terrorist organizations. These developments will subject the combined company's operations to increased risks. Any future terrorist attack that may target the combined company's facilities, those of its customers and, in some cases, those of other pipelines, could have a material adverse effect on its business. </w:t>
      </w:r>
    </w:p>
    <w:p>
      <w:pPr>
        <w:pStyle w:val="TextBody"/>
        <w:rPr/>
      </w:pPr>
      <w:r>
        <w:rPr/>
        <w:t>        </w:t>
      </w:r>
      <w:r>
        <w:rPr>
          <w:b/>
          <w:i/>
          <w:sz w:val="20"/>
        </w:rPr>
        <w:t xml:space="preserve">An impairment of goodwill could reduce the combined company's earnings. </w:t>
      </w:r>
    </w:p>
    <w:p>
      <w:pPr>
        <w:pStyle w:val="TextBody"/>
        <w:rPr/>
      </w:pPr>
      <w:r>
        <w:rPr/>
        <w:t>        </w:t>
      </w:r>
      <w:r>
        <w:rPr>
          <w:sz w:val="20"/>
        </w:rPr>
        <w:t xml:space="preserve">Plains had approximately $48 million of goodwill on its consolidated balance sheet as of March 31, 2006. Plains currently expects to record approximately $800 million of goodwill upon completion of the merger with Pacific, but that estimate is subject to change pending the completion of an independent appraisal. Consequently, pro forma for the merger, Plains expects that approximately $848 million, representing approximately 12% of the combined company's consolidated assets at March 31, 2006 on a pro forma basis, may be recorded as goodwill. In addition, Plains estimates that it will record approximately $100 million to $150 million of goodwill in conjunction with other acquisitions made in the second quarter of 2006. These estimates are preliminary and may be adjusted pending the completion of independent appraisals. Goodwill is recorded when the purchase price of a business exceeds the fair market value of the acquired tangible and separately measurable intangible net assets. U.S. generally accepted accounting principles, or GAAP, will require the combined company to test goodwill for impairment on an annual basis or when events or circumstances occur indicating that </w:t>
      </w:r>
    </w:p>
    <w:p>
      <w:pPr>
        <w:pStyle w:val="TextBody"/>
        <w:jc w:val="center"/>
        <w:rPr>
          <w:sz w:val="20"/>
        </w:rPr>
      </w:pPr>
      <w:r>
        <w:rPr>
          <w:sz w:val="20"/>
        </w:rPr>
        <w:t>S-14</w:t>
      </w:r>
    </w:p>
    <w:p>
      <w:pPr>
        <w:pStyle w:val="HorizontalLine"/>
        <w:pBdr>
          <w:bottom w:val="single" w:sz="20" w:space="0" w:color="808080"/>
        </w:pBdr>
        <w:rPr/>
      </w:pPr>
      <w:r>
        <w:rPr/>
      </w:r>
      <w:r>
        <w:br w:type="page"/>
      </w:r>
    </w:p>
    <w:p>
      <w:pPr>
        <w:pStyle w:val="TextBody"/>
        <w:rPr/>
      </w:pPr>
      <w:r>
        <w:rPr/>
      </w:r>
      <w:bookmarkStart w:id="39" w:name="page_dg1181_1_15"/>
      <w:bookmarkStart w:id="40" w:name="page_dg1181_1_15"/>
      <w:bookmarkEnd w:id="40"/>
    </w:p>
    <w:p>
      <w:pPr>
        <w:pStyle w:val="TextBody"/>
        <w:rPr>
          <w:sz w:val="20"/>
        </w:rPr>
      </w:pPr>
      <w:r>
        <w:rPr>
          <w:sz w:val="20"/>
        </w:rPr>
        <w:t xml:space="preserve">goodwill might be impaired. If the combined company were to determine that any of its remaining balance of goodwill was impaired, it would be required to take an immediate charge to earnings with a corresponding reduction of partners' equity and increase in balance sheet leverage as measured by debt to total capitalization. </w:t>
      </w:r>
    </w:p>
    <w:p>
      <w:pPr>
        <w:pStyle w:val="TextBody"/>
        <w:rPr>
          <w:b/>
          <w:sz w:val="20"/>
        </w:rPr>
      </w:pPr>
      <w:r>
        <w:rPr>
          <w:b/>
          <w:sz w:val="20"/>
        </w:rPr>
        <w:t xml:space="preserve">Risks Related to Plains' Common Units and Risks Resulting from Its Partnership Structure </w:t>
      </w:r>
    </w:p>
    <w:p>
      <w:pPr>
        <w:pStyle w:val="TextBody"/>
        <w:rPr/>
      </w:pPr>
      <w:r>
        <w:rPr/>
        <w:t>        </w:t>
      </w:r>
      <w:r>
        <w:rPr>
          <w:b/>
          <w:i/>
          <w:sz w:val="20"/>
        </w:rPr>
        <w:t xml:space="preserve">Cost reimbursements due to Plains' general partner may be substantial and will reduce Plains' cash available for distribution to unitholders. </w:t>
      </w:r>
    </w:p>
    <w:p>
      <w:pPr>
        <w:pStyle w:val="TextBody"/>
        <w:rPr/>
      </w:pPr>
      <w:r>
        <w:rPr/>
        <w:t>        </w:t>
      </w:r>
      <w:r>
        <w:rPr>
          <w:sz w:val="20"/>
        </w:rPr>
        <w:t xml:space="preserve">Prior to making any distribution on the common units, Plains will reimburse its general partner and its affiliates, including officers and directors of its general partner, for all expenses incurred on Plains' behalf. The reimbursement of expenses and the payment of fees could adversely affect Plains' ability to make distributions. The general partner has sole discretion to determine the amount of these expenses. In addition, Plains' general partner and its affiliates may provide Plains services for which Plains will be charged reasonable fees as determined by the general partner. </w:t>
      </w:r>
    </w:p>
    <w:p>
      <w:pPr>
        <w:pStyle w:val="TextBody"/>
        <w:rPr/>
      </w:pPr>
      <w:r>
        <w:rPr/>
        <w:t>        </w:t>
      </w:r>
      <w:r>
        <w:rPr>
          <w:b/>
          <w:i/>
          <w:sz w:val="20"/>
        </w:rPr>
        <w:t xml:space="preserve">Cash distributions are not guaranteed and may fluctuate with Plains' performance and the establishment of financial reserves. </w:t>
      </w:r>
    </w:p>
    <w:p>
      <w:pPr>
        <w:pStyle w:val="TextBody"/>
        <w:rPr/>
      </w:pPr>
      <w:r>
        <w:rPr/>
        <w:t>        </w:t>
      </w:r>
      <w:r>
        <w:rPr>
          <w:sz w:val="20"/>
        </w:rPr>
        <w:t xml:space="preserve">Because distributions on the common units are dependent on the amount of cash Plains generates, distributions may fluctuate based on Plains' performance. The actual amount of cash that is available to be distributed each quarter will depend on numerous factors, some of which are beyond Plains' control and the control of its general partner. Cash distributions are dependent primarily on cash flow, including cash flow from financial reserves and working capital borrowings, and not solely on profitability, which is affected by non-cash items. Therefore, cash distributions might be made during periods when Plains records losses and might not be made during periods when Plains records profits. </w:t>
      </w:r>
    </w:p>
    <w:p>
      <w:pPr>
        <w:pStyle w:val="TextBody"/>
        <w:rPr/>
      </w:pPr>
      <w:r>
        <w:rPr/>
        <w:t>        </w:t>
      </w:r>
      <w:r>
        <w:rPr>
          <w:b/>
          <w:i/>
          <w:sz w:val="20"/>
        </w:rPr>
        <w:t xml:space="preserve">Unitholders may not be able to remove Plains' general partner even if they wish to do so. </w:t>
      </w:r>
    </w:p>
    <w:p>
      <w:pPr>
        <w:pStyle w:val="TextBody"/>
        <w:rPr/>
      </w:pPr>
      <w:r>
        <w:rPr/>
        <w:t>        </w:t>
      </w:r>
      <w:r>
        <w:rPr>
          <w:sz w:val="20"/>
        </w:rPr>
        <w:t xml:space="preserve">Plains' general partner manages and operates Plains. Unlike the holders of common stock in a corporation, unitholders have only limited voting rights on matters affecting Plains' business. Unitholders have no rights to elect the general partner or the directors of the general partner on an annual or other continuing basis. </w:t>
      </w:r>
    </w:p>
    <w:p>
      <w:pPr>
        <w:pStyle w:val="TextBody"/>
        <w:rPr/>
      </w:pPr>
      <w:r>
        <w:rPr/>
        <w:t>        </w:t>
      </w:r>
      <w:r>
        <w:rPr>
          <w:sz w:val="20"/>
        </w:rPr>
        <w:t>Furthermore, if unitholders are dissatisfied with the performance of Plains' general partner, they currently have little practical ability to remove Plains' general partner or otherwise change its management. Plains' general partner may not be removed except upon the vote of the holders of at least 66</w:t>
      </w:r>
      <w:r>
        <w:rPr>
          <w:position w:val="7"/>
          <w:sz w:val="16"/>
          <w:sz w:val="20"/>
        </w:rPr>
        <w:t>2</w:t>
      </w:r>
      <w:r>
        <w:rPr>
          <w:sz w:val="20"/>
        </w:rPr>
        <w:t>/</w:t>
      </w:r>
      <w:r>
        <w:rPr>
          <w:sz w:val="14"/>
        </w:rPr>
        <w:t>3</w:t>
      </w:r>
      <w:r>
        <w:rPr>
          <w:sz w:val="20"/>
        </w:rPr>
        <w:t xml:space="preserve">% of its outstanding units (including units held by Plains' general partner or its affiliates). </w:t>
      </w:r>
    </w:p>
    <w:p>
      <w:pPr>
        <w:pStyle w:val="TextBody"/>
        <w:rPr/>
      </w:pPr>
      <w:r>
        <w:rPr/>
        <w:t>        </w:t>
      </w:r>
      <w:r>
        <w:rPr>
          <w:sz w:val="20"/>
        </w:rPr>
        <w:t xml:space="preserve">In addition, the following provisions of Plains' partnership agreement may discourage a person or group from attempting to remove Plains' general partner or otherwise change Plains'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Plains'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limitations upon the ability of unitholders to call meetings or to acquire information about Plains' operations, as well as other limitations upon the unitholders' ability to influence the manner or direction of management. </w:t>
      </w:r>
    </w:p>
    <w:p>
      <w:pPr>
        <w:pStyle w:val="TextBody"/>
        <w:rPr/>
      </w:pPr>
      <w:r>
        <w:rPr/>
        <w:t>        </w:t>
      </w:r>
      <w:r>
        <w:rPr>
          <w:sz w:val="20"/>
        </w:rPr>
        <w:t xml:space="preserve">As a result of these provisions, the price at which Plains' common units will trade may be lower because of the absence or reduction of a takeover premium in the trading price. </w:t>
      </w:r>
    </w:p>
    <w:p>
      <w:pPr>
        <w:pStyle w:val="TextBody"/>
        <w:jc w:val="center"/>
        <w:rPr>
          <w:sz w:val="20"/>
        </w:rPr>
      </w:pPr>
      <w:r>
        <w:rPr>
          <w:sz w:val="20"/>
        </w:rPr>
        <w:t>S-15</w:t>
      </w:r>
    </w:p>
    <w:p>
      <w:pPr>
        <w:pStyle w:val="HorizontalLine"/>
        <w:pBdr>
          <w:bottom w:val="single" w:sz="20" w:space="0" w:color="808080"/>
        </w:pBdr>
        <w:rPr/>
      </w:pPr>
      <w:r>
        <w:rPr/>
      </w:r>
      <w:r>
        <w:br w:type="page"/>
      </w:r>
    </w:p>
    <w:p>
      <w:pPr>
        <w:pStyle w:val="TextBody"/>
        <w:rPr/>
      </w:pPr>
      <w:r>
        <w:rPr/>
      </w:r>
      <w:bookmarkStart w:id="41" w:name="page_dg1181_1_16"/>
      <w:bookmarkStart w:id="42" w:name="page_dg1181_1_16"/>
      <w:bookmarkEnd w:id="42"/>
    </w:p>
    <w:p>
      <w:pPr>
        <w:pStyle w:val="TextBody"/>
        <w:rPr/>
      </w:pPr>
      <w:r>
        <w:rPr/>
        <w:t>        </w:t>
      </w:r>
      <w:r>
        <w:rPr>
          <w:b/>
          <w:i/>
          <w:sz w:val="20"/>
        </w:rPr>
        <w:t xml:space="preserve">Plains may issue additional common units without unitholder approval, which would dilute a unitholder's existing ownership interests. </w:t>
      </w:r>
    </w:p>
    <w:p>
      <w:pPr>
        <w:pStyle w:val="TextBody"/>
        <w:rPr/>
      </w:pPr>
      <w:r>
        <w:rPr/>
        <w:t>        </w:t>
      </w:r>
      <w:r>
        <w:rPr>
          <w:sz w:val="20"/>
        </w:rPr>
        <w:t xml:space="preserve">Plains' general partner may cause Plains to issue an unlimited number of common units without unitholder approval (subject to applicable NYSE rules). Plains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 existing unitholder's proportionate ownership interest in Plains will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available for distribution on each unit may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relative voting strength of each previously outstanding unit may be diminished;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market price of the common units may decline. </w:t>
      </w:r>
    </w:p>
    <w:p>
      <w:pPr>
        <w:pStyle w:val="TextBody"/>
        <w:rPr/>
      </w:pPr>
      <w:r>
        <w:rPr/>
        <w:t>        </w:t>
      </w:r>
      <w:r>
        <w:rPr>
          <w:b/>
          <w:i/>
          <w:sz w:val="20"/>
        </w:rPr>
        <w:t xml:space="preserve">Plains' general partner has a limited call right that may require unitholders to sell their units at an undesirable time or price. </w:t>
      </w:r>
    </w:p>
    <w:p>
      <w:pPr>
        <w:pStyle w:val="TextBody"/>
        <w:rPr/>
      </w:pPr>
      <w:r>
        <w:rPr/>
        <w:t>        </w:t>
      </w:r>
      <w:r>
        <w:rPr>
          <w:sz w:val="20"/>
        </w:rPr>
        <w:t xml:space="preserve">If at any time Plains'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 </w:t>
      </w:r>
    </w:p>
    <w:p>
      <w:pPr>
        <w:pStyle w:val="TextBody"/>
        <w:rPr/>
      </w:pPr>
      <w:r>
        <w:rPr/>
        <w:t>        </w:t>
      </w:r>
      <w:r>
        <w:rPr>
          <w:b/>
          <w:i/>
          <w:sz w:val="20"/>
        </w:rPr>
        <w:t xml:space="preserve">Unitholders may not have limited liability if a court finds that unitholder actions constitute control of Plains' business. </w:t>
      </w:r>
    </w:p>
    <w:p>
      <w:pPr>
        <w:pStyle w:val="TextBody"/>
        <w:rPr/>
      </w:pPr>
      <w:r>
        <w:rPr/>
        <w:t>        </w:t>
      </w:r>
      <w:r>
        <w:rPr>
          <w:sz w:val="20"/>
        </w:rPr>
        <w:t xml:space="preserve">Under Delaware law, a unitholder could be held liable for Plains' obligations to the same extent as a general partner if a court determined that the right of unitholders to remove Plains' general partner or to take other action under Plains' partnership agreement constituted participation in the "control" of Plains' business. </w:t>
      </w:r>
    </w:p>
    <w:p>
      <w:pPr>
        <w:pStyle w:val="TextBody"/>
        <w:rPr/>
      </w:pPr>
      <w:r>
        <w:rPr/>
        <w:t>        </w:t>
      </w:r>
      <w:r>
        <w:rPr>
          <w:sz w:val="20"/>
        </w:rPr>
        <w:t xml:space="preserve">Plains' general partner generally has unlimited liability for Plains' obligations, such as Plains' debts and environmental liabilities, except for those contractual obligations that are expressly made without recourse to Plains' general partner. </w:t>
      </w:r>
    </w:p>
    <w:p>
      <w:pPr>
        <w:pStyle w:val="TextBody"/>
        <w:rPr/>
      </w:pPr>
      <w:r>
        <w:rPr/>
        <w:t>        </w:t>
      </w:r>
      <w:r>
        <w:rPr>
          <w:sz w:val="20"/>
        </w:rPr>
        <w:t xml:space="preserve">In addition, Section 17-607 of the Delaware Revised Uniform Limited Partnership Act provides that under some circumstances, a unitholder may be liable to Plains for the amount of a distribution for a period of three years from the date of the distribution. </w:t>
      </w:r>
    </w:p>
    <w:p>
      <w:pPr>
        <w:pStyle w:val="TextBody"/>
        <w:rPr/>
      </w:pPr>
      <w:r>
        <w:rPr/>
        <w:t>        </w:t>
      </w:r>
      <w:r>
        <w:rPr>
          <w:b/>
          <w:i/>
          <w:sz w:val="20"/>
        </w:rPr>
        <w:t xml:space="preserve">Conflicts of interest could arise among Plains' general partner and Plains or its unitholders. </w:t>
      </w:r>
    </w:p>
    <w:p>
      <w:pPr>
        <w:pStyle w:val="TextBody"/>
        <w:rPr/>
      </w:pPr>
      <w:r>
        <w:rPr/>
        <w:t>        </w:t>
      </w:r>
      <w:r>
        <w:rPr>
          <w:sz w:val="20"/>
        </w:rPr>
        <w:t xml:space="preserve">These conflicts may include the following: </w:t>
      </w:r>
    </w:p>
    <w:p>
      <w:pPr>
        <w:pStyle w:val="TextBody"/>
        <w:rPr/>
      </w:pPr>
      <w:r>
        <w:rPr/>
        <w:t>        </w:t>
      </w:r>
      <w:r>
        <w:rPr>
          <w:sz w:val="20"/>
        </w:rPr>
        <w:t xml:space="preserve">Plains does not have any employees and Plains relies solely on employees of the general partner or, in the case of Plains Marketing Canada, employees of PMC (Nova Scotia) Company;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Plains' partnership agreement, Plains reimburses the general partner for the costs of managing and for operating the partnership;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expenditures, borrowings and reserves in any quarter may affect available cash to pay quarterly distributions to unitholders; </w:t>
      </w:r>
    </w:p>
    <w:p>
      <w:pPr>
        <w:pStyle w:val="TextBody"/>
        <w:jc w:val="center"/>
        <w:rPr>
          <w:sz w:val="20"/>
        </w:rPr>
      </w:pPr>
      <w:r>
        <w:rPr>
          <w:sz w:val="20"/>
        </w:rPr>
        <w:t>S-16</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43" w:name="page_dg1181_1_17"/>
      <w:bookmarkEnd w:id="43"/>
      <w:r>
        <w:rPr>
          <w:sz w:val="20"/>
        </w:rPr>
        <w:t></w:t>
      </w:r>
    </w:p>
    <w:p>
      <w:pPr>
        <w:pStyle w:val="ListContents"/>
        <w:numPr>
          <w:ilvl w:val="0"/>
          <w:numId w:val="0"/>
        </w:numPr>
        <w:spacing w:before="0" w:after="283"/>
        <w:ind w:left="1274" w:right="0" w:hanging="0"/>
        <w:rPr>
          <w:sz w:val="20"/>
        </w:rPr>
      </w:pPr>
      <w:r>
        <w:rPr>
          <w:sz w:val="20"/>
        </w:rPr>
        <w:t xml:space="preserve">the general partner tries to avoid being liable for partnership obligations. The general partner is permitted to protect its assets in this manner by Plains' partnership agreement. Under Plains' partnership agreement the general partner would not breach its fiduciary duty by avoiding liability for partnership obligations even if Plains can obtain more favorable terms without limiting the general partner's liability; under Plains' partnership agreement, the general partner may pay its affiliates for any services rendered on terms fair and reasonable to Plains. The general partner may also enter into additional contracts with any of its affiliates on behalf of Plains. Agreements or contracts between Plains and Plains' general partner (and its affiliates) are not necessarily the result of arms length negotiations;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would not breach Plains' partnership agreement by exercising its call rights to purchase limited partnership interests or by assigning its call rights to one of its affiliates or to Plains. </w:t>
      </w:r>
    </w:p>
    <w:p>
      <w:pPr>
        <w:pStyle w:val="TextBody"/>
        <w:rPr>
          <w:b/>
          <w:sz w:val="20"/>
        </w:rPr>
      </w:pPr>
      <w:r>
        <w:rPr>
          <w:b/>
          <w:sz w:val="20"/>
        </w:rPr>
        <w:t xml:space="preserve">Tax Risks Related to Owning Plains Common Units </w:t>
      </w:r>
    </w:p>
    <w:p>
      <w:pPr>
        <w:pStyle w:val="TextBody"/>
        <w:rPr/>
      </w:pPr>
      <w:r>
        <w:rPr/>
        <w:t>        </w:t>
      </w:r>
      <w:r>
        <w:rPr>
          <w:b/>
          <w:i/>
          <w:sz w:val="20"/>
        </w:rPr>
        <w:t xml:space="preserve">No ruling has been obtained with respect to the tax consequences of the merger. </w:t>
      </w:r>
    </w:p>
    <w:p>
      <w:pPr>
        <w:pStyle w:val="TextBody"/>
        <w:rPr/>
      </w:pPr>
      <w:r>
        <w:rPr/>
        <w:t>        </w:t>
      </w:r>
      <w:r>
        <w:rPr>
          <w:sz w:val="20"/>
        </w:rPr>
        <w:t xml:space="preserve">Although it is anticipated that no gain or loss will be recognized by a Plains unitholder as a result of the merger (except with respect to a net decrease in a unitholder's share of nonrecourse liabilities discussed below), no ruling has been or will be requested from the Internal Revenue Service, or IRS, with respect to the tax consequences of the merger. Instead, Plains is relying on the opinions of its counsel as to the tax consequences of the merger, and counsel's conclusions may not be sustained if challenged by the IRS. </w:t>
      </w:r>
    </w:p>
    <w:p>
      <w:pPr>
        <w:pStyle w:val="TextBody"/>
        <w:rPr/>
      </w:pPr>
      <w:r>
        <w:rPr/>
        <w:t>        </w:t>
      </w:r>
      <w:r>
        <w:rPr>
          <w:b/>
          <w:i/>
          <w:sz w:val="20"/>
        </w:rPr>
        <w:t xml:space="preserve">The merger may result in income recognition by Plains unitholders. </w:t>
      </w:r>
    </w:p>
    <w:p>
      <w:pPr>
        <w:pStyle w:val="TextBody"/>
        <w:rPr/>
      </w:pPr>
      <w:r>
        <w:rPr/>
        <w:t>        </w:t>
      </w:r>
      <w:r>
        <w:rPr>
          <w:sz w:val="20"/>
        </w:rPr>
        <w:t xml:space="preserve">As a result of the merger, each Plains unitholder's share of nonrecourse liabilities will be recalculated. Each Plains unitholder will be treated as receiving a deemed cash distribution equal to the excess, if any, of such unitholder's share of nonrecourse liabilities immediately before the merger over such unitholder's share of nonrecourse liabilities immediately following the merger. If the amount of the deemed cash distribution received by a Plains unitholder exceeds the unitholder's basis in his partnership interest, such unitholder will recognize gain in an amount equal to such excess. The application of the rules governing the allocation of nonrecourse liabilities in the context of the merger is complex and subject to uncertainty. There can be no assurance that there will not be a net decrease in the amount of nonrecourse liabilities allocable to a Plains common unitholder as a result of the merger. </w:t>
      </w:r>
    </w:p>
    <w:p>
      <w:pPr>
        <w:pStyle w:val="TextBody"/>
        <w:rPr/>
      </w:pPr>
      <w:r>
        <w:rPr/>
        <w:t>        </w:t>
      </w:r>
      <w:r>
        <w:rPr>
          <w:b/>
          <w:i/>
          <w:sz w:val="20"/>
        </w:rPr>
        <w:t xml:space="preserve">Plains' tax treatment depends on Plains' status as a partnership for federal income tax purposes, as well as Plains not being subject to a material amount of entity-level taxation by individual states. If the IRS were to treat Plains as a corporation or if it becomes subject to a material amount of entity-level taxation for state tax purposes, that would reduce the amount of cash available for distribution to Plains' unitholders. </w:t>
      </w:r>
    </w:p>
    <w:p>
      <w:pPr>
        <w:pStyle w:val="TextBody"/>
        <w:rPr/>
      </w:pPr>
      <w:r>
        <w:rPr/>
        <w:t>        </w:t>
      </w:r>
      <w:r>
        <w:rPr>
          <w:sz w:val="20"/>
        </w:rPr>
        <w:t xml:space="preserve">The anticipated after-tax economic benefit of an investment in the common units depends largely on Plains being treated as a partnership for federal income tax purposes. Plains has not requested, and does not plan to request, a ruling from the IRS on this or any other matter affecting Plains. </w:t>
      </w:r>
    </w:p>
    <w:p>
      <w:pPr>
        <w:pStyle w:val="TextBody"/>
        <w:rPr/>
      </w:pPr>
      <w:r>
        <w:rPr/>
        <w:t>        </w:t>
      </w:r>
      <w:r>
        <w:rPr>
          <w:sz w:val="20"/>
        </w:rPr>
        <w:t xml:space="preserve">If Plains were treated as a corporation for federal income tax purposes, Plains would pay federal income tax on Plains' income at the corporate tax rate, which is currently a maximum of 35%, and would likely pay state income tax at varying rates. Distributions to Plains' unitholders would generally be taxed again to them as corporate distributions, and no income, gains, losses, deductions or credits would flow through to them. Treatment of Plains as a corporation would result in a material reduction in the anticipated cash flow and after-tax return to the unitholders, likely causing a substantial reduction in the value of the common units. Moreover, treatment of Plains as a corporation could </w:t>
      </w:r>
    </w:p>
    <w:p>
      <w:pPr>
        <w:pStyle w:val="TextBody"/>
        <w:jc w:val="center"/>
        <w:rPr>
          <w:sz w:val="20"/>
        </w:rPr>
      </w:pPr>
      <w:r>
        <w:rPr>
          <w:sz w:val="20"/>
        </w:rPr>
        <w:t>S-17</w:t>
      </w:r>
    </w:p>
    <w:p>
      <w:pPr>
        <w:pStyle w:val="HorizontalLine"/>
        <w:pBdr>
          <w:bottom w:val="single" w:sz="20" w:space="0" w:color="808080"/>
        </w:pBdr>
        <w:rPr/>
      </w:pPr>
      <w:r>
        <w:rPr/>
      </w:r>
      <w:r>
        <w:br w:type="page"/>
      </w:r>
    </w:p>
    <w:p>
      <w:pPr>
        <w:pStyle w:val="TextBody"/>
        <w:rPr/>
      </w:pPr>
      <w:r>
        <w:rPr/>
      </w:r>
      <w:bookmarkStart w:id="44" w:name="page_dg1181_1_18"/>
      <w:bookmarkStart w:id="45" w:name="page_dg1181_1_18"/>
      <w:bookmarkEnd w:id="45"/>
    </w:p>
    <w:p>
      <w:pPr>
        <w:pStyle w:val="TextBody"/>
        <w:rPr>
          <w:sz w:val="20"/>
        </w:rPr>
      </w:pPr>
      <w:r>
        <w:rPr>
          <w:sz w:val="20"/>
        </w:rPr>
        <w:t xml:space="preserve">materially and adversely affect Plains' ability to make cash distributions to Plains' unitholders or to make payments on Plains' debt securities. </w:t>
      </w:r>
    </w:p>
    <w:p>
      <w:pPr>
        <w:pStyle w:val="TextBody"/>
        <w:rPr/>
      </w:pPr>
      <w:r>
        <w:rPr/>
        <w:t>        </w:t>
      </w:r>
      <w:r>
        <w:rPr>
          <w:sz w:val="20"/>
        </w:rPr>
        <w:t xml:space="preserve">Current law may change so as to cause Plains to be treated as a corporation for federal income tax purposes or otherwise subject Plains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Plains as an entity, the cash available for distribution to Plains' unitholders would be reduced. Plains' partnership agreement provides that, if a law is enacted or existing law is modified or interpreted in a manner that subjects Plains to taxation as a corporation or otherwise subjects Plains to entity-level taxation for federal, state or local income tax purposes, then the minimum quarterly distribution and the target distribution levels will be adjusted to reflect the impact of that law on Plains. </w:t>
      </w:r>
    </w:p>
    <w:p>
      <w:pPr>
        <w:pStyle w:val="TextBody"/>
        <w:rPr/>
      </w:pPr>
      <w:r>
        <w:rPr/>
        <w:t>        </w:t>
      </w:r>
      <w:r>
        <w:rPr>
          <w:b/>
          <w:i/>
          <w:sz w:val="20"/>
        </w:rPr>
        <w:t xml:space="preserve">If the IRS contests the federal income tax positions Plains takes, the market for Plains' common units may be adversely impacted and the cost of any IRS contest will reduce Plains' cash available for distribution or debt service. </w:t>
      </w:r>
    </w:p>
    <w:p>
      <w:pPr>
        <w:pStyle w:val="TextBody"/>
        <w:rPr/>
      </w:pPr>
      <w:r>
        <w:rPr/>
        <w:t>        </w:t>
      </w:r>
      <w:r>
        <w:rPr>
          <w:sz w:val="20"/>
        </w:rPr>
        <w:t xml:space="preserve">Plains has not requested a ruling from the IRS with respect to any matter affecting Plains. The IRS may adopt positions that differ from the conclusions of Plains' counsel or from the positions Plains takes. It may be necessary to resort to administrative or court proceedings to sustain some or all of Plains' counsel's conclusions or the positions Plains takes. A court may not concur with Plains' counsel's conclusions or the positions Plains takes. Any contest with the IRS may materially and adversely impact the market for common units and the price at which they trade. In addition, the costs of any contest with the IRS, principally legal, accounting and related fees, will be borne by Plains and directly or indirectly by the unitholders and the general partner because the costs will reduce Plains' cash available for distribution or debt service. </w:t>
      </w:r>
    </w:p>
    <w:p>
      <w:pPr>
        <w:pStyle w:val="TextBody"/>
        <w:rPr/>
      </w:pPr>
      <w:r>
        <w:rPr/>
        <w:t>        </w:t>
      </w:r>
      <w:r>
        <w:rPr>
          <w:b/>
          <w:i/>
          <w:sz w:val="20"/>
        </w:rPr>
        <w:t xml:space="preserve">Unitholders of the combined company may be required to pay taxes even if they do not receive any cash distributions from Plains. </w:t>
      </w:r>
    </w:p>
    <w:p>
      <w:pPr>
        <w:pStyle w:val="TextBody"/>
        <w:rPr/>
      </w:pPr>
      <w:r>
        <w:rPr/>
        <w:t>        </w:t>
      </w:r>
      <w:r>
        <w:rPr>
          <w:sz w:val="20"/>
        </w:rPr>
        <w:t xml:space="preserve">Because unitholders of the combined company will be treated as partners to whom Plains will allocate taxable income which could be different in amount than the cash Plains distributes, they will be required to pay any federal income taxes and, in some cases, state and local income taxes on their share of Plains' taxable income even if they do not receive any cash distributions from Plains. Unitholders may not receive cash distributions from Plains equal to their share of Plains' taxable income or even equal to the actual tax liability that results from their share of Plains' taxable income. </w:t>
      </w:r>
    </w:p>
    <w:p>
      <w:pPr>
        <w:pStyle w:val="TextBody"/>
        <w:rPr/>
      </w:pPr>
      <w:r>
        <w:rPr/>
        <w:t>        </w:t>
      </w:r>
      <w:r>
        <w:rPr>
          <w:b/>
          <w:i/>
          <w:sz w:val="20"/>
        </w:rPr>
        <w:t xml:space="preserve">Tax gain or loss on disposition of common units could be different than expected. </w:t>
      </w:r>
    </w:p>
    <w:p>
      <w:pPr>
        <w:pStyle w:val="TextBody"/>
        <w:rPr/>
      </w:pPr>
      <w:r>
        <w:rPr/>
        <w:t>        </w:t>
      </w:r>
      <w:r>
        <w:rPr>
          <w:sz w:val="20"/>
        </w:rPr>
        <w:t xml:space="preserve">If Plains' unitholders sell their common units, they will recognize gain or loss equal to the difference between the amount realized and their tax basis in those common units. Prior distributions in excess of the total net taxable income allocated to a unitholder for a common unit, which decreased the unitholder's tax basis in that common unit, will, in effect, become taxable income to the unitholder if the common unit is sold at a price greater than the unitholder's tax basis in that common unit, even if the price the unitholder receives is less than the unitholder's original cost. A substantial portion of the amount realized, whether or not representing gain, may be ordinary income to the unitholder. Should the IRS successfully contest some positions Plains takes, the unitholder could recognize more gain on the sale of units than would be the case under those positions, without the benefit of decreased income in prior years. Also, if a unitholder sells units, the unitholder may incur a tax liability in excess of the amount of cash received from the sale. </w:t>
      </w:r>
    </w:p>
    <w:p>
      <w:pPr>
        <w:pStyle w:val="TextBody"/>
        <w:jc w:val="center"/>
        <w:rPr>
          <w:sz w:val="20"/>
        </w:rPr>
      </w:pPr>
      <w:r>
        <w:rPr>
          <w:sz w:val="20"/>
        </w:rPr>
        <w:t>S-18</w:t>
      </w:r>
    </w:p>
    <w:p>
      <w:pPr>
        <w:pStyle w:val="HorizontalLine"/>
        <w:pBdr>
          <w:bottom w:val="single" w:sz="20" w:space="0" w:color="808080"/>
        </w:pBdr>
        <w:rPr/>
      </w:pPr>
      <w:r>
        <w:rPr/>
      </w:r>
      <w:r>
        <w:br w:type="page"/>
      </w:r>
    </w:p>
    <w:p>
      <w:pPr>
        <w:pStyle w:val="TextBody"/>
        <w:rPr/>
      </w:pPr>
      <w:r>
        <w:rPr/>
      </w:r>
      <w:bookmarkStart w:id="46" w:name="page_dg1181_1_19"/>
      <w:bookmarkStart w:id="47" w:name="page_dg1181_1_19"/>
      <w:bookmarkEnd w:id="47"/>
    </w:p>
    <w:p>
      <w:pPr>
        <w:pStyle w:val="TextBody"/>
        <w:rPr/>
      </w:pPr>
      <w:r>
        <w:rPr/>
        <w:t>        </w:t>
      </w:r>
      <w:r>
        <w:rPr>
          <w:b/>
          <w:i/>
          <w:sz w:val="20"/>
        </w:rPr>
        <w:t xml:space="preserve">Tax-exempt entities and foreign persons face unique tax issues from owning Plains' common units that may result in adverse tax consequences to them. </w:t>
      </w:r>
    </w:p>
    <w:p>
      <w:pPr>
        <w:pStyle w:val="TextBody"/>
        <w:rPr/>
      </w:pPr>
      <w:r>
        <w:rPr/>
        <w:t>        </w:t>
      </w:r>
      <w:r>
        <w:rPr>
          <w:sz w:val="20"/>
        </w:rPr>
        <w:t xml:space="preserve">Investment in common units by tax-exempt entities, such as individual retirement accounts (IRAs), and non-U.S. persons raises issues unique to them. For example, virtually all of Plains'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Plains' taxable income. </w:t>
      </w:r>
    </w:p>
    <w:p>
      <w:pPr>
        <w:pStyle w:val="TextBody"/>
        <w:rPr/>
      </w:pPr>
      <w:r>
        <w:rPr/>
        <w:t>        </w:t>
      </w:r>
      <w:r>
        <w:rPr>
          <w:b/>
          <w:i/>
          <w:sz w:val="20"/>
        </w:rPr>
        <w:t xml:space="preserve">Plains treats each purchaser of common units as having the same tax benefits without regard to the actual units purchased. The IRS may challenge this treatment, which could adversely affect the value of the units. </w:t>
      </w:r>
    </w:p>
    <w:p>
      <w:pPr>
        <w:pStyle w:val="TextBody"/>
        <w:rPr/>
      </w:pPr>
      <w:r>
        <w:rPr/>
        <w:t>        </w:t>
      </w:r>
      <w:r>
        <w:rPr>
          <w:sz w:val="20"/>
        </w:rPr>
        <w:t xml:space="preserve">Because Plains cannot match transferors and transferees of common units and because of other reasons, Plains has adopted depreciation and amortization positions that do not conform with all aspects of the Treasury regulations. A successful IRS challenge to those positions could adversely affect the amount of tax benefits available to Plains' unitholders. It also could affect the timing of these tax benefits or the amount of gain from a unitholder's sale of common units and could have a negative impact on the value of the common units or result in audit adjustments to a unitholder's tax return. </w:t>
      </w:r>
    </w:p>
    <w:p>
      <w:pPr>
        <w:pStyle w:val="TextBody"/>
        <w:rPr/>
      </w:pPr>
      <w:r>
        <w:rPr/>
        <w:t>        </w:t>
      </w:r>
      <w:r>
        <w:rPr>
          <w:b/>
          <w:i/>
          <w:sz w:val="20"/>
        </w:rPr>
        <w:t xml:space="preserve">Unitholders of the combined company will be subject to foreign, state and local taxes and return filing requirements in jurisdictions where they do not live as a result of an investment in Plains' units. </w:t>
      </w:r>
    </w:p>
    <w:p>
      <w:pPr>
        <w:pStyle w:val="TextBody"/>
        <w:rPr/>
      </w:pPr>
      <w:r>
        <w:rPr/>
        <w:t>        </w:t>
      </w:r>
      <w:r>
        <w:rPr>
          <w:sz w:val="20"/>
        </w:rPr>
        <w:t xml:space="preserve">In addition to federal income taxes, unitholders of the combined company will be subject to other taxes, such as Canadian federal and provincial taxes, state and local taxes, unincorporated business taxes and estate, inheritance or intangible taxes that are imposed by the various jurisdictions in which Plains does business or owns property but in which such unitholders may not reside. Plains owns property and conducts business in Canada and in most states in the United States. Unitholders may be required to file tax returns and pay taxes in many or all of the jurisdictions in which Plains does business or owns property. Further, unitholders of the combined company may be subject to penalties for failure to comply with those requirements. It will be the combined company's unitholders' responsibility to file all U.S. federal, foreign, state and local tax returns. Plains' counsel has not rendered an opinion on the foreign, U.S. state or local tax consequences of an investment in Plains common units. </w:t>
      </w:r>
    </w:p>
    <w:p>
      <w:pPr>
        <w:pStyle w:val="TextBody"/>
        <w:jc w:val="center"/>
        <w:rPr>
          <w:sz w:val="20"/>
        </w:rPr>
      </w:pPr>
      <w:r>
        <w:rPr>
          <w:sz w:val="20"/>
        </w:rPr>
        <w:t>S-19</w:t>
      </w:r>
    </w:p>
    <w:p>
      <w:pPr>
        <w:pStyle w:val="HorizontalLine"/>
        <w:pBdr>
          <w:bottom w:val="single" w:sz="20" w:space="0" w:color="808080"/>
        </w:pBdr>
        <w:rPr/>
      </w:pPr>
      <w:r>
        <w:rPr/>
      </w:r>
      <w:r>
        <w:br w:type="page"/>
      </w:r>
    </w:p>
    <w:p>
      <w:pPr>
        <w:pStyle w:val="TextBody"/>
        <w:jc w:val="center"/>
        <w:rPr/>
      </w:pPr>
      <w:bookmarkStart w:id="48" w:name="toc_di1181_1"/>
      <w:bookmarkStart w:id="49" w:name="di1181_use_of_proceeds"/>
      <w:bookmarkStart w:id="50" w:name="page_di1181_1_20"/>
      <w:bookmarkEnd w:id="48"/>
      <w:bookmarkEnd w:id="49"/>
      <w:bookmarkEnd w:id="50"/>
      <w:r>
        <w:rPr>
          <w:sz w:val="20"/>
        </w:rPr>
        <w:br/>
      </w:r>
      <w:r>
        <w:rPr>
          <w:b/>
          <w:sz w:val="20"/>
        </w:rPr>
        <w:t xml:space="preserve">USE OF PROCEEDS </w:t>
      </w:r>
    </w:p>
    <w:p>
      <w:pPr>
        <w:pStyle w:val="TextBody"/>
        <w:rPr/>
      </w:pPr>
      <w:r>
        <w:rPr/>
        <w:t>        </w:t>
      </w:r>
      <w:r>
        <w:rPr>
          <w:sz w:val="20"/>
        </w:rPr>
        <w:t xml:space="preserve">The net proceeds of this offering will be approximately $163.2 million, including our general partner's proportionate capital contribution after deducting estimated offering expenses. We intend to use the net proceeds of this offering to fund a portion of: (i) two acquisitions of pipeline assets from BP Oil Pipeline Company and Chevron Pipe Line Company, which are expected to close in the third quarter of 2006 and have an aggregate purchase price of approximately $199 million; (ii) the equity financing component of our pending merger with Pacific Energy Partners, L.P.; (iii) our 2007 expansion capital activities or for general partnership purposes. Pending investment of the proceeds, we intend to temporarily reduce indebtedness under our senior unsecured credit facility. </w:t>
      </w:r>
    </w:p>
    <w:p>
      <w:pPr>
        <w:pStyle w:val="TextBody"/>
        <w:rPr/>
      </w:pPr>
      <w:r>
        <w:rPr/>
        <w:t>        </w:t>
      </w:r>
      <w:r>
        <w:rPr>
          <w:sz w:val="20"/>
        </w:rPr>
        <w:t xml:space="preserve">Indebtedness under our senior unsecured credit facility was approximately $685.7 million as of July 18, 2006, and had an annual interest rate of 5.9% and a final maturity in November 2010. Substantially all of the outstanding indebtedness under the facility was incurred to fund acquisitions, capital expansion projects, working capital requirements and the purchase of hedged inventory. </w:t>
      </w:r>
    </w:p>
    <w:p>
      <w:pPr>
        <w:pStyle w:val="TextBody"/>
        <w:jc w:val="center"/>
        <w:rPr/>
      </w:pPr>
      <w:bookmarkStart w:id="51" w:name="toc_di1181_2"/>
      <w:bookmarkStart w:id="52" w:name="di1181_price_range_of_common_units_and_d"/>
      <w:bookmarkEnd w:id="51"/>
      <w:bookmarkEnd w:id="52"/>
      <w:r>
        <w:rPr>
          <w:sz w:val="20"/>
        </w:rPr>
        <w:br/>
      </w:r>
      <w:r>
        <w:rPr>
          <w:b/>
          <w:sz w:val="20"/>
        </w:rPr>
        <w:t xml:space="preserve">PRICE RANGE OF COMMON UNITS AND DISTRIBUTIONS </w:t>
      </w:r>
    </w:p>
    <w:p>
      <w:pPr>
        <w:pStyle w:val="TextBody"/>
        <w:rPr/>
      </w:pPr>
      <w:r>
        <w:rPr/>
        <w:t>        </w:t>
      </w:r>
      <w:r>
        <w:rPr>
          <w:sz w:val="20"/>
        </w:rPr>
        <w:t xml:space="preserve">As of July 18, 2006, we had 77,273,248 common units outstanding, held by approximately 329 holders of record. Our common units are traded on the New York Stock Exchange under the symbol "PAA." </w:t>
      </w:r>
    </w:p>
    <w:p>
      <w:pPr>
        <w:pStyle w:val="TextBody"/>
        <w:rPr/>
      </w:pPr>
      <w:r>
        <w:rPr/>
        <w:t>        </w:t>
      </w:r>
      <w:r>
        <w:rPr>
          <w:sz w:val="20"/>
        </w:rPr>
        <w:t xml:space="preserve">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July 19, 2006 was $44.92 per common unit. </w:t>
      </w:r>
    </w:p>
    <w:tbl>
      <w:tblPr>
        <w:tblW w:w="5000" w:type="pct"/>
        <w:jc w:val="left"/>
        <w:tblInd w:w="0" w:type="dxa"/>
        <w:tblCellMar>
          <w:top w:w="0" w:type="dxa"/>
          <w:left w:w="0" w:type="dxa"/>
          <w:bottom w:w="0" w:type="dxa"/>
          <w:right w:w="0" w:type="dxa"/>
        </w:tblCellMar>
      </w:tblPr>
      <w:tblGrid>
        <w:gridCol w:w="5939"/>
        <w:gridCol w:w="207"/>
        <w:gridCol w:w="208"/>
        <w:gridCol w:w="625"/>
        <w:gridCol w:w="207"/>
        <w:gridCol w:w="208"/>
        <w:gridCol w:w="625"/>
        <w:gridCol w:w="208"/>
        <w:gridCol w:w="207"/>
        <w:gridCol w:w="1563"/>
        <w:gridCol w:w="208"/>
      </w:tblGrid>
      <w:tr>
        <w:trPr/>
        <w:tc>
          <w:tcPr>
            <w:tcW w:w="5939" w:type="dxa"/>
            <w:tcBorders/>
            <w:shd w:fill="auto" w:val="clear"/>
            <w:vAlign w:val="bottom"/>
          </w:tcPr>
          <w:p>
            <w:pPr>
              <w:pStyle w:val="TableHeading"/>
              <w:spacing w:before="0" w:after="283"/>
              <w:jc w:val="left"/>
              <w:rPr/>
            </w:pPr>
            <w:r>
              <w:rPr/>
              <w:t> </w:t>
            </w:r>
          </w:p>
        </w:tc>
        <w:tc>
          <w:tcPr>
            <w:tcW w:w="207" w:type="dxa"/>
            <w:vMerge w:val="restart"/>
            <w:tcBorders/>
            <w:shd w:fill="auto" w:val="clear"/>
            <w:vAlign w:val="bottom"/>
          </w:tcPr>
          <w:p>
            <w:pPr>
              <w:pStyle w:val="TableHeading"/>
              <w:suppressLineNumbers/>
              <w:spacing w:before="0" w:after="283"/>
              <w:jc w:val="center"/>
              <w:rPr/>
            </w:pPr>
            <w:r>
              <w:rPr/>
              <w:t> </w:t>
            </w:r>
          </w:p>
        </w:tc>
        <w:tc>
          <w:tcPr>
            <w:tcW w:w="1873" w:type="dxa"/>
            <w:gridSpan w:val="5"/>
            <w:vMerge w:val="restart"/>
            <w:tcBorders/>
            <w:shd w:fill="auto" w:val="clear"/>
            <w:vAlign w:val="bottom"/>
          </w:tcPr>
          <w:p>
            <w:pPr>
              <w:pStyle w:val="TableHeading"/>
              <w:spacing w:before="0" w:after="0"/>
              <w:jc w:val="center"/>
              <w:rPr>
                <w:b/>
                <w:sz w:val="14"/>
              </w:rPr>
            </w:pPr>
            <w:r>
              <w:rPr>
                <w:b/>
                <w:sz w:val="14"/>
              </w:rPr>
              <w:t>Price Range</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770" w:type="dxa"/>
            <w:gridSpan w:val="2"/>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r>
      <w:tr>
        <w:trPr/>
        <w:tc>
          <w:tcPr>
            <w:tcW w:w="5939" w:type="dxa"/>
            <w:tcBorders/>
            <w:shd w:fill="auto" w:val="clear"/>
            <w:vAlign w:val="bottom"/>
          </w:tcPr>
          <w:p>
            <w:pPr>
              <w:pStyle w:val="TableHeading"/>
              <w:spacing w:before="0" w:after="283"/>
              <w:jc w:val="left"/>
              <w:rPr/>
            </w:pPr>
            <w:r>
              <w:rPr/>
              <w:t> </w:t>
            </w:r>
          </w:p>
        </w:tc>
        <w:tc>
          <w:tcPr>
            <w:tcW w:w="207" w:type="dxa"/>
            <w:vMerge w:val="continue"/>
            <w:tcBorders/>
            <w:shd w:fill="auto" w:val="clear"/>
            <w:vAlign w:val="bottom"/>
          </w:tcPr>
          <w:p>
            <w:pPr>
              <w:pStyle w:val="Normal"/>
              <w:rPr/>
            </w:pPr>
            <w:r>
              <w:rPr/>
            </w:r>
          </w:p>
        </w:tc>
        <w:tc>
          <w:tcPr>
            <w:tcW w:w="1873" w:type="dxa"/>
            <w:gridSpan w:val="5"/>
            <w:vMerge w:val="continue"/>
            <w:tcBorders/>
            <w:shd w:fill="auto" w:val="clear"/>
            <w:vAlign w:val="bottom"/>
          </w:tcPr>
          <w:p>
            <w:pPr>
              <w:pStyle w:val="Normal"/>
              <w:rPr/>
            </w:pPr>
            <w:r>
              <w:rPr/>
            </w:r>
          </w:p>
        </w:tc>
        <w:tc>
          <w:tcPr>
            <w:tcW w:w="208" w:type="dxa"/>
            <w:vMerge w:val="restart"/>
            <w:tcBorders/>
            <w:shd w:fill="auto" w:val="clear"/>
            <w:vAlign w:val="bottom"/>
          </w:tcPr>
          <w:p>
            <w:pPr>
              <w:pStyle w:val="TableHeading"/>
              <w:suppressLineNumbers/>
              <w:spacing w:before="0" w:after="283"/>
              <w:jc w:val="center"/>
              <w:rPr/>
            </w:pPr>
            <w:r>
              <w:rPr/>
              <w:t> </w:t>
            </w:r>
          </w:p>
        </w:tc>
        <w:tc>
          <w:tcPr>
            <w:tcW w:w="1770" w:type="dxa"/>
            <w:gridSpan w:val="2"/>
            <w:vMerge w:val="restart"/>
            <w:tcBorders/>
            <w:shd w:fill="auto" w:val="clear"/>
            <w:vAlign w:val="bottom"/>
          </w:tcPr>
          <w:p>
            <w:pPr>
              <w:pStyle w:val="TableHeading"/>
              <w:spacing w:before="0" w:after="0"/>
              <w:jc w:val="center"/>
              <w:rPr>
                <w:b/>
                <w:sz w:val="14"/>
              </w:rPr>
            </w:pPr>
            <w:r>
              <w:rPr>
                <w:b/>
                <w:sz w:val="14"/>
              </w:rPr>
              <w:t>Cash</w:t>
              <w:br/>
              <w:t>Distributions(1)</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r>
      <w:tr>
        <w:trPr/>
        <w:tc>
          <w:tcPr>
            <w:tcW w:w="5939" w:type="dxa"/>
            <w:tcBorders/>
            <w:shd w:fill="auto" w:val="clear"/>
            <w:vAlign w:val="bottom"/>
          </w:tcPr>
          <w:p>
            <w:pPr>
              <w:pStyle w:val="TableHeading"/>
              <w:spacing w:before="0" w:after="283"/>
              <w:jc w:val="left"/>
              <w:rPr/>
            </w:pPr>
            <w:r>
              <w:rPr/>
              <w:t> </w:t>
            </w:r>
          </w:p>
        </w:tc>
        <w:tc>
          <w:tcPr>
            <w:tcW w:w="207" w:type="dxa"/>
            <w:tcBorders/>
            <w:shd w:fill="auto" w:val="clear"/>
            <w:vAlign w:val="bottom"/>
          </w:tcPr>
          <w:p>
            <w:pPr>
              <w:pStyle w:val="TableHeading"/>
              <w:suppressLineNumbers/>
              <w:spacing w:before="0" w:after="283"/>
              <w:jc w:val="center"/>
              <w:rPr/>
            </w:pPr>
            <w:r>
              <w:rPr/>
              <w:t> </w:t>
            </w:r>
          </w:p>
        </w:tc>
        <w:tc>
          <w:tcPr>
            <w:tcW w:w="833" w:type="dxa"/>
            <w:gridSpan w:val="2"/>
            <w:tcBorders/>
            <w:shd w:fill="auto" w:val="clear"/>
            <w:vAlign w:val="bottom"/>
          </w:tcPr>
          <w:p>
            <w:pPr>
              <w:pStyle w:val="TableHeading"/>
              <w:spacing w:before="0" w:after="0"/>
              <w:jc w:val="center"/>
              <w:rPr>
                <w:b/>
                <w:sz w:val="14"/>
              </w:rPr>
            </w:pPr>
            <w:r>
              <w:rPr>
                <w:b/>
                <w:sz w:val="14"/>
              </w:rPr>
              <w:t>High</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833" w:type="dxa"/>
            <w:gridSpan w:val="2"/>
            <w:tcBorders/>
            <w:shd w:fill="auto" w:val="clear"/>
            <w:vAlign w:val="bottom"/>
          </w:tcPr>
          <w:p>
            <w:pPr>
              <w:pStyle w:val="TableHeading"/>
              <w:spacing w:before="0" w:after="0"/>
              <w:jc w:val="center"/>
              <w:rPr>
                <w:b/>
                <w:sz w:val="14"/>
              </w:rPr>
            </w:pPr>
            <w:r>
              <w:rPr>
                <w:b/>
                <w:sz w:val="14"/>
              </w:rPr>
              <w:t>Low</w:t>
            </w:r>
          </w:p>
          <w:p>
            <w:pPr>
              <w:pStyle w:val="HorizontalLine"/>
              <w:pBdr>
                <w:bottom w:val="single" w:sz="20" w:space="0" w:color="808080"/>
              </w:pBdr>
              <w:spacing w:before="0" w:after="283"/>
              <w:rPr/>
            </w:pPr>
            <w:r>
              <w:rPr/>
            </w:r>
          </w:p>
        </w:tc>
        <w:tc>
          <w:tcPr>
            <w:tcW w:w="208" w:type="dxa"/>
            <w:vMerge w:val="continue"/>
            <w:tcBorders/>
            <w:shd w:fill="auto" w:val="clear"/>
            <w:vAlign w:val="bottom"/>
          </w:tcPr>
          <w:p>
            <w:pPr>
              <w:pStyle w:val="Normal"/>
              <w:rPr/>
            </w:pPr>
            <w:r>
              <w:rPr/>
            </w:r>
          </w:p>
        </w:tc>
        <w:tc>
          <w:tcPr>
            <w:tcW w:w="1770" w:type="dxa"/>
            <w:gridSpan w:val="2"/>
            <w:vMerge w:val="continue"/>
            <w:tcBorders/>
            <w:shd w:fill="auto" w:val="clear"/>
            <w:vAlign w:val="bottom"/>
          </w:tcPr>
          <w:p>
            <w:pPr>
              <w:pStyle w:val="Normal"/>
              <w:rPr/>
            </w:pPr>
            <w:r>
              <w:rPr/>
            </w:r>
          </w:p>
        </w:tc>
        <w:tc>
          <w:tcPr>
            <w:tcW w:w="208" w:type="dxa"/>
            <w:tcBorders/>
            <w:shd w:fill="auto" w:val="clear"/>
            <w:vAlign w:val="bottom"/>
          </w:tcPr>
          <w:p>
            <w:pPr>
              <w:pStyle w:val="TableHeading"/>
              <w:suppressLineNumbers/>
              <w:spacing w:before="0" w:after="283"/>
              <w:jc w:val="center"/>
              <w:rPr/>
            </w:pPr>
            <w:r>
              <w:rPr/>
              <w:t> </w:t>
            </w:r>
          </w:p>
        </w:tc>
      </w:tr>
      <w:tr>
        <w:trPr/>
        <w:tc>
          <w:tcPr>
            <w:tcW w:w="5939" w:type="dxa"/>
            <w:tcBorders/>
            <w:shd w:fill="CCEEFF" w:val="clear"/>
          </w:tcPr>
          <w:p>
            <w:pPr>
              <w:pStyle w:val="TableContents"/>
              <w:spacing w:before="0" w:after="283"/>
              <w:rPr>
                <w:b/>
                <w:sz w:val="20"/>
              </w:rPr>
            </w:pPr>
            <w:r>
              <w:rPr>
                <w:b/>
                <w:sz w:val="20"/>
              </w:rPr>
              <w:t>2004</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First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35.23</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31.18</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1563" w:type="dxa"/>
            <w:tcBorders/>
            <w:shd w:fill="FFFFFF" w:val="clear"/>
          </w:tcPr>
          <w:p>
            <w:pPr>
              <w:pStyle w:val="TableContents"/>
              <w:spacing w:before="0" w:after="283"/>
              <w:jc w:val="right"/>
              <w:rPr>
                <w:sz w:val="20"/>
              </w:rPr>
            </w:pPr>
            <w:r>
              <w:rPr>
                <w:sz w:val="20"/>
              </w:rPr>
              <w:t>0.5625</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Second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36.13</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27.25</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0.5775</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Third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35.98</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31.63</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sz w:val="20"/>
              </w:rPr>
            </w:pPr>
            <w:r>
              <w:rPr>
                <w:sz w:val="20"/>
              </w:rPr>
              <w:t>0.6000</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Fourth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37.99</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34.51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0.6125</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pPr>
            <w:r>
              <w:rPr/>
              <w:br/>
            </w:r>
            <w:r>
              <w:rPr>
                <w:b/>
                <w:sz w:val="20"/>
              </w:rPr>
              <w:t>2005</w:t>
            </w:r>
          </w:p>
        </w:tc>
        <w:tc>
          <w:tcPr>
            <w:tcW w:w="207"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625" w:type="dxa"/>
            <w:tcBorders/>
            <w:shd w:fill="FFFFFF" w:val="clear"/>
          </w:tcPr>
          <w:p>
            <w:pPr>
              <w:pStyle w:val="TableContents"/>
              <w:spacing w:before="0" w:after="283"/>
              <w:rPr>
                <w:sz w:val="20"/>
              </w:rPr>
            </w:pPr>
            <w:r>
              <w:rPr>
                <w:sz w:val="20"/>
              </w:rPr>
              <w:br/>
              <w:t> </w:t>
            </w:r>
          </w:p>
        </w:tc>
        <w:tc>
          <w:tcPr>
            <w:tcW w:w="207"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625"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207" w:type="dxa"/>
            <w:tcBorders/>
            <w:shd w:fill="FFFFFF" w:val="clear"/>
          </w:tcPr>
          <w:p>
            <w:pPr>
              <w:pStyle w:val="TableContents"/>
              <w:spacing w:before="0" w:after="283"/>
              <w:rPr>
                <w:sz w:val="20"/>
              </w:rPr>
            </w:pPr>
            <w:r>
              <w:rPr>
                <w:sz w:val="20"/>
              </w:rPr>
              <w:br/>
              <w:t> </w:t>
            </w:r>
          </w:p>
        </w:tc>
        <w:tc>
          <w:tcPr>
            <w:tcW w:w="1563"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r>
      <w:tr>
        <w:trPr/>
        <w:tc>
          <w:tcPr>
            <w:tcW w:w="5939" w:type="dxa"/>
            <w:tcBorders/>
            <w:shd w:fill="CCEEFF" w:val="clear"/>
          </w:tcPr>
          <w:p>
            <w:pPr>
              <w:pStyle w:val="TableContents"/>
              <w:spacing w:before="0" w:after="283"/>
              <w:rPr>
                <w:sz w:val="20"/>
              </w:rPr>
            </w:pPr>
            <w:r>
              <w:rPr>
                <w:sz w:val="20"/>
              </w:rPr>
              <w:t>First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625" w:type="dxa"/>
            <w:tcBorders/>
            <w:shd w:fill="CCEEFF" w:val="clear"/>
          </w:tcPr>
          <w:p>
            <w:pPr>
              <w:pStyle w:val="TableContents"/>
              <w:spacing w:before="0" w:after="283"/>
              <w:jc w:val="right"/>
              <w:rPr>
                <w:sz w:val="20"/>
              </w:rPr>
            </w:pPr>
            <w:r>
              <w:rPr>
                <w:sz w:val="20"/>
              </w:rPr>
              <w:t>40.98</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625" w:type="dxa"/>
            <w:tcBorders/>
            <w:shd w:fill="CCEEFF" w:val="clear"/>
          </w:tcPr>
          <w:p>
            <w:pPr>
              <w:pStyle w:val="TableContents"/>
              <w:spacing w:before="0" w:after="283"/>
              <w:jc w:val="right"/>
              <w:rPr>
                <w:sz w:val="20"/>
              </w:rPr>
            </w:pPr>
            <w:r>
              <w:rPr>
                <w:sz w:val="20"/>
              </w:rPr>
              <w:t>36.50</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1563" w:type="dxa"/>
            <w:tcBorders/>
            <w:shd w:fill="CCEEFF" w:val="clear"/>
          </w:tcPr>
          <w:p>
            <w:pPr>
              <w:pStyle w:val="TableContents"/>
              <w:spacing w:before="0" w:after="283"/>
              <w:jc w:val="right"/>
              <w:rPr>
                <w:sz w:val="20"/>
              </w:rPr>
            </w:pPr>
            <w:r>
              <w:rPr>
                <w:sz w:val="20"/>
              </w:rPr>
              <w:t>0.6375</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Second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45.08</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38.00</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sz w:val="20"/>
              </w:rPr>
            </w:pPr>
            <w:r>
              <w:rPr>
                <w:sz w:val="20"/>
              </w:rPr>
              <w:t>0.6500</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Third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48.20</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42.01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0.6750</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Fourth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42.82</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38.51</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sz w:val="20"/>
              </w:rPr>
            </w:pPr>
            <w:r>
              <w:rPr>
                <w:sz w:val="20"/>
              </w:rPr>
              <w:t>0.6875</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pPr>
            <w:r>
              <w:rPr/>
              <w:br/>
            </w:r>
            <w:r>
              <w:rPr>
                <w:b/>
                <w:sz w:val="20"/>
              </w:rPr>
              <w:t>2006</w:t>
            </w:r>
          </w:p>
        </w:tc>
        <w:tc>
          <w:tcPr>
            <w:tcW w:w="207"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625" w:type="dxa"/>
            <w:tcBorders/>
            <w:shd w:fill="CCEEFF" w:val="clear"/>
          </w:tcPr>
          <w:p>
            <w:pPr>
              <w:pStyle w:val="TableContents"/>
              <w:spacing w:before="0" w:after="283"/>
              <w:rPr>
                <w:sz w:val="20"/>
              </w:rPr>
            </w:pPr>
            <w:r>
              <w:rPr>
                <w:sz w:val="20"/>
              </w:rPr>
              <w:br/>
              <w:t> </w:t>
            </w:r>
          </w:p>
        </w:tc>
        <w:tc>
          <w:tcPr>
            <w:tcW w:w="207"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625"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207" w:type="dxa"/>
            <w:tcBorders/>
            <w:shd w:fill="CCEEFF" w:val="clear"/>
          </w:tcPr>
          <w:p>
            <w:pPr>
              <w:pStyle w:val="TableContents"/>
              <w:spacing w:before="0" w:after="283"/>
              <w:rPr>
                <w:sz w:val="20"/>
              </w:rPr>
            </w:pPr>
            <w:r>
              <w:rPr>
                <w:sz w:val="20"/>
              </w:rPr>
              <w:br/>
              <w:t> </w:t>
            </w:r>
          </w:p>
        </w:tc>
        <w:tc>
          <w:tcPr>
            <w:tcW w:w="1563"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r>
      <w:tr>
        <w:trPr/>
        <w:tc>
          <w:tcPr>
            <w:tcW w:w="5939" w:type="dxa"/>
            <w:tcBorders/>
            <w:shd w:fill="FFFFFF" w:val="clear"/>
          </w:tcPr>
          <w:p>
            <w:pPr>
              <w:pStyle w:val="TableContents"/>
              <w:spacing w:before="0" w:after="283"/>
              <w:rPr>
                <w:sz w:val="20"/>
              </w:rPr>
            </w:pPr>
            <w:r>
              <w:rPr>
                <w:sz w:val="20"/>
              </w:rPr>
              <w:t>First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47.00</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39.81</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1563" w:type="dxa"/>
            <w:tcBorders/>
            <w:shd w:fill="FFFFFF" w:val="clear"/>
          </w:tcPr>
          <w:p>
            <w:pPr>
              <w:pStyle w:val="TableContents"/>
              <w:spacing w:before="0" w:after="283"/>
              <w:jc w:val="right"/>
              <w:rPr>
                <w:sz w:val="20"/>
              </w:rPr>
            </w:pPr>
            <w:r>
              <w:rPr>
                <w:sz w:val="20"/>
              </w:rPr>
              <w:t>0.7075</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Second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48.92</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42.81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0.7250</w:t>
            </w:r>
          </w:p>
        </w:tc>
        <w:tc>
          <w:tcPr>
            <w:tcW w:w="208" w:type="dxa"/>
            <w:tcBorders/>
            <w:shd w:fill="CCEEFF" w:val="clear"/>
          </w:tcPr>
          <w:p>
            <w:pPr>
              <w:pStyle w:val="TableContents"/>
              <w:spacing w:before="0" w:after="283"/>
              <w:rPr>
                <w:sz w:val="20"/>
              </w:rPr>
            </w:pPr>
            <w:r>
              <w:rPr>
                <w:sz w:val="20"/>
              </w:rPr>
              <w:t>(2)</w:t>
            </w:r>
          </w:p>
        </w:tc>
      </w:tr>
      <w:tr>
        <w:trPr/>
        <w:tc>
          <w:tcPr>
            <w:tcW w:w="5939" w:type="dxa"/>
            <w:tcBorders/>
            <w:shd w:fill="FFFFFF" w:val="clear"/>
          </w:tcPr>
          <w:p>
            <w:pPr>
              <w:pStyle w:val="TableContents"/>
              <w:spacing w:before="0" w:after="283"/>
              <w:rPr>
                <w:sz w:val="20"/>
              </w:rPr>
            </w:pPr>
            <w:r>
              <w:rPr>
                <w:sz w:val="20"/>
              </w:rPr>
              <w:t>Third Quarter (through July 19, 2006)</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45.19</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43.21</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pPr>
            <w:r>
              <w:rPr/>
              <w:t> </w:t>
            </w:r>
          </w:p>
        </w:tc>
        <w:tc>
          <w:tcPr>
            <w:tcW w:w="208" w:type="dxa"/>
            <w:tcBorders/>
            <w:shd w:fill="FFFFFF" w:val="clear"/>
          </w:tcPr>
          <w:p>
            <w:pPr>
              <w:pStyle w:val="TableContents"/>
              <w:spacing w:before="0" w:after="283"/>
              <w:rPr>
                <w:sz w:val="20"/>
              </w:rPr>
            </w:pPr>
            <w:r>
              <w:rPr>
                <w:sz w:val="20"/>
              </w:rPr>
              <w:t>(3)</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Represents cash distributions per common unit declared with respect to the quarter and paid in the following quarter. </w:t>
      </w:r>
    </w:p>
    <w:p>
      <w:pPr>
        <w:pStyle w:val="ListHeading"/>
        <w:spacing w:before="0" w:after="0"/>
        <w:rPr>
          <w:sz w:val="20"/>
        </w:rPr>
      </w:pPr>
      <w:r>
        <w:rPr>
          <w:sz w:val="20"/>
        </w:rPr>
        <w:t>(2)</w:t>
      </w:r>
    </w:p>
    <w:p>
      <w:pPr>
        <w:pStyle w:val="ListContents"/>
        <w:spacing w:before="0" w:after="283"/>
        <w:rPr>
          <w:sz w:val="20"/>
        </w:rPr>
      </w:pPr>
      <w:r>
        <w:rPr>
          <w:sz w:val="20"/>
        </w:rPr>
        <w:t xml:space="preserve">The distribution attributable to the second quarter of 2006 has been declared but has not yet been paid. </w:t>
      </w:r>
    </w:p>
    <w:p>
      <w:pPr>
        <w:pStyle w:val="ListHeading"/>
        <w:spacing w:before="0" w:after="0"/>
        <w:rPr>
          <w:sz w:val="20"/>
        </w:rPr>
      </w:pPr>
      <w:r>
        <w:rPr>
          <w:sz w:val="20"/>
        </w:rPr>
        <w:t>(3)</w:t>
      </w:r>
    </w:p>
    <w:p>
      <w:pPr>
        <w:pStyle w:val="ListContents"/>
        <w:spacing w:before="0" w:after="283"/>
        <w:rPr>
          <w:sz w:val="20"/>
        </w:rPr>
      </w:pPr>
      <w:r>
        <w:rPr>
          <w:sz w:val="20"/>
        </w:rPr>
        <w:t xml:space="preserve">The distribution attributable to the third quarter of 2006 has not yet been declared or paid. </w:t>
      </w:r>
    </w:p>
    <w:p>
      <w:pPr>
        <w:pStyle w:val="TextBody"/>
        <w:jc w:val="center"/>
        <w:rPr>
          <w:sz w:val="20"/>
        </w:rPr>
      </w:pPr>
      <w:r>
        <w:rPr>
          <w:sz w:val="20"/>
        </w:rPr>
        <w:t>S-20</w:t>
      </w:r>
    </w:p>
    <w:p>
      <w:pPr>
        <w:pStyle w:val="HorizontalLine"/>
        <w:pBdr>
          <w:bottom w:val="single" w:sz="20" w:space="0" w:color="808080"/>
        </w:pBdr>
        <w:rPr/>
      </w:pPr>
      <w:r>
        <w:rPr/>
      </w:r>
      <w:r>
        <w:br w:type="page"/>
      </w:r>
    </w:p>
    <w:p>
      <w:pPr>
        <w:pStyle w:val="TextBody"/>
        <w:jc w:val="center"/>
        <w:rPr/>
      </w:pPr>
      <w:bookmarkStart w:id="53" w:name="toc_di1181_3"/>
      <w:bookmarkStart w:id="54" w:name="di1181_plan_of_distribution"/>
      <w:bookmarkStart w:id="55" w:name="page_di1181_1_21"/>
      <w:bookmarkEnd w:id="53"/>
      <w:bookmarkEnd w:id="54"/>
      <w:bookmarkEnd w:id="55"/>
      <w:r>
        <w:rPr>
          <w:sz w:val="20"/>
        </w:rPr>
        <w:br/>
      </w:r>
      <w:r>
        <w:rPr>
          <w:b/>
          <w:sz w:val="20"/>
        </w:rPr>
        <w:t xml:space="preserve">PLAN OF DISTRIBUTION </w:t>
      </w:r>
    </w:p>
    <w:p>
      <w:pPr>
        <w:pStyle w:val="TextBody"/>
        <w:rPr/>
      </w:pPr>
      <w:r>
        <w:rPr/>
        <w:t>        </w:t>
      </w:r>
      <w:r>
        <w:rPr>
          <w:sz w:val="20"/>
        </w:rPr>
        <w:t xml:space="preserve">We are selling the common units offered pursuant to this prospectus directly to the following purchasers in a privately negotiated transaction in which no party is acting as an underwriter: </w:t>
      </w:r>
    </w:p>
    <w:tbl>
      <w:tblPr>
        <w:tblW w:w="3850" w:type="pct"/>
        <w:jc w:val="left"/>
        <w:tblInd w:w="0" w:type="dxa"/>
        <w:tblCellMar>
          <w:top w:w="0" w:type="dxa"/>
          <w:left w:w="0" w:type="dxa"/>
          <w:bottom w:w="0" w:type="dxa"/>
          <w:right w:w="0" w:type="dxa"/>
        </w:tblCellMar>
      </w:tblPr>
      <w:tblGrid>
        <w:gridCol w:w="164"/>
        <w:gridCol w:w="6371"/>
        <w:gridCol w:w="247"/>
        <w:gridCol w:w="1075"/>
      </w:tblGrid>
      <w:tr>
        <w:trPr/>
        <w:tc>
          <w:tcPr>
            <w:tcW w:w="6535" w:type="dxa"/>
            <w:gridSpan w:val="2"/>
            <w:tcBorders/>
            <w:shd w:fill="auto" w:val="clear"/>
            <w:vAlign w:val="bottom"/>
          </w:tcPr>
          <w:p>
            <w:pPr>
              <w:pStyle w:val="TableHeading"/>
              <w:spacing w:before="0" w:after="0"/>
              <w:jc w:val="left"/>
              <w:rPr>
                <w:b/>
                <w:sz w:val="14"/>
              </w:rPr>
            </w:pPr>
            <w:r>
              <w:rPr>
                <w:b/>
                <w:sz w:val="14"/>
              </w:rPr>
              <w:t>Purchaser</w:t>
            </w:r>
          </w:p>
          <w:p>
            <w:pPr>
              <w:pStyle w:val="HorizontalLine"/>
              <w:pBdr>
                <w:bottom w:val="single" w:sz="20" w:space="0" w:color="808080"/>
              </w:pBdr>
              <w:spacing w:before="0" w:after="283"/>
              <w:rPr/>
            </w:pPr>
            <w:r>
              <w:rPr/>
            </w:r>
          </w:p>
        </w:tc>
        <w:tc>
          <w:tcPr>
            <w:tcW w:w="247" w:type="dxa"/>
            <w:tcBorders/>
            <w:shd w:fill="auto" w:val="clear"/>
            <w:vAlign w:val="bottom"/>
          </w:tcPr>
          <w:p>
            <w:pPr>
              <w:pStyle w:val="TableHeading"/>
              <w:suppressLineNumbers/>
              <w:spacing w:before="0" w:after="283"/>
              <w:jc w:val="center"/>
              <w:rPr/>
            </w:pPr>
            <w:r>
              <w:rPr/>
              <w:t> </w:t>
            </w:r>
          </w:p>
        </w:tc>
        <w:tc>
          <w:tcPr>
            <w:tcW w:w="1075" w:type="dxa"/>
            <w:tcBorders/>
            <w:shd w:fill="auto" w:val="clear"/>
            <w:vAlign w:val="bottom"/>
          </w:tcPr>
          <w:p>
            <w:pPr>
              <w:pStyle w:val="TableHeading"/>
              <w:spacing w:before="0" w:after="0"/>
              <w:jc w:val="center"/>
              <w:rPr>
                <w:b/>
                <w:sz w:val="14"/>
              </w:rPr>
            </w:pPr>
            <w:r>
              <w:rPr>
                <w:b/>
                <w:sz w:val="14"/>
              </w:rPr>
              <w:t>Common Units</w:t>
            </w:r>
          </w:p>
          <w:p>
            <w:pPr>
              <w:pStyle w:val="HorizontalLine"/>
              <w:pBdr>
                <w:bottom w:val="single" w:sz="20" w:space="0" w:color="808080"/>
              </w:pBdr>
              <w:spacing w:before="0" w:after="283"/>
              <w:rPr/>
            </w:pPr>
            <w:r>
              <w:rPr/>
            </w:r>
          </w:p>
        </w:tc>
      </w:tr>
      <w:tr>
        <w:trPr/>
        <w:tc>
          <w:tcPr>
            <w:tcW w:w="6535" w:type="dxa"/>
            <w:gridSpan w:val="2"/>
            <w:tcBorders/>
            <w:shd w:fill="CCEEFF" w:val="clear"/>
          </w:tcPr>
          <w:p>
            <w:pPr>
              <w:pStyle w:val="TableContents"/>
              <w:spacing w:before="0" w:after="283"/>
              <w:rPr>
                <w:sz w:val="20"/>
              </w:rPr>
            </w:pPr>
            <w:r>
              <w:rPr>
                <w:sz w:val="20"/>
              </w:rPr>
              <w:br/>
              <w:t> </w:t>
            </w:r>
          </w:p>
        </w:tc>
        <w:tc>
          <w:tcPr>
            <w:tcW w:w="247" w:type="dxa"/>
            <w:tcBorders/>
            <w:shd w:fill="CCEEFF" w:val="clear"/>
          </w:tcPr>
          <w:p>
            <w:pPr>
              <w:pStyle w:val="TableContents"/>
              <w:spacing w:before="0" w:after="283"/>
              <w:rPr>
                <w:sz w:val="20"/>
              </w:rPr>
            </w:pPr>
            <w:r>
              <w:rPr>
                <w:sz w:val="20"/>
              </w:rPr>
              <w:br/>
              <w:t> </w:t>
            </w:r>
          </w:p>
        </w:tc>
        <w:tc>
          <w:tcPr>
            <w:tcW w:w="1075" w:type="dxa"/>
            <w:tcBorders/>
            <w:shd w:fill="CCEEFF" w:val="clear"/>
          </w:tcPr>
          <w:p>
            <w:pPr>
              <w:pStyle w:val="TableContents"/>
              <w:spacing w:before="0" w:after="283"/>
              <w:rPr>
                <w:sz w:val="20"/>
              </w:rPr>
            </w:pPr>
            <w:r>
              <w:rPr>
                <w:sz w:val="20"/>
              </w:rPr>
              <w:br/>
              <w:t> </w:t>
            </w:r>
          </w:p>
        </w:tc>
      </w:tr>
      <w:tr>
        <w:trPr/>
        <w:tc>
          <w:tcPr>
            <w:tcW w:w="6535" w:type="dxa"/>
            <w:gridSpan w:val="2"/>
            <w:tcBorders/>
            <w:shd w:fill="auto" w:val="clear"/>
          </w:tcPr>
          <w:p>
            <w:pPr>
              <w:pStyle w:val="TableContents"/>
              <w:spacing w:before="0" w:after="283"/>
              <w:rPr/>
            </w:pPr>
            <w:r>
              <w:rPr/>
              <w:t> </w:t>
            </w:r>
          </w:p>
        </w:tc>
        <w:tc>
          <w:tcPr>
            <w:tcW w:w="247" w:type="dxa"/>
            <w:tcBorders/>
            <w:shd w:fill="auto" w:val="clear"/>
          </w:tcPr>
          <w:p>
            <w:pPr>
              <w:pStyle w:val="TableContents"/>
              <w:spacing w:before="0" w:after="283"/>
              <w:rPr/>
            </w:pPr>
            <w:r>
              <w:rPr/>
              <w:t> </w:t>
            </w:r>
          </w:p>
        </w:tc>
        <w:tc>
          <w:tcPr>
            <w:tcW w:w="1075" w:type="dxa"/>
            <w:tcBorders/>
            <w:shd w:fill="auto" w:val="clear"/>
          </w:tcPr>
          <w:p>
            <w:pPr>
              <w:pStyle w:val="HorizontalLine"/>
              <w:pBdr>
                <w:bottom w:val="single" w:sz="20" w:space="0" w:color="808080"/>
              </w:pBdr>
              <w:spacing w:before="0" w:after="283"/>
              <w:rPr/>
            </w:pPr>
            <w:r>
              <w:rPr/>
            </w:r>
          </w:p>
        </w:tc>
      </w:tr>
      <w:tr>
        <w:trPr/>
        <w:tc>
          <w:tcPr>
            <w:tcW w:w="164" w:type="dxa"/>
            <w:tcBorders/>
            <w:shd w:fill="FFFFFF" w:val="clear"/>
          </w:tcPr>
          <w:p>
            <w:pPr>
              <w:pStyle w:val="TableContents"/>
              <w:spacing w:before="0" w:after="283"/>
              <w:rPr/>
            </w:pPr>
            <w:r>
              <w:rPr/>
              <w:t> </w:t>
            </w:r>
          </w:p>
        </w:tc>
        <w:tc>
          <w:tcPr>
            <w:tcW w:w="6371" w:type="dxa"/>
            <w:tcBorders/>
            <w:shd w:fill="FFFFFF" w:val="clear"/>
          </w:tcPr>
          <w:p>
            <w:pPr>
              <w:pStyle w:val="TableContents"/>
              <w:spacing w:before="0" w:after="283"/>
              <w:rPr>
                <w:sz w:val="20"/>
              </w:rPr>
            </w:pPr>
            <w:r>
              <w:rPr>
                <w:sz w:val="20"/>
              </w:rPr>
              <w:t>Total</w:t>
            </w:r>
          </w:p>
        </w:tc>
        <w:tc>
          <w:tcPr>
            <w:tcW w:w="247" w:type="dxa"/>
            <w:tcBorders/>
            <w:shd w:fill="FFFFFF" w:val="clear"/>
          </w:tcPr>
          <w:p>
            <w:pPr>
              <w:pStyle w:val="TableContents"/>
              <w:spacing w:before="0" w:after="283"/>
              <w:rPr/>
            </w:pPr>
            <w:r>
              <w:rPr/>
              <w:t> </w:t>
            </w:r>
          </w:p>
        </w:tc>
        <w:tc>
          <w:tcPr>
            <w:tcW w:w="1075" w:type="dxa"/>
            <w:tcBorders/>
            <w:shd w:fill="FFFFFF" w:val="clear"/>
          </w:tcPr>
          <w:p>
            <w:pPr>
              <w:pStyle w:val="TableContents"/>
              <w:spacing w:before="0" w:after="283"/>
              <w:jc w:val="right"/>
              <w:rPr>
                <w:sz w:val="20"/>
              </w:rPr>
            </w:pPr>
            <w:r>
              <w:rPr>
                <w:sz w:val="20"/>
              </w:rPr>
              <w:t>3,720,930</w:t>
            </w:r>
          </w:p>
        </w:tc>
      </w:tr>
      <w:tr>
        <w:trPr/>
        <w:tc>
          <w:tcPr>
            <w:tcW w:w="6535" w:type="dxa"/>
            <w:gridSpan w:val="2"/>
            <w:tcBorders/>
            <w:shd w:fill="auto" w:val="clear"/>
          </w:tcPr>
          <w:p>
            <w:pPr>
              <w:pStyle w:val="TableContents"/>
              <w:spacing w:before="0" w:after="283"/>
              <w:rPr/>
            </w:pPr>
            <w:r>
              <w:rPr/>
              <w:t> </w:t>
            </w:r>
          </w:p>
        </w:tc>
        <w:tc>
          <w:tcPr>
            <w:tcW w:w="247" w:type="dxa"/>
            <w:tcBorders/>
            <w:shd w:fill="auto" w:val="clear"/>
          </w:tcPr>
          <w:p>
            <w:pPr>
              <w:pStyle w:val="TableContents"/>
              <w:spacing w:before="0" w:after="283"/>
              <w:rPr/>
            </w:pPr>
            <w:r>
              <w:rPr/>
              <w:t> </w:t>
            </w:r>
          </w:p>
        </w:tc>
        <w:tc>
          <w:tcPr>
            <w:tcW w:w="1075" w:type="dxa"/>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Subject to the terms of a purchase agreement to be entered into, the purchasers are expected to agree to purchase, and we intend to sell to the purchasers, 3,720,930 common units at a price of $43.00 per unit. We will determine the per unit price through negotiations with the purchasers. </w:t>
      </w:r>
    </w:p>
    <w:p>
      <w:pPr>
        <w:pStyle w:val="TextBody"/>
        <w:rPr/>
      </w:pPr>
      <w:r>
        <w:rPr/>
        <w:t>        </w:t>
      </w:r>
      <w:r>
        <w:rPr>
          <w:sz w:val="20"/>
        </w:rPr>
        <w:t xml:space="preserve">The purchasers will agree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with respect to the purchased common units for a period of 90 days after the closing date of this transaction without our prior written consent; </w:t>
      </w:r>
      <w:r>
        <w:rPr>
          <w:i/>
          <w:sz w:val="20"/>
        </w:rPr>
        <w:t>however</w:t>
      </w:r>
      <w:r>
        <w:rPr>
          <w:sz w:val="20"/>
        </w:rPr>
        <w:t xml:space="preserve">, a purchaser may enter into a total return swap or similar transaction as long as the swap counterparty agrees to be bound by the terms of the lock-up. </w:t>
      </w:r>
    </w:p>
    <w:p>
      <w:pPr>
        <w:pStyle w:val="TextBody"/>
        <w:rPr/>
      </w:pPr>
      <w:r>
        <w:rPr/>
        <w:t>        </w:t>
      </w:r>
      <w:r>
        <w:rPr>
          <w:sz w:val="20"/>
        </w:rPr>
        <w:t xml:space="preserve">We expect to deliver the units through the book entry facilities of The Depository Trust Company against payment of the aggregate purchase price for the units purchased on July     , 2006; provided, however, that we and certain of the purchasers may agree to close the offering with respect to the common units being offered to such purchaser on a later date as mutually agreed upon by us and such purchaser in accordance with the purchase agreement. </w:t>
      </w:r>
    </w:p>
    <w:p>
      <w:pPr>
        <w:pStyle w:val="TextBody"/>
        <w:jc w:val="center"/>
        <w:rPr>
          <w:sz w:val="20"/>
        </w:rPr>
      </w:pPr>
      <w:r>
        <w:rPr>
          <w:sz w:val="20"/>
        </w:rPr>
        <w:t>S-21</w:t>
      </w:r>
    </w:p>
    <w:p>
      <w:pPr>
        <w:pStyle w:val="HorizontalLine"/>
        <w:pBdr>
          <w:bottom w:val="single" w:sz="20" w:space="0" w:color="808080"/>
        </w:pBdr>
        <w:rPr/>
      </w:pPr>
      <w:r>
        <w:rPr/>
      </w:r>
      <w:r>
        <w:br w:type="page"/>
      </w:r>
    </w:p>
    <w:p>
      <w:pPr>
        <w:pStyle w:val="TextBody"/>
        <w:jc w:val="center"/>
        <w:rPr/>
      </w:pPr>
      <w:bookmarkStart w:id="56" w:name="toc_di1181_4"/>
      <w:bookmarkStart w:id="57" w:name="di1181_where_you_can_find_more_informati"/>
      <w:bookmarkStart w:id="58" w:name="page_di1181_1_22"/>
      <w:bookmarkEnd w:id="56"/>
      <w:bookmarkEnd w:id="57"/>
      <w:bookmarkEnd w:id="58"/>
      <w:r>
        <w:rPr>
          <w:sz w:val="20"/>
        </w:rPr>
        <w:br/>
      </w:r>
      <w:r>
        <w:rPr>
          <w:b/>
          <w:sz w:val="20"/>
        </w:rPr>
        <w:t xml:space="preserve">WHERE YOU CAN FIND MORE INFORMATION </w:t>
      </w:r>
    </w:p>
    <w:p>
      <w:pPr>
        <w:pStyle w:val="TextBody"/>
        <w:rPr/>
      </w:pPr>
      <w:r>
        <w:rPr/>
        <w:t>        </w:t>
      </w:r>
      <w:r>
        <w:rPr>
          <w:sz w:val="20"/>
        </w:rPr>
        <w:t xml:space="preserve">The SEC allows us to "incorporate by reference" information we file with it. This procedure means that we can disclose important information to you by referring you to documents filed with the Commission. The information we incorporate by reference (excluding any information furnished and not filed with the Commission) is part of this prospectus supplement and later information that we file with the Commission (excluding any information furnished and not filed with the Commission) will automatically update and supersede this information. We incorporate by reference the documents listed below: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2005,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 on Form 10-Q for the quarter ended March 31, 2006,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March 16, 2006 (announcement of Andrews acquisition),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other than Item 7.01 which was furnished, with the Commission on March 21, 2006 (entry into direct placement unit purchase agreement),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March 21, 2006 (audited balance sheet of Plains AAP, L.P. for the year ended December 31, 2005),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May 9, 2006 (announcement of private placement offering of $250 million notes),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other than Item 7.01 which was furnished, with the Commission on May 12, 2006 (entry into note purchase agreement, registration rights agreement and supplemental indentures),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May 15, 2006 (amendment to PAA/Vulcan limited liability company agreement),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June 12, 2006 (entry into Pacific merger agreement and purchase agreement with LB Pacific),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June 30, 2006 (unaudited balance sheet of Plains AAP, L.P. for the three months ended March 31, 2006),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July 14, 2006 (historical financial statements of Pacific and pro forma financial statements for the probable acquisition), Commission File No. 1-14569;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Plains' common units in the Registration Statement on Form 8-A, initially filed with the Commission on October 23, 1998, as amended by Form 8-A/A filed with the Commission on November 3, 1998, Commission File No. 1-14569.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707" w:hanging="0"/>
        <w:rPr>
          <w:sz w:val="20"/>
        </w:rPr>
      </w:pPr>
      <w:r>
        <w:rPr>
          <w:sz w:val="20"/>
        </w:rPr>
        <w:t>Plains All American Pipeline, L.P.</w:t>
        <w:br/>
        <w:t>333 Clay Street, Suite 1600</w:t>
        <w:br/>
        <w:t>Houston, Texas 77002</w:t>
        <w:br/>
        <w:t>Attention: Tim Moore</w:t>
        <w:br/>
        <w:t xml:space="preserve">Telephone: (713) 646-4100 </w:t>
      </w:r>
    </w:p>
    <w:p>
      <w:pPr>
        <w:pStyle w:val="TextBody"/>
        <w:jc w:val="center"/>
        <w:rPr>
          <w:sz w:val="20"/>
        </w:rPr>
      </w:pPr>
      <w:r>
        <w:rPr>
          <w:sz w:val="20"/>
        </w:rPr>
        <w:t>S-22</w:t>
      </w:r>
    </w:p>
    <w:p>
      <w:pPr>
        <w:pStyle w:val="HorizontalLine"/>
        <w:pBdr>
          <w:bottom w:val="single" w:sz="20" w:space="0" w:color="808080"/>
        </w:pBdr>
        <w:rPr/>
      </w:pPr>
      <w:r>
        <w:rPr/>
      </w:r>
      <w:r>
        <w:br w:type="page"/>
      </w:r>
    </w:p>
    <w:p>
      <w:pPr>
        <w:pStyle w:val="TextBody"/>
        <w:rPr/>
      </w:pPr>
      <w:bookmarkStart w:id="59" w:name="page_di1181_1_23"/>
      <w:bookmarkEnd w:id="59"/>
      <w:r>
        <w:rPr/>
        <w:t>        </w:t>
      </w:r>
      <w:r>
        <w:rPr>
          <w:sz w:val="20"/>
        </w:rPr>
        <w:t xml:space="preserve">Additionally, you may read and copy any materials that we have filed with the Commission at the Commission's Public Reference Room at 100 F. Street, N.E., Room 1580, Washington, D.C. 20549. You may obtain information on the operation of the Public Reference Room by calling the Commission at 1-800-SEC-0330. The Commission maintains an internet site that contains reports, proxy and information statements, and other information regarding us. The Commission's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jc w:val="center"/>
        <w:rPr>
          <w:sz w:val="20"/>
        </w:rPr>
      </w:pPr>
      <w:r>
        <w:rPr>
          <w:sz w:val="20"/>
        </w:rPr>
        <w:t>S-23</w:t>
      </w:r>
    </w:p>
    <w:p>
      <w:pPr>
        <w:pStyle w:val="HorizontalLine"/>
        <w:pBdr>
          <w:bottom w:val="single" w:sz="20" w:space="0" w:color="808080"/>
        </w:pBdr>
        <w:rPr/>
      </w:pPr>
      <w:r>
        <w:rPr/>
      </w:r>
      <w:r>
        <w:br w:type="page"/>
      </w:r>
    </w:p>
    <w:p>
      <w:pPr>
        <w:pStyle w:val="TextBody"/>
        <w:jc w:val="center"/>
        <w:rPr/>
      </w:pPr>
      <w:bookmarkStart w:id="60" w:name="toc_di1181_5"/>
      <w:bookmarkStart w:id="61" w:name="di1181_experts"/>
      <w:bookmarkStart w:id="62" w:name="page_di1181_1_24"/>
      <w:bookmarkEnd w:id="60"/>
      <w:bookmarkEnd w:id="61"/>
      <w:bookmarkEnd w:id="62"/>
      <w:r>
        <w:rPr>
          <w:sz w:val="20"/>
        </w:rPr>
        <w:br/>
      </w:r>
      <w:r>
        <w:rPr>
          <w:b/>
          <w:sz w:val="20"/>
        </w:rPr>
        <w:t xml:space="preserve">EXPERTS </w:t>
      </w:r>
    </w:p>
    <w:p>
      <w:pPr>
        <w:pStyle w:val="TextBody"/>
        <w:rPr/>
      </w:pPr>
      <w:r>
        <w:rPr/>
        <w:t>        </w:t>
      </w:r>
      <w:r>
        <w:rPr>
          <w:sz w:val="20"/>
        </w:rPr>
        <w:t xml:space="preserve">Plains' financial statements and management's assessment of the effectiveness of internal control over financial reporting (which is included in Management's Report on Internal Control over Financial Reporting) incorporated in this prospectus supplement by reference to Plains' Annual Report on Form 10-K for the year ended December 31, 2005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balance sheet as of December 31, 2005 of Plains AAP, L.P. incorporated in this prospectus supplement by reference to Plains All American Pipeline, L.P.'s Current Report on Form 8-K filed on March 21, 2006 has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 </w:t>
      </w:r>
    </w:p>
    <w:p>
      <w:pPr>
        <w:pStyle w:val="TextBody"/>
        <w:jc w:val="center"/>
        <w:rPr>
          <w:sz w:val="20"/>
        </w:rPr>
      </w:pPr>
      <w:r>
        <w:rPr>
          <w:sz w:val="20"/>
        </w:rPr>
        <w:t>S-24</w:t>
      </w:r>
    </w:p>
    <w:p>
      <w:pPr>
        <w:pStyle w:val="HorizontalLine"/>
        <w:pBdr>
          <w:bottom w:val="single" w:sz="20" w:space="0" w:color="808080"/>
        </w:pBdr>
        <w:rPr/>
      </w:pPr>
      <w:r>
        <w:rPr/>
      </w:r>
      <w:r>
        <w:br w:type="page"/>
      </w:r>
    </w:p>
    <w:p>
      <w:pPr>
        <w:pStyle w:val="TextBody"/>
        <w:rPr>
          <w:b/>
          <w:sz w:val="20"/>
        </w:rPr>
      </w:pPr>
      <w:r>
        <w:rPr>
          <w:b/>
          <w:sz w:val="20"/>
        </w:rPr>
        <w:t xml:space="preserve">PROSPECTUS </w:t>
      </w:r>
    </w:p>
    <w:p>
      <w:pPr>
        <w:pStyle w:val="TextBody"/>
        <w:jc w:val="center"/>
        <w:rPr>
          <w:b/>
          <w:sz w:val="36"/>
        </w:rPr>
      </w:pPr>
      <w:r>
        <w:rPr>
          <w:b/>
          <w:sz w:val="36"/>
        </w:rPr>
        <w:t xml:space="preserve">$2,000,000,000 </w:t>
      </w:r>
    </w:p>
    <w:p>
      <w:pPr>
        <w:pStyle w:val="TextBody"/>
        <w:jc w:val="center"/>
        <w:rPr>
          <w:b/>
          <w:sz w:val="36"/>
        </w:rPr>
      </w:pPr>
      <w:r>
        <w:rPr>
          <w:b/>
          <w:sz w:val="36"/>
        </w:rPr>
        <w:t>Plains All American Pipeline, L.P.</w:t>
        <w:br/>
        <w:t xml:space="preserve">PAA Finance Corp. </w:t>
      </w:r>
    </w:p>
    <w:p>
      <w:pPr>
        <w:pStyle w:val="HorizontalLine"/>
        <w:pBdr>
          <w:bottom w:val="single" w:sz="20" w:space="0" w:color="808080"/>
        </w:pBdr>
        <w:rPr/>
      </w:pPr>
      <w:r>
        <w:rPr/>
      </w:r>
    </w:p>
    <w:p>
      <w:pPr>
        <w:pStyle w:val="TextBody"/>
        <w:jc w:val="center"/>
        <w:rPr>
          <w:b/>
          <w:sz w:val="28"/>
        </w:rPr>
      </w:pPr>
      <w:r>
        <w:rPr>
          <w:b/>
          <w:sz w:val="28"/>
        </w:rPr>
        <w:t>Common Units</w:t>
        <w:br/>
        <w:t xml:space="preserve">Debt Securities </w:t>
      </w:r>
    </w:p>
    <w:p>
      <w:pPr>
        <w:pStyle w:val="HorizontalLine"/>
        <w:pBdr>
          <w:bottom w:val="single" w:sz="20" w:space="0" w:color="808080"/>
        </w:pBdr>
        <w:rPr/>
      </w:pPr>
      <w:r>
        <w:rPr/>
      </w:r>
    </w:p>
    <w:p>
      <w:pPr>
        <w:pStyle w:val="TextBody"/>
        <w:rPr>
          <w:sz w:val="20"/>
        </w:rPr>
      </w:pPr>
      <w:r>
        <w:rPr>
          <w:sz w:val="20"/>
        </w:rPr>
        <w:t xml:space="preserve">We may from time to time offer the following securities under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common units representing limited partner interests in Plains All American Pipeline, L.P.;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debt securities of Plains All American Pipeline, L.P. </w:t>
      </w:r>
    </w:p>
    <w:p>
      <w:pPr>
        <w:pStyle w:val="TextBody"/>
        <w:rPr/>
      </w:pPr>
      <w:r>
        <w:rPr/>
        <w:t>        </w:t>
      </w:r>
      <w:r>
        <w:rPr>
          <w:sz w:val="20"/>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rPr>
          <w:sz w:val="20"/>
        </w:rPr>
      </w:pPr>
      <w:r>
        <w:rPr>
          <w:sz w:val="20"/>
        </w:rPr>
        <w:t xml:space="preserve">Our common units are traded on the New York Stock Exchange under the symbol "PAA." </w:t>
      </w:r>
    </w:p>
    <w:p>
      <w:pPr>
        <w:pStyle w:val="HorizontalLine"/>
        <w:pBdr>
          <w:bottom w:val="single" w:sz="20" w:space="0" w:color="808080"/>
        </w:pBdr>
        <w:rPr/>
      </w:pPr>
      <w:r>
        <w:rPr/>
      </w:r>
    </w:p>
    <w:p>
      <w:pPr>
        <w:pStyle w:val="TextBody"/>
        <w:rPr/>
      </w:pPr>
      <w:r>
        <w:rPr/>
        <w:t>        </w:t>
      </w:r>
      <w:r>
        <w:rPr>
          <w:sz w:val="20"/>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rPr/>
      </w:pPr>
      <w:r>
        <w:rPr/>
        <w:t>        </w:t>
      </w:r>
      <w:r>
        <w:rPr>
          <w:b/>
          <w:sz w:val="24"/>
        </w:rPr>
        <w:t>Limited partnerships are inherently different from corporations. You should consider each of the factors described under "Risk Factors," which begin on page 5, in deciding whether or not to buy any of our securities.</w:t>
      </w:r>
    </w:p>
    <w:p>
      <w:pPr>
        <w:pStyle w:val="TextBody"/>
        <w:rPr/>
      </w:pPr>
      <w:r>
        <w:rPr/>
        <w:t>        </w:t>
      </w:r>
      <w:r>
        <w:rPr>
          <w:sz w:val="20"/>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HorizontalLine"/>
        <w:pBdr>
          <w:bottom w:val="single" w:sz="20" w:space="0" w:color="808080"/>
        </w:pBdr>
        <w:rPr/>
      </w:pPr>
      <w:r>
        <w:rPr/>
      </w:r>
    </w:p>
    <w:p>
      <w:pPr>
        <w:pStyle w:val="TextBody"/>
        <w:jc w:val="center"/>
        <w:rPr>
          <w:sz w:val="20"/>
        </w:rPr>
      </w:pPr>
      <w:r>
        <w:rPr>
          <w:sz w:val="20"/>
        </w:rPr>
        <w:t xml:space="preserve">The date of this prospectus is July 22, 2005. </w:t>
      </w:r>
    </w:p>
    <w:p>
      <w:pPr>
        <w:pStyle w:val="HorizontalLine"/>
        <w:pBdr>
          <w:bottom w:val="single" w:sz="20" w:space="0" w:color="808080"/>
        </w:pBdr>
        <w:rPr/>
      </w:pPr>
      <w:r>
        <w:rPr/>
      </w:r>
      <w:r>
        <w:br w:type="page"/>
      </w:r>
    </w:p>
    <w:p>
      <w:pPr>
        <w:pStyle w:val="TextBody"/>
        <w:jc w:val="center"/>
        <w:rPr/>
      </w:pPr>
      <w:bookmarkStart w:id="63" w:name="eg1181_table_of_contents"/>
      <w:bookmarkStart w:id="64" w:name="page_eg1181_1_1"/>
      <w:bookmarkEnd w:id="63"/>
      <w:bookmarkEnd w:id="64"/>
      <w:r>
        <w:rPr>
          <w:sz w:val="20"/>
        </w:rPr>
        <w:br/>
      </w:r>
      <w:r>
        <w:rPr>
          <w:b/>
          <w:sz w:val="20"/>
        </w:rPr>
        <w:t xml:space="preserve">Table of Contents </w:t>
      </w:r>
    </w:p>
    <w:p>
      <w:pPr>
        <w:pStyle w:val="Normal"/>
        <w:spacing w:before="0" w:after="0"/>
        <w:rPr>
          <w:sz w:val="4"/>
          <w:szCs w:val="4"/>
        </w:rPr>
      </w:pPr>
      <w:r>
        <w:rPr>
          <w:sz w:val="4"/>
          <w:szCs w:val="4"/>
        </w:rPr>
      </w:r>
      <w:bookmarkStart w:id="65" w:name="EG1181_TOC"/>
      <w:bookmarkStart w:id="66" w:name="EG1181_TOC"/>
      <w:bookmarkEnd w:id="66"/>
    </w:p>
    <w:tbl>
      <w:tblPr>
        <w:tblW w:w="3650" w:type="pct"/>
        <w:jc w:val="left"/>
        <w:tblInd w:w="0" w:type="dxa"/>
        <w:tblCellMar>
          <w:top w:w="0" w:type="dxa"/>
          <w:left w:w="0" w:type="dxa"/>
          <w:bottom w:w="0" w:type="dxa"/>
          <w:right w:w="0" w:type="dxa"/>
        </w:tblCellMar>
      </w:tblPr>
      <w:tblGrid>
        <w:gridCol w:w="7449"/>
      </w:tblGrid>
      <w:tr>
        <w:trPr/>
        <w:tc>
          <w:tcPr>
            <w:tcW w:w="7449" w:type="dxa"/>
            <w:tcBorders/>
            <w:shd w:fill="auto" w:val="clear"/>
          </w:tcPr>
          <w:p>
            <w:pPr>
              <w:pStyle w:val="TableContents"/>
              <w:spacing w:before="0" w:after="283"/>
              <w:rPr/>
            </w:pPr>
            <w:hyperlink w:anchor="eg1181_about_this_prospectus">
              <w:r>
                <w:rPr>
                  <w:rStyle w:val="InternetLink"/>
                  <w:sz w:val="20"/>
                </w:rPr>
                <w:t>ABOUT THIS PROSPECTUS</w:t>
              </w:r>
            </w:hyperlink>
          </w:p>
        </w:tc>
      </w:tr>
      <w:tr>
        <w:trPr/>
        <w:tc>
          <w:tcPr>
            <w:tcW w:w="7449" w:type="dxa"/>
            <w:tcBorders/>
            <w:shd w:fill="auto" w:val="clear"/>
          </w:tcPr>
          <w:p>
            <w:pPr>
              <w:pStyle w:val="TableContents"/>
              <w:spacing w:before="0" w:after="283"/>
              <w:rPr/>
            </w:pPr>
            <w:hyperlink w:anchor="ei1181_where_you_can_find_more_information">
              <w:r>
                <w:rPr>
                  <w:rStyle w:val="InternetLink"/>
                  <w:sz w:val="20"/>
                </w:rPr>
                <w:t>WHERE YOU CAN FIND MORE INFORMATION</w:t>
              </w:r>
            </w:hyperlink>
          </w:p>
        </w:tc>
      </w:tr>
      <w:tr>
        <w:trPr/>
        <w:tc>
          <w:tcPr>
            <w:tcW w:w="7449" w:type="dxa"/>
            <w:tcBorders/>
            <w:shd w:fill="auto" w:val="clear"/>
          </w:tcPr>
          <w:p>
            <w:pPr>
              <w:pStyle w:val="TableContents"/>
              <w:spacing w:before="0" w:after="283"/>
              <w:rPr/>
            </w:pPr>
            <w:hyperlink w:anchor="ei1181_forward-looking_statements">
              <w:r>
                <w:rPr>
                  <w:rStyle w:val="InternetLink"/>
                  <w:sz w:val="20"/>
                </w:rPr>
                <w:t>FORWARD-LOOKING STATEMENTS</w:t>
              </w:r>
            </w:hyperlink>
          </w:p>
        </w:tc>
      </w:tr>
      <w:tr>
        <w:trPr/>
        <w:tc>
          <w:tcPr>
            <w:tcW w:w="7449" w:type="dxa"/>
            <w:tcBorders/>
            <w:shd w:fill="auto" w:val="clear"/>
          </w:tcPr>
          <w:p>
            <w:pPr>
              <w:pStyle w:val="TableContents"/>
              <w:spacing w:before="0" w:after="283"/>
              <w:rPr/>
            </w:pPr>
            <w:hyperlink w:anchor="ei1181_who_we_are">
              <w:r>
                <w:rPr>
                  <w:rStyle w:val="InternetLink"/>
                  <w:sz w:val="20"/>
                </w:rPr>
                <w:t>WHO WE ARE</w:t>
              </w:r>
            </w:hyperlink>
          </w:p>
        </w:tc>
      </w:tr>
      <w:tr>
        <w:trPr/>
        <w:tc>
          <w:tcPr>
            <w:tcW w:w="7449" w:type="dxa"/>
            <w:tcBorders/>
            <w:shd w:fill="auto" w:val="clear"/>
          </w:tcPr>
          <w:p>
            <w:pPr>
              <w:pStyle w:val="TableContents"/>
              <w:spacing w:before="0" w:after="283"/>
              <w:rPr/>
            </w:pPr>
            <w:hyperlink w:anchor="ei1181_risk_factors">
              <w:r>
                <w:rPr>
                  <w:rStyle w:val="InternetLink"/>
                  <w:sz w:val="20"/>
                </w:rPr>
                <w:t>RISK FACTORS</w:t>
              </w:r>
            </w:hyperlink>
          </w:p>
        </w:tc>
      </w:tr>
      <w:tr>
        <w:trPr/>
        <w:tc>
          <w:tcPr>
            <w:tcW w:w="7449" w:type="dxa"/>
            <w:tcBorders/>
            <w:shd w:fill="auto" w:val="clear"/>
          </w:tcPr>
          <w:p>
            <w:pPr>
              <w:pStyle w:val="TableContents"/>
              <w:spacing w:before="0" w:after="283"/>
              <w:rPr/>
            </w:pPr>
            <w:hyperlink w:anchor="ek1181_use_of_proceeds">
              <w:r>
                <w:rPr>
                  <w:rStyle w:val="InternetLink"/>
                  <w:sz w:val="20"/>
                </w:rPr>
                <w:t>USE OF PROCEEDS</w:t>
              </w:r>
            </w:hyperlink>
          </w:p>
        </w:tc>
      </w:tr>
      <w:tr>
        <w:trPr/>
        <w:tc>
          <w:tcPr>
            <w:tcW w:w="7449" w:type="dxa"/>
            <w:tcBorders/>
            <w:shd w:fill="auto" w:val="clear"/>
          </w:tcPr>
          <w:p>
            <w:pPr>
              <w:pStyle w:val="TableContents"/>
              <w:spacing w:before="0" w:after="283"/>
              <w:rPr/>
            </w:pPr>
            <w:hyperlink w:anchor="ek1181_ratio_of_earnings_to_fixed_charges">
              <w:r>
                <w:rPr>
                  <w:rStyle w:val="InternetLink"/>
                  <w:sz w:val="20"/>
                </w:rPr>
                <w:t>RATIO OF EARNINGS TO FIXED CHARGES</w:t>
              </w:r>
            </w:hyperlink>
          </w:p>
        </w:tc>
      </w:tr>
      <w:tr>
        <w:trPr/>
        <w:tc>
          <w:tcPr>
            <w:tcW w:w="7449" w:type="dxa"/>
            <w:tcBorders/>
            <w:shd w:fill="auto" w:val="clear"/>
          </w:tcPr>
          <w:p>
            <w:pPr>
              <w:pStyle w:val="TableContents"/>
              <w:spacing w:before="0" w:after="283"/>
              <w:rPr/>
            </w:pPr>
            <w:hyperlink w:anchor="ek1181_description_of_our_debt_securities">
              <w:r>
                <w:rPr>
                  <w:rStyle w:val="InternetLink"/>
                  <w:sz w:val="20"/>
                </w:rPr>
                <w:t>DESCRIPTION OF OUR DEBT SECURITIES</w:t>
              </w:r>
            </w:hyperlink>
          </w:p>
        </w:tc>
      </w:tr>
      <w:tr>
        <w:trPr/>
        <w:tc>
          <w:tcPr>
            <w:tcW w:w="7449" w:type="dxa"/>
            <w:tcBorders/>
            <w:shd w:fill="auto" w:val="clear"/>
          </w:tcPr>
          <w:p>
            <w:pPr>
              <w:pStyle w:val="TableContents"/>
              <w:spacing w:before="0" w:after="283"/>
              <w:rPr/>
            </w:pPr>
            <w:hyperlink w:anchor="em1181_description_of_our_common_units">
              <w:r>
                <w:rPr>
                  <w:rStyle w:val="InternetLink"/>
                  <w:sz w:val="20"/>
                </w:rPr>
                <w:t>DESCRIPTION OF OUR COMMON UNITS</w:t>
              </w:r>
            </w:hyperlink>
          </w:p>
        </w:tc>
      </w:tr>
      <w:tr>
        <w:trPr/>
        <w:tc>
          <w:tcPr>
            <w:tcW w:w="7449" w:type="dxa"/>
            <w:tcBorders/>
            <w:shd w:fill="auto" w:val="clear"/>
          </w:tcPr>
          <w:p>
            <w:pPr>
              <w:pStyle w:val="TableContents"/>
              <w:spacing w:before="0" w:after="283"/>
              <w:rPr/>
            </w:pPr>
            <w:hyperlink w:anchor="em1181_cash_distribution_policy">
              <w:r>
                <w:rPr>
                  <w:rStyle w:val="InternetLink"/>
                  <w:sz w:val="20"/>
                </w:rPr>
                <w:t>CASH DISTRIBUTION POLICY</w:t>
              </w:r>
            </w:hyperlink>
          </w:p>
        </w:tc>
      </w:tr>
      <w:tr>
        <w:trPr/>
        <w:tc>
          <w:tcPr>
            <w:tcW w:w="7449" w:type="dxa"/>
            <w:tcBorders/>
            <w:shd w:fill="auto" w:val="clear"/>
          </w:tcPr>
          <w:p>
            <w:pPr>
              <w:pStyle w:val="TableContents"/>
              <w:spacing w:before="0" w:after="283"/>
              <w:rPr/>
            </w:pPr>
            <w:hyperlink w:anchor="em1181_description_of_our_partnership_agreement">
              <w:r>
                <w:rPr>
                  <w:rStyle w:val="InternetLink"/>
                  <w:sz w:val="20"/>
                </w:rPr>
                <w:t>DESCRIPTION OF OUR PARTNERSHIP AGREEMENT</w:t>
              </w:r>
            </w:hyperlink>
          </w:p>
        </w:tc>
      </w:tr>
      <w:tr>
        <w:trPr/>
        <w:tc>
          <w:tcPr>
            <w:tcW w:w="7449" w:type="dxa"/>
            <w:tcBorders/>
            <w:shd w:fill="auto" w:val="clear"/>
          </w:tcPr>
          <w:p>
            <w:pPr>
              <w:pStyle w:val="TableContents"/>
              <w:spacing w:before="0" w:after="283"/>
              <w:rPr/>
            </w:pPr>
            <w:hyperlink w:anchor="eo1181_tax_considerations">
              <w:r>
                <w:rPr>
                  <w:rStyle w:val="InternetLink"/>
                  <w:sz w:val="20"/>
                </w:rPr>
                <w:t>TAX CONSIDERATIONS</w:t>
              </w:r>
            </w:hyperlink>
          </w:p>
        </w:tc>
      </w:tr>
      <w:tr>
        <w:trPr/>
        <w:tc>
          <w:tcPr>
            <w:tcW w:w="7449" w:type="dxa"/>
            <w:tcBorders/>
            <w:shd w:fill="auto" w:val="clear"/>
          </w:tcPr>
          <w:p>
            <w:pPr>
              <w:pStyle w:val="TableContents"/>
              <w:spacing w:before="0" w:after="283"/>
              <w:rPr/>
            </w:pPr>
            <w:hyperlink w:anchor="eq1181_plan_of_distribution">
              <w:r>
                <w:rPr>
                  <w:rStyle w:val="InternetLink"/>
                  <w:sz w:val="20"/>
                </w:rPr>
                <w:t>PLAN OF DISTRIBUTION</w:t>
              </w:r>
            </w:hyperlink>
          </w:p>
        </w:tc>
      </w:tr>
      <w:tr>
        <w:trPr/>
        <w:tc>
          <w:tcPr>
            <w:tcW w:w="7449" w:type="dxa"/>
            <w:tcBorders/>
            <w:shd w:fill="auto" w:val="clear"/>
          </w:tcPr>
          <w:p>
            <w:pPr>
              <w:pStyle w:val="TableContents"/>
              <w:spacing w:before="0" w:after="283"/>
              <w:rPr/>
            </w:pPr>
            <w:hyperlink w:anchor="eq1181_legal_matters">
              <w:r>
                <w:rPr>
                  <w:rStyle w:val="InternetLink"/>
                  <w:sz w:val="20"/>
                </w:rPr>
                <w:t>LEGAL MATTERS</w:t>
              </w:r>
            </w:hyperlink>
          </w:p>
        </w:tc>
      </w:tr>
      <w:tr>
        <w:trPr/>
        <w:tc>
          <w:tcPr>
            <w:tcW w:w="7449" w:type="dxa"/>
            <w:tcBorders/>
            <w:shd w:fill="auto" w:val="clear"/>
          </w:tcPr>
          <w:p>
            <w:pPr>
              <w:pStyle w:val="TableContents"/>
              <w:spacing w:before="0" w:after="283"/>
              <w:rPr/>
            </w:pPr>
            <w:hyperlink w:anchor="eq1181_experts">
              <w:r>
                <w:rPr>
                  <w:rStyle w:val="InternetLink"/>
                  <w:sz w:val="20"/>
                </w:rPr>
                <w:t>EXPERTS</w:t>
              </w:r>
            </w:hyperlink>
          </w:p>
        </w:tc>
      </w:tr>
    </w:tbl>
    <w:p>
      <w:pPr>
        <w:pStyle w:val="TextBody"/>
        <w:jc w:val="center"/>
        <w:rPr/>
      </w:pPr>
      <w:bookmarkStart w:id="67" w:name="eg1181_about_this_prospectus"/>
      <w:bookmarkEnd w:id="67"/>
      <w:r>
        <w:rPr>
          <w:sz w:val="20"/>
        </w:rPr>
        <w:br/>
      </w:r>
      <w:r>
        <w:rPr>
          <w:b/>
          <w:sz w:val="20"/>
        </w:rPr>
        <w:t xml:space="preserve">ABOUT THIS PROSPECTUS </w:t>
      </w:r>
    </w:p>
    <w:p>
      <w:pPr>
        <w:pStyle w:val="TextBody"/>
        <w:rPr/>
      </w:pPr>
      <w:r>
        <w:rPr/>
        <w:t>        </w:t>
      </w:r>
      <w:r>
        <w:rPr>
          <w:sz w:val="20"/>
        </w:rPr>
        <w:t xml:space="preserve">This prospectus is part of a registration statement on Form S-3 that we filed with the Securities and Exchange Commission, or SEC, using a "shelf"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rPr/>
      </w:pPr>
      <w:r>
        <w:rPr/>
        <w:t>        </w:t>
      </w:r>
      <w:r>
        <w:rPr>
          <w:sz w:val="20"/>
        </w:rPr>
        <w:t xml:space="preserve">In this registration statement, the terms "we," "our," "ours," and "us" refer to Plains All American Pipeline, L.P. and its subsidiaries, unless otherwise indicated or the context requires otherwise. </w:t>
      </w:r>
    </w:p>
    <w:p>
      <w:pPr>
        <w:pStyle w:val="TextBody"/>
        <w:jc w:val="center"/>
        <w:rPr>
          <w:sz w:val="20"/>
        </w:rPr>
      </w:pPr>
      <w:r>
        <w:rPr>
          <w:sz w:val="20"/>
        </w:rPr>
        <w:t>i</w:t>
      </w:r>
    </w:p>
    <w:p>
      <w:pPr>
        <w:pStyle w:val="HorizontalLine"/>
        <w:pBdr>
          <w:bottom w:val="single" w:sz="20" w:space="0" w:color="808080"/>
        </w:pBdr>
        <w:rPr/>
      </w:pPr>
      <w:r>
        <w:rPr/>
      </w:r>
      <w:r>
        <w:br w:type="page"/>
      </w:r>
    </w:p>
    <w:p>
      <w:pPr>
        <w:pStyle w:val="TextBody"/>
        <w:jc w:val="center"/>
        <w:rPr/>
      </w:pPr>
      <w:bookmarkStart w:id="68" w:name="toc_ei1181_1"/>
      <w:bookmarkStart w:id="69" w:name="ei1181_where_you_can_find_more_informati"/>
      <w:bookmarkStart w:id="70" w:name="page_ei1181_1_1"/>
      <w:bookmarkEnd w:id="68"/>
      <w:bookmarkEnd w:id="69"/>
      <w:bookmarkEnd w:id="70"/>
      <w:r>
        <w:rPr>
          <w:sz w:val="20"/>
        </w:rPr>
        <w:br/>
      </w:r>
      <w:r>
        <w:rPr>
          <w:b/>
          <w:sz w:val="20"/>
        </w:rPr>
        <w:t xml:space="preserve">WHERE YOU CAN FIND MORE INFORMATION </w:t>
      </w:r>
    </w:p>
    <w:p>
      <w:pPr>
        <w:pStyle w:val="TextBody"/>
        <w:rPr/>
      </w:pPr>
      <w:r>
        <w:rPr/>
        <w:t>        </w:t>
      </w:r>
      <w:r>
        <w:rPr>
          <w:sz w:val="20"/>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 on Form 10-Q for the quarter ended March 31, 2005;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Reports on Forms 8-K filed on January 26, 2005; February 23, 2005; March 8, 2005; April 1, 2005; April 8, 2005; April 21, 2005; April 25, 2005; May 12, 2005; May 25, 2005; and May 31, 2005;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our common units contained in our Form 8-A/A dated November 3, 1998.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1414"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jc w:val="center"/>
        <w:rPr>
          <w:sz w:val="20"/>
        </w:rPr>
      </w:pPr>
      <w:r>
        <w:rPr>
          <w:sz w:val="20"/>
        </w:rPr>
        <w:t>1</w:t>
      </w:r>
    </w:p>
    <w:p>
      <w:pPr>
        <w:pStyle w:val="HorizontalLine"/>
        <w:pBdr>
          <w:bottom w:val="single" w:sz="20" w:space="0" w:color="808080"/>
        </w:pBdr>
        <w:rPr/>
      </w:pPr>
      <w:r>
        <w:rPr/>
      </w:r>
      <w:r>
        <w:br w:type="page"/>
      </w:r>
    </w:p>
    <w:p>
      <w:pPr>
        <w:pStyle w:val="TextBody"/>
        <w:jc w:val="center"/>
        <w:rPr/>
      </w:pPr>
      <w:bookmarkStart w:id="71" w:name="toc_ei1181_2"/>
      <w:bookmarkStart w:id="72" w:name="ei1181_forward-looking_statements"/>
      <w:bookmarkStart w:id="73" w:name="page_ei1181_1_2"/>
      <w:bookmarkEnd w:id="71"/>
      <w:bookmarkEnd w:id="72"/>
      <w:bookmarkEnd w:id="73"/>
      <w:r>
        <w:rPr>
          <w:sz w:val="20"/>
        </w:rPr>
        <w:br/>
      </w:r>
      <w:r>
        <w:rPr>
          <w:b/>
          <w:sz w:val="20"/>
        </w:rPr>
        <w:t xml:space="preserve">FORWARD-LOOKING STATEMENTS </w:t>
      </w:r>
    </w:p>
    <w:p>
      <w:pPr>
        <w:pStyle w:val="TextBody"/>
        <w:rPr/>
      </w:pPr>
      <w:r>
        <w:rPr/>
        <w:t>        </w:t>
      </w:r>
      <w:r>
        <w:rPr>
          <w:sz w:val="20"/>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abrupt or severe production declines or production interruptions in outer continental shelf production located offshore California and transported on our pipeline system;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success of our risk management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and our ability to consummate, acquisition or combination opportunities;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access to capital to fund additional acquisitions and our ability to obtain debt or equity financing on satisfactory terms;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integration and future performance of acquired assets or businesses;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maintenance of our credit rating and ability to receive open credit from our suppliers and trade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declines in volumes shipped on the Basin Pipeline, Capline Pipeline and our other pipelines by third party shippers;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adequate third party production volumes for transportation and marketing in the areas in which we operate;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third party drilling efforts in areas in which we operate pipelines or gather crude oil;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demand for various grades of crude oil and resulting changes in pricing conditions or transmission throughput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refinery capacity in areas supplied by our transmission lines;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effects of competition;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continued creditworthiness of, and performance by,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crude oil price fluctuations;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current and future laws, rulings and governmental regulations;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shortages or cost increases of power supplies, materials or labor;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weather interference with business operations or project construction;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exchange rate of the Canadian dollar;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the debt and equity markets, including the price of our units at the time of vesting under our Long-Term Incentive Plan;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 economic, market or business conditions. </w:t>
      </w:r>
    </w:p>
    <w:p>
      <w:pPr>
        <w:pStyle w:val="TextBody"/>
        <w:jc w:val="center"/>
        <w:rPr>
          <w:sz w:val="20"/>
        </w:rPr>
      </w:pPr>
      <w:r>
        <w:rPr>
          <w:sz w:val="20"/>
        </w:rPr>
        <w:t>2</w:t>
      </w:r>
    </w:p>
    <w:p>
      <w:pPr>
        <w:pStyle w:val="HorizontalLine"/>
        <w:pBdr>
          <w:bottom w:val="single" w:sz="20" w:space="0" w:color="808080"/>
        </w:pBdr>
        <w:rPr/>
      </w:pPr>
      <w:r>
        <w:rPr/>
      </w:r>
      <w:r>
        <w:br w:type="page"/>
      </w:r>
    </w:p>
    <w:p>
      <w:pPr>
        <w:pStyle w:val="TextBody"/>
        <w:rPr/>
      </w:pPr>
      <w:bookmarkStart w:id="74" w:name="page_ei1181_1_3"/>
      <w:bookmarkEnd w:id="74"/>
      <w:r>
        <w:rPr/>
        <w:t>        </w:t>
      </w:r>
      <w:r>
        <w:rPr>
          <w:sz w:val="20"/>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jc w:val="center"/>
        <w:rPr/>
      </w:pPr>
      <w:bookmarkStart w:id="75" w:name="toc_ei1181_3"/>
      <w:bookmarkStart w:id="76" w:name="ei1181_who_we_are"/>
      <w:bookmarkEnd w:id="75"/>
      <w:bookmarkEnd w:id="76"/>
      <w:r>
        <w:rPr>
          <w:sz w:val="20"/>
        </w:rPr>
        <w:br/>
      </w:r>
      <w:r>
        <w:rPr>
          <w:b/>
          <w:sz w:val="20"/>
        </w:rPr>
        <w:t xml:space="preserve">WHO WE ARE </w:t>
      </w:r>
    </w:p>
    <w:p>
      <w:pPr>
        <w:pStyle w:val="TextBody"/>
        <w:rPr/>
      </w:pPr>
      <w:r>
        <w:rPr/>
        <w:t>        </w:t>
      </w:r>
      <w:r>
        <w:rPr>
          <w:sz w:val="20"/>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rPr/>
      </w:pPr>
      <w:r>
        <w:rPr/>
        <w:t>        </w:t>
      </w:r>
      <w:r>
        <w:rPr>
          <w:sz w:val="20"/>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rPr/>
      </w:pPr>
      <w:r>
        <w:rPr/>
        <w:t>        </w:t>
      </w:r>
      <w:r>
        <w:rPr>
          <w:sz w:val="20"/>
        </w:rPr>
        <w:t xml:space="preserve">We intend to execute our business strategy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increasing and optimizing throughput on our existing pipeline and gathering assets and realizing cost efficiencies through operational improvements;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our Cushing Terminal and our other assets to service the needs of refiners and to profit from merchant activities that take advantage of crude oil pricing and quality differentials;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assets we have recently acquired along the Gulf Coast and our Cushing Terminal to increase our presence in the importation of foreign crude through Gulf of Mexico receipt facilities to U.S. refiners;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prudently and economically leveraging our asset base, knowledge base and skill sets to participate in energy businesses that are closely related to, or significantly intertwined with, the crude oil business. </w:t>
      </w:r>
    </w:p>
    <w:p>
      <w:pPr>
        <w:pStyle w:val="TextBody"/>
        <w:rPr/>
      </w:pPr>
      <w:r>
        <w:rPr/>
        <w:t>        </w:t>
      </w:r>
      <w:r>
        <w:rPr>
          <w:sz w:val="20"/>
        </w:rPr>
        <w:t xml:space="preserve">To a lesser degree, we also engage in a similar business strategy with respect to the wholesale marketing and storage of LPG, which we began as a result of an acquisition in mid-2001. </w:t>
      </w:r>
    </w:p>
    <w:p>
      <w:pPr>
        <w:pStyle w:val="TextBody"/>
        <w:rPr/>
      </w:pPr>
      <w:r>
        <w:rPr/>
        <w:t>        </w:t>
      </w:r>
      <w:r>
        <w:rPr>
          <w:sz w:val="20"/>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w:t>
      </w:r>
    </w:p>
    <w:p>
      <w:pPr>
        <w:pStyle w:val="TextBody"/>
        <w:jc w:val="center"/>
        <w:rPr>
          <w:sz w:val="20"/>
        </w:rPr>
      </w:pPr>
      <w:r>
        <w:rPr>
          <w:sz w:val="20"/>
        </w:rPr>
        <w:t>3</w:t>
      </w:r>
    </w:p>
    <w:p>
      <w:pPr>
        <w:pStyle w:val="HorizontalLine"/>
        <w:pBdr>
          <w:bottom w:val="single" w:sz="20" w:space="0" w:color="808080"/>
        </w:pBdr>
        <w:rPr/>
      </w:pPr>
      <w:r>
        <w:rPr/>
      </w:r>
      <w:r>
        <w:br w:type="page"/>
      </w:r>
    </w:p>
    <w:p>
      <w:pPr>
        <w:pStyle w:val="TextBody"/>
        <w:rPr/>
      </w:pPr>
      <w:r>
        <w:rPr/>
      </w:r>
      <w:bookmarkStart w:id="77" w:name="page_ei1181_1_4"/>
      <w:bookmarkStart w:id="78" w:name="page_ei1181_1_4"/>
      <w:bookmarkEnd w:id="78"/>
    </w:p>
    <w:p>
      <w:pPr>
        <w:pStyle w:val="TextBody"/>
        <w:rPr>
          <w:sz w:val="20"/>
        </w:rPr>
      </w:pPr>
      <w:r>
        <w:rPr>
          <w:sz w:val="20"/>
        </w:rPr>
        <w:t xml:space="preserve">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rPr/>
      </w:pPr>
      <w:r>
        <w:rPr/>
        <w:t>        </w:t>
      </w:r>
      <w:r>
        <w:rPr>
          <w:sz w:val="20"/>
        </w:rPr>
        <w:t xml:space="preserve">Our principal executive offices are located at 333 Clay Street, Suite 1600, Houston, Texas 77002, and our phone number is (713) 646-4100. </w:t>
      </w:r>
    </w:p>
    <w:p>
      <w:pPr>
        <w:pStyle w:val="TextBody"/>
        <w:rPr>
          <w:b/>
          <w:sz w:val="20"/>
        </w:rPr>
      </w:pPr>
      <w:r>
        <w:rPr>
          <w:b/>
          <w:sz w:val="20"/>
        </w:rPr>
        <w:t xml:space="preserve">Recent Developments </w:t>
      </w:r>
    </w:p>
    <w:p>
      <w:pPr>
        <w:pStyle w:val="TextBody"/>
        <w:rPr>
          <w:i/>
          <w:sz w:val="20"/>
        </w:rPr>
      </w:pPr>
      <w:r>
        <w:rPr>
          <w:i/>
          <w:sz w:val="20"/>
        </w:rPr>
        <w:t xml:space="preserve">Capital Expenditures </w:t>
      </w:r>
    </w:p>
    <w:p>
      <w:pPr>
        <w:pStyle w:val="TextBody"/>
        <w:rPr/>
      </w:pPr>
      <w:r>
        <w:rPr/>
        <w:t>        </w:t>
      </w:r>
      <w:r>
        <w:rPr>
          <w:sz w:val="20"/>
        </w:rPr>
        <w:t xml:space="preserve">We estimate that capital expenditures for expansion projects will be approximately $180 million during 2005, an $80 million increase over the estimate provided in our Annual Report on Form 10-K for the year 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jc w:val="center"/>
        <w:rPr>
          <w:sz w:val="20"/>
        </w:rPr>
      </w:pPr>
      <w:r>
        <w:rPr>
          <w:sz w:val="20"/>
        </w:rPr>
        <w:t>4</w:t>
      </w:r>
    </w:p>
    <w:p>
      <w:pPr>
        <w:pStyle w:val="HorizontalLine"/>
        <w:pBdr>
          <w:bottom w:val="single" w:sz="20" w:space="0" w:color="808080"/>
        </w:pBdr>
        <w:rPr/>
      </w:pPr>
      <w:r>
        <w:rPr/>
      </w:r>
      <w:r>
        <w:br w:type="page"/>
      </w:r>
    </w:p>
    <w:p>
      <w:pPr>
        <w:pStyle w:val="TextBody"/>
        <w:jc w:val="center"/>
        <w:rPr/>
      </w:pPr>
      <w:bookmarkStart w:id="79" w:name="toc_ei1181_4"/>
      <w:bookmarkStart w:id="80" w:name="ei1181_risk_factors"/>
      <w:bookmarkStart w:id="81" w:name="page_ei1181_1_5"/>
      <w:bookmarkEnd w:id="79"/>
      <w:bookmarkEnd w:id="80"/>
      <w:bookmarkEnd w:id="81"/>
      <w:r>
        <w:rPr>
          <w:sz w:val="20"/>
        </w:rPr>
        <w:br/>
      </w:r>
      <w:r>
        <w:rPr>
          <w:b/>
          <w:sz w:val="20"/>
        </w:rPr>
        <w:t xml:space="preserve">RISK FACTORS </w:t>
      </w:r>
    </w:p>
    <w:p>
      <w:pPr>
        <w:pStyle w:val="TextBody"/>
        <w:rPr/>
      </w:pPr>
      <w:r>
        <w:rPr/>
        <w:t>        </w:t>
      </w:r>
      <w:r>
        <w:rPr>
          <w:i/>
          <w:sz w:val="20"/>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pStyle w:val="TextBody"/>
        <w:rPr>
          <w:b/>
          <w:sz w:val="20"/>
        </w:rPr>
      </w:pPr>
      <w:r>
        <w:rPr>
          <w:b/>
          <w:sz w:val="20"/>
        </w:rPr>
        <w:t xml:space="preserve">Risks Related to Our Business </w:t>
      </w:r>
    </w:p>
    <w:p>
      <w:pPr>
        <w:pStyle w:val="TextBody"/>
        <w:rPr/>
      </w:pPr>
      <w:r>
        <w:rPr/>
        <w:t>        </w:t>
      </w:r>
      <w:r>
        <w:rPr>
          <w:b/>
          <w:i/>
          <w:sz w:val="20"/>
        </w:rPr>
        <w:t>The level of our profitability is dependent upon an adequate supply of crude oil from fields located offshore and onshore California. Production from these offshore fields has experienced substantial production declines since 1995.</w:t>
      </w:r>
    </w:p>
    <w:p>
      <w:pPr>
        <w:pStyle w:val="TextBody"/>
        <w:rPr/>
      </w:pPr>
      <w:r>
        <w:rPr/>
        <w:t>        </w:t>
      </w:r>
      <w:r>
        <w:rPr>
          <w:sz w:val="20"/>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rPr/>
      </w:pPr>
      <w:r>
        <w:rPr/>
        <w:t>        </w:t>
      </w:r>
      <w:r>
        <w:rPr>
          <w:b/>
          <w:i/>
          <w:sz w:val="20"/>
        </w:rPr>
        <w:t>Our trading policies cannot eliminate all price risks. In addition, any non-compliance with our trading policies could result in significant financial losses.</w:t>
      </w:r>
    </w:p>
    <w:p>
      <w:pPr>
        <w:pStyle w:val="TextBody"/>
        <w:rPr/>
      </w:pPr>
      <w:r>
        <w:rPr/>
        <w:t>        </w:t>
      </w:r>
      <w:r>
        <w:rPr>
          <w:sz w:val="20"/>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rPr/>
      </w:pPr>
      <w:r>
        <w:rPr/>
        <w:t>        </w:t>
      </w:r>
      <w:r>
        <w:rPr>
          <w:sz w:val="20"/>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rPr/>
      </w:pPr>
      <w:r>
        <w:rPr/>
        <w:t>        </w:t>
      </w:r>
      <w:r>
        <w:rPr>
          <w:b/>
          <w:i/>
          <w:sz w:val="20"/>
        </w:rPr>
        <w:t>If we do not make acquisitions on economically acceptable terms our future growth may be limited.</w:t>
      </w:r>
    </w:p>
    <w:p>
      <w:pPr>
        <w:pStyle w:val="TextBody"/>
        <w:rPr/>
      </w:pPr>
      <w:r>
        <w:rPr/>
        <w:t>        </w:t>
      </w:r>
      <w:r>
        <w:rPr>
          <w:sz w:val="20"/>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jc w:val="center"/>
        <w:rPr>
          <w:sz w:val="20"/>
        </w:rPr>
      </w:pPr>
      <w:r>
        <w:rPr>
          <w:sz w:val="20"/>
        </w:rPr>
        <w:t>5</w:t>
      </w:r>
    </w:p>
    <w:p>
      <w:pPr>
        <w:pStyle w:val="HorizontalLine"/>
        <w:pBdr>
          <w:bottom w:val="single" w:sz="20" w:space="0" w:color="808080"/>
        </w:pBdr>
        <w:rPr/>
      </w:pPr>
      <w:r>
        <w:rPr/>
      </w:r>
      <w:r>
        <w:br w:type="page"/>
      </w:r>
    </w:p>
    <w:p>
      <w:pPr>
        <w:pStyle w:val="TextBody"/>
        <w:rPr/>
      </w:pPr>
      <w:r>
        <w:rPr/>
      </w:r>
      <w:bookmarkStart w:id="82" w:name="page_ei1181_1_6"/>
      <w:bookmarkStart w:id="83" w:name="page_ei1181_1_6"/>
      <w:bookmarkEnd w:id="83"/>
    </w:p>
    <w:p>
      <w:pPr>
        <w:pStyle w:val="TextBody"/>
        <w:rPr>
          <w:sz w:val="20"/>
        </w:rPr>
      </w:pPr>
      <w:r>
        <w:rPr>
          <w:sz w:val="20"/>
        </w:rPr>
        <w:t xml:space="preserve">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 </w:t>
      </w:r>
    </w:p>
    <w:p>
      <w:pPr>
        <w:pStyle w:val="TextBody"/>
        <w:rPr/>
      </w:pPr>
      <w:r>
        <w:rPr/>
        <w:t>        </w:t>
      </w:r>
      <w:r>
        <w:rPr>
          <w:b/>
          <w:i/>
          <w:sz w:val="20"/>
        </w:rPr>
        <w:t>Our acquisition strategy requires access to new capital. Tightened capital markets or other factors which increase our cost of capital could impair our ability to grow.</w:t>
      </w:r>
    </w:p>
    <w:p>
      <w:pPr>
        <w:pStyle w:val="TextBody"/>
        <w:rPr/>
      </w:pPr>
      <w:r>
        <w:rPr/>
        <w:t>        </w:t>
      </w:r>
      <w:r>
        <w:rPr>
          <w:sz w:val="20"/>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rPr/>
      </w:pPr>
      <w:r>
        <w:rPr/>
        <w:t>        </w:t>
      </w:r>
      <w:r>
        <w:rPr>
          <w:b/>
          <w:i/>
          <w:sz w:val="20"/>
        </w:rPr>
        <w:t xml:space="preserve">Our acquisition strategy involves risks that may adversely affect our business. </w:t>
      </w:r>
    </w:p>
    <w:p>
      <w:pPr>
        <w:pStyle w:val="TextBody"/>
        <w:rPr/>
      </w:pPr>
      <w:r>
        <w:rPr/>
        <w:t>        </w:t>
      </w:r>
      <w:r>
        <w:rPr>
          <w:sz w:val="20"/>
        </w:rPr>
        <w:t xml:space="preserve">Any acquisition involves potential risks,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performance from the acquired assets and businesses that is below the forecasts we used in evaluating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significant increase in our indebtedness and working capital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incurrence of substantial unforeseen environmental and other liabilities arising out of the acquired businesses or assets, including liabilities arising from the operation of the acquired businesses or assets prior to our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customer or key employee loss from the acquired businesses;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diversion of management's attention from other business concerns. </w:t>
      </w:r>
    </w:p>
    <w:p>
      <w:pPr>
        <w:pStyle w:val="TextBody"/>
        <w:rPr/>
      </w:pPr>
      <w:r>
        <w:rPr/>
        <w:t>        </w:t>
      </w:r>
      <w:r>
        <w:rPr>
          <w:sz w:val="20"/>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rPr/>
      </w:pPr>
      <w:r>
        <w:rPr/>
        <w:t>        </w:t>
      </w:r>
      <w:r>
        <w:rPr>
          <w:b/>
          <w:i/>
          <w:sz w:val="20"/>
        </w:rPr>
        <w:t>The nature of our assets and business could expose us to significant compliance costs and liabilities.</w:t>
      </w:r>
    </w:p>
    <w:p>
      <w:pPr>
        <w:pStyle w:val="TextBody"/>
        <w:rPr/>
      </w:pPr>
      <w:r>
        <w:rPr/>
        <w:t>        </w:t>
      </w:r>
      <w:r>
        <w:rPr>
          <w:sz w:val="20"/>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jc w:val="center"/>
        <w:rPr>
          <w:sz w:val="20"/>
        </w:rPr>
      </w:pPr>
      <w:r>
        <w:rPr>
          <w:sz w:val="20"/>
        </w:rPr>
        <w:t>6</w:t>
      </w:r>
    </w:p>
    <w:p>
      <w:pPr>
        <w:pStyle w:val="HorizontalLine"/>
        <w:pBdr>
          <w:bottom w:val="single" w:sz="20" w:space="0" w:color="808080"/>
        </w:pBdr>
        <w:rPr/>
      </w:pPr>
      <w:r>
        <w:rPr/>
      </w:r>
      <w:r>
        <w:br w:type="page"/>
      </w:r>
    </w:p>
    <w:p>
      <w:pPr>
        <w:pStyle w:val="TextBody"/>
        <w:rPr/>
      </w:pPr>
      <w:r>
        <w:rPr/>
      </w:r>
      <w:bookmarkStart w:id="84" w:name="page_ei1181_1_7"/>
      <w:bookmarkStart w:id="85" w:name="page_ei1181_1_7"/>
      <w:bookmarkEnd w:id="85"/>
    </w:p>
    <w:p>
      <w:pPr>
        <w:pStyle w:val="TextBody"/>
        <w:rPr/>
      </w:pPr>
      <w:r>
        <w:rPr/>
        <w:t>        </w:t>
      </w:r>
      <w:r>
        <w:rPr>
          <w:b/>
          <w:i/>
          <w:sz w:val="20"/>
        </w:rPr>
        <w:t>The profitability of our pipeline operations depends on the volume of crude oil shipped.</w:t>
      </w:r>
    </w:p>
    <w:p>
      <w:pPr>
        <w:pStyle w:val="TextBody"/>
        <w:rPr/>
      </w:pPr>
      <w:r>
        <w:rPr/>
        <w:t>        </w:t>
      </w:r>
      <w:r>
        <w:rPr>
          <w:sz w:val="20"/>
        </w:rPr>
        <w:t xml:space="preserve">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rPr/>
      </w:pPr>
      <w:r>
        <w:rPr/>
        <w:t>        </w:t>
      </w:r>
      <w:r>
        <w:rPr>
          <w:b/>
          <w:i/>
          <w:sz w:val="20"/>
        </w:rPr>
        <w:t>The success of our business strategy to increase and optimize throughput on our pipeline and gathering assets is dependent upon our securing additional supplies of crude oil.</w:t>
      </w:r>
    </w:p>
    <w:p>
      <w:pPr>
        <w:pStyle w:val="TextBody"/>
        <w:rPr/>
      </w:pPr>
      <w:r>
        <w:rPr/>
        <w:t>        </w:t>
      </w:r>
      <w:r>
        <w:rPr>
          <w:sz w:val="20"/>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rPr/>
      </w:pPr>
      <w:r>
        <w:rPr/>
        <w:t>        </w:t>
      </w:r>
      <w:r>
        <w:rPr>
          <w:b/>
          <w:i/>
          <w:sz w:val="20"/>
        </w:rPr>
        <w:t>Our operations are dependent upon demand for crude oil by refiners in the Midwest and on the Gulf Coast. Any decrease in this demand could adversely affect our business.</w:t>
      </w:r>
    </w:p>
    <w:p>
      <w:pPr>
        <w:pStyle w:val="TextBody"/>
        <w:rPr/>
      </w:pPr>
      <w:r>
        <w:rPr/>
        <w:t>        </w:t>
      </w:r>
      <w:r>
        <w:rPr>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rPr/>
      </w:pPr>
      <w:r>
        <w:rPr/>
        <w:t>        </w:t>
      </w:r>
      <w:r>
        <w:rPr>
          <w:b/>
          <w:i/>
          <w:sz w:val="20"/>
        </w:rPr>
        <w:t>We face intense competition in our gathering, marketing, terminalling and storage activities.</w:t>
      </w:r>
    </w:p>
    <w:p>
      <w:pPr>
        <w:pStyle w:val="TextBody"/>
        <w:rPr/>
      </w:pPr>
      <w:r>
        <w:rPr/>
        <w:t>        </w:t>
      </w:r>
      <w:r>
        <w:rPr>
          <w:sz w:val="20"/>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rPr/>
      </w:pPr>
      <w:r>
        <w:rPr/>
        <w:t>        </w:t>
      </w:r>
      <w:r>
        <w:rPr>
          <w:b/>
          <w:i/>
          <w:sz w:val="20"/>
        </w:rPr>
        <w:t>The profitability of our gathering and marketing activities is generally dependent on the volumes of crude oil we purchase and gather.</w:t>
      </w:r>
    </w:p>
    <w:p>
      <w:pPr>
        <w:pStyle w:val="TextBody"/>
        <w:rPr/>
      </w:pPr>
      <w:r>
        <w:rPr/>
        <w:t>        </w:t>
      </w:r>
      <w:r>
        <w:rPr>
          <w:sz w:val="20"/>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w:t>
      </w:r>
    </w:p>
    <w:p>
      <w:pPr>
        <w:pStyle w:val="TextBody"/>
        <w:jc w:val="center"/>
        <w:rPr>
          <w:sz w:val="20"/>
        </w:rPr>
      </w:pPr>
      <w:r>
        <w:rPr>
          <w:sz w:val="20"/>
        </w:rPr>
        <w:t>7</w:t>
      </w:r>
    </w:p>
    <w:p>
      <w:pPr>
        <w:pStyle w:val="HorizontalLine"/>
        <w:pBdr>
          <w:bottom w:val="single" w:sz="20" w:space="0" w:color="808080"/>
        </w:pBdr>
        <w:rPr/>
      </w:pPr>
      <w:r>
        <w:rPr/>
      </w:r>
      <w:r>
        <w:br w:type="page"/>
      </w:r>
    </w:p>
    <w:p>
      <w:pPr>
        <w:pStyle w:val="TextBody"/>
        <w:rPr/>
      </w:pPr>
      <w:r>
        <w:rPr/>
      </w:r>
      <w:bookmarkStart w:id="86" w:name="page_ei1181_1_8"/>
      <w:bookmarkStart w:id="87" w:name="page_ei1181_1_8"/>
      <w:bookmarkEnd w:id="87"/>
    </w:p>
    <w:p>
      <w:pPr>
        <w:pStyle w:val="TextBody"/>
        <w:rPr>
          <w:sz w:val="20"/>
        </w:rPr>
      </w:pPr>
      <w:r>
        <w:rPr>
          <w:sz w:val="20"/>
        </w:rPr>
        <w:t xml:space="preserve">margins vary based on the location of the crude oil, the strength or weakness of the market and the grade or quality of crude oil. </w:t>
      </w:r>
    </w:p>
    <w:p>
      <w:pPr>
        <w:pStyle w:val="TextBody"/>
        <w:rPr/>
      </w:pPr>
      <w:r>
        <w:rPr/>
        <w:t>        </w:t>
      </w:r>
      <w:r>
        <w:rPr>
          <w:b/>
          <w:i/>
          <w:sz w:val="20"/>
        </w:rPr>
        <w:t>Loss of credit rating or the ability to receive open credit could negatively affect our ability to capitalize on a volatile market</w:t>
      </w:r>
    </w:p>
    <w:p>
      <w:pPr>
        <w:pStyle w:val="TextBody"/>
        <w:rPr/>
      </w:pPr>
      <w:r>
        <w:rPr/>
        <w:t>        </w:t>
      </w:r>
      <w:r>
        <w:rPr>
          <w:sz w:val="20"/>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rPr/>
      </w:pPr>
      <w:r>
        <w:rPr/>
        <w:t>        </w:t>
      </w:r>
      <w:r>
        <w:rPr>
          <w:b/>
          <w:i/>
          <w:sz w:val="20"/>
        </w:rPr>
        <w:t>We are exposed to the credit risk of our customers in the ordinary course of our gathering and marketing activities.</w:t>
      </w:r>
    </w:p>
    <w:p>
      <w:pPr>
        <w:pStyle w:val="TextBody"/>
        <w:rPr/>
      </w:pPr>
      <w:r>
        <w:rPr/>
        <w:t>        </w:t>
      </w:r>
      <w:r>
        <w:rPr>
          <w:sz w:val="20"/>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rPr/>
      </w:pPr>
      <w:r>
        <w:rPr/>
        <w:t>        </w:t>
      </w:r>
      <w:r>
        <w:rPr>
          <w:sz w:val="20"/>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rPr/>
      </w:pPr>
      <w:r>
        <w:rPr/>
        <w:t>        </w:t>
      </w:r>
      <w:r>
        <w:rPr>
          <w:b/>
          <w:i/>
          <w:sz w:val="20"/>
        </w:rPr>
        <w:t xml:space="preserve">Our pipeline assets are subject to federal, state and provincial regulation. </w:t>
      </w:r>
    </w:p>
    <w:p>
      <w:pPr>
        <w:pStyle w:val="TextBody"/>
        <w:rPr/>
      </w:pPr>
      <w:r>
        <w:rPr/>
        <w:t>        </w:t>
      </w:r>
      <w:r>
        <w:rPr>
          <w:sz w:val="20"/>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rPr/>
      </w:pPr>
      <w:r>
        <w:rPr/>
        <w:t>        </w:t>
      </w:r>
      <w:r>
        <w:rPr>
          <w:sz w:val="20"/>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rPr/>
      </w:pPr>
      <w:r>
        <w:rPr/>
        <w:t>        </w:t>
      </w:r>
      <w:r>
        <w:rPr>
          <w:b/>
          <w:i/>
          <w:sz w:val="20"/>
        </w:rPr>
        <w:t>Our pipeline systems are dependent upon their interconnections with other crude oil pipelines to reach end markets.</w:t>
      </w:r>
    </w:p>
    <w:p>
      <w:pPr>
        <w:pStyle w:val="TextBody"/>
        <w:rPr/>
      </w:pPr>
      <w:r>
        <w:rPr/>
        <w:t>        </w:t>
      </w:r>
      <w:r>
        <w:rPr>
          <w:sz w:val="20"/>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rPr/>
      </w:pPr>
      <w:r>
        <w:rPr/>
        <w:t>        </w:t>
      </w:r>
      <w:r>
        <w:rPr>
          <w:b/>
          <w:i/>
          <w:sz w:val="20"/>
        </w:rPr>
        <w:t xml:space="preserve">Fluctuations in demand can negatively affect our operating results. </w:t>
      </w:r>
    </w:p>
    <w:p>
      <w:pPr>
        <w:pStyle w:val="TextBody"/>
        <w:rPr/>
      </w:pPr>
      <w:r>
        <w:rPr/>
        <w:t>        </w:t>
      </w:r>
      <w:r>
        <w:rPr>
          <w:sz w:val="20"/>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jc w:val="center"/>
        <w:rPr>
          <w:sz w:val="20"/>
        </w:rPr>
      </w:pPr>
      <w:r>
        <w:rPr>
          <w:sz w:val="20"/>
        </w:rPr>
        <w:t>8</w:t>
      </w:r>
    </w:p>
    <w:p>
      <w:pPr>
        <w:pStyle w:val="HorizontalLine"/>
        <w:pBdr>
          <w:bottom w:val="single" w:sz="20" w:space="0" w:color="808080"/>
        </w:pBdr>
        <w:rPr/>
      </w:pPr>
      <w:r>
        <w:rPr/>
      </w:r>
      <w:r>
        <w:br w:type="page"/>
      </w:r>
    </w:p>
    <w:p>
      <w:pPr>
        <w:pStyle w:val="TextBody"/>
        <w:rPr/>
      </w:pPr>
      <w:r>
        <w:rPr/>
      </w:r>
      <w:bookmarkStart w:id="88" w:name="page_ei1181_1_9"/>
      <w:bookmarkStart w:id="89" w:name="page_ei1181_1_9"/>
      <w:bookmarkEnd w:id="89"/>
    </w:p>
    <w:p>
      <w:pPr>
        <w:pStyle w:val="TextBody"/>
        <w:rPr/>
      </w:pPr>
      <w:r>
        <w:rPr/>
        <w:t>        </w:t>
      </w:r>
      <w:r>
        <w:rPr>
          <w:b/>
          <w:i/>
          <w:sz w:val="20"/>
        </w:rPr>
        <w:t>The terms of our indebtedness may limit our ability to borrow additional funds or capitalize on business opportunities.</w:t>
      </w:r>
    </w:p>
    <w:p>
      <w:pPr>
        <w:pStyle w:val="TextBody"/>
        <w:rPr/>
      </w:pPr>
      <w:r>
        <w:rPr/>
        <w:t>        </w:t>
      </w:r>
      <w:r>
        <w:rPr>
          <w:sz w:val="20"/>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rPr/>
      </w:pPr>
      <w:r>
        <w:rPr/>
        <w:t>        </w:t>
      </w:r>
      <w:r>
        <w:rPr>
          <w:b/>
          <w:i/>
          <w:sz w:val="20"/>
        </w:rPr>
        <w:t>Changes in currency exchange rates could adversely affect our operating results.</w:t>
      </w:r>
    </w:p>
    <w:p>
      <w:pPr>
        <w:pStyle w:val="TextBody"/>
        <w:rPr/>
      </w:pPr>
      <w:r>
        <w:rPr/>
        <w:t>        </w:t>
      </w:r>
      <w:r>
        <w:rPr>
          <w:sz w:val="20"/>
        </w:rPr>
        <w:t xml:space="preserve">Because we conduct operations in Canada, we are exposed to currency fluctuations and exchange rate risks that may adversely affect our results of operations. </w:t>
      </w:r>
    </w:p>
    <w:p>
      <w:pPr>
        <w:pStyle w:val="TextBody"/>
        <w:rPr/>
      </w:pPr>
      <w:r>
        <w:rPr/>
        <w:t>        </w:t>
      </w:r>
      <w:r>
        <w:rPr>
          <w:b/>
          <w:i/>
          <w:sz w:val="20"/>
        </w:rPr>
        <w:t>Cash distributions are not guaranteed and may fluctuate with our performance and the establishment of financial reserves.</w:t>
      </w:r>
    </w:p>
    <w:p>
      <w:pPr>
        <w:pStyle w:val="TextBody"/>
        <w:rPr/>
      </w:pPr>
      <w:r>
        <w:rPr/>
        <w:t>        </w:t>
      </w:r>
      <w:r>
        <w:rPr>
          <w:sz w:val="20"/>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rPr>
          <w:b/>
          <w:sz w:val="20"/>
        </w:rPr>
      </w:pPr>
      <w:r>
        <w:rPr>
          <w:b/>
          <w:sz w:val="20"/>
        </w:rPr>
        <w:t xml:space="preserve">Risks Inherent in an Investment in Plains All American Pipeline </w:t>
      </w:r>
    </w:p>
    <w:p>
      <w:pPr>
        <w:pStyle w:val="TextBody"/>
        <w:rPr/>
      </w:pPr>
      <w:r>
        <w:rPr/>
        <w:t>        </w:t>
      </w:r>
      <w:r>
        <w:rPr>
          <w:b/>
          <w:i/>
          <w:sz w:val="20"/>
        </w:rPr>
        <w:t>Cost reimbursements due to our general partner may be substantial and will reduce our cash available for distribution to you.</w:t>
      </w:r>
    </w:p>
    <w:p>
      <w:pPr>
        <w:pStyle w:val="TextBody"/>
        <w:rPr/>
      </w:pPr>
      <w:r>
        <w:rPr/>
        <w:t>        </w:t>
      </w:r>
      <w:r>
        <w:rPr>
          <w:sz w:val="20"/>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rPr/>
      </w:pPr>
      <w:r>
        <w:rPr/>
        <w:t>        </w:t>
      </w:r>
      <w:r>
        <w:rPr>
          <w:b/>
          <w:i/>
          <w:sz w:val="20"/>
        </w:rPr>
        <w:t xml:space="preserve">You may not be able to remove our general partner even if you wish to do so. </w:t>
      </w:r>
    </w:p>
    <w:p>
      <w:pPr>
        <w:pStyle w:val="TextBody"/>
        <w:rPr/>
      </w:pPr>
      <w:r>
        <w:rPr/>
        <w:t>        </w:t>
      </w:r>
      <w:r>
        <w:rPr>
          <w:sz w:val="20"/>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rPr/>
      </w:pPr>
      <w:r>
        <w:rPr/>
        <w:t>        </w:t>
      </w:r>
      <w:r>
        <w:rPr>
          <w:sz w:val="20"/>
        </w:rPr>
        <w:t xml:space="preserve">In addition, the following provisions of our partnership agreement may discourage a person or group from attempting to remove our general partner or otherwise change our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limitations upon the ability of unitholders to call meetings or to acquire information about our operations, as well as other limitations upon the unitholders' ability to influence the manner or direction of management. </w:t>
      </w:r>
    </w:p>
    <w:p>
      <w:pPr>
        <w:pStyle w:val="TextBody"/>
        <w:rPr/>
      </w:pPr>
      <w:r>
        <w:rPr/>
        <w:t>        </w:t>
      </w:r>
      <w:r>
        <w:rPr>
          <w:sz w:val="20"/>
        </w:rPr>
        <w:t xml:space="preserve">As a result of these provisions, the price at which the common units will trade may be lower because of the absence or reduction of a takeover premium in the trading price. </w:t>
      </w:r>
    </w:p>
    <w:p>
      <w:pPr>
        <w:pStyle w:val="TextBody"/>
        <w:jc w:val="center"/>
        <w:rPr>
          <w:sz w:val="20"/>
        </w:rPr>
      </w:pPr>
      <w:r>
        <w:rPr>
          <w:sz w:val="20"/>
        </w:rPr>
        <w:t>9</w:t>
      </w:r>
    </w:p>
    <w:p>
      <w:pPr>
        <w:pStyle w:val="HorizontalLine"/>
        <w:pBdr>
          <w:bottom w:val="single" w:sz="20" w:space="0" w:color="808080"/>
        </w:pBdr>
        <w:rPr/>
      </w:pPr>
      <w:r>
        <w:rPr/>
      </w:r>
      <w:r>
        <w:br w:type="page"/>
      </w:r>
    </w:p>
    <w:p>
      <w:pPr>
        <w:pStyle w:val="TextBody"/>
        <w:rPr/>
      </w:pPr>
      <w:r>
        <w:rPr/>
      </w:r>
      <w:bookmarkStart w:id="90" w:name="page_ei1181_1_10"/>
      <w:bookmarkStart w:id="91" w:name="page_ei1181_1_10"/>
      <w:bookmarkEnd w:id="91"/>
    </w:p>
    <w:p>
      <w:pPr>
        <w:pStyle w:val="TextBody"/>
        <w:rPr/>
      </w:pPr>
      <w:r>
        <w:rPr/>
        <w:t>        </w:t>
      </w:r>
      <w:r>
        <w:rPr>
          <w:b/>
          <w:i/>
          <w:sz w:val="20"/>
        </w:rPr>
        <w:t>We may issue additional common units without your approval, which would dilute your existing ownership interests.</w:t>
      </w:r>
    </w:p>
    <w:p>
      <w:pPr>
        <w:pStyle w:val="TextBody"/>
        <w:rPr/>
      </w:pPr>
      <w:r>
        <w:rPr/>
        <w:t>        </w:t>
      </w:r>
      <w:r>
        <w:rPr>
          <w:sz w:val="20"/>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your proportionate ownership interest in Plains All American Pipeline will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available for distribution on each unit may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relative voting strength of each previously outstanding unit may be diminished;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market price of the common units may decline. </w:t>
      </w:r>
    </w:p>
    <w:p>
      <w:pPr>
        <w:pStyle w:val="TextBody"/>
        <w:rPr/>
      </w:pPr>
      <w:r>
        <w:rPr/>
        <w:t>        </w:t>
      </w:r>
      <w:r>
        <w:rPr>
          <w:b/>
          <w:i/>
          <w:sz w:val="20"/>
        </w:rPr>
        <w:t>Our general partner has a limited call right that may require you to sell your units at an undesirable time or price.</w:t>
      </w:r>
    </w:p>
    <w:p>
      <w:pPr>
        <w:pStyle w:val="TextBody"/>
        <w:rPr/>
      </w:pPr>
      <w:r>
        <w:rPr/>
        <w:t>        </w:t>
      </w:r>
      <w:r>
        <w:rPr>
          <w:sz w:val="20"/>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rPr/>
      </w:pPr>
      <w:r>
        <w:rPr/>
        <w:t>        </w:t>
      </w:r>
      <w:r>
        <w:rPr>
          <w:b/>
          <w:i/>
          <w:sz w:val="20"/>
        </w:rPr>
        <w:t>You may not have limited liability if a court finds that unitholder actions constitute control of our business.</w:t>
      </w:r>
    </w:p>
    <w:p>
      <w:pPr>
        <w:pStyle w:val="TextBody"/>
        <w:rPr/>
      </w:pPr>
      <w:r>
        <w:rPr/>
        <w:t>        </w:t>
      </w:r>
      <w:r>
        <w:rPr>
          <w:sz w:val="20"/>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rPr/>
      </w:pPr>
      <w:r>
        <w:rPr/>
        <w:t>        </w:t>
      </w:r>
      <w:r>
        <w:rPr>
          <w:sz w:val="20"/>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rPr/>
      </w:pPr>
      <w:r>
        <w:rPr/>
        <w:t>        </w:t>
      </w:r>
      <w:r>
        <w:rPr>
          <w:sz w:val="20"/>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rPr/>
      </w:pPr>
      <w:r>
        <w:rPr/>
        <w:t>        </w:t>
      </w:r>
      <w:r>
        <w:rPr>
          <w:b/>
          <w:i/>
          <w:sz w:val="20"/>
        </w:rPr>
        <w:t>Conflicts of interest could arise among our general partner and us or the unitholders.</w:t>
      </w:r>
    </w:p>
    <w:p>
      <w:pPr>
        <w:pStyle w:val="TextBody"/>
        <w:rPr/>
      </w:pPr>
      <w:r>
        <w:rPr/>
        <w:t>        </w:t>
      </w:r>
      <w:r>
        <w:rPr>
          <w:sz w:val="20"/>
        </w:rPr>
        <w:t xml:space="preserve">These conflicts may include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do not have any employees and we rely solely on employees of the general partner or, in the case of Plains Marketing Canada, employees of PMC (Nova Scotia) Company;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we reimburse the general partner for the costs of managing and for operating the partnership;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expenditures, borrowings and reserves in any quarter may affect available cash to pay quarterly distributions to unitholders;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w:t>
      </w:r>
    </w:p>
    <w:p>
      <w:pPr>
        <w:pStyle w:val="TextBody"/>
        <w:jc w:val="center"/>
        <w:rPr>
          <w:sz w:val="20"/>
        </w:rPr>
      </w:pPr>
      <w:r>
        <w:rPr>
          <w:sz w:val="20"/>
        </w:rPr>
        <w:t>10</w:t>
      </w:r>
    </w:p>
    <w:p>
      <w:pPr>
        <w:pStyle w:val="HorizontalLine"/>
        <w:pBdr>
          <w:bottom w:val="single" w:sz="20" w:space="0" w:color="808080"/>
        </w:pBdr>
        <w:rPr/>
      </w:pPr>
      <w:r>
        <w:rPr/>
      </w:r>
      <w:r>
        <w:br w:type="page"/>
      </w:r>
    </w:p>
    <w:p>
      <w:pPr>
        <w:pStyle w:val="TextBody"/>
        <w:numPr>
          <w:ilvl w:val="0"/>
          <w:numId w:val="0"/>
        </w:numPr>
        <w:ind w:left="1414" w:hanging="0"/>
        <w:rPr>
          <w:sz w:val="20"/>
        </w:rPr>
      </w:pPr>
      <w:bookmarkStart w:id="92" w:name="page_ei1181_1_11"/>
      <w:bookmarkEnd w:id="92"/>
      <w:r>
        <w:rPr>
          <w:sz w:val="20"/>
        </w:rPr>
        <w:t xml:space="preserve">liability for partnership obligations even if we can obtain more favorable terms without limiting the general partner's liability;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would not breach our partnership agreement by exercising its call rights to purchase limited partnership interests or by assigning its call rights to one of its affiliates or to us. </w:t>
      </w:r>
    </w:p>
    <w:p>
      <w:pPr>
        <w:pStyle w:val="TextBody"/>
        <w:rPr>
          <w:b/>
          <w:sz w:val="20"/>
        </w:rPr>
      </w:pPr>
      <w:r>
        <w:rPr>
          <w:b/>
          <w:sz w:val="20"/>
        </w:rPr>
        <w:t xml:space="preserve">Risks Related to the Debt Securities </w:t>
      </w:r>
    </w:p>
    <w:p>
      <w:pPr>
        <w:pStyle w:val="TextBody"/>
        <w:rPr/>
      </w:pPr>
      <w:r>
        <w:rPr/>
        <w:t>        </w:t>
      </w:r>
      <w:r>
        <w:rPr>
          <w:b/>
          <w:i/>
          <w:sz w:val="20"/>
        </w:rPr>
        <w:t>We have a holding company structure in which our subsidiaries conduct our operations and own our operating assets.</w:t>
      </w:r>
    </w:p>
    <w:p>
      <w:pPr>
        <w:pStyle w:val="TextBody"/>
        <w:rPr/>
      </w:pPr>
      <w:r>
        <w:rPr/>
        <w:t>        </w:t>
      </w:r>
      <w:r>
        <w:rPr>
          <w:sz w:val="20"/>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rPr/>
      </w:pPr>
      <w:r>
        <w:rPr/>
        <w:t>        </w:t>
      </w:r>
      <w:r>
        <w:rPr>
          <w:b/>
          <w:i/>
          <w:sz w:val="20"/>
        </w:rPr>
        <w:t>We do not have the same flexibility as other types of organizations to accumulate cash, which may limit cash available to service the debt securities or to repay them at maturity.</w:t>
      </w:r>
    </w:p>
    <w:p>
      <w:pPr>
        <w:pStyle w:val="TextBody"/>
        <w:rPr/>
      </w:pPr>
      <w:r>
        <w:rPr/>
        <w:t>        </w:t>
      </w:r>
      <w:r>
        <w:rPr>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proper conduct of our business and the businesses of our operating partnerships (including reserves for future capital expenditures and for our anticipated future credit needs),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funds for distributions to our unitholders and the general partner for any one or more of the next four calendar quarters,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applicable law or any of our loan or other agreements. </w:t>
      </w:r>
    </w:p>
    <w:p>
      <w:pPr>
        <w:pStyle w:val="TextBody"/>
        <w:rPr/>
      </w:pPr>
      <w:r>
        <w:rPr/>
        <w:t>        </w:t>
      </w:r>
      <w:r>
        <w:rPr>
          <w:sz w:val="20"/>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jc w:val="center"/>
        <w:rPr>
          <w:sz w:val="20"/>
        </w:rPr>
      </w:pPr>
      <w:r>
        <w:rPr>
          <w:sz w:val="20"/>
        </w:rPr>
        <w:t>11</w:t>
      </w:r>
    </w:p>
    <w:p>
      <w:pPr>
        <w:pStyle w:val="HorizontalLine"/>
        <w:pBdr>
          <w:bottom w:val="single" w:sz="20" w:space="0" w:color="808080"/>
        </w:pBdr>
        <w:rPr/>
      </w:pPr>
      <w:r>
        <w:rPr/>
      </w:r>
      <w:r>
        <w:br w:type="page"/>
      </w:r>
    </w:p>
    <w:p>
      <w:pPr>
        <w:pStyle w:val="TextBody"/>
        <w:rPr/>
      </w:pPr>
      <w:r>
        <w:rPr/>
      </w:r>
      <w:bookmarkStart w:id="93" w:name="page_ei1181_1_12"/>
      <w:bookmarkStart w:id="94" w:name="page_ei1181_1_12"/>
      <w:bookmarkEnd w:id="94"/>
    </w:p>
    <w:p>
      <w:pPr>
        <w:pStyle w:val="TextBody"/>
        <w:rPr>
          <w:b/>
          <w:sz w:val="20"/>
        </w:rPr>
      </w:pPr>
      <w:r>
        <w:rPr>
          <w:b/>
          <w:sz w:val="20"/>
        </w:rPr>
        <w:t xml:space="preserve">Tax Risks to Common Unitholders </w:t>
      </w:r>
    </w:p>
    <w:p>
      <w:pPr>
        <w:pStyle w:val="TextBody"/>
        <w:rPr/>
      </w:pPr>
      <w:r>
        <w:rPr/>
        <w:t>        </w:t>
      </w:r>
      <w:r>
        <w:rPr>
          <w:sz w:val="20"/>
        </w:rPr>
        <w:t xml:space="preserve">You should read "Tax Considerations" for a more complete discussion of the following expected material federal income tax consequences of owning and disposing of common units. </w:t>
      </w:r>
    </w:p>
    <w:p>
      <w:pPr>
        <w:pStyle w:val="TextBody"/>
        <w:rPr/>
      </w:pPr>
      <w:r>
        <w:rPr/>
        <w:t>        </w:t>
      </w:r>
      <w:r>
        <w:rPr>
          <w:b/>
          <w:i/>
          <w:sz w:val="20"/>
        </w:rPr>
        <w:t>The IRS could treat us as a corporation for tax purposes, which would substantially reduce the cash available for distribution to you.</w:t>
      </w:r>
    </w:p>
    <w:p>
      <w:pPr>
        <w:pStyle w:val="TextBody"/>
        <w:rPr/>
      </w:pPr>
      <w:r>
        <w:rPr/>
        <w:t>        </w:t>
      </w:r>
      <w:r>
        <w:rPr>
          <w:sz w:val="20"/>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rPr/>
      </w:pPr>
      <w:r>
        <w:rPr/>
        <w:t>        </w:t>
      </w:r>
      <w:r>
        <w:rPr>
          <w:sz w:val="20"/>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 </w:t>
      </w:r>
    </w:p>
    <w:p>
      <w:pPr>
        <w:pStyle w:val="TextBody"/>
        <w:rPr/>
      </w:pPr>
      <w:r>
        <w:rPr/>
        <w:t>        </w:t>
      </w:r>
      <w:r>
        <w:rPr>
          <w:sz w:val="20"/>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rPr/>
      </w:pPr>
      <w:r>
        <w:rPr/>
        <w:t>        </w:t>
      </w:r>
      <w:r>
        <w:rPr>
          <w:b/>
          <w:i/>
          <w:sz w:val="20"/>
        </w:rPr>
        <w:t>A successful IRS contest of the federal income tax positions we take may adversely impact the market for common units.</w:t>
      </w:r>
    </w:p>
    <w:p>
      <w:pPr>
        <w:pStyle w:val="TextBody"/>
        <w:rPr/>
      </w:pPr>
      <w:r>
        <w:rPr/>
        <w:t>        </w:t>
      </w:r>
      <w:r>
        <w:rPr>
          <w:sz w:val="20"/>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rPr/>
      </w:pPr>
      <w:r>
        <w:rPr/>
        <w:t>        </w:t>
      </w:r>
      <w:r>
        <w:rPr>
          <w:b/>
          <w:i/>
          <w:sz w:val="20"/>
        </w:rPr>
        <w:t>You may be required to pay taxes even if you do not receive any cash distributions.</w:t>
      </w:r>
    </w:p>
    <w:p>
      <w:pPr>
        <w:pStyle w:val="TextBody"/>
        <w:rPr/>
      </w:pPr>
      <w:r>
        <w:rPr/>
        <w:t>        </w:t>
      </w:r>
      <w:r>
        <w:rPr>
          <w:sz w:val="20"/>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rPr/>
      </w:pPr>
      <w:r>
        <w:rPr/>
        <w:t>        </w:t>
      </w:r>
      <w:r>
        <w:rPr>
          <w:b/>
          <w:i/>
          <w:sz w:val="20"/>
        </w:rPr>
        <w:t>Tax gain or loss on disposition of common units could be different than expected.</w:t>
      </w:r>
    </w:p>
    <w:p>
      <w:pPr>
        <w:pStyle w:val="TextBody"/>
        <w:rPr/>
      </w:pPr>
      <w:r>
        <w:rPr/>
        <w:t>        </w:t>
      </w:r>
      <w:r>
        <w:rPr>
          <w:sz w:val="20"/>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w:t>
      </w:r>
    </w:p>
    <w:p>
      <w:pPr>
        <w:pStyle w:val="TextBody"/>
        <w:jc w:val="center"/>
        <w:rPr>
          <w:sz w:val="20"/>
        </w:rPr>
      </w:pPr>
      <w:r>
        <w:rPr>
          <w:sz w:val="20"/>
        </w:rPr>
        <w:t>12</w:t>
      </w:r>
    </w:p>
    <w:p>
      <w:pPr>
        <w:pStyle w:val="HorizontalLine"/>
        <w:pBdr>
          <w:bottom w:val="single" w:sz="20" w:space="0" w:color="808080"/>
        </w:pBdr>
        <w:rPr/>
      </w:pPr>
      <w:r>
        <w:rPr/>
      </w:r>
      <w:r>
        <w:br w:type="page"/>
      </w:r>
    </w:p>
    <w:p>
      <w:pPr>
        <w:pStyle w:val="TextBody"/>
        <w:rPr/>
      </w:pPr>
      <w:r>
        <w:rPr/>
      </w:r>
      <w:bookmarkStart w:id="95" w:name="page_ei1181_1_13"/>
      <w:bookmarkStart w:id="96" w:name="page_ei1181_1_13"/>
      <w:bookmarkEnd w:id="96"/>
    </w:p>
    <w:p>
      <w:pPr>
        <w:pStyle w:val="TextBody"/>
        <w:rPr>
          <w:sz w:val="20"/>
        </w:rPr>
      </w:pPr>
      <w:r>
        <w:rPr>
          <w:sz w:val="20"/>
        </w:rPr>
        <w:t xml:space="preserve">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rPr/>
      </w:pPr>
      <w:r>
        <w:rPr/>
        <w:t>        </w:t>
      </w:r>
      <w:r>
        <w:rPr>
          <w:b/>
          <w:i/>
          <w:sz w:val="20"/>
        </w:rPr>
        <w:t>If you are a tax-exempt entity, a regulated investment company or an individual not residing in the United States, you may have adverse tax consequences from owning common units.</w:t>
      </w:r>
    </w:p>
    <w:p>
      <w:pPr>
        <w:pStyle w:val="TextBody"/>
        <w:rPr/>
      </w:pPr>
      <w:r>
        <w:rPr/>
        <w:t>        </w:t>
      </w:r>
      <w:r>
        <w:rPr>
          <w:sz w:val="20"/>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rPr/>
      </w:pPr>
      <w:r>
        <w:rPr/>
        <w:t>        </w:t>
      </w:r>
      <w:r>
        <w:rPr>
          <w:b/>
          <w:i/>
          <w:sz w:val="20"/>
        </w:rPr>
        <w:t>We treat a purchaser of units as having the same tax benefits without regard to the units purchased. The IRS may challenge this treatment, which could adversely affect the value of the units.</w:t>
      </w:r>
    </w:p>
    <w:p>
      <w:pPr>
        <w:pStyle w:val="TextBody"/>
        <w:rPr/>
      </w:pPr>
      <w:r>
        <w:rPr/>
        <w:t>        </w:t>
      </w:r>
      <w:r>
        <w:rPr>
          <w:sz w:val="20"/>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 </w:t>
      </w:r>
    </w:p>
    <w:p>
      <w:pPr>
        <w:pStyle w:val="TextBody"/>
        <w:rPr/>
      </w:pPr>
      <w:r>
        <w:rPr/>
        <w:t>        </w:t>
      </w:r>
      <w:r>
        <w:rPr>
          <w:b/>
          <w:i/>
          <w:sz w:val="20"/>
        </w:rPr>
        <w:t>You will likely be subject to foreign, state and local taxes in jurisdictions where you do not live as a result of an investment in units.</w:t>
      </w:r>
    </w:p>
    <w:p>
      <w:pPr>
        <w:pStyle w:val="TextBody"/>
        <w:rPr/>
      </w:pPr>
      <w:r>
        <w:rPr/>
        <w:t>        </w:t>
      </w:r>
      <w:r>
        <w:rPr>
          <w:sz w:val="20"/>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jc w:val="center"/>
        <w:rPr>
          <w:sz w:val="20"/>
        </w:rPr>
      </w:pPr>
      <w:r>
        <w:rPr>
          <w:sz w:val="20"/>
        </w:rPr>
        <w:t>13</w:t>
      </w:r>
    </w:p>
    <w:p>
      <w:pPr>
        <w:pStyle w:val="HorizontalLine"/>
        <w:pBdr>
          <w:bottom w:val="single" w:sz="20" w:space="0" w:color="808080"/>
        </w:pBdr>
        <w:rPr/>
      </w:pPr>
      <w:r>
        <w:rPr/>
      </w:r>
      <w:r>
        <w:br w:type="page"/>
      </w:r>
    </w:p>
    <w:p>
      <w:pPr>
        <w:pStyle w:val="TextBody"/>
        <w:jc w:val="center"/>
        <w:rPr/>
      </w:pPr>
      <w:bookmarkStart w:id="97" w:name="toc_ek1181_1"/>
      <w:bookmarkStart w:id="98" w:name="ek1181_use_of_proceeds"/>
      <w:bookmarkStart w:id="99" w:name="page_ek1181_1_14"/>
      <w:bookmarkEnd w:id="97"/>
      <w:bookmarkEnd w:id="98"/>
      <w:bookmarkEnd w:id="99"/>
      <w:r>
        <w:rPr>
          <w:sz w:val="20"/>
        </w:rPr>
        <w:br/>
      </w:r>
      <w:r>
        <w:rPr>
          <w:b/>
          <w:sz w:val="20"/>
        </w:rPr>
        <w:t xml:space="preserve">USE OF PROCEEDS </w:t>
      </w:r>
    </w:p>
    <w:p>
      <w:pPr>
        <w:pStyle w:val="TextBody"/>
        <w:rPr/>
      </w:pPr>
      <w:r>
        <w:rPr/>
        <w:t>        </w:t>
      </w:r>
      <w:r>
        <w:rPr>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jc w:val="center"/>
        <w:rPr/>
      </w:pPr>
      <w:bookmarkStart w:id="100" w:name="toc_ek1181_2"/>
      <w:bookmarkStart w:id="101" w:name="ek1181_ratio_of_earnings_to_fixed_charge"/>
      <w:bookmarkEnd w:id="100"/>
      <w:bookmarkEnd w:id="101"/>
      <w:r>
        <w:rPr>
          <w:sz w:val="20"/>
        </w:rPr>
        <w:br/>
      </w:r>
      <w:r>
        <w:rPr>
          <w:b/>
          <w:sz w:val="20"/>
        </w:rPr>
        <w:t xml:space="preserve">RATIO OF EARNINGS TO FIXED CHARGES </w:t>
      </w:r>
    </w:p>
    <w:tbl>
      <w:tblPr>
        <w:tblW w:w="4450" w:type="pct"/>
        <w:jc w:val="left"/>
        <w:tblInd w:w="0" w:type="dxa"/>
        <w:tblCellMar>
          <w:top w:w="0" w:type="dxa"/>
          <w:left w:w="0" w:type="dxa"/>
          <w:bottom w:w="0" w:type="dxa"/>
          <w:right w:w="0" w:type="dxa"/>
        </w:tblCellMar>
      </w:tblPr>
      <w:tblGrid>
        <w:gridCol w:w="4311"/>
        <w:gridCol w:w="187"/>
        <w:gridCol w:w="1311"/>
        <w:gridCol w:w="187"/>
        <w:gridCol w:w="468"/>
        <w:gridCol w:w="186"/>
        <w:gridCol w:w="468"/>
        <w:gridCol w:w="187"/>
        <w:gridCol w:w="468"/>
        <w:gridCol w:w="186"/>
        <w:gridCol w:w="468"/>
        <w:gridCol w:w="187"/>
        <w:gridCol w:w="468"/>
      </w:tblGrid>
      <w:tr>
        <w:trPr/>
        <w:tc>
          <w:tcPr>
            <w:tcW w:w="4311" w:type="dxa"/>
            <w:tcBorders/>
            <w:shd w:fill="auto" w:val="clear"/>
            <w:vAlign w:val="bottom"/>
          </w:tcPr>
          <w:p>
            <w:pPr>
              <w:pStyle w:val="TableHeading"/>
              <w:spacing w:before="0" w:after="283"/>
              <w:jc w:val="left"/>
              <w:rPr/>
            </w:pPr>
            <w:r>
              <w:rPr/>
              <w:t> </w:t>
            </w:r>
          </w:p>
        </w:tc>
        <w:tc>
          <w:tcPr>
            <w:tcW w:w="187" w:type="dxa"/>
            <w:vMerge w:val="restart"/>
            <w:tcBorders/>
            <w:shd w:fill="auto" w:val="clear"/>
            <w:vAlign w:val="bottom"/>
          </w:tcPr>
          <w:p>
            <w:pPr>
              <w:pStyle w:val="TableHeading"/>
              <w:suppressLineNumbers/>
              <w:spacing w:before="0" w:after="283"/>
              <w:jc w:val="center"/>
              <w:rPr/>
            </w:pPr>
            <w:r>
              <w:rPr/>
              <w:t> </w:t>
            </w:r>
          </w:p>
        </w:tc>
        <w:tc>
          <w:tcPr>
            <w:tcW w:w="1311" w:type="dxa"/>
            <w:vMerge w:val="restart"/>
            <w:tcBorders/>
            <w:shd w:fill="auto" w:val="clear"/>
            <w:vAlign w:val="bottom"/>
          </w:tcPr>
          <w:p>
            <w:pPr>
              <w:pStyle w:val="TableHeading"/>
              <w:spacing w:before="0" w:after="0"/>
              <w:jc w:val="center"/>
              <w:rPr>
                <w:b/>
                <w:sz w:val="14"/>
              </w:rPr>
            </w:pPr>
            <w:r>
              <w:rPr>
                <w:b/>
                <w:sz w:val="14"/>
              </w:rPr>
              <w:t>Three Months</w:t>
              <w:br/>
              <w:t>Ended</w:t>
              <w:br/>
              <w:t>March 31,</w:t>
              <w:br/>
              <w:t>2005</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3086" w:type="dxa"/>
            <w:gridSpan w:val="9"/>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r>
      <w:tr>
        <w:trPr/>
        <w:tc>
          <w:tcPr>
            <w:tcW w:w="4311" w:type="dxa"/>
            <w:tcBorders/>
            <w:shd w:fill="auto" w:val="clear"/>
            <w:vAlign w:val="bottom"/>
          </w:tcPr>
          <w:p>
            <w:pPr>
              <w:pStyle w:val="TableHeading"/>
              <w:spacing w:before="0" w:after="283"/>
              <w:jc w:val="left"/>
              <w:rPr/>
            </w:pPr>
            <w:r>
              <w:rPr/>
              <w:t> </w:t>
            </w:r>
          </w:p>
        </w:tc>
        <w:tc>
          <w:tcPr>
            <w:tcW w:w="187" w:type="dxa"/>
            <w:vMerge w:val="continue"/>
            <w:tcBorders/>
            <w:shd w:fill="auto" w:val="clear"/>
            <w:vAlign w:val="bottom"/>
          </w:tcPr>
          <w:p>
            <w:pPr>
              <w:pStyle w:val="Normal"/>
              <w:rPr/>
            </w:pPr>
            <w:r>
              <w:rPr/>
            </w:r>
          </w:p>
        </w:tc>
        <w:tc>
          <w:tcPr>
            <w:tcW w:w="1311" w:type="dxa"/>
            <w:vMerge w:val="continue"/>
            <w:tcBorders/>
            <w:shd w:fill="auto" w:val="clear"/>
            <w:vAlign w:val="bottom"/>
          </w:tcPr>
          <w:p>
            <w:pPr>
              <w:pStyle w:val="Normal"/>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2002</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2001</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2000</w:t>
            </w:r>
          </w:p>
          <w:p>
            <w:pPr>
              <w:pStyle w:val="HorizontalLine"/>
              <w:pBdr>
                <w:bottom w:val="single" w:sz="20" w:space="0" w:color="808080"/>
              </w:pBdr>
              <w:spacing w:before="0" w:after="283"/>
              <w:rPr/>
            </w:pPr>
            <w:r>
              <w:rPr/>
            </w:r>
          </w:p>
        </w:tc>
      </w:tr>
      <w:tr>
        <w:trPr/>
        <w:tc>
          <w:tcPr>
            <w:tcW w:w="4311" w:type="dxa"/>
            <w:tcBorders/>
            <w:shd w:fill="CCEEFF" w:val="clear"/>
          </w:tcPr>
          <w:p>
            <w:pPr>
              <w:pStyle w:val="TableContents"/>
              <w:spacing w:before="0" w:after="283"/>
              <w:rPr>
                <w:sz w:val="20"/>
              </w:rPr>
            </w:pPr>
            <w:r>
              <w:rPr>
                <w:sz w:val="20"/>
              </w:rPr>
              <w:t>Ratio of Earnings to Fixed Charges</w:t>
            </w:r>
          </w:p>
        </w:tc>
        <w:tc>
          <w:tcPr>
            <w:tcW w:w="187" w:type="dxa"/>
            <w:tcBorders/>
            <w:shd w:fill="CCEEFF" w:val="clear"/>
          </w:tcPr>
          <w:p>
            <w:pPr>
              <w:pStyle w:val="TableContents"/>
              <w:spacing w:before="0" w:after="283"/>
              <w:rPr/>
            </w:pPr>
            <w:r>
              <w:rPr/>
              <w:t> </w:t>
            </w:r>
          </w:p>
        </w:tc>
        <w:tc>
          <w:tcPr>
            <w:tcW w:w="1311" w:type="dxa"/>
            <w:tcBorders/>
            <w:shd w:fill="CCEEFF" w:val="clear"/>
          </w:tcPr>
          <w:p>
            <w:pPr>
              <w:pStyle w:val="TableContents"/>
              <w:spacing w:before="0" w:after="283"/>
              <w:jc w:val="right"/>
              <w:rPr>
                <w:sz w:val="20"/>
              </w:rPr>
            </w:pPr>
            <w:r>
              <w:rPr>
                <w:sz w:val="20"/>
              </w:rPr>
              <w:t>2.93</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3.46</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2.39</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2.77</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2.26</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3.33</w:t>
            </w:r>
          </w:p>
        </w:tc>
      </w:tr>
      <w:tr>
        <w:trPr/>
        <w:tc>
          <w:tcPr>
            <w:tcW w:w="4311"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1311"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14</w:t>
      </w:r>
    </w:p>
    <w:p>
      <w:pPr>
        <w:pStyle w:val="HorizontalLine"/>
        <w:pBdr>
          <w:bottom w:val="single" w:sz="20" w:space="0" w:color="808080"/>
        </w:pBdr>
        <w:rPr/>
      </w:pPr>
      <w:r>
        <w:rPr/>
      </w:r>
      <w:r>
        <w:br w:type="page"/>
      </w:r>
    </w:p>
    <w:p>
      <w:pPr>
        <w:pStyle w:val="TextBody"/>
        <w:jc w:val="center"/>
        <w:rPr/>
      </w:pPr>
      <w:bookmarkStart w:id="102" w:name="toc_ek1181_3"/>
      <w:bookmarkStart w:id="103" w:name="ek1181_description_of_our_debt_securitie"/>
      <w:bookmarkStart w:id="104" w:name="page_ek1181_1_15"/>
      <w:bookmarkEnd w:id="102"/>
      <w:bookmarkEnd w:id="103"/>
      <w:bookmarkEnd w:id="104"/>
      <w:r>
        <w:rPr>
          <w:sz w:val="20"/>
        </w:rPr>
        <w:br/>
      </w:r>
      <w:r>
        <w:rPr>
          <w:b/>
          <w:sz w:val="20"/>
        </w:rPr>
        <w:t xml:space="preserve">DESCRIPTION OF OUR DEBT SECURITIES </w:t>
      </w:r>
    </w:p>
    <w:p>
      <w:pPr>
        <w:pStyle w:val="TextBody"/>
        <w:rPr>
          <w:b/>
          <w:sz w:val="20"/>
        </w:rPr>
      </w:pPr>
      <w:r>
        <w:rPr>
          <w:b/>
          <w:sz w:val="20"/>
        </w:rPr>
        <w:t xml:space="preserve">General </w:t>
      </w:r>
    </w:p>
    <w:p>
      <w:pPr>
        <w:pStyle w:val="TextBody"/>
        <w:rPr/>
      </w:pPr>
      <w:r>
        <w:rPr/>
        <w:t>        </w:t>
      </w:r>
      <w:r>
        <w:rPr>
          <w:sz w:val="20"/>
        </w:rPr>
        <w:t xml:space="preserve">The debt securities will be: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direct general obligations;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either senior debt securities or subordinated debt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issued under separate indentures (which may be existing indentures) among us and Wachovia Bank, N.A., as Trustee. </w:t>
      </w:r>
    </w:p>
    <w:p>
      <w:pPr>
        <w:pStyle w:val="TextBody"/>
        <w:rPr/>
      </w:pPr>
      <w:r>
        <w:rPr/>
        <w:t>        </w:t>
      </w:r>
      <w:r>
        <w:rPr>
          <w:sz w:val="20"/>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rPr/>
      </w:pPr>
      <w:r>
        <w:rPr/>
        <w:t>        </w:t>
      </w:r>
      <w:r>
        <w:rPr>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rPr>
          <w:b/>
          <w:sz w:val="20"/>
        </w:rPr>
      </w:pPr>
      <w:r>
        <w:rPr>
          <w:b/>
          <w:sz w:val="20"/>
        </w:rPr>
        <w:t xml:space="preserve">Specific Terms of Each Series of Debt Securities in the Prospectus Supplement </w:t>
      </w:r>
    </w:p>
    <w:p>
      <w:pPr>
        <w:pStyle w:val="TextBody"/>
        <w:rPr/>
      </w:pPr>
      <w:r>
        <w:rPr/>
        <w:t>        </w:t>
      </w:r>
      <w:r>
        <w:rPr>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PAA Finance will be a co-issuer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guarantors of the debt securities, if 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debt securities are senior or subordinated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title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total principal amount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assets, if any, that are pledged as security for the payment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we will issue the debt securities in individual certificates to each holder in registered form, or in the form of temporary or permanent global securities held by a depository on behalf of 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prices at which we will issue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the principal amount that will be payable if the maturity of the debt securities is accelerated;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or currency unit in which the debt securities will be payable, if not U.S. dollars;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dates on which the principal of the debt securities will be payable; </w:t>
      </w:r>
    </w:p>
    <w:p>
      <w:pPr>
        <w:pStyle w:val="TextBody"/>
        <w:jc w:val="center"/>
        <w:rPr>
          <w:sz w:val="20"/>
        </w:rPr>
      </w:pPr>
      <w:r>
        <w:rPr>
          <w:sz w:val="20"/>
        </w:rPr>
        <w:t>15</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105" w:name="page_ek1181_1_16"/>
      <w:bookmarkEnd w:id="105"/>
      <w:r>
        <w:rPr>
          <w:sz w:val="20"/>
        </w:rPr>
        <w:t></w:t>
      </w:r>
    </w:p>
    <w:p>
      <w:pPr>
        <w:pStyle w:val="ListContents"/>
        <w:numPr>
          <w:ilvl w:val="0"/>
          <w:numId w:val="0"/>
        </w:numPr>
        <w:spacing w:before="0" w:after="283"/>
        <w:ind w:left="1274" w:right="0" w:hanging="0"/>
        <w:rPr>
          <w:sz w:val="20"/>
        </w:rPr>
      </w:pPr>
      <w:r>
        <w:rPr>
          <w:sz w:val="20"/>
        </w:rPr>
        <w:t xml:space="preserve">the interest rate that the debt securities will bear and the interest payment dates for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conversion or exchange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optional redemption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sinking fund or other provisions that would obligate us to repurchase or otherwise redeem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changes to or additional events of default or covenants;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terms of the debt securities. </w:t>
      </w:r>
    </w:p>
    <w:p>
      <w:pPr>
        <w:pStyle w:val="TextBody"/>
        <w:rPr/>
      </w:pPr>
      <w:r>
        <w:rPr/>
        <w:t>        </w:t>
      </w:r>
      <w:r>
        <w:rPr>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rPr>
          <w:b/>
          <w:sz w:val="20"/>
        </w:rPr>
      </w:pPr>
      <w:r>
        <w:rPr>
          <w:b/>
          <w:sz w:val="20"/>
        </w:rPr>
        <w:t xml:space="preserve">Guarantees </w:t>
      </w:r>
    </w:p>
    <w:p>
      <w:pPr>
        <w:pStyle w:val="TextBody"/>
        <w:rPr/>
      </w:pPr>
      <w:r>
        <w:rPr/>
        <w:t>        </w:t>
      </w:r>
      <w:r>
        <w:rPr>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rPr/>
      </w:pPr>
      <w:r>
        <w:rPr/>
        <w:t>        </w:t>
      </w:r>
      <w:r>
        <w:rPr>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rPr>
          <w:b/>
          <w:sz w:val="20"/>
        </w:rPr>
      </w:pPr>
      <w:r>
        <w:rPr>
          <w:b/>
          <w:sz w:val="20"/>
        </w:rPr>
        <w:t xml:space="preserve">Consolidation, Merger or Asset Sale </w:t>
      </w:r>
    </w:p>
    <w:p>
      <w:pPr>
        <w:pStyle w:val="TextBody"/>
        <w:rPr/>
      </w:pPr>
      <w:r>
        <w:rPr/>
        <w:t>        </w:t>
      </w:r>
      <w:r>
        <w:rPr>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rPr/>
      </w:pPr>
      <w:r>
        <w:rPr/>
        <w:t>        </w:t>
      </w:r>
      <w:r>
        <w:rPr>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assume the issuer's obligations under the indenture;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immediately after giving effect to the transaction, no Default or Event of Default (as defined under "Events of Default and Remedies" below) may exist. </w:t>
      </w:r>
    </w:p>
    <w:p>
      <w:pPr>
        <w:pStyle w:val="TextBody"/>
        <w:jc w:val="center"/>
        <w:rPr>
          <w:sz w:val="20"/>
        </w:rPr>
      </w:pPr>
      <w:r>
        <w:rPr>
          <w:sz w:val="20"/>
        </w:rPr>
        <w:t>16</w:t>
      </w:r>
    </w:p>
    <w:p>
      <w:pPr>
        <w:pStyle w:val="HorizontalLine"/>
        <w:pBdr>
          <w:bottom w:val="single" w:sz="20" w:space="0" w:color="808080"/>
        </w:pBdr>
        <w:rPr/>
      </w:pPr>
      <w:r>
        <w:rPr/>
      </w:r>
      <w:r>
        <w:br w:type="page"/>
      </w:r>
    </w:p>
    <w:p>
      <w:pPr>
        <w:pStyle w:val="TextBody"/>
        <w:rPr/>
      </w:pPr>
      <w:bookmarkStart w:id="106" w:name="page_ek1181_1_17"/>
      <w:bookmarkEnd w:id="106"/>
      <w:r>
        <w:rPr/>
        <w:t>        </w:t>
      </w:r>
      <w:r>
        <w:rPr>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rPr>
          <w:b/>
          <w:sz w:val="20"/>
        </w:rPr>
      </w:pPr>
      <w:r>
        <w:rPr>
          <w:b/>
          <w:sz w:val="20"/>
        </w:rPr>
        <w:t xml:space="preserve">No Protection in the Event of a Change of Control </w:t>
      </w:r>
    </w:p>
    <w:p>
      <w:pPr>
        <w:pStyle w:val="TextBody"/>
        <w:rPr/>
      </w:pPr>
      <w:r>
        <w:rPr/>
        <w:t>        </w:t>
      </w:r>
      <w:r>
        <w:rPr>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rPr>
          <w:b/>
          <w:sz w:val="20"/>
        </w:rPr>
      </w:pPr>
      <w:r>
        <w:rPr>
          <w:b/>
          <w:sz w:val="20"/>
        </w:rPr>
        <w:t xml:space="preserve">Modification of Indentures </w:t>
      </w:r>
    </w:p>
    <w:p>
      <w:pPr>
        <w:pStyle w:val="TextBody"/>
        <w:rPr/>
      </w:pPr>
      <w:r>
        <w:rPr/>
        <w:t>        </w:t>
      </w:r>
      <w:r>
        <w:rPr>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amount of debt securities whose holders must consent to an amendment, supplement or waiver;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of or change the fixed maturity of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or waive the premium payable upon redemption or alter or waive the provisions with respect to the redemption of the debt securities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rate of or change the time for payment of interest on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under the indenture, release any security that may have been granted with respect to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debt security payable in currency other than that stated in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make any change in the subordination provisions that adversely affects the rights of any holder under those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change in the provisions of the indenture relating to waivers of past Defaults or the rights of holders of debt securities to receive payments of principal of or premium, if any, or interest on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redemption payment with respect to any debt security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in the indenture, release any guarantor from its obligations under its guarantee or the indenture or change any guarantee in any manner that would adversely affect the rights of holders; or </w:t>
      </w:r>
    </w:p>
    <w:p>
      <w:pPr>
        <w:pStyle w:val="TextBody"/>
        <w:jc w:val="center"/>
        <w:rPr>
          <w:sz w:val="20"/>
        </w:rPr>
      </w:pPr>
      <w:r>
        <w:rPr>
          <w:sz w:val="20"/>
        </w:rPr>
        <w:t>17</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107" w:name="page_ek1181_1_18"/>
      <w:bookmarkEnd w:id="107"/>
      <w:r>
        <w:rPr>
          <w:sz w:val="20"/>
        </w:rPr>
        <w:t></w:t>
      </w:r>
    </w:p>
    <w:p>
      <w:pPr>
        <w:pStyle w:val="ListContents"/>
        <w:numPr>
          <w:ilvl w:val="0"/>
          <w:numId w:val="0"/>
        </w:numPr>
        <w:spacing w:before="0" w:after="283"/>
        <w:ind w:left="1274" w:right="0" w:hanging="0"/>
        <w:rPr>
          <w:sz w:val="20"/>
        </w:rPr>
      </w:pPr>
      <w:r>
        <w:rPr>
          <w:sz w:val="20"/>
        </w:rPr>
        <w:t xml:space="preserve">make any change in the preceding amendment, supplement and waiver provisions (except to increase any percentage set forth therein). </w:t>
      </w:r>
    </w:p>
    <w:p>
      <w:pPr>
        <w:pStyle w:val="TextBody"/>
        <w:rPr/>
      </w:pPr>
      <w:r>
        <w:rPr/>
        <w:t>        </w:t>
      </w:r>
      <w:r>
        <w:rPr>
          <w:sz w:val="20"/>
        </w:rPr>
        <w:t xml:space="preserve">We may supplement or amend an indenture without the consent of any holders of the debt securities in certain circumstances,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establish the form of terms of any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cure any ambiguity, defect or inconsistency;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uncertificated notes in addition to or in place of certified notes;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assumption of an issuer's or guarantor's obligations to holders of debt securities in the case of a merger or consolidation or disposition of all or substantially all of such issuer's or guarantor's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to make any change in the subordination provisions that limits or terminates the benefits applicable to any holder of Senior Indebtedness of Plains All American Pipeline;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or release guarantors pursuant to the terms of the indenture;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make any changes that would provide any additional rights or benefits to the holders of debt securities or that do not, taken as a whole, adversely affect the rights under the indenture of any holder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requirements of the SEC in order to effect or maintain the qualification of the Indenture under the Trust Indenture Act;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evidence or provide for the acceptance of appointment under the indenture of a successor Trustee;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any additional Events of Default;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secure the debt securities and/or the guarantees. </w:t>
      </w:r>
    </w:p>
    <w:p>
      <w:pPr>
        <w:pStyle w:val="TextBody"/>
        <w:rPr>
          <w:b/>
          <w:sz w:val="20"/>
        </w:rPr>
      </w:pPr>
      <w:r>
        <w:rPr>
          <w:b/>
          <w:sz w:val="20"/>
        </w:rPr>
        <w:t xml:space="preserve">Events of Default and Remedies </w:t>
      </w:r>
    </w:p>
    <w:p>
      <w:pPr>
        <w:pStyle w:val="TextBody"/>
        <w:rPr/>
      </w:pPr>
      <w:r>
        <w:rPr/>
        <w:t>        </w:t>
      </w:r>
      <w:r>
        <w:rPr>
          <w:sz w:val="20"/>
        </w:rPr>
        <w:t xml:space="preserve">"Event of Default," when used in an indenture, will mean any of the following with respect to the debt securities of any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the principal of or any premium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within 60 days of the due date, interest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any sinking fund payment with respect to any debt securities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on the part of the issuers to comply with the covenant described under "Consolidation, Merger or Asset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perform any other covenant in the indenture that continues for 30 days after written notice is given to the issuers;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certain events of bankruptcy, insolvency or reorganization of an issuer;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Event of Default provided under the terms of the debt securities of that series. </w:t>
      </w:r>
    </w:p>
    <w:p>
      <w:pPr>
        <w:pStyle w:val="TextBody"/>
        <w:rPr/>
      </w:pPr>
      <w:r>
        <w:rPr/>
      </w:r>
    </w:p>
    <w:p>
      <w:pPr>
        <w:pStyle w:val="TextBody"/>
        <w:rPr/>
      </w:pPr>
      <w:r>
        <w:rPr/>
        <w:t>        </w:t>
      </w:r>
      <w:r>
        <w:rPr>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w:t>
      </w:r>
    </w:p>
    <w:p>
      <w:pPr>
        <w:pStyle w:val="TextBody"/>
        <w:jc w:val="center"/>
        <w:rPr>
          <w:sz w:val="20"/>
        </w:rPr>
      </w:pPr>
      <w:r>
        <w:rPr>
          <w:sz w:val="20"/>
        </w:rPr>
        <w:t>18</w:t>
      </w:r>
    </w:p>
    <w:p>
      <w:pPr>
        <w:pStyle w:val="HorizontalLine"/>
        <w:pBdr>
          <w:bottom w:val="single" w:sz="20" w:space="0" w:color="808080"/>
        </w:pBdr>
        <w:rPr/>
      </w:pPr>
      <w:r>
        <w:rPr/>
      </w:r>
      <w:r>
        <w:br w:type="page"/>
      </w:r>
    </w:p>
    <w:p>
      <w:pPr>
        <w:pStyle w:val="TextBody"/>
        <w:rPr>
          <w:sz w:val="20"/>
        </w:rPr>
      </w:pPr>
      <w:bookmarkStart w:id="108" w:name="page_ek1181_1_19"/>
      <w:bookmarkEnd w:id="108"/>
      <w:r>
        <w:rPr>
          <w:sz w:val="20"/>
        </w:rPr>
        <w:t xml:space="preserve">premium, if any, or interest) if it considers such withholding of notice to be in the best interests of the holders. </w:t>
      </w:r>
    </w:p>
    <w:p>
      <w:pPr>
        <w:pStyle w:val="TextBody"/>
        <w:rPr/>
      </w:pPr>
      <w:r>
        <w:rPr/>
        <w:t>        </w:t>
      </w:r>
      <w:r>
        <w:rPr>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rPr/>
      </w:pPr>
      <w:r>
        <w:rPr/>
        <w:t>        </w:t>
      </w:r>
      <w:r>
        <w:rPr>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rPr>
          <w:b/>
          <w:sz w:val="20"/>
        </w:rPr>
      </w:pPr>
      <w:r>
        <w:rPr>
          <w:b/>
          <w:sz w:val="20"/>
        </w:rPr>
        <w:t xml:space="preserve">No Limit on Amount of Debt Securities </w:t>
      </w:r>
    </w:p>
    <w:p>
      <w:pPr>
        <w:pStyle w:val="TextBody"/>
        <w:rPr/>
      </w:pPr>
      <w:r>
        <w:rPr/>
        <w:t>        </w:t>
      </w:r>
      <w:r>
        <w:rPr>
          <w:sz w:val="20"/>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rPr>
          <w:b/>
          <w:sz w:val="20"/>
        </w:rPr>
      </w:pPr>
      <w:r>
        <w:rPr>
          <w:b/>
          <w:sz w:val="20"/>
        </w:rPr>
        <w:t xml:space="preserve">Registration of Notes </w:t>
      </w:r>
    </w:p>
    <w:p>
      <w:pPr>
        <w:pStyle w:val="TextBody"/>
        <w:rPr/>
      </w:pPr>
      <w:r>
        <w:rPr/>
        <w:t>        </w:t>
      </w:r>
      <w:r>
        <w:rPr>
          <w:sz w:val="20"/>
        </w:rPr>
        <w:t xml:space="preserve">We will issue debt securities of a series only in registered form, without coupons, unless otherwise indicated in the prospectus supplement. </w:t>
      </w:r>
    </w:p>
    <w:p>
      <w:pPr>
        <w:pStyle w:val="TextBody"/>
        <w:rPr>
          <w:b/>
          <w:sz w:val="20"/>
        </w:rPr>
      </w:pPr>
      <w:r>
        <w:rPr>
          <w:b/>
          <w:sz w:val="20"/>
        </w:rPr>
        <w:t xml:space="preserve">Minimum Denominations </w:t>
      </w:r>
    </w:p>
    <w:p>
      <w:pPr>
        <w:pStyle w:val="TextBody"/>
        <w:rPr/>
      </w:pPr>
      <w:r>
        <w:rPr/>
        <w:t>        </w:t>
      </w:r>
      <w:r>
        <w:rPr>
          <w:sz w:val="20"/>
        </w:rPr>
        <w:t xml:space="preserve">Unless the prospectus supplement states otherwise, the debt securities will be issued only in principal amounts of $1,000 each or integral multiples of $1,000. </w:t>
      </w:r>
    </w:p>
    <w:p>
      <w:pPr>
        <w:pStyle w:val="TextBody"/>
        <w:rPr>
          <w:b/>
          <w:sz w:val="20"/>
        </w:rPr>
      </w:pPr>
      <w:r>
        <w:rPr>
          <w:b/>
          <w:sz w:val="20"/>
        </w:rPr>
        <w:t xml:space="preserve">No Personal Liability </w:t>
      </w:r>
    </w:p>
    <w:p>
      <w:pPr>
        <w:pStyle w:val="TextBody"/>
        <w:rPr/>
      </w:pPr>
      <w:r>
        <w:rPr/>
        <w:t>        </w:t>
      </w:r>
      <w:r>
        <w:rPr>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rPr>
          <w:b/>
          <w:sz w:val="20"/>
        </w:rPr>
      </w:pPr>
      <w:r>
        <w:rPr>
          <w:b/>
          <w:sz w:val="20"/>
        </w:rPr>
        <w:t xml:space="preserve">Payment and Transfer </w:t>
      </w:r>
    </w:p>
    <w:p>
      <w:pPr>
        <w:pStyle w:val="TextBody"/>
        <w:rPr/>
      </w:pPr>
      <w:r>
        <w:rPr/>
        <w:t>        </w:t>
      </w:r>
      <w:r>
        <w:rPr>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rPr/>
      </w:pPr>
      <w:r>
        <w:rPr/>
        <w:t>        </w:t>
      </w:r>
      <w:r>
        <w:rPr>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jc w:val="center"/>
        <w:rPr>
          <w:sz w:val="20"/>
        </w:rPr>
      </w:pPr>
      <w:r>
        <w:rPr>
          <w:sz w:val="20"/>
        </w:rPr>
        <w:t>19</w:t>
      </w:r>
    </w:p>
    <w:p>
      <w:pPr>
        <w:pStyle w:val="HorizontalLine"/>
        <w:pBdr>
          <w:bottom w:val="single" w:sz="20" w:space="0" w:color="808080"/>
        </w:pBdr>
        <w:rPr/>
      </w:pPr>
      <w:r>
        <w:rPr/>
      </w:r>
      <w:r>
        <w:br w:type="page"/>
      </w:r>
    </w:p>
    <w:p>
      <w:pPr>
        <w:pStyle w:val="TextBody"/>
        <w:rPr/>
      </w:pPr>
      <w:r>
        <w:rPr/>
      </w:r>
      <w:bookmarkStart w:id="109" w:name="page_ek1181_1_20"/>
      <w:bookmarkStart w:id="110" w:name="page_ek1181_1_20"/>
      <w:bookmarkEnd w:id="110"/>
    </w:p>
    <w:p>
      <w:pPr>
        <w:pStyle w:val="TextBody"/>
        <w:rPr/>
      </w:pPr>
      <w:r>
        <w:rPr/>
        <w:t>        </w:t>
      </w:r>
      <w:r>
        <w:rPr>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rPr>
          <w:b/>
          <w:sz w:val="20"/>
        </w:rPr>
      </w:pPr>
      <w:r>
        <w:rPr>
          <w:b/>
          <w:sz w:val="20"/>
        </w:rPr>
        <w:t xml:space="preserve">Exchange, Registration and Transfer </w:t>
      </w:r>
    </w:p>
    <w:p>
      <w:pPr>
        <w:pStyle w:val="TextBody"/>
        <w:rPr/>
      </w:pPr>
      <w:r>
        <w:rPr/>
        <w:t>        </w:t>
      </w:r>
      <w:r>
        <w:rPr>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rPr/>
      </w:pPr>
      <w:r>
        <w:rPr/>
        <w:t>        </w:t>
      </w:r>
      <w:r>
        <w:rPr>
          <w:sz w:val="20"/>
        </w:rPr>
        <w:t xml:space="preserve">We will not be required: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register the transfer of or exchange any debt security called for redemption or repurchase, except the unredeemed portion of any debt security we are redeeming or repurchasing in part. </w:t>
      </w:r>
    </w:p>
    <w:p>
      <w:pPr>
        <w:pStyle w:val="TextBody"/>
        <w:rPr>
          <w:b/>
          <w:sz w:val="20"/>
        </w:rPr>
      </w:pPr>
      <w:r>
        <w:rPr>
          <w:b/>
          <w:sz w:val="20"/>
        </w:rPr>
        <w:t xml:space="preserve">Provisions Relating only to the Senior Debt Securities </w:t>
      </w:r>
    </w:p>
    <w:p>
      <w:pPr>
        <w:pStyle w:val="TextBody"/>
        <w:rPr/>
      </w:pPr>
      <w:r>
        <w:rPr/>
        <w:t>        </w:t>
      </w:r>
      <w:r>
        <w:rPr>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rPr>
          <w:b/>
          <w:sz w:val="20"/>
        </w:rPr>
      </w:pPr>
      <w:r>
        <w:rPr>
          <w:b/>
          <w:sz w:val="20"/>
        </w:rPr>
        <w:t xml:space="preserve">Provisions Relating only to the Subordinated Debt Securities </w:t>
      </w:r>
    </w:p>
    <w:p>
      <w:pPr>
        <w:pStyle w:val="TextBody"/>
        <w:numPr>
          <w:ilvl w:val="0"/>
          <w:numId w:val="0"/>
        </w:numPr>
        <w:ind w:left="707" w:hanging="0"/>
        <w:rPr>
          <w:i/>
          <w:sz w:val="20"/>
        </w:rPr>
      </w:pPr>
      <w:r>
        <w:rPr>
          <w:i/>
          <w:sz w:val="20"/>
        </w:rPr>
        <w:t xml:space="preserve">Subordinated Debt Securities Subordinated to Senior Indebtedness </w:t>
      </w:r>
    </w:p>
    <w:p>
      <w:pPr>
        <w:pStyle w:val="TextBody"/>
        <w:rPr/>
      </w:pPr>
      <w:r>
        <w:rPr/>
        <w:t>        </w:t>
      </w:r>
      <w:r>
        <w:rPr>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numPr>
          <w:ilvl w:val="0"/>
          <w:numId w:val="0"/>
        </w:numPr>
        <w:ind w:left="707" w:hanging="0"/>
        <w:rPr>
          <w:i/>
          <w:sz w:val="20"/>
        </w:rPr>
      </w:pPr>
      <w:r>
        <w:rPr>
          <w:i/>
          <w:sz w:val="20"/>
        </w:rPr>
        <w:t xml:space="preserve">Payment Blockages </w:t>
      </w:r>
    </w:p>
    <w:p>
      <w:pPr>
        <w:pStyle w:val="TextBody"/>
        <w:rPr/>
      </w:pPr>
      <w:r>
        <w:rPr/>
        <w:t>        </w:t>
      </w:r>
      <w:r>
        <w:rPr>
          <w:sz w:val="20"/>
        </w:rPr>
        <w:t xml:space="preserve">The subordinated indenture will provide that no payment of principal, interest and any premium on the subordinated debt securities may be made in the event: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or our property is involved in any voluntary or involuntary liquidation or bankruptcy;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p>
      <w:pPr>
        <w:pStyle w:val="TextBody"/>
        <w:jc w:val="center"/>
        <w:rPr>
          <w:sz w:val="20"/>
        </w:rPr>
      </w:pPr>
      <w:r>
        <w:rPr>
          <w:sz w:val="20"/>
        </w:rPr>
        <w:t>20</w:t>
      </w:r>
    </w:p>
    <w:p>
      <w:pPr>
        <w:pStyle w:val="HorizontalLine"/>
        <w:pBdr>
          <w:bottom w:val="single" w:sz="20" w:space="0" w:color="808080"/>
        </w:pBdr>
        <w:rPr/>
      </w:pPr>
      <w:r>
        <w:rPr/>
      </w:r>
      <w:r>
        <w:br w:type="page"/>
      </w:r>
    </w:p>
    <w:p>
      <w:pPr>
        <w:pStyle w:val="TextBody"/>
        <w:numPr>
          <w:ilvl w:val="0"/>
          <w:numId w:val="0"/>
        </w:numPr>
        <w:ind w:left="707" w:hanging="0"/>
        <w:rPr>
          <w:i/>
          <w:sz w:val="20"/>
        </w:rPr>
      </w:pPr>
      <w:bookmarkStart w:id="111" w:name="page_ek1181_1_21"/>
      <w:bookmarkEnd w:id="111"/>
      <w:r>
        <w:rPr>
          <w:i/>
          <w:sz w:val="20"/>
        </w:rPr>
        <w:t xml:space="preserve">No Limitation on Amount of Senior Debt </w:t>
      </w:r>
    </w:p>
    <w:p>
      <w:pPr>
        <w:pStyle w:val="TextBody"/>
        <w:rPr/>
      </w:pPr>
      <w:r>
        <w:rPr/>
        <w:t>        </w:t>
      </w:r>
      <w:r>
        <w:rPr>
          <w:sz w:val="20"/>
        </w:rPr>
        <w:t xml:space="preserve">The subordinated indenture will not limit the amount of Senior Indebtedness that Plains All American Pipeline may incur, unless otherwise indicated in the prospectus supplement. </w:t>
      </w:r>
    </w:p>
    <w:p>
      <w:pPr>
        <w:pStyle w:val="TextBody"/>
        <w:rPr>
          <w:b/>
          <w:sz w:val="20"/>
        </w:rPr>
      </w:pPr>
      <w:r>
        <w:rPr>
          <w:b/>
          <w:sz w:val="20"/>
        </w:rPr>
        <w:t xml:space="preserve">Book Entry, Delivery and Form </w:t>
      </w:r>
    </w:p>
    <w:p>
      <w:pPr>
        <w:pStyle w:val="TextBody"/>
        <w:rPr/>
      </w:pPr>
      <w:r>
        <w:rPr/>
        <w:t>        </w:t>
      </w:r>
      <w:r>
        <w:rPr>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rPr/>
      </w:pPr>
      <w:r>
        <w:rPr/>
        <w:t>        </w:t>
      </w:r>
      <w:r>
        <w:rPr>
          <w:sz w:val="20"/>
        </w:rPr>
        <w:t xml:space="preserve">Beneficial interests in global debt securities will be shown on, and transfers of global debt securities will be made only through, records maintained by DTC and its participants. </w:t>
      </w:r>
    </w:p>
    <w:p>
      <w:pPr>
        <w:pStyle w:val="TextBody"/>
        <w:rPr/>
      </w:pPr>
      <w:r>
        <w:rPr/>
        <w:t>        </w:t>
      </w:r>
      <w:r>
        <w:rPr>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rPr/>
      </w:pPr>
      <w:r>
        <w:rPr/>
        <w:t>        </w:t>
      </w:r>
      <w:r>
        <w:rPr>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rPr/>
      </w:pPr>
      <w:r>
        <w:rPr/>
        <w:t>        </w:t>
      </w:r>
      <w:r>
        <w:rPr>
          <w:sz w:val="20"/>
        </w:rPr>
        <w:t xml:space="preserve">DTC is owned by a number of its Direct Participants and by the New York Stock Exchange, Inc., The American Stock Exchange, Inc. and the National Association of Securities Dealers, Inc. </w:t>
      </w:r>
    </w:p>
    <w:p>
      <w:pPr>
        <w:pStyle w:val="TextBody"/>
        <w:rPr/>
      </w:pPr>
      <w:r>
        <w:rPr/>
        <w:t>        </w:t>
      </w:r>
      <w:r>
        <w:rPr>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rPr/>
      </w:pPr>
      <w:r>
        <w:rPr/>
        <w:t>        </w:t>
      </w:r>
      <w:r>
        <w:rPr>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jc w:val="center"/>
        <w:rPr>
          <w:sz w:val="20"/>
        </w:rPr>
      </w:pPr>
      <w:r>
        <w:rPr>
          <w:sz w:val="20"/>
        </w:rPr>
        <w:t>21</w:t>
      </w:r>
    </w:p>
    <w:p>
      <w:pPr>
        <w:pStyle w:val="HorizontalLine"/>
        <w:pBdr>
          <w:bottom w:val="single" w:sz="20" w:space="0" w:color="808080"/>
        </w:pBdr>
        <w:rPr/>
      </w:pPr>
      <w:r>
        <w:rPr/>
      </w:r>
      <w:r>
        <w:br w:type="page"/>
      </w:r>
    </w:p>
    <w:p>
      <w:pPr>
        <w:pStyle w:val="TextBody"/>
        <w:rPr/>
      </w:pPr>
      <w:r>
        <w:rPr/>
      </w:r>
      <w:bookmarkStart w:id="112" w:name="page_ek1181_1_22"/>
      <w:bookmarkStart w:id="113" w:name="page_ek1181_1_22"/>
      <w:bookmarkEnd w:id="113"/>
    </w:p>
    <w:p>
      <w:pPr>
        <w:pStyle w:val="TextBody"/>
        <w:rPr/>
      </w:pPr>
      <w:r>
        <w:rPr/>
        <w:t>        </w:t>
      </w:r>
      <w:r>
        <w:rPr>
          <w:sz w:val="20"/>
        </w:rPr>
        <w:t xml:space="preserve">Debt securities represented by a global debt security will be exchangeable for certificated debt securities with the same terms in authorized denominations only if: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DTC notifies us that it is unwilling or unable to continue as depositary or if DTC ceases to be a clearing agency registered under applicable law and in either event a successor depositary is not appointed by us within 90 days;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determine not to require all of the debt securities of a series to be represented by a global debt security. </w:t>
      </w:r>
    </w:p>
    <w:p>
      <w:pPr>
        <w:pStyle w:val="TextBody"/>
        <w:rPr>
          <w:b/>
          <w:sz w:val="20"/>
        </w:rPr>
      </w:pPr>
      <w:r>
        <w:rPr>
          <w:b/>
          <w:sz w:val="20"/>
        </w:rPr>
        <w:t xml:space="preserve">Satisfaction and Discharge; Defeasance </w:t>
      </w:r>
    </w:p>
    <w:p>
      <w:pPr>
        <w:pStyle w:val="TextBody"/>
        <w:rPr/>
      </w:pPr>
      <w:r>
        <w:rPr/>
        <w:t>        </w:t>
      </w:r>
      <w:r>
        <w:rPr>
          <w:sz w:val="20"/>
        </w:rPr>
        <w:t xml:space="preserve">Each indenture will be discharged and will cease to be of further effect as to all outstanding debt securities of any series issued thereunder, when: </w:t>
      </w:r>
    </w:p>
    <w:p>
      <w:pPr>
        <w:pStyle w:val="TextBody"/>
        <w:numPr>
          <w:ilvl w:val="0"/>
          <w:numId w:val="0"/>
        </w:numPr>
        <w:ind w:left="707" w:hanging="0"/>
        <w:rPr/>
      </w:pPr>
      <w:r>
        <w:rPr/>
        <w:t>        </w:t>
      </w:r>
      <w:r>
        <w:rPr>
          <w:sz w:val="20"/>
        </w:rPr>
        <w:t xml:space="preserve">(a)   either: </w:t>
      </w:r>
    </w:p>
    <w:p>
      <w:pPr>
        <w:pStyle w:val="TextBody"/>
        <w:numPr>
          <w:ilvl w:val="0"/>
          <w:numId w:val="0"/>
        </w:numPr>
        <w:ind w:left="1414" w:hanging="0"/>
        <w:rPr/>
      </w:pPr>
      <w:r>
        <w:rPr/>
        <w:t>        </w:t>
      </w:r>
      <w:r>
        <w:rPr>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numPr>
          <w:ilvl w:val="0"/>
          <w:numId w:val="0"/>
        </w:numPr>
        <w:ind w:left="1414" w:hanging="0"/>
        <w:rPr/>
      </w:pPr>
      <w:r>
        <w:rPr/>
        <w:t>        </w:t>
      </w:r>
      <w:r>
        <w:rPr>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numPr>
          <w:ilvl w:val="0"/>
          <w:numId w:val="0"/>
        </w:numPr>
        <w:ind w:left="707" w:hanging="0"/>
        <w:rPr/>
      </w:pPr>
      <w:r>
        <w:rPr/>
        <w:t>        </w:t>
      </w:r>
      <w:r>
        <w:rPr>
          <w:sz w:val="20"/>
        </w:rPr>
        <w:t xml:space="preserve">(b)   we have paid or caused to be paid all other sums payable by us under the indenture; and </w:t>
      </w:r>
    </w:p>
    <w:p>
      <w:pPr>
        <w:pStyle w:val="TextBody"/>
        <w:numPr>
          <w:ilvl w:val="0"/>
          <w:numId w:val="0"/>
        </w:numPr>
        <w:ind w:left="707" w:hanging="0"/>
        <w:rPr/>
      </w:pPr>
      <w:r>
        <w:rPr/>
        <w:t>        </w:t>
      </w:r>
      <w:r>
        <w:rPr>
          <w:sz w:val="20"/>
        </w:rPr>
        <w:t xml:space="preserve">(c)   we have delivered an officers' certificate and an opinion of counsel to the Trustee stating that all conditions precedent to satisfaction and discharge have been satisfied. </w:t>
      </w:r>
    </w:p>
    <w:p>
      <w:pPr>
        <w:pStyle w:val="TextBody"/>
        <w:rPr/>
      </w:pPr>
      <w:r>
        <w:rPr/>
        <w:t>        </w:t>
      </w:r>
      <w:r>
        <w:rPr>
          <w:sz w:val="20"/>
        </w:rPr>
        <w:t xml:space="preserve">The debt securities of a particular series will be subject to legal or covenant defeasance to the extent, and upon the terms and conditions, set forth in the prospectus supplement. </w:t>
      </w:r>
    </w:p>
    <w:p>
      <w:pPr>
        <w:pStyle w:val="TextBody"/>
        <w:rPr>
          <w:b/>
          <w:sz w:val="20"/>
        </w:rPr>
      </w:pPr>
      <w:r>
        <w:rPr>
          <w:b/>
          <w:sz w:val="20"/>
        </w:rPr>
        <w:t xml:space="preserve">The Trustee </w:t>
      </w:r>
    </w:p>
    <w:p>
      <w:pPr>
        <w:pStyle w:val="TextBody"/>
        <w:rPr/>
      </w:pPr>
      <w:r>
        <w:rPr/>
        <w:t>        </w:t>
      </w:r>
      <w:r>
        <w:rPr>
          <w:sz w:val="20"/>
        </w:rPr>
        <w:t xml:space="preserve">Wachovia Bank N.A. will be the initial Trustee under each indenture. We maintain a banking relation in the ordinary course of business with Wachovia Bank N.A. and some of its affiliates. </w:t>
      </w:r>
    </w:p>
    <w:p>
      <w:pPr>
        <w:pStyle w:val="TextBody"/>
        <w:numPr>
          <w:ilvl w:val="0"/>
          <w:numId w:val="0"/>
        </w:numPr>
        <w:ind w:left="707" w:hanging="0"/>
        <w:rPr>
          <w:i/>
          <w:sz w:val="20"/>
        </w:rPr>
      </w:pPr>
      <w:r>
        <w:rPr>
          <w:i/>
          <w:sz w:val="20"/>
        </w:rPr>
        <w:t xml:space="preserve">Limitations on Trustee if it is a Creditor </w:t>
      </w:r>
    </w:p>
    <w:p>
      <w:pPr>
        <w:pStyle w:val="TextBody"/>
        <w:rPr/>
      </w:pPr>
      <w:r>
        <w:rPr/>
        <w:t>        </w:t>
      </w:r>
      <w:r>
        <w:rPr>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numPr>
          <w:ilvl w:val="0"/>
          <w:numId w:val="0"/>
        </w:numPr>
        <w:ind w:left="707" w:hanging="0"/>
        <w:rPr>
          <w:i/>
          <w:sz w:val="20"/>
        </w:rPr>
      </w:pPr>
      <w:r>
        <w:rPr>
          <w:i/>
          <w:sz w:val="20"/>
        </w:rPr>
        <w:t xml:space="preserve">Certificates and Opinions to be Furnished to Trustee </w:t>
      </w:r>
    </w:p>
    <w:p>
      <w:pPr>
        <w:pStyle w:val="TextBody"/>
        <w:rPr/>
      </w:pPr>
      <w:r>
        <w:rPr/>
        <w:t>        </w:t>
      </w:r>
      <w:r>
        <w:rPr>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rPr>
          <w:b/>
          <w:sz w:val="20"/>
        </w:rPr>
      </w:pPr>
      <w:r>
        <w:rPr>
          <w:b/>
          <w:sz w:val="20"/>
        </w:rPr>
        <w:t xml:space="preserve">Governing Law </w:t>
      </w:r>
    </w:p>
    <w:p>
      <w:pPr>
        <w:pStyle w:val="TextBody"/>
        <w:rPr/>
      </w:pPr>
      <w:r>
        <w:rPr/>
        <w:t>        </w:t>
      </w:r>
      <w:r>
        <w:rPr>
          <w:sz w:val="20"/>
        </w:rPr>
        <w:t xml:space="preserve">Each indenture and all of the debt securities will be governed by the laws of the State of New York. </w:t>
      </w:r>
    </w:p>
    <w:p>
      <w:pPr>
        <w:pStyle w:val="TextBody"/>
        <w:jc w:val="center"/>
        <w:rPr>
          <w:sz w:val="20"/>
        </w:rPr>
      </w:pPr>
      <w:r>
        <w:rPr>
          <w:sz w:val="20"/>
        </w:rPr>
        <w:t>22</w:t>
      </w:r>
    </w:p>
    <w:p>
      <w:pPr>
        <w:pStyle w:val="HorizontalLine"/>
        <w:pBdr>
          <w:bottom w:val="single" w:sz="20" w:space="0" w:color="808080"/>
        </w:pBdr>
        <w:rPr/>
      </w:pPr>
      <w:r>
        <w:rPr/>
      </w:r>
      <w:r>
        <w:br w:type="page"/>
      </w:r>
    </w:p>
    <w:p>
      <w:pPr>
        <w:pStyle w:val="TextBody"/>
        <w:jc w:val="center"/>
        <w:rPr/>
      </w:pPr>
      <w:bookmarkStart w:id="114" w:name="toc_em1181_1"/>
      <w:bookmarkStart w:id="115" w:name="em1181_description_of_our_common_units"/>
      <w:bookmarkStart w:id="116" w:name="page_em1181_1_23"/>
      <w:bookmarkEnd w:id="114"/>
      <w:bookmarkEnd w:id="115"/>
      <w:bookmarkEnd w:id="116"/>
      <w:r>
        <w:rPr>
          <w:sz w:val="20"/>
        </w:rPr>
        <w:br/>
      </w:r>
      <w:r>
        <w:rPr>
          <w:b/>
          <w:sz w:val="20"/>
        </w:rPr>
        <w:t xml:space="preserve">DESCRIPTION OF OUR COMMON UNITS </w:t>
      </w:r>
    </w:p>
    <w:p>
      <w:pPr>
        <w:pStyle w:val="TextBody"/>
        <w:rPr/>
      </w:pPr>
      <w:r>
        <w:rPr/>
        <w:t>        </w:t>
      </w:r>
      <w:r>
        <w:rPr>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rPr/>
      </w:pPr>
      <w:r>
        <w:rPr/>
        <w:t>        </w:t>
      </w:r>
      <w:r>
        <w:rPr>
          <w:sz w:val="20"/>
        </w:rPr>
        <w:t xml:space="preserve">Our outstanding common units are listed on the NYSE under the symbol "PAA." Any additional common units we issue will also be listed on the NYSE. </w:t>
      </w:r>
    </w:p>
    <w:p>
      <w:pPr>
        <w:pStyle w:val="TextBody"/>
        <w:rPr/>
      </w:pPr>
      <w:r>
        <w:rPr/>
        <w:t>        </w:t>
      </w:r>
      <w:r>
        <w:rPr>
          <w:sz w:val="20"/>
        </w:rPr>
        <w:t xml:space="preserve">The transfer agent and registrar for our common units is American Stock Transfer &amp; Trust Company. </w:t>
      </w:r>
    </w:p>
    <w:p>
      <w:pPr>
        <w:pStyle w:val="TextBody"/>
        <w:rPr>
          <w:b/>
          <w:sz w:val="20"/>
        </w:rPr>
      </w:pPr>
      <w:r>
        <w:rPr>
          <w:b/>
          <w:sz w:val="20"/>
        </w:rPr>
        <w:t xml:space="preserve">Meetings/Voting </w:t>
      </w:r>
    </w:p>
    <w:p>
      <w:pPr>
        <w:pStyle w:val="TextBody"/>
        <w:rPr/>
      </w:pPr>
      <w:r>
        <w:rPr/>
        <w:t>        </w:t>
      </w:r>
      <w:r>
        <w:rPr>
          <w:sz w:val="20"/>
        </w:rPr>
        <w:t xml:space="preserve">Each holder of common units is entitled to one vote for each common unit on all matters submitted to a vote of the unitholders. </w:t>
      </w:r>
    </w:p>
    <w:p>
      <w:pPr>
        <w:pStyle w:val="TextBody"/>
        <w:rPr>
          <w:b/>
          <w:sz w:val="20"/>
        </w:rPr>
      </w:pPr>
      <w:r>
        <w:rPr>
          <w:b/>
          <w:sz w:val="20"/>
        </w:rPr>
        <w:t xml:space="preserve">Status as Limited Partner or Assignee </w:t>
      </w:r>
    </w:p>
    <w:p>
      <w:pPr>
        <w:pStyle w:val="TextBody"/>
        <w:rPr/>
      </w:pPr>
      <w:r>
        <w:rPr/>
        <w:t>        </w:t>
      </w:r>
      <w:r>
        <w:rPr>
          <w:sz w:val="20"/>
        </w:rPr>
        <w:t xml:space="preserve">Except as described below under "Limited Liability," the common units will be fully paid, and unitholders will not be required to make additional capital contributions to us. </w:t>
      </w:r>
    </w:p>
    <w:p>
      <w:pPr>
        <w:pStyle w:val="TextBody"/>
        <w:rPr/>
      </w:pPr>
      <w:r>
        <w:rPr/>
        <w:t>        </w:t>
      </w:r>
      <w:r>
        <w:rPr>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rPr/>
      </w:pPr>
      <w:r>
        <w:rPr/>
        <w:t>        </w:t>
      </w:r>
      <w:r>
        <w:rPr>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rPr>
          <w:b/>
          <w:sz w:val="20"/>
        </w:rPr>
      </w:pPr>
      <w:r>
        <w:rPr>
          <w:b/>
          <w:sz w:val="20"/>
        </w:rPr>
        <w:t xml:space="preserve">Limited Liability </w:t>
      </w:r>
    </w:p>
    <w:p>
      <w:pPr>
        <w:pStyle w:val="TextBody"/>
        <w:rPr/>
      </w:pPr>
      <w:r>
        <w:rPr/>
        <w:t>        </w:t>
      </w:r>
      <w:r>
        <w:rPr>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rPr/>
      </w:pPr>
      <w:r>
        <w:rPr/>
        <w:t>        </w:t>
      </w:r>
      <w:r>
        <w:rPr>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w:t>
      </w:r>
    </w:p>
    <w:p>
      <w:pPr>
        <w:pStyle w:val="TextBody"/>
        <w:jc w:val="center"/>
        <w:rPr>
          <w:sz w:val="20"/>
        </w:rPr>
      </w:pPr>
      <w:r>
        <w:rPr>
          <w:sz w:val="20"/>
        </w:rPr>
        <w:t>23</w:t>
      </w:r>
    </w:p>
    <w:p>
      <w:pPr>
        <w:pStyle w:val="HorizontalLine"/>
        <w:pBdr>
          <w:bottom w:val="single" w:sz="20" w:space="0" w:color="808080"/>
        </w:pBdr>
        <w:rPr/>
      </w:pPr>
      <w:r>
        <w:rPr/>
      </w:r>
      <w:r>
        <w:br w:type="page"/>
      </w:r>
    </w:p>
    <w:p>
      <w:pPr>
        <w:pStyle w:val="TextBody"/>
        <w:rPr/>
      </w:pPr>
      <w:r>
        <w:rPr/>
      </w:r>
      <w:bookmarkStart w:id="117" w:name="page_em1181_1_24"/>
      <w:bookmarkStart w:id="118" w:name="page_em1181_1_24"/>
      <w:bookmarkEnd w:id="118"/>
    </w:p>
    <w:p>
      <w:pPr>
        <w:pStyle w:val="TextBody"/>
        <w:rPr>
          <w:sz w:val="20"/>
        </w:rPr>
      </w:pPr>
      <w:r>
        <w:rPr>
          <w:sz w:val="20"/>
        </w:rPr>
        <w:t xml:space="preserve">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rPr>
          <w:b/>
          <w:sz w:val="20"/>
        </w:rPr>
      </w:pPr>
      <w:r>
        <w:rPr>
          <w:b/>
          <w:sz w:val="20"/>
        </w:rPr>
        <w:t xml:space="preserve">Reports and Records </w:t>
      </w:r>
    </w:p>
    <w:p>
      <w:pPr>
        <w:pStyle w:val="TextBody"/>
        <w:rPr/>
      </w:pPr>
      <w:r>
        <w:rPr/>
        <w:t>        </w:t>
      </w:r>
      <w:r>
        <w:rPr>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rPr/>
      </w:pPr>
      <w:r>
        <w:rPr/>
        <w:t>        </w:t>
      </w:r>
      <w:r>
        <w:rPr>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rPr/>
      </w:pPr>
      <w:r>
        <w:rPr/>
        <w:t>        </w:t>
      </w:r>
      <w:r>
        <w:rPr>
          <w:sz w:val="20"/>
        </w:rPr>
        <w:t xml:space="preserve">A limited partner can, for a purpose reasonably related to the limited partner's interest as a limited partner, upon reasonable demand and at his own expense, have furnished to him: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current list of the name and last known address of each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copy of our tax returns;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copies of our partnership agreement, our certificate of limited partnership, amendments to either of them and powers of attorney which have been executed under our partnership agreement;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regarding the status of our business and financial condition;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information regarding our affairs as is just and reasonable. </w:t>
      </w:r>
    </w:p>
    <w:p>
      <w:pPr>
        <w:pStyle w:val="TextBody"/>
        <w:rPr/>
      </w:pPr>
      <w:r>
        <w:rPr/>
      </w:r>
    </w:p>
    <w:p>
      <w:pPr>
        <w:pStyle w:val="TextBody"/>
        <w:rPr/>
      </w:pPr>
      <w:r>
        <w:rPr/>
        <w:t>        </w:t>
      </w:r>
      <w:r>
        <w:rPr>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jc w:val="center"/>
        <w:rPr>
          <w:sz w:val="20"/>
        </w:rPr>
      </w:pPr>
      <w:r>
        <w:rPr>
          <w:sz w:val="20"/>
        </w:rPr>
        <w:t>24</w:t>
      </w:r>
    </w:p>
    <w:p>
      <w:pPr>
        <w:pStyle w:val="HorizontalLine"/>
        <w:pBdr>
          <w:bottom w:val="single" w:sz="20" w:space="0" w:color="808080"/>
        </w:pBdr>
        <w:rPr/>
      </w:pPr>
      <w:r>
        <w:rPr/>
      </w:r>
      <w:r>
        <w:br w:type="page"/>
      </w:r>
    </w:p>
    <w:p>
      <w:pPr>
        <w:pStyle w:val="TextBody"/>
        <w:jc w:val="center"/>
        <w:rPr/>
      </w:pPr>
      <w:bookmarkStart w:id="119" w:name="toc_em1181_2"/>
      <w:bookmarkStart w:id="120" w:name="em1181_cash_distribution_policy"/>
      <w:bookmarkStart w:id="121" w:name="page_em1181_1_25"/>
      <w:bookmarkEnd w:id="119"/>
      <w:bookmarkEnd w:id="120"/>
      <w:bookmarkEnd w:id="121"/>
      <w:r>
        <w:rPr>
          <w:sz w:val="20"/>
        </w:rPr>
        <w:br/>
      </w:r>
      <w:r>
        <w:rPr>
          <w:b/>
          <w:sz w:val="20"/>
        </w:rPr>
        <w:t xml:space="preserve">CASH DISTRIBUTION POLICY </w:t>
      </w:r>
    </w:p>
    <w:p>
      <w:pPr>
        <w:pStyle w:val="TextBody"/>
        <w:rPr>
          <w:b/>
          <w:sz w:val="20"/>
        </w:rPr>
      </w:pPr>
      <w:r>
        <w:rPr>
          <w:b/>
          <w:sz w:val="20"/>
        </w:rPr>
        <w:t xml:space="preserve">Distributions of Available Cash </w:t>
      </w:r>
    </w:p>
    <w:p>
      <w:pPr>
        <w:pStyle w:val="TextBody"/>
        <w:rPr/>
      </w:pPr>
      <w:r>
        <w:rPr/>
        <w:t>        </w:t>
      </w:r>
      <w:r>
        <w:rPr>
          <w:i/>
          <w:sz w:val="20"/>
        </w:rPr>
        <w:t>General.</w:t>
      </w:r>
      <w:r>
        <w:rPr/>
        <w:t>    </w:t>
      </w:r>
      <w:r>
        <w:rPr>
          <w:sz w:val="20"/>
        </w:rPr>
        <w:t xml:space="preserve">We will distribute to our unitholders, on a quarterly basis, all of our available cash in the manner described below. </w:t>
      </w:r>
    </w:p>
    <w:p>
      <w:pPr>
        <w:pStyle w:val="TextBody"/>
        <w:rPr/>
      </w:pPr>
      <w:r>
        <w:rPr/>
        <w:t>        </w:t>
      </w:r>
      <w:r>
        <w:rPr>
          <w:i/>
          <w:sz w:val="20"/>
        </w:rPr>
        <w:t>Definition of Available Cash.</w:t>
      </w:r>
      <w:r>
        <w:rPr/>
        <w:t>    </w:t>
      </w:r>
      <w:r>
        <w:rPr>
          <w:sz w:val="20"/>
        </w:rPr>
        <w:t xml:space="preserve">Available cash generally means, for any quarter ending prior to liquidation, all cash on hand at the end of that quarter less the amount of cash reserves that are necessary or appropriate in the reasonable discretion of the general partner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for the proper conduct of our business;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comply with applicable law or any partnership debt instrument or other agreement;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funds for distributions to unitholders and the general partner in respect of any one or more of the next four quarters. </w:t>
      </w:r>
    </w:p>
    <w:p>
      <w:pPr>
        <w:pStyle w:val="TextBody"/>
        <w:rPr>
          <w:b/>
          <w:sz w:val="20"/>
        </w:rPr>
      </w:pPr>
      <w:r>
        <w:rPr>
          <w:b/>
          <w:sz w:val="20"/>
        </w:rPr>
        <w:t xml:space="preserve">Operating Surplus and Capital Surplus </w:t>
      </w:r>
    </w:p>
    <w:p>
      <w:pPr>
        <w:pStyle w:val="TextBody"/>
        <w:rPr/>
      </w:pPr>
      <w:r>
        <w:rPr/>
        <w:t>        </w:t>
      </w:r>
      <w:r>
        <w:rPr>
          <w:i/>
          <w:sz w:val="20"/>
        </w:rPr>
        <w:t>General.</w:t>
      </w:r>
      <w:r>
        <w:rPr/>
        <w:t>    </w:t>
      </w:r>
      <w:r>
        <w:rPr>
          <w:sz w:val="20"/>
        </w:rPr>
        <w:t xml:space="preserve">Cash distributions to our unitholders will be characterized as either operating surplus or capital surplus. We distribute available cash from operating surplus differently than available cash from capital surplus. See "Quarterly Distributions of Available Cash." </w:t>
      </w:r>
    </w:p>
    <w:p>
      <w:pPr>
        <w:pStyle w:val="TextBody"/>
        <w:rPr/>
      </w:pPr>
      <w:r>
        <w:rPr/>
        <w:t>        </w:t>
      </w:r>
      <w:r>
        <w:rPr>
          <w:i/>
          <w:sz w:val="20"/>
        </w:rPr>
        <w:t>Definition of Operating Surplus.</w:t>
      </w:r>
      <w:r>
        <w:rPr/>
        <w:t>    </w:t>
      </w:r>
      <w:r>
        <w:rPr>
          <w:sz w:val="20"/>
        </w:rPr>
        <w:t xml:space="preserve">Operating surplus refers generally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cash balances on the closing date of our initial public offering;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$25 million;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cash receipts from operations, excluding cash that is capital surplus; less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p>
      <w:pPr>
        <w:pStyle w:val="TextBody"/>
        <w:rPr/>
      </w:pPr>
      <w:r>
        <w:rPr/>
        <w:t>        </w:t>
      </w:r>
      <w:r>
        <w:rPr>
          <w:i/>
          <w:sz w:val="20"/>
        </w:rPr>
        <w:t>Definition of Capital Surplus.</w:t>
      </w:r>
      <w:r>
        <w:rPr/>
        <w:t>    </w:t>
      </w:r>
      <w:r>
        <w:rPr>
          <w:sz w:val="20"/>
        </w:rPr>
        <w:t xml:space="preserve">Capital surplus will generally be generated only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borrowings other than working capital borrowings;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of debt and equity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or other dispositions of assets for cash, other than inventory, accounts receivable and other assets in the ordinary course of business. </w:t>
      </w:r>
    </w:p>
    <w:p>
      <w:pPr>
        <w:pStyle w:val="TextBody"/>
        <w:rPr/>
      </w:pPr>
      <w:r>
        <w:rPr/>
        <w:t>        </w:t>
      </w:r>
      <w:r>
        <w:rPr>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rPr/>
      </w:pPr>
      <w:r>
        <w:rPr/>
        <w:t>        </w:t>
      </w:r>
      <w:r>
        <w:rPr>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rPr>
          <w:b/>
          <w:sz w:val="20"/>
        </w:rPr>
      </w:pPr>
      <w:r>
        <w:rPr>
          <w:b/>
          <w:sz w:val="20"/>
        </w:rPr>
        <w:t xml:space="preserve">Incentive Distribution Rights </w:t>
      </w:r>
    </w:p>
    <w:p>
      <w:pPr>
        <w:pStyle w:val="TextBody"/>
        <w:rPr/>
      </w:pPr>
      <w:r>
        <w:rPr/>
        <w:t>        </w:t>
      </w:r>
      <w:r>
        <w:rPr>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w:t>
      </w:r>
    </w:p>
    <w:p>
      <w:pPr>
        <w:pStyle w:val="TextBody"/>
        <w:jc w:val="center"/>
        <w:rPr>
          <w:sz w:val="20"/>
        </w:rPr>
      </w:pPr>
      <w:r>
        <w:rPr>
          <w:sz w:val="20"/>
        </w:rPr>
        <w:t>25</w:t>
      </w:r>
    </w:p>
    <w:p>
      <w:pPr>
        <w:pStyle w:val="HorizontalLine"/>
        <w:pBdr>
          <w:bottom w:val="single" w:sz="20" w:space="0" w:color="808080"/>
        </w:pBdr>
        <w:rPr/>
      </w:pPr>
      <w:r>
        <w:rPr/>
      </w:r>
      <w:r>
        <w:br w:type="page"/>
      </w:r>
    </w:p>
    <w:p>
      <w:pPr>
        <w:pStyle w:val="TextBody"/>
        <w:rPr/>
      </w:pPr>
      <w:r>
        <w:rPr/>
      </w:r>
      <w:bookmarkStart w:id="122" w:name="page_em1181_1_26"/>
      <w:bookmarkStart w:id="123" w:name="page_em1181_1_26"/>
      <w:bookmarkEnd w:id="123"/>
    </w:p>
    <w:p>
      <w:pPr>
        <w:pStyle w:val="TextBody"/>
        <w:rPr>
          <w:sz w:val="20"/>
        </w:rPr>
      </w:pPr>
      <w:r>
        <w:rPr>
          <w:sz w:val="20"/>
        </w:rPr>
        <w:t xml:space="preserve">amounts of available cash from operating surplus distributed above the payments made under the minimum quarterly distribution, if any, and the related 2% distribution to the general partner. </w:t>
      </w:r>
    </w:p>
    <w:p>
      <w:pPr>
        <w:pStyle w:val="TextBody"/>
        <w:rPr>
          <w:b/>
          <w:sz w:val="20"/>
        </w:rPr>
      </w:pPr>
      <w:r>
        <w:rPr>
          <w:b/>
          <w:sz w:val="20"/>
        </w:rPr>
        <w:t xml:space="preserve">Effect of Issuance of Additional Units </w:t>
      </w:r>
    </w:p>
    <w:p>
      <w:pPr>
        <w:pStyle w:val="TextBody"/>
        <w:rPr/>
      </w:pPr>
      <w:r>
        <w:rPr/>
        <w:t>        </w:t>
      </w:r>
      <w:r>
        <w:rPr>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rPr/>
      </w:pPr>
      <w:r>
        <w:rPr/>
        <w:t>        </w:t>
      </w:r>
      <w:r>
        <w:rPr>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rPr>
          <w:b/>
          <w:sz w:val="20"/>
        </w:rPr>
      </w:pPr>
      <w:r>
        <w:rPr>
          <w:b/>
          <w:sz w:val="20"/>
        </w:rPr>
        <w:t xml:space="preserve">Quarterly Distributions of Available Cash </w:t>
      </w:r>
    </w:p>
    <w:p>
      <w:pPr>
        <w:pStyle w:val="TextBody"/>
        <w:rPr/>
      </w:pPr>
      <w:r>
        <w:rPr/>
        <w:t>        </w:t>
      </w:r>
      <w:r>
        <w:rPr>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 </w:t>
      </w:r>
    </w:p>
    <w:p>
      <w:pPr>
        <w:pStyle w:val="TextBody"/>
        <w:rPr>
          <w:b/>
          <w:sz w:val="20"/>
        </w:rPr>
      </w:pPr>
      <w:r>
        <w:rPr>
          <w:b/>
          <w:sz w:val="20"/>
        </w:rPr>
        <w:t xml:space="preserve">Distributions From Operating Surplus </w:t>
      </w:r>
    </w:p>
    <w:p>
      <w:pPr>
        <w:pStyle w:val="TextBody"/>
        <w:rPr/>
      </w:pPr>
      <w:r>
        <w:rPr/>
        <w:t>        </w:t>
      </w:r>
      <w:r>
        <w:rPr>
          <w:sz w:val="20"/>
        </w:rPr>
        <w:t xml:space="preserve">We will make distributions of available cash from operating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unit an amount equal to the minimum quarterly distribution for that quarter;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in the manner described in "Incentive Distributions" below. </w:t>
      </w:r>
    </w:p>
    <w:p>
      <w:pPr>
        <w:pStyle w:val="TextBody"/>
        <w:rPr>
          <w:b/>
          <w:sz w:val="20"/>
        </w:rPr>
      </w:pPr>
      <w:r>
        <w:rPr>
          <w:b/>
          <w:sz w:val="20"/>
        </w:rPr>
        <w:t xml:space="preserve">Incentive Distribution Rights </w:t>
      </w:r>
    </w:p>
    <w:p>
      <w:pPr>
        <w:pStyle w:val="TextBody"/>
        <w:rPr/>
      </w:pPr>
      <w:r>
        <w:rPr/>
        <w:t>        </w:t>
      </w:r>
      <w:r>
        <w:rPr>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85% to all unitholders, pro rata, and 15% to the general partner, until each unitholder receives a total of $0.495 for that quarter for each outstanding unit (the "first target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Second, 75% to all unitholders, pro rata, and 25% to the general partner, until each unitholder receives a total of $0.675 for that quarter for each outstanding unit (the "second target distribution");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50% to all unitholders, pro rata, and 50% to the general partner. </w:t>
      </w:r>
    </w:p>
    <w:p>
      <w:pPr>
        <w:pStyle w:val="TextBody"/>
        <w:rPr/>
      </w:pPr>
      <w:r>
        <w:rPr/>
        <w:t>        </w:t>
      </w:r>
      <w:r>
        <w:rPr>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jc w:val="center"/>
        <w:rPr>
          <w:sz w:val="20"/>
        </w:rPr>
      </w:pPr>
      <w:r>
        <w:rPr>
          <w:sz w:val="20"/>
        </w:rPr>
        <w:t>26</w:t>
      </w:r>
    </w:p>
    <w:p>
      <w:pPr>
        <w:pStyle w:val="HorizontalLine"/>
        <w:pBdr>
          <w:bottom w:val="single" w:sz="20" w:space="0" w:color="808080"/>
        </w:pBdr>
        <w:rPr/>
      </w:pPr>
      <w:r>
        <w:rPr/>
      </w:r>
      <w:r>
        <w:br w:type="page"/>
      </w:r>
    </w:p>
    <w:p>
      <w:pPr>
        <w:pStyle w:val="TextBody"/>
        <w:rPr/>
      </w:pPr>
      <w:r>
        <w:rPr/>
      </w:r>
      <w:bookmarkStart w:id="124" w:name="page_em1181_1_27"/>
      <w:bookmarkStart w:id="125" w:name="page_em1181_1_27"/>
      <w:bookmarkEnd w:id="125"/>
    </w:p>
    <w:p>
      <w:pPr>
        <w:pStyle w:val="TextBody"/>
        <w:rPr>
          <w:b/>
          <w:sz w:val="20"/>
        </w:rPr>
      </w:pPr>
      <w:r>
        <w:rPr>
          <w:b/>
          <w:sz w:val="20"/>
        </w:rPr>
        <w:t xml:space="preserve">Distributions from Capital Surplus </w:t>
      </w:r>
    </w:p>
    <w:p>
      <w:pPr>
        <w:pStyle w:val="TextBody"/>
        <w:rPr/>
      </w:pPr>
      <w:r>
        <w:rPr/>
        <w:t>        </w:t>
      </w:r>
      <w:r>
        <w:rPr>
          <w:i/>
          <w:sz w:val="20"/>
        </w:rPr>
        <w:t>How Distributions from Capital Surplus Will Be Made.</w:t>
      </w:r>
      <w:r>
        <w:rPr/>
        <w:t>    </w:t>
      </w:r>
      <w:r>
        <w:rPr>
          <w:sz w:val="20"/>
        </w:rPr>
        <w:t xml:space="preserve">We will make distributions of available cash from capital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we will make all distributions of available cash from capital surplus as if they were from operating surplus. </w:t>
      </w:r>
    </w:p>
    <w:p>
      <w:pPr>
        <w:pStyle w:val="TextBody"/>
        <w:rPr/>
      </w:pPr>
      <w:r>
        <w:rPr/>
        <w:t>        </w:t>
      </w:r>
      <w:r>
        <w:rPr>
          <w:i/>
          <w:sz w:val="20"/>
        </w:rPr>
        <w:t>Effect of a Distribution from Capital Surplus.</w:t>
      </w:r>
      <w:r>
        <w:rPr/>
        <w:t>    </w:t>
      </w:r>
      <w:r>
        <w:rPr>
          <w:sz w:val="20"/>
        </w:rPr>
        <w:t xml:space="preserve">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rPr/>
      </w:pPr>
      <w:r>
        <w:rPr/>
        <w:t>        </w:t>
      </w:r>
      <w:r>
        <w:rPr>
          <w:i/>
          <w:sz w:val="20"/>
        </w:rPr>
        <w:t>When Payback Occurs.</w:t>
      </w:r>
      <w:r>
        <w:rPr/>
        <w:t>    </w:t>
      </w:r>
      <w:r>
        <w:rPr>
          <w:sz w:val="20"/>
        </w:rPr>
        <w:t xml:space="preserve">When "payback" of the reduced initial unit price has occurred, i.e., when the unrecovered capital of the common units is zero, then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and the target distribution levels will be reduced to zero for subsequent quarters;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distributions of available cash will be treated as operating surplus;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will be entitled to receive 50% of distributions of available cash in its capacities as general partner and as holder of the incentive distribution rights. </w:t>
      </w:r>
    </w:p>
    <w:p>
      <w:pPr>
        <w:pStyle w:val="TextBody"/>
        <w:rPr/>
      </w:pPr>
      <w:r>
        <w:rPr/>
        <w:t>        </w:t>
      </w:r>
      <w:r>
        <w:rPr>
          <w:sz w:val="20"/>
        </w:rPr>
        <w:t xml:space="preserve">Distributions of available cash from capital surplus will not reduce the minimum quarterly distribution or target distribution levels for the quarter in which they are distributed. </w:t>
      </w:r>
    </w:p>
    <w:p>
      <w:pPr>
        <w:pStyle w:val="TextBody"/>
        <w:rPr>
          <w:b/>
          <w:sz w:val="20"/>
        </w:rPr>
      </w:pPr>
      <w:r>
        <w:rPr>
          <w:b/>
          <w:sz w:val="20"/>
        </w:rPr>
        <w:t xml:space="preserve">Adjustment to the Minimum Quarterly Distribution and Target Distribution Levels </w:t>
      </w:r>
    </w:p>
    <w:p>
      <w:pPr>
        <w:pStyle w:val="TextBody"/>
        <w:rPr/>
      </w:pPr>
      <w:r>
        <w:rPr/>
        <w:t>        </w:t>
      </w:r>
      <w:r>
        <w:rPr>
          <w:i/>
          <w:sz w:val="20"/>
        </w:rPr>
        <w:t>How We Adjust the Minimum Quarterly Distribution and Target Distribution Levels.</w:t>
      </w:r>
      <w:r>
        <w:rPr/>
        <w:t>    </w:t>
      </w:r>
      <w:r>
        <w:rPr>
          <w:sz w:val="20"/>
        </w:rPr>
        <w:t xml:space="preserve">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target distribution levels;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unrecovered capital;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other amounts calculated on a per unit basis. </w:t>
      </w:r>
    </w:p>
    <w:p>
      <w:pPr>
        <w:pStyle w:val="TextBody"/>
        <w:rPr/>
      </w:pPr>
      <w:r>
        <w:rPr/>
        <w:t>        </w:t>
      </w:r>
      <w:r>
        <w:rPr>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rPr/>
      </w:pPr>
      <w:r>
        <w:rPr/>
        <w:t>        </w:t>
      </w:r>
      <w:r>
        <w:rPr>
          <w:i/>
          <w:sz w:val="20"/>
        </w:rPr>
        <w:t>If We Became Subject to Taxation.</w:t>
      </w:r>
      <w:r>
        <w:rPr/>
        <w:t>    </w:t>
      </w:r>
      <w:r>
        <w:rPr>
          <w:sz w:val="20"/>
        </w:rPr>
        <w:t xml:space="preserve">If legislation is enacted or if existing law is modified or interpreted by the relevant governmental authority so that we become taxable as a corporation or otherwise subject to taxation as an entity for federal, state or local income tax purposes, we will adjust </w:t>
      </w:r>
    </w:p>
    <w:p>
      <w:pPr>
        <w:pStyle w:val="TextBody"/>
        <w:jc w:val="center"/>
        <w:rPr>
          <w:sz w:val="20"/>
        </w:rPr>
      </w:pPr>
      <w:r>
        <w:rPr>
          <w:sz w:val="20"/>
        </w:rPr>
        <w:t>27</w:t>
      </w:r>
    </w:p>
    <w:p>
      <w:pPr>
        <w:pStyle w:val="HorizontalLine"/>
        <w:pBdr>
          <w:bottom w:val="single" w:sz="20" w:space="0" w:color="808080"/>
        </w:pBdr>
        <w:rPr/>
      </w:pPr>
      <w:r>
        <w:rPr/>
      </w:r>
      <w:r>
        <w:br w:type="page"/>
      </w:r>
    </w:p>
    <w:p>
      <w:pPr>
        <w:pStyle w:val="TextBody"/>
        <w:rPr/>
      </w:pPr>
      <w:r>
        <w:rPr/>
      </w:r>
      <w:bookmarkStart w:id="126" w:name="page_em1181_1_28"/>
      <w:bookmarkStart w:id="127" w:name="page_em1181_1_28"/>
      <w:bookmarkEnd w:id="127"/>
    </w:p>
    <w:p>
      <w:pPr>
        <w:pStyle w:val="TextBody"/>
        <w:rPr>
          <w:sz w:val="20"/>
        </w:rPr>
      </w:pPr>
      <w:r>
        <w:rPr>
          <w:sz w:val="20"/>
        </w:rPr>
        <w:t xml:space="preserve">the minimum quarterly distribution and each of the target distribution levels, respectively, to equal the product obtained by multiplying the amount thereof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p>
      <w:pPr>
        <w:pStyle w:val="TextBody"/>
        <w:rPr/>
      </w:pPr>
      <w:r>
        <w:rPr/>
      </w:r>
    </w:p>
    <w:p>
      <w:pPr>
        <w:pStyle w:val="TextBody"/>
        <w:rPr/>
      </w:pPr>
      <w:r>
        <w:rPr/>
        <w:t>        </w:t>
      </w:r>
      <w:r>
        <w:rPr>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rPr>
          <w:b/>
          <w:sz w:val="20"/>
        </w:rPr>
      </w:pPr>
      <w:r>
        <w:rPr>
          <w:b/>
          <w:sz w:val="20"/>
        </w:rPr>
        <w:t xml:space="preserve">Distribution of Cash Upon Liquidation </w:t>
      </w:r>
    </w:p>
    <w:p>
      <w:pPr>
        <w:pStyle w:val="TextBody"/>
        <w:rPr/>
      </w:pPr>
      <w:r>
        <w:rPr/>
        <w:t>        </w:t>
      </w:r>
      <w:r>
        <w:rPr>
          <w:i/>
          <w:sz w:val="20"/>
        </w:rPr>
        <w:t>General.</w:t>
      </w:r>
      <w:r>
        <w:rPr/>
        <w:t>    </w:t>
      </w:r>
      <w:r>
        <w:rPr>
          <w:sz w:val="20"/>
        </w:rPr>
        <w:t xml:space="preserve">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rPr/>
      </w:pPr>
      <w:r>
        <w:rPr/>
        <w:t>        </w:t>
      </w:r>
      <w:r>
        <w:rPr>
          <w:i/>
          <w:sz w:val="20"/>
        </w:rPr>
        <w:t>Manner of Adjustment.</w:t>
      </w:r>
      <w:r>
        <w:rPr/>
        <w:t>    </w:t>
      </w:r>
      <w:r>
        <w:rPr>
          <w:sz w:val="20"/>
        </w:rPr>
        <w:t xml:space="preserve">If we liquidate, we would allocate any loss to the general partner and each unitholder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100% to the general partner. </w:t>
      </w:r>
    </w:p>
    <w:p>
      <w:pPr>
        <w:pStyle w:val="TextBody"/>
        <w:rPr/>
      </w:pPr>
      <w:r>
        <w:rPr/>
        <w:t>        </w:t>
      </w:r>
      <w:r>
        <w:rPr>
          <w:i/>
          <w:sz w:val="20"/>
        </w:rPr>
        <w:t>Interim Adjustments to Capital Accounts.</w:t>
      </w:r>
      <w:r>
        <w:rPr/>
        <w:t>    </w:t>
      </w:r>
      <w:r>
        <w:rPr>
          <w:sz w:val="20"/>
        </w:rPr>
        <w:t xml:space="preserve">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jc w:val="center"/>
        <w:rPr>
          <w:sz w:val="20"/>
        </w:rPr>
      </w:pPr>
      <w:r>
        <w:rPr>
          <w:sz w:val="20"/>
        </w:rPr>
        <w:t>28</w:t>
      </w:r>
    </w:p>
    <w:p>
      <w:pPr>
        <w:pStyle w:val="HorizontalLine"/>
        <w:pBdr>
          <w:bottom w:val="single" w:sz="20" w:space="0" w:color="808080"/>
        </w:pBdr>
        <w:rPr/>
      </w:pPr>
      <w:r>
        <w:rPr/>
      </w:r>
      <w:r>
        <w:br w:type="page"/>
      </w:r>
    </w:p>
    <w:p>
      <w:pPr>
        <w:pStyle w:val="TextBody"/>
        <w:jc w:val="center"/>
        <w:rPr/>
      </w:pPr>
      <w:bookmarkStart w:id="128" w:name="toc_em1181_3"/>
      <w:bookmarkStart w:id="129" w:name="em1181_description_of_our_partnership_ag"/>
      <w:bookmarkStart w:id="130" w:name="page_em1181_1_29"/>
      <w:bookmarkEnd w:id="128"/>
      <w:bookmarkEnd w:id="129"/>
      <w:bookmarkEnd w:id="130"/>
      <w:r>
        <w:rPr>
          <w:sz w:val="20"/>
        </w:rPr>
        <w:br/>
      </w:r>
      <w:r>
        <w:rPr>
          <w:b/>
          <w:sz w:val="20"/>
        </w:rPr>
        <w:t xml:space="preserve">DESCRIPTION OF OUR PARTNERSHIP AGREEMENT </w:t>
      </w:r>
    </w:p>
    <w:p>
      <w:pPr>
        <w:pStyle w:val="TextBody"/>
        <w:rPr/>
      </w:pPr>
      <w:r>
        <w:rPr/>
        <w:t>        </w:t>
      </w:r>
      <w:r>
        <w:rPr>
          <w:sz w:val="20"/>
        </w:rPr>
        <w:t xml:space="preserve">The following is a summary of the material provisions of our partnership agreement. The following provisions of our partnership agreement are summarized elsewhere in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distributions of our available cash are described under "Cash Distribution Policy";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allocations of taxable income and other tax matters are described under "Tax Considerations";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rights of holders of common units are described under "Description of Our Common Units." </w:t>
      </w:r>
    </w:p>
    <w:p>
      <w:pPr>
        <w:pStyle w:val="TextBody"/>
        <w:rPr>
          <w:b/>
          <w:sz w:val="20"/>
        </w:rPr>
      </w:pPr>
      <w:r>
        <w:rPr>
          <w:b/>
          <w:sz w:val="20"/>
        </w:rPr>
        <w:t xml:space="preserve">Purpose </w:t>
      </w:r>
    </w:p>
    <w:p>
      <w:pPr>
        <w:pStyle w:val="TextBody"/>
        <w:rPr/>
      </w:pPr>
      <w:r>
        <w:rPr/>
        <w:t>        </w:t>
      </w:r>
      <w:r>
        <w:rPr>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rPr>
          <w:b/>
          <w:sz w:val="20"/>
        </w:rPr>
      </w:pPr>
      <w:r>
        <w:rPr>
          <w:b/>
          <w:sz w:val="20"/>
        </w:rPr>
        <w:t xml:space="preserve">Power of Attorney </w:t>
      </w:r>
    </w:p>
    <w:p>
      <w:pPr>
        <w:pStyle w:val="TextBody"/>
        <w:rPr/>
      </w:pPr>
      <w:r>
        <w:rPr/>
        <w:t>        </w:t>
      </w:r>
      <w:r>
        <w:rPr>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rPr>
          <w:b/>
          <w:sz w:val="20"/>
        </w:rPr>
      </w:pPr>
      <w:r>
        <w:rPr>
          <w:b/>
          <w:sz w:val="20"/>
        </w:rPr>
        <w:t xml:space="preserve">Reimbursements of Our General Partner </w:t>
      </w:r>
    </w:p>
    <w:p>
      <w:pPr>
        <w:pStyle w:val="TextBody"/>
        <w:rPr/>
      </w:pPr>
      <w:r>
        <w:rPr/>
        <w:t>        </w:t>
      </w:r>
      <w:r>
        <w:rPr>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rPr>
          <w:b/>
          <w:sz w:val="20"/>
        </w:rPr>
      </w:pPr>
      <w:r>
        <w:rPr>
          <w:b/>
          <w:sz w:val="20"/>
        </w:rPr>
        <w:t xml:space="preserve">Issuance of Additional Securities </w:t>
      </w:r>
    </w:p>
    <w:p>
      <w:pPr>
        <w:pStyle w:val="TextBody"/>
        <w:rPr/>
      </w:pPr>
      <w:r>
        <w:rPr/>
        <w:t>        </w:t>
      </w:r>
      <w:r>
        <w:rPr>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rPr/>
      </w:pPr>
      <w:r>
        <w:rPr/>
        <w:t>        </w:t>
      </w:r>
      <w:r>
        <w:rPr>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rPr/>
      </w:pPr>
      <w:r>
        <w:rPr/>
        <w:t>        </w:t>
      </w:r>
      <w:r>
        <w:rPr>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rPr/>
      </w:pPr>
      <w:r>
        <w:rPr/>
        <w:t>        </w:t>
      </w:r>
      <w:r>
        <w:rPr>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w:t>
      </w:r>
    </w:p>
    <w:p>
      <w:pPr>
        <w:pStyle w:val="TextBody"/>
        <w:jc w:val="center"/>
        <w:rPr>
          <w:sz w:val="20"/>
        </w:rPr>
      </w:pPr>
      <w:r>
        <w:rPr>
          <w:sz w:val="20"/>
        </w:rPr>
        <w:t>29</w:t>
      </w:r>
    </w:p>
    <w:p>
      <w:pPr>
        <w:pStyle w:val="HorizontalLine"/>
        <w:pBdr>
          <w:bottom w:val="single" w:sz="20" w:space="0" w:color="808080"/>
        </w:pBdr>
        <w:rPr/>
      </w:pPr>
      <w:r>
        <w:rPr/>
      </w:r>
      <w:r>
        <w:br w:type="page"/>
      </w:r>
    </w:p>
    <w:p>
      <w:pPr>
        <w:pStyle w:val="TextBody"/>
        <w:rPr/>
      </w:pPr>
      <w:r>
        <w:rPr/>
      </w:r>
      <w:bookmarkStart w:id="131" w:name="page_em1181_1_30"/>
      <w:bookmarkStart w:id="132" w:name="page_em1181_1_30"/>
      <w:bookmarkEnd w:id="132"/>
    </w:p>
    <w:p>
      <w:pPr>
        <w:pStyle w:val="TextBody"/>
        <w:rPr>
          <w:sz w:val="20"/>
        </w:rPr>
      </w:pPr>
      <w:r>
        <w:rPr>
          <w:sz w:val="20"/>
        </w:rPr>
        <w:t xml:space="preserve">necessary to maintain their percentage interests in us that existed immediately prior to the issuance. The holders of common units will not have preemptive rights to acquire additional common units or other partnership interests in us. </w:t>
      </w:r>
    </w:p>
    <w:p>
      <w:pPr>
        <w:pStyle w:val="TextBody"/>
        <w:rPr>
          <w:b/>
          <w:sz w:val="20"/>
        </w:rPr>
      </w:pPr>
      <w:r>
        <w:rPr>
          <w:b/>
          <w:sz w:val="20"/>
        </w:rPr>
        <w:t xml:space="preserve">Amendments to Our Partnership Agreement </w:t>
      </w:r>
    </w:p>
    <w:p>
      <w:pPr>
        <w:pStyle w:val="TextBody"/>
        <w:rPr/>
      </w:pPr>
      <w:r>
        <w:rPr/>
        <w:t>        </w:t>
      </w:r>
      <w:r>
        <w:rPr>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rPr>
          <w:b/>
          <w:sz w:val="20"/>
        </w:rPr>
      </w:pPr>
      <w:r>
        <w:rPr>
          <w:b/>
          <w:sz w:val="20"/>
        </w:rPr>
        <w:t xml:space="preserve">Withdrawal or Removal of Our General Partner </w:t>
      </w:r>
    </w:p>
    <w:p>
      <w:pPr>
        <w:pStyle w:val="TextBody"/>
        <w:rPr/>
      </w:pPr>
      <w:r>
        <w:rPr/>
        <w:t>        </w:t>
      </w:r>
      <w:r>
        <w:rPr>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rPr/>
      </w:pPr>
      <w:r>
        <w:rPr/>
        <w:t>        </w:t>
      </w:r>
      <w:r>
        <w:rPr>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rPr/>
      </w:pPr>
      <w:r>
        <w:rPr/>
        <w:t>        </w:t>
      </w:r>
      <w:r>
        <w:rPr>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rPr/>
      </w:pPr>
      <w:r>
        <w:rPr/>
        <w:t>        </w:t>
      </w:r>
      <w:r>
        <w:rPr>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rPr/>
      </w:pPr>
      <w:r>
        <w:rPr/>
        <w:t>        </w:t>
      </w:r>
      <w:r>
        <w:rPr>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rPr>
          <w:b/>
          <w:sz w:val="20"/>
        </w:rPr>
      </w:pPr>
      <w:r>
        <w:rPr>
          <w:b/>
          <w:sz w:val="20"/>
        </w:rPr>
        <w:t xml:space="preserve">Liquidation and Distribution of Proceeds </w:t>
      </w:r>
    </w:p>
    <w:p>
      <w:pPr>
        <w:pStyle w:val="TextBody"/>
        <w:rPr/>
      </w:pPr>
      <w:r>
        <w:rPr/>
        <w:t>        </w:t>
      </w:r>
      <w:r>
        <w:rPr>
          <w:sz w:val="20"/>
        </w:rPr>
        <w:t xml:space="preserve">Upon our dissolution, unless we are reconstituted and continued as a new limited partnership, the person authorized to wind up our affairs (the liquidator) will, acting with all the powers of our general </w:t>
      </w:r>
    </w:p>
    <w:p>
      <w:pPr>
        <w:pStyle w:val="TextBody"/>
        <w:jc w:val="center"/>
        <w:rPr>
          <w:sz w:val="20"/>
        </w:rPr>
      </w:pPr>
      <w:r>
        <w:rPr>
          <w:sz w:val="20"/>
        </w:rPr>
        <w:t>30</w:t>
      </w:r>
    </w:p>
    <w:p>
      <w:pPr>
        <w:pStyle w:val="HorizontalLine"/>
        <w:pBdr>
          <w:bottom w:val="single" w:sz="20" w:space="0" w:color="808080"/>
        </w:pBdr>
        <w:rPr/>
      </w:pPr>
      <w:r>
        <w:rPr/>
      </w:r>
      <w:r>
        <w:br w:type="page"/>
      </w:r>
    </w:p>
    <w:p>
      <w:pPr>
        <w:pStyle w:val="TextBody"/>
        <w:rPr/>
      </w:pPr>
      <w:r>
        <w:rPr/>
      </w:r>
      <w:bookmarkStart w:id="133" w:name="page_em1181_1_31"/>
      <w:bookmarkStart w:id="134" w:name="page_em1181_1_31"/>
      <w:bookmarkEnd w:id="134"/>
    </w:p>
    <w:p>
      <w:pPr>
        <w:pStyle w:val="TextBody"/>
        <w:rPr>
          <w:sz w:val="20"/>
        </w:rPr>
      </w:pPr>
      <w:r>
        <w:rPr>
          <w:sz w:val="20"/>
        </w:rPr>
        <w:t xml:space="preserve">partner that the liquidator deems necessary or desirable in its good faith judgment, liquidate our assets. The proceeds of the liquidation will be applied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towards the payment of all of our creditors and the creation of a reserve for contingent liabilities;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then, to all partners in accordance with the positive balance in the respective capital accounts. </w:t>
      </w:r>
    </w:p>
    <w:p>
      <w:pPr>
        <w:pStyle w:val="TextBody"/>
        <w:rPr/>
      </w:pPr>
      <w:r>
        <w:rPr/>
      </w:r>
    </w:p>
    <w:p>
      <w:pPr>
        <w:pStyle w:val="TextBody"/>
        <w:rPr/>
      </w:pPr>
      <w:r>
        <w:rPr/>
        <w:t>        </w:t>
      </w:r>
      <w:r>
        <w:rPr>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rPr>
          <w:b/>
          <w:sz w:val="20"/>
        </w:rPr>
      </w:pPr>
      <w:r>
        <w:rPr>
          <w:b/>
          <w:sz w:val="20"/>
        </w:rPr>
        <w:t xml:space="preserve">Change of Management Provisions </w:t>
      </w:r>
    </w:p>
    <w:p>
      <w:pPr>
        <w:pStyle w:val="TextBody"/>
        <w:rPr/>
      </w:pPr>
      <w:r>
        <w:rPr/>
        <w:t>        </w:t>
      </w:r>
      <w:r>
        <w:rPr>
          <w:sz w:val="20"/>
        </w:rPr>
        <w:t xml:space="preserve">Our partnership agreement contains the following specific provisions that are intended to discourage a person or group from attempting to remove our general partner or otherwise change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provisions limiting the ability of unitholders to call meetings or to acquire information about our operations, as well as other provisions limiting the unitholders' ability to influence the manner or direction of management. </w:t>
      </w:r>
    </w:p>
    <w:p>
      <w:pPr>
        <w:pStyle w:val="TextBody"/>
        <w:rPr>
          <w:b/>
          <w:sz w:val="20"/>
        </w:rPr>
      </w:pPr>
      <w:r>
        <w:rPr>
          <w:b/>
          <w:sz w:val="20"/>
        </w:rPr>
        <w:t xml:space="preserve">Limited Call Right </w:t>
      </w:r>
    </w:p>
    <w:p>
      <w:pPr>
        <w:pStyle w:val="TextBody"/>
        <w:rPr/>
      </w:pPr>
      <w:r>
        <w:rPr/>
        <w:t>        </w:t>
      </w:r>
      <w:r>
        <w:rPr>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rPr>
          <w:b/>
          <w:sz w:val="20"/>
        </w:rPr>
      </w:pPr>
      <w:r>
        <w:rPr>
          <w:b/>
          <w:sz w:val="20"/>
        </w:rPr>
        <w:t xml:space="preserve">Indemnification </w:t>
      </w:r>
    </w:p>
    <w:p>
      <w:pPr>
        <w:pStyle w:val="TextBody"/>
        <w:rPr/>
      </w:pPr>
      <w:r>
        <w:rPr/>
        <w:t>        </w:t>
      </w:r>
      <w:r>
        <w:rPr>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rPr>
          <w:b/>
          <w:sz w:val="20"/>
        </w:rPr>
      </w:pPr>
      <w:r>
        <w:rPr>
          <w:b/>
          <w:sz w:val="20"/>
        </w:rPr>
        <w:t xml:space="preserve">Registration Rights </w:t>
      </w:r>
    </w:p>
    <w:p>
      <w:pPr>
        <w:pStyle w:val="TextBody"/>
        <w:rPr/>
      </w:pPr>
      <w:r>
        <w:rPr/>
        <w:t>        </w:t>
      </w:r>
      <w:r>
        <w:rPr>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jc w:val="center"/>
        <w:rPr>
          <w:sz w:val="20"/>
        </w:rPr>
      </w:pPr>
      <w:r>
        <w:rPr>
          <w:sz w:val="20"/>
        </w:rPr>
        <w:t>31</w:t>
      </w:r>
    </w:p>
    <w:p>
      <w:pPr>
        <w:pStyle w:val="HorizontalLine"/>
        <w:pBdr>
          <w:bottom w:val="single" w:sz="20" w:space="0" w:color="808080"/>
        </w:pBdr>
        <w:rPr/>
      </w:pPr>
      <w:r>
        <w:rPr/>
      </w:r>
      <w:r>
        <w:br w:type="page"/>
      </w:r>
    </w:p>
    <w:p>
      <w:pPr>
        <w:pStyle w:val="TextBody"/>
        <w:jc w:val="center"/>
        <w:rPr/>
      </w:pPr>
      <w:bookmarkStart w:id="135" w:name="toc_eo1181_1"/>
      <w:bookmarkStart w:id="136" w:name="eo1181_tax_considerations"/>
      <w:bookmarkStart w:id="137" w:name="page_eo1181_1_32"/>
      <w:bookmarkEnd w:id="135"/>
      <w:bookmarkEnd w:id="136"/>
      <w:bookmarkEnd w:id="137"/>
      <w:r>
        <w:rPr>
          <w:sz w:val="20"/>
        </w:rPr>
        <w:br/>
      </w:r>
      <w:r>
        <w:rPr>
          <w:b/>
          <w:sz w:val="20"/>
        </w:rPr>
        <w:t xml:space="preserve">TAX CONSIDERATIONS </w:t>
      </w:r>
    </w:p>
    <w:p>
      <w:pPr>
        <w:pStyle w:val="TextBody"/>
        <w:rPr/>
      </w:pPr>
      <w:r>
        <w:rPr/>
        <w:t>        </w:t>
      </w:r>
      <w:r>
        <w:rPr>
          <w:sz w:val="20"/>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rPr/>
      </w:pPr>
      <w:r>
        <w:rPr/>
        <w:t>        </w:t>
      </w:r>
      <w:r>
        <w:rPr>
          <w:sz w:val="20"/>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rPr/>
      </w:pPr>
      <w:r>
        <w:rPr/>
        <w:t>        </w:t>
      </w:r>
      <w:r>
        <w:rPr>
          <w:sz w:val="20"/>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rPr/>
      </w:pPr>
      <w:r>
        <w:rPr/>
        <w:t>        </w:t>
      </w:r>
      <w:r>
        <w:rPr>
          <w:sz w:val="20"/>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rPr/>
      </w:pPr>
      <w:r>
        <w:rPr/>
        <w:t>        </w:t>
      </w:r>
      <w:r>
        <w:rPr>
          <w:sz w:val="20"/>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rPr/>
      </w:pPr>
      <w:r>
        <w:rPr/>
        <w:t>        </w:t>
      </w:r>
      <w:r>
        <w:rPr>
          <w:sz w:val="20"/>
        </w:rPr>
        <w:t xml:space="preserve">For the reasons described below, counsel has not rendered an opinion with respect to the following specific federal income tax issues: </w:t>
      </w:r>
    </w:p>
    <w:p>
      <w:pPr>
        <w:pStyle w:val="TextBody"/>
        <w:numPr>
          <w:ilvl w:val="0"/>
          <w:numId w:val="0"/>
        </w:numPr>
        <w:ind w:left="707" w:hanging="0"/>
        <w:rPr/>
      </w:pPr>
      <w:r>
        <w:rPr/>
        <w:t>        </w:t>
      </w:r>
      <w:r>
        <w:rPr>
          <w:sz w:val="20"/>
        </w:rPr>
        <w:t xml:space="preserve">(1)   the treatment of a unitholder whose common units are loaned to a short seller to cover a short sale of common units (please read "Tax Consequences of Unit OwnershipTreatment of Short Sales"); </w:t>
      </w:r>
    </w:p>
    <w:p>
      <w:pPr>
        <w:pStyle w:val="TextBody"/>
        <w:numPr>
          <w:ilvl w:val="0"/>
          <w:numId w:val="0"/>
        </w:numPr>
        <w:ind w:left="707" w:hanging="0"/>
        <w:rPr/>
      </w:pPr>
      <w:r>
        <w:rPr/>
        <w:t>        </w:t>
      </w:r>
      <w:r>
        <w:rPr>
          <w:sz w:val="20"/>
        </w:rPr>
        <w:t xml:space="preserve">(2)   whether our monthly convention for allocating taxable income and losses is permitted by existing Treasury Regulations (please read "Disposition of Common UnitsAllocations Between Transferors and Transferees"); and </w:t>
      </w:r>
    </w:p>
    <w:p>
      <w:pPr>
        <w:pStyle w:val="TextBody"/>
        <w:numPr>
          <w:ilvl w:val="0"/>
          <w:numId w:val="0"/>
        </w:numPr>
        <w:ind w:left="707" w:hanging="0"/>
        <w:rPr/>
      </w:pPr>
      <w:r>
        <w:rPr/>
        <w:t>        </w:t>
      </w:r>
      <w:r>
        <w:rPr>
          <w:sz w:val="20"/>
        </w:rPr>
        <w:t xml:space="preserve">(3)   whether our method for depreciating Section 743 adjustments is sustainable (please read "Tax Consequences of Unit OwnershipSection 754 Election"). </w:t>
      </w:r>
    </w:p>
    <w:p>
      <w:pPr>
        <w:pStyle w:val="TextBody"/>
        <w:rPr>
          <w:b/>
          <w:sz w:val="20"/>
        </w:rPr>
      </w:pPr>
      <w:r>
        <w:rPr>
          <w:b/>
          <w:sz w:val="20"/>
        </w:rPr>
        <w:t xml:space="preserve">Partnership Status </w:t>
      </w:r>
    </w:p>
    <w:p>
      <w:pPr>
        <w:pStyle w:val="TextBody"/>
        <w:rPr/>
      </w:pPr>
      <w:r>
        <w:rPr/>
        <w:t>        </w:t>
      </w:r>
      <w:r>
        <w:rPr>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w:t>
      </w:r>
    </w:p>
    <w:p>
      <w:pPr>
        <w:pStyle w:val="TextBody"/>
        <w:jc w:val="center"/>
        <w:rPr>
          <w:sz w:val="20"/>
        </w:rPr>
      </w:pPr>
      <w:r>
        <w:rPr>
          <w:sz w:val="20"/>
        </w:rPr>
        <w:t>32</w:t>
      </w:r>
    </w:p>
    <w:p>
      <w:pPr>
        <w:pStyle w:val="HorizontalLine"/>
        <w:pBdr>
          <w:bottom w:val="single" w:sz="20" w:space="0" w:color="808080"/>
        </w:pBdr>
        <w:rPr/>
      </w:pPr>
      <w:r>
        <w:rPr/>
      </w:r>
      <w:r>
        <w:br w:type="page"/>
      </w:r>
    </w:p>
    <w:p>
      <w:pPr>
        <w:pStyle w:val="TextBody"/>
        <w:rPr/>
      </w:pPr>
      <w:r>
        <w:rPr/>
      </w:r>
      <w:bookmarkStart w:id="138" w:name="page_eo1181_1_33"/>
      <w:bookmarkStart w:id="139" w:name="page_eo1181_1_33"/>
      <w:bookmarkEnd w:id="139"/>
    </w:p>
    <w:p>
      <w:pPr>
        <w:pStyle w:val="TextBody"/>
        <w:rPr>
          <w:sz w:val="20"/>
        </w:rPr>
      </w:pPr>
      <w:r>
        <w:rPr>
          <w:sz w:val="20"/>
        </w:rPr>
        <w:t xml:space="preserve">generally not taxable unless the amount of cash distributed is in excess of the partner's adjusted basis in his partnership interest. </w:t>
      </w:r>
    </w:p>
    <w:p>
      <w:pPr>
        <w:pStyle w:val="TextBody"/>
        <w:rPr/>
      </w:pPr>
      <w:r>
        <w:rPr/>
        <w:t>        </w:t>
      </w:r>
      <w:r>
        <w:rPr>
          <w:sz w:val="20"/>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rPr/>
      </w:pPr>
      <w:r>
        <w:rPr/>
        <w:t>        </w:t>
      </w:r>
      <w:r>
        <w:rPr>
          <w:sz w:val="20"/>
        </w:rPr>
        <w:t xml:space="preserve">In rendering its opinion, counsel has relied on factual representations made by us and the general partner. The representations made by us and our general partner upon which counsel has relied are: </w:t>
      </w:r>
    </w:p>
    <w:p>
      <w:pPr>
        <w:pStyle w:val="TextBody"/>
        <w:numPr>
          <w:ilvl w:val="0"/>
          <w:numId w:val="0"/>
        </w:numPr>
        <w:ind w:left="707" w:hanging="0"/>
        <w:rPr/>
      </w:pPr>
      <w:r>
        <w:rPr/>
        <w:t>        </w:t>
      </w:r>
      <w:r>
        <w:rPr>
          <w:sz w:val="20"/>
        </w:rPr>
        <w:t xml:space="preserve">(a)   neither we nor the operating partnerships will elect to be treated as a corporation; </w:t>
      </w:r>
    </w:p>
    <w:p>
      <w:pPr>
        <w:pStyle w:val="TextBody"/>
        <w:numPr>
          <w:ilvl w:val="0"/>
          <w:numId w:val="0"/>
        </w:numPr>
        <w:ind w:left="707" w:hanging="0"/>
        <w:rPr/>
      </w:pPr>
      <w:r>
        <w:rPr/>
        <w:t>        </w:t>
      </w:r>
      <w:r>
        <w:rPr>
          <w:sz w:val="20"/>
        </w:rPr>
        <w:t xml:space="preserve">(b)   for each taxable year, more than 90% of our gross income will be income from sources that our counsel has opined or will opine is "qualifying income" within the meaning of Section 7704(d) of the Internal Revenue Code. </w:t>
      </w:r>
    </w:p>
    <w:p>
      <w:pPr>
        <w:pStyle w:val="TextBody"/>
        <w:rPr/>
      </w:pPr>
      <w:r>
        <w:rPr/>
        <w:t>        </w:t>
      </w:r>
      <w:r>
        <w:rPr>
          <w:sz w:val="20"/>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rPr/>
      </w:pPr>
      <w:r>
        <w:rPr/>
        <w:t>        </w:t>
      </w:r>
      <w:r>
        <w:rPr>
          <w:sz w:val="20"/>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rPr/>
      </w:pPr>
      <w:r>
        <w:rPr/>
        <w:t>        </w:t>
      </w:r>
      <w:r>
        <w:rPr>
          <w:sz w:val="20"/>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rPr/>
      </w:pPr>
      <w:r>
        <w:rPr/>
        <w:t>        </w:t>
      </w:r>
      <w:r>
        <w:rPr>
          <w:sz w:val="20"/>
        </w:rPr>
        <w:t xml:space="preserve">The discussion below is based on the conclusion that we will be classified as a partnership for federal income tax purposes. </w:t>
      </w:r>
    </w:p>
    <w:p>
      <w:pPr>
        <w:pStyle w:val="TextBody"/>
        <w:jc w:val="center"/>
        <w:rPr>
          <w:sz w:val="20"/>
        </w:rPr>
      </w:pPr>
      <w:r>
        <w:rPr>
          <w:sz w:val="20"/>
        </w:rPr>
        <w:t>33</w:t>
      </w:r>
    </w:p>
    <w:p>
      <w:pPr>
        <w:pStyle w:val="HorizontalLine"/>
        <w:pBdr>
          <w:bottom w:val="single" w:sz="20" w:space="0" w:color="808080"/>
        </w:pBdr>
        <w:rPr/>
      </w:pPr>
      <w:r>
        <w:rPr/>
      </w:r>
      <w:r>
        <w:br w:type="page"/>
      </w:r>
    </w:p>
    <w:p>
      <w:pPr>
        <w:pStyle w:val="TextBody"/>
        <w:rPr/>
      </w:pPr>
      <w:r>
        <w:rPr/>
      </w:r>
      <w:bookmarkStart w:id="140" w:name="page_eo1181_1_34"/>
      <w:bookmarkStart w:id="141" w:name="page_eo1181_1_34"/>
      <w:bookmarkEnd w:id="141"/>
    </w:p>
    <w:p>
      <w:pPr>
        <w:pStyle w:val="TextBody"/>
        <w:rPr>
          <w:b/>
          <w:sz w:val="20"/>
        </w:rPr>
      </w:pPr>
      <w:r>
        <w:rPr>
          <w:b/>
          <w:sz w:val="20"/>
        </w:rPr>
        <w:t xml:space="preserve">Limited Partner Status </w:t>
      </w:r>
    </w:p>
    <w:p>
      <w:pPr>
        <w:pStyle w:val="TextBody"/>
        <w:rPr/>
      </w:pPr>
      <w:r>
        <w:rPr/>
        <w:t>        </w:t>
      </w:r>
      <w:r>
        <w:rPr>
          <w:sz w:val="20"/>
        </w:rPr>
        <w:t xml:space="preserve">Unitholders who have become limited partners of Plains All American Pipeline will be treated as partners of Plains All American Pipeline for federal income tax purposes. Also: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assignees who have executed and delivered transfer applications, and are awaiting admission as limited partners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unitholders whose common units are held in street name or by a nominee and who have the right to direct the nominee in the exercise of all substantive rights attendant to the ownership of their common units, </w:t>
      </w:r>
    </w:p>
    <w:p>
      <w:pPr>
        <w:pStyle w:val="TextBody"/>
        <w:rPr>
          <w:sz w:val="20"/>
        </w:rPr>
      </w:pPr>
      <w:r>
        <w:rPr>
          <w:sz w:val="20"/>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rPr/>
      </w:pPr>
      <w:r>
        <w:rPr/>
        <w:t>        </w:t>
      </w:r>
      <w:r>
        <w:rPr>
          <w:sz w:val="20"/>
        </w:rPr>
        <w:t xml:space="preserve">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 </w:t>
      </w:r>
    </w:p>
    <w:p>
      <w:pPr>
        <w:pStyle w:val="TextBody"/>
        <w:rPr/>
      </w:pPr>
      <w:r>
        <w:rPr/>
        <w:t>        </w:t>
      </w:r>
      <w:r>
        <w:rPr>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rPr>
          <w:b/>
          <w:sz w:val="20"/>
        </w:rPr>
      </w:pPr>
      <w:r>
        <w:rPr>
          <w:b/>
          <w:sz w:val="20"/>
        </w:rPr>
        <w:t xml:space="preserve">Tax Consequences of Unit Ownership </w:t>
      </w:r>
    </w:p>
    <w:p>
      <w:pPr>
        <w:pStyle w:val="TextBody"/>
        <w:rPr/>
      </w:pPr>
      <w:r>
        <w:rPr/>
        <w:t>        </w:t>
      </w:r>
      <w:r>
        <w:rPr>
          <w:i/>
          <w:sz w:val="20"/>
        </w:rPr>
        <w:t>Flow-through of Taxable Income.</w:t>
      </w:r>
      <w:r>
        <w:rPr/>
        <w:t>    </w:t>
      </w:r>
      <w:r>
        <w:rPr>
          <w:sz w:val="20"/>
        </w:rPr>
        <w:t xml:space="preserve">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rPr/>
      </w:pPr>
      <w:r>
        <w:rPr/>
        <w:t>        </w:t>
      </w:r>
      <w:r>
        <w:rPr>
          <w:i/>
          <w:sz w:val="20"/>
        </w:rPr>
        <w:t>Treatment of Distributions.</w:t>
      </w:r>
      <w:r>
        <w:rPr/>
        <w:t>    </w:t>
      </w:r>
      <w:r>
        <w:rPr>
          <w:sz w:val="20"/>
        </w:rPr>
        <w:t xml:space="preserve">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 </w:t>
      </w:r>
    </w:p>
    <w:p>
      <w:pPr>
        <w:pStyle w:val="TextBody"/>
        <w:rPr/>
      </w:pPr>
      <w:r>
        <w:rPr/>
        <w:t>        </w:t>
      </w:r>
      <w:r>
        <w:rPr>
          <w:sz w:val="20"/>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w:t>
      </w:r>
    </w:p>
    <w:p>
      <w:pPr>
        <w:pStyle w:val="TextBody"/>
        <w:jc w:val="center"/>
        <w:rPr>
          <w:sz w:val="20"/>
        </w:rPr>
      </w:pPr>
      <w:r>
        <w:rPr>
          <w:sz w:val="20"/>
        </w:rPr>
        <w:t>34</w:t>
      </w:r>
    </w:p>
    <w:p>
      <w:pPr>
        <w:pStyle w:val="HorizontalLine"/>
        <w:pBdr>
          <w:bottom w:val="single" w:sz="20" w:space="0" w:color="808080"/>
        </w:pBdr>
        <w:rPr/>
      </w:pPr>
      <w:r>
        <w:rPr/>
      </w:r>
      <w:r>
        <w:br w:type="page"/>
      </w:r>
    </w:p>
    <w:p>
      <w:pPr>
        <w:pStyle w:val="TextBody"/>
        <w:rPr/>
      </w:pPr>
      <w:r>
        <w:rPr/>
      </w:r>
      <w:bookmarkStart w:id="142" w:name="page_eo1181_1_35"/>
      <w:bookmarkStart w:id="143" w:name="page_eo1181_1_35"/>
      <w:bookmarkEnd w:id="143"/>
    </w:p>
    <w:p>
      <w:pPr>
        <w:pStyle w:val="TextBody"/>
        <w:rPr>
          <w:sz w:val="20"/>
        </w:rPr>
      </w:pPr>
      <w:r>
        <w:rPr>
          <w:sz w:val="20"/>
        </w:rPr>
        <w:t xml:space="preserve">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rPr/>
      </w:pPr>
      <w:r>
        <w:rPr/>
        <w:t>        </w:t>
      </w:r>
      <w:r>
        <w:rPr>
          <w:i/>
          <w:sz w:val="20"/>
        </w:rPr>
        <w:t>Basis of Common Units.</w:t>
      </w:r>
      <w:r>
        <w:rPr/>
        <w:t>    </w:t>
      </w:r>
      <w:r>
        <w:rPr>
          <w:sz w:val="20"/>
        </w:rPr>
        <w:t xml:space="preserve">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"Disposition of Common UnitsRecognition of Gain or Loss." </w:t>
      </w:r>
    </w:p>
    <w:p>
      <w:pPr>
        <w:pStyle w:val="TextBody"/>
        <w:rPr/>
      </w:pPr>
      <w:r>
        <w:rPr/>
        <w:t>        </w:t>
      </w:r>
      <w:r>
        <w:rPr>
          <w:i/>
          <w:sz w:val="20"/>
        </w:rPr>
        <w:t>Limitations on Deductibility of Losses.</w:t>
      </w:r>
      <w:r>
        <w:rPr/>
        <w:t>    </w:t>
      </w:r>
      <w:r>
        <w:rPr>
          <w:sz w:val="20"/>
        </w:rPr>
        <w:t xml:space="preserve">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rPr/>
      </w:pPr>
      <w:r>
        <w:rPr/>
        <w:t>        </w:t>
      </w:r>
      <w:r>
        <w:rPr>
          <w:sz w:val="20"/>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rPr/>
      </w:pPr>
      <w:r>
        <w:rPr/>
        <w:t>        </w:t>
      </w:r>
      <w:r>
        <w:rPr>
          <w:sz w:val="20"/>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jc w:val="center"/>
        <w:rPr>
          <w:sz w:val="20"/>
        </w:rPr>
      </w:pPr>
      <w:r>
        <w:rPr>
          <w:sz w:val="20"/>
        </w:rPr>
        <w:t>35</w:t>
      </w:r>
    </w:p>
    <w:p>
      <w:pPr>
        <w:pStyle w:val="HorizontalLine"/>
        <w:pBdr>
          <w:bottom w:val="single" w:sz="20" w:space="0" w:color="808080"/>
        </w:pBdr>
        <w:rPr/>
      </w:pPr>
      <w:r>
        <w:rPr/>
      </w:r>
      <w:r>
        <w:br w:type="page"/>
      </w:r>
    </w:p>
    <w:p>
      <w:pPr>
        <w:pStyle w:val="TextBody"/>
        <w:rPr/>
      </w:pPr>
      <w:r>
        <w:rPr/>
      </w:r>
      <w:bookmarkStart w:id="144" w:name="page_eo1181_1_36"/>
      <w:bookmarkStart w:id="145" w:name="page_eo1181_1_36"/>
      <w:bookmarkEnd w:id="145"/>
    </w:p>
    <w:p>
      <w:pPr>
        <w:pStyle w:val="TextBody"/>
        <w:rPr/>
      </w:pPr>
      <w:r>
        <w:rPr/>
        <w:t>        </w:t>
      </w:r>
      <w:r>
        <w:rPr>
          <w:sz w:val="20"/>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rPr/>
      </w:pPr>
      <w:r>
        <w:rPr/>
        <w:t>        </w:t>
      </w:r>
      <w:r>
        <w:rPr>
          <w:i/>
          <w:sz w:val="20"/>
        </w:rPr>
        <w:t>Limitations on Interest Deductions.</w:t>
      </w:r>
      <w:r>
        <w:rPr/>
        <w:t>    </w:t>
      </w:r>
      <w:r>
        <w:rPr>
          <w:sz w:val="20"/>
        </w:rPr>
        <w:t xml:space="preserve">The deductibility of a non-corporate taxpayer's "investment interest expense" is generally limited to the amount of that taxpayer's "net investment income." Investment interest expense includes: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interest on indebtedness properly allocable to property held for investment;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interest expense attributed to portfolio income;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interest expense incurred to purchase or carry an interest in a passive activity to the extent attributable to portfolio income. </w:t>
      </w:r>
    </w:p>
    <w:p>
      <w:pPr>
        <w:pStyle w:val="TextBody"/>
        <w:rPr/>
      </w:pPr>
      <w:r>
        <w:rPr/>
      </w:r>
    </w:p>
    <w:p>
      <w:pPr>
        <w:pStyle w:val="TextBody"/>
        <w:rPr/>
      </w:pPr>
      <w:r>
        <w:rPr/>
        <w:t>        </w:t>
      </w:r>
      <w:r>
        <w:rPr>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rPr/>
      </w:pPr>
      <w:r>
        <w:rPr/>
        <w:t>        </w:t>
      </w:r>
      <w:r>
        <w:rPr>
          <w:i/>
          <w:sz w:val="20"/>
        </w:rPr>
        <w:t>Entity-Level Collections.</w:t>
      </w:r>
      <w:r>
        <w:rPr/>
        <w:t>    </w:t>
      </w:r>
      <w:r>
        <w:rPr>
          <w:sz w:val="20"/>
        </w:rPr>
        <w:t xml:space="preserve">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rPr/>
      </w:pPr>
      <w:r>
        <w:rPr/>
        <w:t>        </w:t>
      </w:r>
      <w:r>
        <w:rPr>
          <w:i/>
          <w:sz w:val="20"/>
        </w:rPr>
        <w:t>Allocation of Income, Gain, Loss and Deduction.</w:t>
      </w:r>
      <w:r>
        <w:rPr/>
        <w:t>    </w:t>
      </w:r>
      <w:r>
        <w:rPr>
          <w:sz w:val="20"/>
        </w:rPr>
        <w:t xml:space="preserve">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rPr/>
      </w:pPr>
      <w:r>
        <w:rPr/>
        <w:t>        </w:t>
      </w:r>
      <w:r>
        <w:rPr>
          <w:sz w:val="20"/>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w:t>
      </w:r>
    </w:p>
    <w:p>
      <w:pPr>
        <w:pStyle w:val="TextBody"/>
        <w:jc w:val="center"/>
        <w:rPr>
          <w:sz w:val="20"/>
        </w:rPr>
      </w:pPr>
      <w:r>
        <w:rPr>
          <w:sz w:val="20"/>
        </w:rPr>
        <w:t>36</w:t>
      </w:r>
    </w:p>
    <w:p>
      <w:pPr>
        <w:pStyle w:val="HorizontalLine"/>
        <w:pBdr>
          <w:bottom w:val="single" w:sz="20" w:space="0" w:color="808080"/>
        </w:pBdr>
        <w:rPr/>
      </w:pPr>
      <w:r>
        <w:rPr/>
      </w:r>
      <w:r>
        <w:br w:type="page"/>
      </w:r>
    </w:p>
    <w:p>
      <w:pPr>
        <w:pStyle w:val="TextBody"/>
        <w:rPr/>
      </w:pPr>
      <w:r>
        <w:rPr/>
      </w:r>
      <w:bookmarkStart w:id="146" w:name="page_eo1181_1_37"/>
      <w:bookmarkStart w:id="147" w:name="page_eo1181_1_37"/>
      <w:bookmarkEnd w:id="147"/>
    </w:p>
    <w:p>
      <w:pPr>
        <w:pStyle w:val="TextBody"/>
        <w:rPr>
          <w:sz w:val="20"/>
        </w:rPr>
      </w:pPr>
      <w:r>
        <w:rPr>
          <w:sz w:val="20"/>
        </w:rPr>
        <w:t xml:space="preserve">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rPr/>
      </w:pPr>
      <w:r>
        <w:rPr/>
        <w:t>        </w:t>
      </w:r>
      <w:r>
        <w:rPr>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rPr/>
      </w:pPr>
      <w:r>
        <w:rPr/>
        <w:t>        </w:t>
      </w:r>
      <w:r>
        <w:rPr>
          <w:sz w:val="20"/>
        </w:rPr>
        <w:t xml:space="preserve">Counsel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 </w:t>
      </w:r>
    </w:p>
    <w:p>
      <w:pPr>
        <w:pStyle w:val="TextBody"/>
        <w:rPr/>
      </w:pPr>
      <w:r>
        <w:rPr/>
        <w:t>        </w:t>
      </w:r>
      <w:r>
        <w:rPr>
          <w:i/>
          <w:sz w:val="20"/>
        </w:rPr>
        <w:t>Treatment of Short Sales.</w:t>
      </w:r>
      <w:r>
        <w:rPr/>
        <w:t>    </w:t>
      </w:r>
      <w:r>
        <w:rPr>
          <w:sz w:val="20"/>
        </w:rPr>
        <w:t xml:space="preserve">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of our income, gain, loss or deduction with respect to those units would not be reportable by the unitholder;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cash distributions received by the unitholder for those units would be fully taxable;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these distributions would appear to be ordinary income. </w:t>
      </w:r>
    </w:p>
    <w:p>
      <w:pPr>
        <w:pStyle w:val="TextBody"/>
        <w:rPr/>
      </w:pPr>
      <w:r>
        <w:rPr/>
        <w:t>        </w:t>
      </w:r>
      <w:r>
        <w:rPr>
          <w:sz w:val="20"/>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 </w:t>
      </w:r>
    </w:p>
    <w:p>
      <w:pPr>
        <w:pStyle w:val="TextBody"/>
        <w:rPr/>
      </w:pPr>
      <w:r>
        <w:rPr/>
        <w:t>        </w:t>
      </w:r>
      <w:r>
        <w:rPr>
          <w:i/>
          <w:sz w:val="20"/>
        </w:rPr>
        <w:t>Alternative Minimum Tax.</w:t>
      </w:r>
      <w:r>
        <w:rPr/>
        <w:t>    </w:t>
      </w:r>
      <w:r>
        <w:rPr>
          <w:sz w:val="20"/>
        </w:rPr>
        <w:t xml:space="preserve">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rPr/>
      </w:pPr>
      <w:r>
        <w:rPr/>
        <w:t>        </w:t>
      </w:r>
      <w:r>
        <w:rPr>
          <w:i/>
          <w:sz w:val="20"/>
        </w:rPr>
        <w:t>Tax Rates.</w:t>
      </w:r>
      <w:r>
        <w:rPr/>
        <w:t>    </w:t>
      </w:r>
      <w:r>
        <w:rPr>
          <w:sz w:val="20"/>
        </w:rPr>
        <w:t xml:space="preserve">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jc w:val="center"/>
        <w:rPr>
          <w:sz w:val="20"/>
        </w:rPr>
      </w:pPr>
      <w:r>
        <w:rPr>
          <w:sz w:val="20"/>
        </w:rPr>
        <w:t>37</w:t>
      </w:r>
    </w:p>
    <w:p>
      <w:pPr>
        <w:pStyle w:val="HorizontalLine"/>
        <w:pBdr>
          <w:bottom w:val="single" w:sz="20" w:space="0" w:color="808080"/>
        </w:pBdr>
        <w:rPr/>
      </w:pPr>
      <w:r>
        <w:rPr/>
      </w:r>
      <w:r>
        <w:br w:type="page"/>
      </w:r>
    </w:p>
    <w:p>
      <w:pPr>
        <w:pStyle w:val="TextBody"/>
        <w:rPr/>
      </w:pPr>
      <w:r>
        <w:rPr/>
      </w:r>
      <w:bookmarkStart w:id="148" w:name="page_eo1181_1_38"/>
      <w:bookmarkStart w:id="149" w:name="page_eo1181_1_38"/>
      <w:bookmarkEnd w:id="149"/>
    </w:p>
    <w:p>
      <w:pPr>
        <w:pStyle w:val="TextBody"/>
        <w:rPr/>
      </w:pPr>
      <w:r>
        <w:rPr/>
        <w:t>        </w:t>
      </w:r>
      <w:r>
        <w:rPr>
          <w:i/>
          <w:sz w:val="20"/>
        </w:rPr>
        <w:t>Section 754 Election.</w:t>
      </w:r>
      <w:r>
        <w:rPr/>
        <w:t>    </w:t>
      </w:r>
      <w:r>
        <w:rPr>
          <w:sz w:val="20"/>
        </w:rPr>
        <w:t xml:space="preserve">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rPr/>
      </w:pPr>
      <w:r>
        <w:rPr/>
        <w:t>        </w:t>
      </w:r>
      <w:r>
        <w:rPr>
          <w:sz w:val="20"/>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 </w:t>
      </w:r>
    </w:p>
    <w:p>
      <w:pPr>
        <w:pStyle w:val="TextBody"/>
        <w:rPr/>
      </w:pPr>
      <w:r>
        <w:rPr/>
        <w:t>        </w:t>
      </w:r>
      <w:r>
        <w:rPr>
          <w:sz w:val="20"/>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rPr/>
      </w:pPr>
      <w:r>
        <w:rPr/>
        <w:t>        </w:t>
      </w:r>
      <w:r>
        <w:rPr>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rPr/>
      </w:pPr>
      <w:r>
        <w:rPr/>
        <w:t>        </w:t>
      </w:r>
      <w:r>
        <w:rPr>
          <w:sz w:val="20"/>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w:t>
      </w:r>
    </w:p>
    <w:p>
      <w:pPr>
        <w:pStyle w:val="TextBody"/>
        <w:jc w:val="center"/>
        <w:rPr>
          <w:sz w:val="20"/>
        </w:rPr>
      </w:pPr>
      <w:r>
        <w:rPr>
          <w:sz w:val="20"/>
        </w:rPr>
        <w:t>38</w:t>
      </w:r>
    </w:p>
    <w:p>
      <w:pPr>
        <w:pStyle w:val="HorizontalLine"/>
        <w:pBdr>
          <w:bottom w:val="single" w:sz="20" w:space="0" w:color="808080"/>
        </w:pBdr>
        <w:rPr/>
      </w:pPr>
      <w:r>
        <w:rPr/>
      </w:r>
      <w:r>
        <w:br w:type="page"/>
      </w:r>
    </w:p>
    <w:p>
      <w:pPr>
        <w:pStyle w:val="TextBody"/>
        <w:rPr/>
      </w:pPr>
      <w:r>
        <w:rPr/>
      </w:r>
      <w:bookmarkStart w:id="150" w:name="page_eo1181_1_39"/>
      <w:bookmarkStart w:id="151" w:name="page_eo1181_1_39"/>
      <w:bookmarkEnd w:id="151"/>
    </w:p>
    <w:p>
      <w:pPr>
        <w:pStyle w:val="TextBody"/>
        <w:rPr>
          <w:sz w:val="20"/>
        </w:rPr>
      </w:pPr>
      <w:r>
        <w:rPr>
          <w:sz w:val="20"/>
        </w:rPr>
        <w:t xml:space="preserve">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rPr>
          <w:b/>
          <w:sz w:val="20"/>
        </w:rPr>
      </w:pPr>
      <w:r>
        <w:rPr>
          <w:b/>
          <w:sz w:val="20"/>
        </w:rPr>
        <w:t xml:space="preserve">Tax Treatment of Operations </w:t>
      </w:r>
    </w:p>
    <w:p>
      <w:pPr>
        <w:pStyle w:val="TextBody"/>
        <w:rPr/>
      </w:pPr>
      <w:r>
        <w:rPr/>
        <w:t>        </w:t>
      </w:r>
      <w:r>
        <w:rPr>
          <w:i/>
          <w:sz w:val="20"/>
        </w:rPr>
        <w:t>Accounting Method and Taxable Year.</w:t>
      </w:r>
      <w:r>
        <w:rPr/>
        <w:t>    </w:t>
      </w:r>
      <w:r>
        <w:rPr>
          <w:sz w:val="20"/>
        </w:rPr>
        <w:t xml:space="preserve">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 </w:t>
      </w:r>
    </w:p>
    <w:p>
      <w:pPr>
        <w:pStyle w:val="TextBody"/>
        <w:rPr/>
      </w:pPr>
      <w:r>
        <w:rPr/>
        <w:t>        </w:t>
      </w:r>
      <w:r>
        <w:rPr>
          <w:i/>
          <w:sz w:val="20"/>
        </w:rPr>
        <w:t>Initial Tax Basis, Depreciation and Amortization.</w:t>
      </w:r>
      <w:r>
        <w:rPr/>
        <w:t>    </w:t>
      </w:r>
      <w:r>
        <w:rPr>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 </w:t>
      </w:r>
    </w:p>
    <w:p>
      <w:pPr>
        <w:pStyle w:val="TextBody"/>
        <w:rPr/>
      </w:pPr>
      <w:r>
        <w:rPr/>
        <w:t>        </w:t>
      </w:r>
      <w:r>
        <w:rPr>
          <w:sz w:val="20"/>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rPr/>
      </w:pPr>
      <w:r>
        <w:rPr/>
        <w:t>        </w:t>
      </w:r>
      <w:r>
        <w:rPr>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 </w:t>
      </w:r>
    </w:p>
    <w:p>
      <w:pPr>
        <w:pStyle w:val="TextBody"/>
        <w:rPr/>
      </w:pPr>
      <w:r>
        <w:rPr/>
        <w:t>        </w:t>
      </w:r>
      <w:r>
        <w:rPr>
          <w:sz w:val="20"/>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rPr/>
      </w:pPr>
      <w:r>
        <w:rPr/>
        <w:t>        </w:t>
      </w:r>
      <w:r>
        <w:rPr>
          <w:i/>
          <w:sz w:val="20"/>
        </w:rPr>
        <w:t>Valuation and Tax Basis of Our Properties.</w:t>
      </w:r>
      <w:r>
        <w:rPr/>
        <w:t>    </w:t>
      </w:r>
      <w:r>
        <w:rPr>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jc w:val="center"/>
        <w:rPr>
          <w:sz w:val="20"/>
        </w:rPr>
      </w:pPr>
      <w:r>
        <w:rPr>
          <w:sz w:val="20"/>
        </w:rPr>
        <w:t>39</w:t>
      </w:r>
    </w:p>
    <w:p>
      <w:pPr>
        <w:pStyle w:val="HorizontalLine"/>
        <w:pBdr>
          <w:bottom w:val="single" w:sz="20" w:space="0" w:color="808080"/>
        </w:pBdr>
        <w:rPr/>
      </w:pPr>
      <w:r>
        <w:rPr/>
      </w:r>
      <w:r>
        <w:br w:type="page"/>
      </w:r>
    </w:p>
    <w:p>
      <w:pPr>
        <w:pStyle w:val="TextBody"/>
        <w:rPr/>
      </w:pPr>
      <w:r>
        <w:rPr/>
      </w:r>
      <w:bookmarkStart w:id="152" w:name="page_eo1181_1_40"/>
      <w:bookmarkStart w:id="153" w:name="page_eo1181_1_40"/>
      <w:bookmarkEnd w:id="153"/>
    </w:p>
    <w:p>
      <w:pPr>
        <w:pStyle w:val="TextBody"/>
        <w:rPr>
          <w:b/>
          <w:sz w:val="20"/>
        </w:rPr>
      </w:pPr>
      <w:r>
        <w:rPr>
          <w:b/>
          <w:sz w:val="20"/>
        </w:rPr>
        <w:t xml:space="preserve">Disposition of Common Units </w:t>
      </w:r>
    </w:p>
    <w:p>
      <w:pPr>
        <w:pStyle w:val="TextBody"/>
        <w:rPr/>
      </w:pPr>
      <w:r>
        <w:rPr/>
        <w:t>        </w:t>
      </w:r>
      <w:r>
        <w:rPr>
          <w:i/>
          <w:sz w:val="20"/>
        </w:rPr>
        <w:t>Recognition of Gain or Loss.</w:t>
      </w:r>
      <w:r>
        <w:rPr/>
        <w:t>    </w:t>
      </w:r>
      <w:r>
        <w:rPr>
          <w:sz w:val="20"/>
        </w:rPr>
        <w:t xml:space="preserve">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rPr/>
      </w:pPr>
      <w:r>
        <w:rPr/>
        <w:t>        </w:t>
      </w:r>
      <w:r>
        <w:rPr>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rPr/>
      </w:pPr>
      <w:r>
        <w:rPr/>
        <w:t>        </w:t>
      </w:r>
      <w:r>
        <w:rPr>
          <w:sz w:val="20"/>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w:t>
      </w:r>
    </w:p>
    <w:p>
      <w:pPr>
        <w:pStyle w:val="TextBody"/>
        <w:rPr/>
      </w:pPr>
      <w:r>
        <w:rPr/>
        <w:t>        </w:t>
      </w:r>
      <w:r>
        <w:rPr>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rPr/>
      </w:pPr>
      <w:r>
        <w:rPr/>
        <w:t>        </w:t>
      </w:r>
      <w:r>
        <w:rPr>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short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futures or forward contract with respect to the partnership interest or substantially identical property. </w:t>
      </w:r>
    </w:p>
    <w:p>
      <w:pPr>
        <w:pStyle w:val="TextBody"/>
        <w:rPr/>
      </w:pPr>
      <w:r>
        <w:rPr/>
        <w:t>        </w:t>
      </w:r>
      <w:r>
        <w:rPr>
          <w:sz w:val="20"/>
        </w:rPr>
        <w:t xml:space="preserve">Moreover, if a taxpayer has previously entered into a short sale, an offsetting notional principal contract or a futures or forward contract with respect to the partnership interest, the taxpayer will be </w:t>
      </w:r>
    </w:p>
    <w:p>
      <w:pPr>
        <w:pStyle w:val="TextBody"/>
        <w:jc w:val="center"/>
        <w:rPr>
          <w:sz w:val="20"/>
        </w:rPr>
      </w:pPr>
      <w:r>
        <w:rPr>
          <w:sz w:val="20"/>
        </w:rPr>
        <w:t>40</w:t>
      </w:r>
    </w:p>
    <w:p>
      <w:pPr>
        <w:pStyle w:val="HorizontalLine"/>
        <w:pBdr>
          <w:bottom w:val="single" w:sz="20" w:space="0" w:color="808080"/>
        </w:pBdr>
        <w:rPr/>
      </w:pPr>
      <w:r>
        <w:rPr/>
      </w:r>
      <w:r>
        <w:br w:type="page"/>
      </w:r>
    </w:p>
    <w:p>
      <w:pPr>
        <w:pStyle w:val="TextBody"/>
        <w:rPr/>
      </w:pPr>
      <w:r>
        <w:rPr/>
      </w:r>
      <w:bookmarkStart w:id="154" w:name="page_eo1181_1_41"/>
      <w:bookmarkStart w:id="155" w:name="page_eo1181_1_41"/>
      <w:bookmarkEnd w:id="155"/>
    </w:p>
    <w:p>
      <w:pPr>
        <w:pStyle w:val="TextBody"/>
        <w:rPr>
          <w:sz w:val="20"/>
        </w:rPr>
      </w:pPr>
      <w:r>
        <w:rPr>
          <w:sz w:val="20"/>
        </w:rPr>
        <w:t xml:space="preserve">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rPr/>
      </w:pPr>
      <w:r>
        <w:rPr/>
        <w:t>        </w:t>
      </w:r>
      <w:r>
        <w:rPr>
          <w:i/>
          <w:sz w:val="20"/>
        </w:rPr>
        <w:t>Allocations Between Transferors and Transferees.</w:t>
      </w:r>
      <w:r>
        <w:rPr/>
        <w:t>    </w:t>
      </w:r>
      <w:r>
        <w:rPr>
          <w:sz w:val="20"/>
        </w:rPr>
        <w:t xml:space="preserve">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rPr/>
      </w:pPr>
      <w:r>
        <w:rPr/>
        <w:t>        </w:t>
      </w:r>
      <w:r>
        <w:rPr>
          <w:sz w:val="20"/>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rPr/>
      </w:pPr>
      <w:r>
        <w:rPr/>
        <w:t>        </w:t>
      </w:r>
      <w:r>
        <w:rPr>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rPr/>
      </w:pPr>
      <w:r>
        <w:rPr/>
        <w:t>        </w:t>
      </w:r>
      <w:r>
        <w:rPr>
          <w:i/>
          <w:sz w:val="20"/>
        </w:rPr>
        <w:t>Notification Requirements.</w:t>
      </w:r>
      <w:r>
        <w:rPr/>
        <w:t>    </w:t>
      </w:r>
      <w:r>
        <w:rPr>
          <w:sz w:val="20"/>
        </w:rPr>
        <w:t xml:space="preserve">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rPr/>
      </w:pPr>
      <w:r>
        <w:rPr/>
        <w:t>        </w:t>
      </w:r>
      <w:r>
        <w:rPr>
          <w:i/>
          <w:sz w:val="20"/>
        </w:rPr>
        <w:t>Constructive Termination.</w:t>
      </w:r>
      <w:r>
        <w:rPr/>
        <w:t>    </w:t>
      </w:r>
      <w:r>
        <w:rPr>
          <w:sz w:val="20"/>
        </w:rPr>
        <w:t xml:space="preserve">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rPr>
          <w:b/>
          <w:sz w:val="20"/>
        </w:rPr>
      </w:pPr>
      <w:r>
        <w:rPr>
          <w:b/>
          <w:sz w:val="20"/>
        </w:rPr>
        <w:t xml:space="preserve">Uniformity of Units </w:t>
      </w:r>
    </w:p>
    <w:p>
      <w:pPr>
        <w:pStyle w:val="TextBody"/>
        <w:rPr/>
      </w:pPr>
      <w:r>
        <w:rPr/>
        <w:t>        </w:t>
      </w:r>
      <w:r>
        <w:rPr>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 </w:t>
      </w:r>
    </w:p>
    <w:p>
      <w:pPr>
        <w:pStyle w:val="TextBody"/>
        <w:jc w:val="center"/>
        <w:rPr>
          <w:sz w:val="20"/>
        </w:rPr>
      </w:pPr>
      <w:r>
        <w:rPr>
          <w:sz w:val="20"/>
        </w:rPr>
        <w:t>41</w:t>
      </w:r>
    </w:p>
    <w:p>
      <w:pPr>
        <w:pStyle w:val="HorizontalLine"/>
        <w:pBdr>
          <w:bottom w:val="single" w:sz="20" w:space="0" w:color="808080"/>
        </w:pBdr>
        <w:rPr/>
      </w:pPr>
      <w:r>
        <w:rPr/>
      </w:r>
      <w:r>
        <w:br w:type="page"/>
      </w:r>
    </w:p>
    <w:p>
      <w:pPr>
        <w:pStyle w:val="TextBody"/>
        <w:rPr/>
      </w:pPr>
      <w:r>
        <w:rPr/>
      </w:r>
      <w:bookmarkStart w:id="156" w:name="page_eo1181_1_42"/>
      <w:bookmarkStart w:id="157" w:name="page_eo1181_1_42"/>
      <w:bookmarkEnd w:id="157"/>
    </w:p>
    <w:p>
      <w:pPr>
        <w:pStyle w:val="TextBody"/>
        <w:rPr/>
      </w:pPr>
      <w:r>
        <w:rPr/>
        <w:t>        </w:t>
      </w:r>
      <w:r>
        <w:rPr>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w:t>
      </w:r>
    </w:p>
    <w:p>
      <w:pPr>
        <w:pStyle w:val="TextBody"/>
        <w:rPr>
          <w:b/>
          <w:sz w:val="20"/>
        </w:rPr>
      </w:pPr>
      <w:r>
        <w:rPr>
          <w:b/>
          <w:sz w:val="20"/>
        </w:rPr>
        <w:t xml:space="preserve">Tax-Exempt Organizations and Other Investors </w:t>
      </w:r>
    </w:p>
    <w:p>
      <w:pPr>
        <w:pStyle w:val="TextBody"/>
        <w:rPr/>
      </w:pPr>
      <w:r>
        <w:rPr/>
        <w:t>        </w:t>
      </w:r>
      <w:r>
        <w:rPr>
          <w:sz w:val="20"/>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rPr/>
      </w:pPr>
      <w:r>
        <w:rPr/>
        <w:t>        </w:t>
      </w:r>
      <w:r>
        <w:rPr>
          <w:sz w:val="20"/>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rPr/>
      </w:pPr>
      <w:r>
        <w:rPr/>
        <w:t>        </w:t>
      </w:r>
      <w:r>
        <w:rPr>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jc w:val="center"/>
        <w:rPr>
          <w:sz w:val="20"/>
        </w:rPr>
      </w:pPr>
      <w:r>
        <w:rPr>
          <w:sz w:val="20"/>
        </w:rPr>
        <w:t>42</w:t>
      </w:r>
    </w:p>
    <w:p>
      <w:pPr>
        <w:pStyle w:val="HorizontalLine"/>
        <w:pBdr>
          <w:bottom w:val="single" w:sz="20" w:space="0" w:color="808080"/>
        </w:pBdr>
        <w:rPr/>
      </w:pPr>
      <w:r>
        <w:rPr/>
      </w:r>
      <w:r>
        <w:br w:type="page"/>
      </w:r>
    </w:p>
    <w:p>
      <w:pPr>
        <w:pStyle w:val="TextBody"/>
        <w:rPr/>
      </w:pPr>
      <w:r>
        <w:rPr/>
      </w:r>
      <w:bookmarkStart w:id="158" w:name="page_eo1181_1_43"/>
      <w:bookmarkStart w:id="159" w:name="page_eo1181_1_43"/>
      <w:bookmarkEnd w:id="159"/>
    </w:p>
    <w:p>
      <w:pPr>
        <w:pStyle w:val="TextBody"/>
        <w:rPr/>
      </w:pPr>
      <w:r>
        <w:rPr/>
        <w:t>        </w:t>
      </w:r>
      <w:r>
        <w:rPr>
          <w:sz w:val="20"/>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rPr/>
      </w:pPr>
      <w:r>
        <w:rPr/>
        <w:t>        </w:t>
      </w:r>
      <w:r>
        <w:rPr>
          <w:sz w:val="20"/>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rPr>
          <w:b/>
          <w:sz w:val="20"/>
        </w:rPr>
      </w:pPr>
      <w:r>
        <w:rPr>
          <w:b/>
          <w:sz w:val="20"/>
        </w:rPr>
        <w:t xml:space="preserve">Administrative Matters </w:t>
      </w:r>
    </w:p>
    <w:p>
      <w:pPr>
        <w:pStyle w:val="TextBody"/>
        <w:rPr/>
      </w:pPr>
      <w:r>
        <w:rPr/>
        <w:t>        </w:t>
      </w:r>
      <w:r>
        <w:rPr>
          <w:i/>
          <w:sz w:val="20"/>
        </w:rPr>
        <w:t>Information Returns and Audit Procedures.</w:t>
      </w:r>
      <w:r>
        <w:rPr/>
        <w:t>    </w:t>
      </w:r>
      <w:r>
        <w:rPr>
          <w:sz w:val="20"/>
        </w:rPr>
        <w:t xml:space="preserve">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rPr/>
      </w:pPr>
      <w:r>
        <w:rPr/>
        <w:t>        </w:t>
      </w:r>
      <w:r>
        <w:rPr>
          <w:sz w:val="20"/>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rPr/>
      </w:pPr>
      <w:r>
        <w:rPr/>
        <w:t>        </w:t>
      </w:r>
      <w:r>
        <w:rPr>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rPr/>
      </w:pPr>
      <w:r>
        <w:rPr/>
        <w:t>        </w:t>
      </w:r>
      <w:r>
        <w:rPr>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jc w:val="center"/>
        <w:rPr>
          <w:sz w:val="20"/>
        </w:rPr>
      </w:pPr>
      <w:r>
        <w:rPr>
          <w:sz w:val="20"/>
        </w:rPr>
        <w:t>43</w:t>
      </w:r>
    </w:p>
    <w:p>
      <w:pPr>
        <w:pStyle w:val="HorizontalLine"/>
        <w:pBdr>
          <w:bottom w:val="single" w:sz="20" w:space="0" w:color="808080"/>
        </w:pBdr>
        <w:rPr/>
      </w:pPr>
      <w:r>
        <w:rPr/>
      </w:r>
      <w:r>
        <w:br w:type="page"/>
      </w:r>
    </w:p>
    <w:p>
      <w:pPr>
        <w:pStyle w:val="TextBody"/>
        <w:rPr/>
      </w:pPr>
      <w:r>
        <w:rPr/>
      </w:r>
      <w:bookmarkStart w:id="160" w:name="page_eo1181_1_44"/>
      <w:bookmarkStart w:id="161" w:name="page_eo1181_1_44"/>
      <w:bookmarkEnd w:id="161"/>
    </w:p>
    <w:p>
      <w:pPr>
        <w:pStyle w:val="TextBody"/>
        <w:rPr/>
      </w:pPr>
      <w:r>
        <w:rPr/>
        <w:t>        </w:t>
      </w:r>
      <w:r>
        <w:rPr>
          <w:sz w:val="20"/>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rPr/>
      </w:pPr>
      <w:r>
        <w:rPr/>
        <w:t>        </w:t>
      </w:r>
      <w:r>
        <w:rPr>
          <w:i/>
          <w:sz w:val="20"/>
        </w:rPr>
        <w:t>Nominee Reporting.</w:t>
      </w:r>
      <w:r>
        <w:rPr/>
        <w:t>    </w:t>
      </w:r>
      <w:r>
        <w:rPr>
          <w:sz w:val="20"/>
        </w:rPr>
        <w:t xml:space="preserve">Persons who hold an interest in us as a nominee for another person are required to furnish to 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name, address and taxpayer identification number of the beneficial owner and the nominee;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beneficial owner is a person that is not a United States person,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foreign government, an international organization or any wholly owned agency or instrumentality of either of the foregoing,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tax-exempt entity;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and description of units held, acquired or transferred for the beneficial owner;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specific information including the dates of acquisitions and transfers, means of acquisitions and transfers, and acquisition cost for purchases, as well as the amount of net proceeds from sales. </w:t>
      </w:r>
    </w:p>
    <w:p>
      <w:pPr>
        <w:pStyle w:val="TextBody"/>
        <w:rPr/>
      </w:pPr>
      <w:r>
        <w:rPr/>
        <w:t>        </w:t>
      </w:r>
      <w:r>
        <w:rPr>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rPr/>
      </w:pPr>
      <w:r>
        <w:rPr/>
        <w:t>        </w:t>
      </w:r>
      <w:r>
        <w:rPr>
          <w:i/>
          <w:sz w:val="20"/>
        </w:rPr>
        <w:t>Accuracy-related Penalties.</w:t>
      </w:r>
      <w:r>
        <w:rPr/>
        <w:t>    </w:t>
      </w:r>
      <w:r>
        <w:rPr>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rPr/>
      </w:pPr>
      <w:r>
        <w:rPr/>
        <w:t>        </w:t>
      </w:r>
      <w:r>
        <w:rPr>
          <w:sz w:val="20"/>
        </w:rPr>
        <w:t xml:space="preserve">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which there is, or was, "substantial authority,"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 to which there is a reasonable basis and the pertinent facts of that position are disclosed on the return. </w:t>
      </w:r>
    </w:p>
    <w:p>
      <w:pPr>
        <w:pStyle w:val="TextBody"/>
        <w:rPr/>
      </w:pPr>
      <w:r>
        <w:rPr/>
        <w:t>        </w:t>
      </w:r>
      <w:r>
        <w:rPr>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rPr/>
      </w:pPr>
      <w:r>
        <w:rPr/>
        <w:t>        </w:t>
      </w:r>
      <w:r>
        <w:rPr>
          <w:sz w:val="20"/>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jc w:val="center"/>
        <w:rPr>
          <w:sz w:val="20"/>
        </w:rPr>
      </w:pPr>
      <w:r>
        <w:rPr>
          <w:sz w:val="20"/>
        </w:rPr>
        <w:t>44</w:t>
      </w:r>
    </w:p>
    <w:p>
      <w:pPr>
        <w:pStyle w:val="HorizontalLine"/>
        <w:pBdr>
          <w:bottom w:val="single" w:sz="20" w:space="0" w:color="808080"/>
        </w:pBdr>
        <w:rPr/>
      </w:pPr>
      <w:r>
        <w:rPr/>
      </w:r>
      <w:r>
        <w:br w:type="page"/>
      </w:r>
    </w:p>
    <w:p>
      <w:pPr>
        <w:pStyle w:val="TextBody"/>
        <w:rPr/>
      </w:pPr>
      <w:r>
        <w:rPr/>
      </w:r>
      <w:bookmarkStart w:id="162" w:name="page_eo1181_1_45"/>
      <w:bookmarkStart w:id="163" w:name="page_eo1181_1_45"/>
      <w:bookmarkEnd w:id="163"/>
    </w:p>
    <w:p>
      <w:pPr>
        <w:pStyle w:val="TextBody"/>
        <w:rPr/>
      </w:pPr>
      <w:r>
        <w:rPr/>
        <w:t>        </w:t>
      </w:r>
      <w:r>
        <w:rPr>
          <w:i/>
          <w:sz w:val="20"/>
        </w:rPr>
        <w:t>Reportable Transactions.</w:t>
      </w:r>
      <w:r>
        <w:rPr/>
        <w:t>    </w:t>
      </w:r>
      <w:r>
        <w:rPr>
          <w:sz w:val="20"/>
        </w:rPr>
        <w:t xml:space="preserve">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 </w:t>
      </w:r>
    </w:p>
    <w:p>
      <w:pPr>
        <w:pStyle w:val="TextBody"/>
        <w:rPr/>
      </w:pPr>
      <w:r>
        <w:rPr/>
        <w:t>        </w:t>
      </w:r>
      <w:r>
        <w:rPr>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accuracy-related penalties with a broader scope, significantly narrower exceptions, and potentially greater amounts than described above at "Accuracy-related Penalties,"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those persons otherwise entitled to deduct interest on federal tax deficiencies, nondeductibility of interest on any resulting tax liability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 listed transaction, an extended statute of limitations. </w:t>
      </w:r>
    </w:p>
    <w:p>
      <w:pPr>
        <w:pStyle w:val="TextBody"/>
        <w:rPr/>
      </w:pPr>
      <w:r>
        <w:rPr/>
        <w:t>        </w:t>
      </w:r>
      <w:r>
        <w:rPr>
          <w:sz w:val="20"/>
        </w:rPr>
        <w:t xml:space="preserve">We do not expect to engage in any "reportable transactions." </w:t>
      </w:r>
    </w:p>
    <w:p>
      <w:pPr>
        <w:pStyle w:val="TextBody"/>
        <w:rPr>
          <w:b/>
          <w:sz w:val="20"/>
        </w:rPr>
      </w:pPr>
      <w:r>
        <w:rPr>
          <w:b/>
          <w:sz w:val="20"/>
        </w:rPr>
        <w:t xml:space="preserve">State, Local and Other Tax Considerations </w:t>
      </w:r>
    </w:p>
    <w:p>
      <w:pPr>
        <w:pStyle w:val="TextBody"/>
        <w:rPr/>
      </w:pPr>
      <w:r>
        <w:rPr/>
        <w:t>        </w:t>
      </w:r>
      <w:r>
        <w:rPr>
          <w:sz w:val="20"/>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 </w:t>
      </w:r>
    </w:p>
    <w:p>
      <w:pPr>
        <w:pStyle w:val="TextBody"/>
        <w:rPr>
          <w:b/>
          <w:sz w:val="20"/>
        </w:rPr>
      </w:pPr>
      <w:r>
        <w:rPr>
          <w:b/>
          <w:sz w:val="20"/>
        </w:rPr>
        <w:t xml:space="preserve">Tax Consequences of Ownership of Debt Securities </w:t>
      </w:r>
    </w:p>
    <w:p>
      <w:pPr>
        <w:pStyle w:val="TextBody"/>
        <w:rPr/>
      </w:pPr>
      <w:r>
        <w:rPr/>
        <w:t>        </w:t>
      </w:r>
      <w:r>
        <w:rPr>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rPr/>
      </w:pPr>
      <w:r>
        <w:rPr/>
        <w:t>        </w:t>
      </w:r>
      <w:r>
        <w:rPr>
          <w:b/>
          <w:sz w:val="20"/>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pStyle w:val="TextBody"/>
        <w:jc w:val="center"/>
        <w:rPr>
          <w:sz w:val="20"/>
        </w:rPr>
      </w:pPr>
      <w:r>
        <w:rPr>
          <w:sz w:val="20"/>
        </w:rPr>
        <w:t>45</w:t>
      </w:r>
    </w:p>
    <w:p>
      <w:pPr>
        <w:pStyle w:val="HorizontalLine"/>
        <w:pBdr>
          <w:bottom w:val="single" w:sz="20" w:space="0" w:color="808080"/>
        </w:pBdr>
        <w:rPr/>
      </w:pPr>
      <w:r>
        <w:rPr/>
      </w:r>
      <w:r>
        <w:br w:type="page"/>
      </w:r>
    </w:p>
    <w:p>
      <w:pPr>
        <w:pStyle w:val="TextBody"/>
        <w:jc w:val="center"/>
        <w:rPr/>
      </w:pPr>
      <w:bookmarkStart w:id="164" w:name="toc_eq1181_1"/>
      <w:bookmarkStart w:id="165" w:name="eq1181_plan_of_distribution"/>
      <w:bookmarkStart w:id="166" w:name="page_eq1181_1_46"/>
      <w:bookmarkEnd w:id="164"/>
      <w:bookmarkEnd w:id="165"/>
      <w:bookmarkEnd w:id="166"/>
      <w:r>
        <w:rPr>
          <w:sz w:val="20"/>
        </w:rPr>
        <w:br/>
      </w:r>
      <w:r>
        <w:rPr>
          <w:b/>
          <w:sz w:val="20"/>
        </w:rPr>
        <w:t xml:space="preserve">PLAN OF DISTRIBUTION </w:t>
      </w:r>
    </w:p>
    <w:p>
      <w:pPr>
        <w:pStyle w:val="TextBody"/>
        <w:rPr/>
      </w:pPr>
      <w:r>
        <w:rPr/>
        <w:t>        </w:t>
      </w:r>
      <w:r>
        <w:rPr>
          <w:sz w:val="20"/>
        </w:rPr>
        <w:t xml:space="preserve">Under this prospectus, we intend to offer our securities to the public: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one or more broker-dealers;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underwriters;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directly to investors. </w:t>
      </w:r>
    </w:p>
    <w:p>
      <w:pPr>
        <w:pStyle w:val="TextBody"/>
        <w:rPr/>
      </w:pPr>
      <w:r>
        <w:rPr/>
        <w:t>        </w:t>
      </w:r>
      <w:r>
        <w:rPr>
          <w:sz w:val="20"/>
        </w:rPr>
        <w:t xml:space="preserve">We will fix a price or prices of our securities at: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at market prices prevailing at the time of any sale under this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prices related to market prices;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negotiated prices. </w:t>
      </w:r>
    </w:p>
    <w:p>
      <w:pPr>
        <w:pStyle w:val="TextBody"/>
        <w:rPr>
          <w:sz w:val="20"/>
        </w:rPr>
      </w:pPr>
      <w:r>
        <w:rPr>
          <w:sz w:val="20"/>
        </w:rPr>
        <w:t xml:space="preserve">We may change the price of the securities offered from time to time. </w:t>
      </w:r>
    </w:p>
    <w:p>
      <w:pPr>
        <w:pStyle w:val="TextBody"/>
        <w:rPr/>
      </w:pPr>
      <w:r>
        <w:rPr/>
        <w:t>        </w:t>
      </w:r>
      <w:r>
        <w:rPr>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or through one or more transactions (which may involve crosses and block transactions) or distributions;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 the New York Stock Exchange;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over-the-counter market;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private transactions. </w:t>
      </w:r>
    </w:p>
    <w:p>
      <w:pPr>
        <w:pStyle w:val="TextBody"/>
        <w:rPr/>
      </w:pPr>
      <w:r>
        <w:rPr/>
        <w:t>        </w:t>
      </w:r>
      <w:r>
        <w:rPr>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rPr/>
      </w:pPr>
      <w:r>
        <w:rPr/>
        <w:t>        </w:t>
      </w:r>
      <w:r>
        <w:rPr>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rPr/>
      </w:pPr>
      <w:r>
        <w:rPr/>
        <w:t>        </w:t>
      </w:r>
      <w:r>
        <w:rPr>
          <w:sz w:val="20"/>
        </w:rPr>
        <w:t xml:space="preserve">To the extent required, this prospectus may be amended or supplemented from time to time to describe a specific plan of distribution. </w:t>
      </w:r>
    </w:p>
    <w:p>
      <w:pPr>
        <w:pStyle w:val="TextBody"/>
        <w:rPr/>
      </w:pPr>
      <w:r>
        <w:rPr/>
        <w:t>        </w:t>
      </w:r>
      <w:r>
        <w:rPr>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w:t>
      </w:r>
    </w:p>
    <w:p>
      <w:pPr>
        <w:pStyle w:val="TextBody"/>
        <w:jc w:val="center"/>
        <w:rPr>
          <w:sz w:val="20"/>
        </w:rPr>
      </w:pPr>
      <w:r>
        <w:rPr>
          <w:sz w:val="20"/>
        </w:rPr>
        <w:t>46</w:t>
      </w:r>
    </w:p>
    <w:p>
      <w:pPr>
        <w:pStyle w:val="HorizontalLine"/>
        <w:pBdr>
          <w:bottom w:val="single" w:sz="20" w:space="0" w:color="808080"/>
        </w:pBdr>
        <w:rPr/>
      </w:pPr>
      <w:r>
        <w:rPr/>
      </w:r>
      <w:r>
        <w:br w:type="page"/>
      </w:r>
    </w:p>
    <w:p>
      <w:pPr>
        <w:pStyle w:val="TextBody"/>
        <w:rPr>
          <w:sz w:val="20"/>
        </w:rPr>
      </w:pPr>
      <w:bookmarkStart w:id="167" w:name="page_eq1181_1_47"/>
      <w:bookmarkEnd w:id="167"/>
      <w:r>
        <w:rPr>
          <w:sz w:val="20"/>
        </w:rPr>
        <w:t xml:space="preserve">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jc w:val="center"/>
        <w:rPr/>
      </w:pPr>
      <w:bookmarkStart w:id="168" w:name="toc_eq1181_2"/>
      <w:bookmarkStart w:id="169" w:name="eq1181_legal_matters"/>
      <w:bookmarkEnd w:id="168"/>
      <w:bookmarkEnd w:id="169"/>
      <w:r>
        <w:rPr>
          <w:sz w:val="20"/>
        </w:rPr>
        <w:br/>
      </w:r>
      <w:r>
        <w:rPr>
          <w:b/>
          <w:sz w:val="20"/>
        </w:rPr>
        <w:t xml:space="preserve">LEGAL MATTERS </w:t>
      </w:r>
    </w:p>
    <w:p>
      <w:pPr>
        <w:pStyle w:val="TextBody"/>
        <w:rPr/>
      </w:pPr>
      <w:r>
        <w:rPr/>
        <w:t>        </w:t>
      </w:r>
      <w:r>
        <w:rPr>
          <w:sz w:val="20"/>
        </w:rPr>
        <w:t xml:space="preserve">Vinson &amp; Elkins L.L.P., Houston, Texas, will pass upon the validity of the securities offered in this registration statement. </w:t>
      </w:r>
    </w:p>
    <w:p>
      <w:pPr>
        <w:pStyle w:val="TextBody"/>
        <w:jc w:val="center"/>
        <w:rPr/>
      </w:pPr>
      <w:bookmarkStart w:id="170" w:name="toc_eq1181_3"/>
      <w:bookmarkStart w:id="171" w:name="eq1181_experts"/>
      <w:bookmarkEnd w:id="170"/>
      <w:bookmarkEnd w:id="171"/>
      <w:r>
        <w:rPr>
          <w:sz w:val="20"/>
        </w:rPr>
        <w:br/>
      </w:r>
      <w:r>
        <w:rPr>
          <w:b/>
          <w:sz w:val="20"/>
        </w:rPr>
        <w:t xml:space="preserve">EXPERTS </w:t>
      </w:r>
    </w:p>
    <w:p>
      <w:pPr>
        <w:pStyle w:val="TextBody"/>
        <w:rPr/>
      </w:pPr>
      <w:r>
        <w:rPr/>
        <w:t>        </w:t>
      </w:r>
      <w:r>
        <w:rPr>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jc w:val="center"/>
        <w:rPr>
          <w:sz w:val="20"/>
        </w:rPr>
      </w:pPr>
      <w:r>
        <w:rPr>
          <w:sz w:val="20"/>
        </w:rPr>
        <w:t>47</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76</Pages>
  <Words>40713</Words>
  <CharactersWithSpaces>258120</CharactersWithSpaces>
  <Paragraphs>1456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