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213360</wp:posOffset>
            </wp:positionH>
            <wp:positionV relativeFrom="page">
              <wp:posOffset>768350</wp:posOffset>
            </wp:positionV>
            <wp:extent cx="7122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694690</wp:posOffset>
            </wp:positionV>
            <wp:extent cx="71221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2160" cy="16510"/>
                    </a:xfrm>
                    <a:prstGeom prst="rect">
                      <a:avLst/>
                    </a:prstGeom>
                    <a:noFill/>
                  </pic:spPr>
                </pic:pic>
              </a:graphicData>
            </a:graphic>
          </wp:anchor>
        </w:drawing>
        <w:t>UNITED STATES</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7"/>
          <w:szCs w:val="17"/>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FORM 8-K</w:t>
      </w: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CURRENT REPORT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 xml:space="preserve">Date of Report (Date of earliest event reported) — </w:t>
      </w:r>
      <w:r>
        <w:rPr>
          <w:rFonts w:ascii="Arial" w:cs="Arial" w:eastAsia="Arial" w:hAnsi="Arial"/>
          <w:sz w:val="17"/>
          <w:szCs w:val="17"/>
          <w:b w:val="1"/>
          <w:bCs w:val="1"/>
          <w:color w:val="auto"/>
        </w:rPr>
        <w:t>May 4, 2021</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Plains All American Pipeline, L.P.</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200"/>
          </w:cols>
          <w:pgMar w:left="320" w:top="1362" w:right="379" w:bottom="1440" w:gutter="0" w:footer="0" w:header="0"/>
        </w:sectPr>
      </w:pPr>
    </w:p>
    <w:p>
      <w:pPr>
        <w:spacing w:after="0" w:line="29" w:lineRule="exact"/>
        <w:rPr>
          <w:sz w:val="24"/>
          <w:szCs w:val="24"/>
          <w:color w:val="auto"/>
        </w:rPr>
      </w:pPr>
    </w:p>
    <w:p>
      <w:pPr>
        <w:jc w:val="center"/>
        <w:ind w:left="320"/>
        <w:spacing w:after="0"/>
        <w:rPr>
          <w:sz w:val="20"/>
          <w:szCs w:val="20"/>
          <w:color w:val="auto"/>
        </w:rPr>
      </w:pPr>
      <w:r>
        <w:rPr>
          <w:rFonts w:ascii="Arial" w:cs="Arial" w:eastAsia="Arial" w:hAnsi="Arial"/>
          <w:sz w:val="17"/>
          <w:szCs w:val="17"/>
          <w:b w:val="1"/>
          <w:bCs w:val="1"/>
          <w:color w:val="auto"/>
        </w:rPr>
        <w:t>Delaware</w:t>
      </w:r>
    </w:p>
    <w:p>
      <w:pPr>
        <w:spacing w:after="0" w:line="30" w:lineRule="exact"/>
        <w:rPr>
          <w:sz w:val="24"/>
          <w:szCs w:val="24"/>
          <w:color w:val="auto"/>
        </w:rPr>
      </w:pPr>
    </w:p>
    <w:p>
      <w:pPr>
        <w:jc w:val="center"/>
        <w:ind w:left="32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jc w:val="center"/>
        <w:ind w:right="640"/>
        <w:spacing w:after="0"/>
        <w:rPr>
          <w:sz w:val="20"/>
          <w:szCs w:val="20"/>
          <w:color w:val="auto"/>
        </w:rPr>
      </w:pPr>
      <w:r>
        <w:rPr>
          <w:rFonts w:ascii="Arial" w:cs="Arial" w:eastAsia="Arial" w:hAnsi="Arial"/>
          <w:sz w:val="17"/>
          <w:szCs w:val="17"/>
          <w:b w:val="1"/>
          <w:bCs w:val="1"/>
          <w:color w:val="auto"/>
        </w:rPr>
        <w:t>1-14569</w:t>
      </w:r>
    </w:p>
    <w:p>
      <w:pPr>
        <w:spacing w:after="0" w:line="30" w:lineRule="exact"/>
        <w:rPr>
          <w:sz w:val="24"/>
          <w:szCs w:val="24"/>
          <w:color w:val="auto"/>
        </w:rPr>
      </w:pPr>
    </w:p>
    <w:p>
      <w:pPr>
        <w:jc w:val="center"/>
        <w:ind w:right="64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jc w:val="center"/>
        <w:ind w:right="900"/>
        <w:spacing w:after="0"/>
        <w:rPr>
          <w:sz w:val="20"/>
          <w:szCs w:val="20"/>
          <w:color w:val="auto"/>
        </w:rPr>
      </w:pPr>
      <w:r>
        <w:rPr>
          <w:rFonts w:ascii="Arial" w:cs="Arial" w:eastAsia="Arial" w:hAnsi="Arial"/>
          <w:sz w:val="17"/>
          <w:szCs w:val="17"/>
          <w:b w:val="1"/>
          <w:bCs w:val="1"/>
          <w:color w:val="auto"/>
        </w:rPr>
        <w:t>76-0582150</w:t>
      </w:r>
    </w:p>
    <w:p>
      <w:pPr>
        <w:spacing w:after="0" w:line="30" w:lineRule="exact"/>
        <w:rPr>
          <w:sz w:val="24"/>
          <w:szCs w:val="24"/>
          <w:color w:val="auto"/>
        </w:rPr>
      </w:pPr>
    </w:p>
    <w:p>
      <w:pPr>
        <w:jc w:val="center"/>
        <w:ind w:right="900"/>
        <w:spacing w:after="0"/>
        <w:rPr>
          <w:sz w:val="20"/>
          <w:szCs w:val="20"/>
          <w:color w:val="auto"/>
        </w:rPr>
      </w:pPr>
      <w:r>
        <w:rPr>
          <w:rFonts w:ascii="Arial" w:cs="Arial" w:eastAsia="Arial" w:hAnsi="Arial"/>
          <w:sz w:val="16"/>
          <w:szCs w:val="16"/>
          <w:color w:val="auto"/>
        </w:rPr>
        <w:t>(IRS Employer Identification No.)</w:t>
      </w:r>
    </w:p>
    <w:p>
      <w:pPr>
        <w:spacing w:after="0" w:line="5" w:lineRule="exact"/>
        <w:rPr>
          <w:sz w:val="24"/>
          <w:szCs w:val="24"/>
          <w:color w:val="auto"/>
        </w:rPr>
      </w:pPr>
    </w:p>
    <w:p>
      <w:pPr>
        <w:sectPr>
          <w:pgSz w:w="11900" w:h="16838" w:orient="portrait"/>
          <w:cols w:equalWidth="0" w:num="3">
            <w:col w:w="3940" w:space="720"/>
            <w:col w:w="2540" w:space="720"/>
            <w:col w:w="3280"/>
          </w:cols>
          <w:pgMar w:left="320" w:top="1362" w:right="379" w:bottom="1440" w:gutter="0" w:footer="0" w:header="0"/>
          <w:type w:val="continuous"/>
        </w:sectPr>
      </w:pPr>
    </w:p>
    <w:p>
      <w:pPr>
        <w:ind w:left="1640"/>
        <w:spacing w:after="0"/>
        <w:rPr>
          <w:sz w:val="20"/>
          <w:szCs w:val="20"/>
          <w:color w:val="auto"/>
        </w:rPr>
      </w:pPr>
      <w:r>
        <w:rPr>
          <w:rFonts w:ascii="Arial" w:cs="Arial" w:eastAsia="Arial" w:hAnsi="Arial"/>
          <w:sz w:val="17"/>
          <w:szCs w:val="17"/>
          <w:color w:val="auto"/>
        </w:rPr>
        <w:t>incorporation)</w:t>
      </w:r>
    </w:p>
    <w:p>
      <w:pPr>
        <w:spacing w:after="0" w:line="305" w:lineRule="exact"/>
        <w:rPr>
          <w:sz w:val="24"/>
          <w:szCs w:val="24"/>
          <w:color w:val="auto"/>
        </w:rPr>
      </w:pPr>
    </w:p>
    <w:p>
      <w:pPr>
        <w:ind w:left="3800"/>
        <w:spacing w:after="0"/>
        <w:rPr>
          <w:sz w:val="20"/>
          <w:szCs w:val="20"/>
          <w:color w:val="auto"/>
        </w:rPr>
      </w:pPr>
      <w:r>
        <w:rPr>
          <w:rFonts w:ascii="Arial" w:cs="Arial" w:eastAsia="Arial" w:hAnsi="Arial"/>
          <w:sz w:val="15"/>
          <w:szCs w:val="15"/>
          <w:b w:val="1"/>
          <w:bCs w:val="1"/>
          <w:color w:val="auto"/>
        </w:rPr>
        <w:t>333 Clay Street, Suite 1600, Houston, Texas 77002</w:t>
      </w:r>
    </w:p>
    <w:p>
      <w:pPr>
        <w:spacing w:after="0" w:line="51"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00"/>
          </w:cols>
          <w:pgMar w:left="320" w:top="1362" w:right="379" w:bottom="1440" w:gutter="0" w:footer="0" w:header="0"/>
          <w:type w:val="continuous"/>
        </w:sectPr>
      </w:pPr>
    </w:p>
    <w:p>
      <w:pPr>
        <w:spacing w:after="0" w:line="23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713-646-4100</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(Registrant’s telephone number, including area code)</w:t>
      </w:r>
    </w:p>
    <w:p>
      <w:pPr>
        <w:spacing w:after="0" w:line="232"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43" w:lineRule="exact"/>
        <w:rPr>
          <w:sz w:val="24"/>
          <w:szCs w:val="24"/>
          <w:color w:val="auto"/>
        </w:rPr>
      </w:pPr>
    </w:p>
    <w:p>
      <w:pPr>
        <w:ind w:right="420"/>
        <w:spacing w:after="0" w:line="279"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90" w:lineRule="exact"/>
        <w:rPr>
          <w:sz w:val="24"/>
          <w:szCs w:val="24"/>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42"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42"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42" w:lineRule="exact"/>
        <w:rPr>
          <w:rFonts w:ascii="MS PGothic" w:cs="MS PGothic" w:eastAsia="MS PGothic" w:hAnsi="MS PGothic"/>
          <w:sz w:val="17"/>
          <w:szCs w:val="17"/>
          <w:color w:val="auto"/>
        </w:rPr>
      </w:pPr>
    </w:p>
    <w:p>
      <w:pPr>
        <w:ind w:right="3320" w:firstLine="3"/>
        <w:spacing w:after="0" w:line="558" w:lineRule="auto"/>
        <w:tabs>
          <w:tab w:leader="none" w:pos="202"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 Securities registered pursuant to Section 12(b) of the Act:</w:t>
      </w:r>
    </w:p>
    <w:tbl>
      <w:tblPr>
        <w:tblLayout w:type="fixed"/>
        <w:tblInd w:w="40" w:type="dxa"/>
        <w:tblCellMar>
          <w:top w:w="0" w:type="dxa"/>
          <w:left w:w="0" w:type="dxa"/>
          <w:bottom w:w="0" w:type="dxa"/>
          <w:right w:w="0" w:type="dxa"/>
        </w:tblCellMar>
      </w:tblPr>
      <w:tr>
        <w:trPr>
          <w:trHeight w:val="2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Title of each class</w:t>
            </w:r>
          </w:p>
        </w:tc>
        <w:tc>
          <w:tcPr>
            <w:tcW w:w="100" w:type="dxa"/>
            <w:vAlign w:val="bottom"/>
          </w:tcPr>
          <w:p>
            <w:pPr>
              <w:spacing w:after="0"/>
              <w:rPr>
                <w:sz w:val="19"/>
                <w:szCs w:val="19"/>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Trading Symbol(s)</w:t>
            </w:r>
          </w:p>
        </w:tc>
        <w:tc>
          <w:tcPr>
            <w:tcW w:w="100" w:type="dxa"/>
            <w:vAlign w:val="bottom"/>
          </w:tcPr>
          <w:p>
            <w:pPr>
              <w:spacing w:after="0"/>
              <w:rPr>
                <w:sz w:val="19"/>
                <w:szCs w:val="19"/>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Name of each exchange on which registered</w:t>
            </w:r>
          </w:p>
        </w:tc>
      </w:tr>
      <w:tr>
        <w:trPr>
          <w:trHeight w:val="211"/>
        </w:trPr>
        <w:tc>
          <w:tcPr>
            <w:tcW w:w="348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Common Units</w:t>
            </w:r>
          </w:p>
        </w:tc>
        <w:tc>
          <w:tcPr>
            <w:tcW w:w="350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PAA</w:t>
            </w:r>
          </w:p>
        </w:tc>
        <w:tc>
          <w:tcPr>
            <w:tcW w:w="4180" w:type="dxa"/>
            <w:vAlign w:val="bottom"/>
          </w:tcPr>
          <w:p>
            <w:pPr>
              <w:jc w:val="center"/>
              <w:spacing w:after="0"/>
              <w:rPr>
                <w:sz w:val="20"/>
                <w:szCs w:val="20"/>
                <w:color w:val="auto"/>
              </w:rPr>
            </w:pPr>
            <w:r>
              <w:rPr>
                <w:rFonts w:ascii="Arial" w:cs="Arial" w:eastAsia="Arial" w:hAnsi="Arial"/>
                <w:sz w:val="17"/>
                <w:szCs w:val="17"/>
                <w:color w:val="auto"/>
                <w:w w:val="85"/>
              </w:rPr>
              <w:t>Nasdaq</w:t>
            </w:r>
          </w:p>
        </w:tc>
      </w:tr>
    </w:tbl>
    <w:p>
      <w:pPr>
        <w:spacing w:after="0" w:line="299" w:lineRule="exact"/>
        <w:rPr>
          <w:sz w:val="24"/>
          <w:szCs w:val="24"/>
          <w:color w:val="auto"/>
        </w:rPr>
      </w:pPr>
    </w:p>
    <w:p>
      <w:pPr>
        <w:ind w:right="160"/>
        <w:spacing w:after="0" w:line="279"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8"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79" w:lineRule="exact"/>
        <w:rPr>
          <w:sz w:val="24"/>
          <w:szCs w:val="24"/>
          <w:color w:val="auto"/>
        </w:rPr>
      </w:pPr>
    </w:p>
    <w:p>
      <w:pPr>
        <w:ind w:right="180"/>
        <w:spacing w:after="0" w:line="21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803275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62865</wp:posOffset>
            </wp:positionV>
            <wp:extent cx="708914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65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5715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00"/>
          </w:cols>
          <w:pgMar w:left="320" w:top="1362"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2.02 and Item 7.01. Results of Operations and Financial Condition; Regulation FD Disclosure.</w:t>
      </w:r>
    </w:p>
    <w:p>
      <w:pPr>
        <w:spacing w:after="0" w:line="249" w:lineRule="exact"/>
        <w:rPr>
          <w:sz w:val="20"/>
          <w:szCs w:val="20"/>
          <w:color w:val="auto"/>
        </w:rPr>
      </w:pPr>
    </w:p>
    <w:p>
      <w:pPr>
        <w:ind w:right="180" w:firstLine="172"/>
        <w:spacing w:after="0" w:line="283" w:lineRule="auto"/>
        <w:rPr>
          <w:sz w:val="20"/>
          <w:szCs w:val="20"/>
          <w:color w:val="auto"/>
        </w:rPr>
      </w:pPr>
      <w:r>
        <w:rPr>
          <w:rFonts w:ascii="Arial" w:cs="Arial" w:eastAsia="Arial" w:hAnsi="Arial"/>
          <w:sz w:val="16"/>
          <w:szCs w:val="16"/>
          <w:color w:val="auto"/>
        </w:rPr>
        <w:t>On May 4, 2021, the Registrant issued a press release reporting its first-quarter 2021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4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 Exhibits.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0" w:type="dxa"/>
            <w:vAlign w:val="bottom"/>
          </w:tcPr>
          <w:p>
            <w:pPr>
              <w:spacing w:after="0"/>
              <w:rPr>
                <w:sz w:val="14"/>
                <w:szCs w:val="14"/>
                <w:color w:val="auto"/>
              </w:rPr>
            </w:pPr>
          </w:p>
        </w:tc>
        <w:tc>
          <w:tcPr>
            <w:tcW w:w="1240" w:type="dxa"/>
            <w:vAlign w:val="bottom"/>
            <w:gridSpan w:val="2"/>
          </w:tcPr>
          <w:p>
            <w:pPr>
              <w:ind w:left="640"/>
              <w:spacing w:after="0"/>
              <w:rPr>
                <w:sz w:val="20"/>
                <w:szCs w:val="20"/>
                <w:color w:val="auto"/>
              </w:rPr>
            </w:pPr>
            <w:r>
              <w:rPr>
                <w:rFonts w:ascii="Arial" w:cs="Arial" w:eastAsia="Arial" w:hAnsi="Arial"/>
                <w:sz w:val="15"/>
                <w:szCs w:val="15"/>
                <w:b w:val="1"/>
                <w:bCs w:val="1"/>
                <w:color w:val="auto"/>
              </w:rPr>
              <w:t>Exhibit</w:t>
            </w:r>
          </w:p>
        </w:tc>
        <w:tc>
          <w:tcPr>
            <w:tcW w:w="6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480" w:type="dxa"/>
            <w:vAlign w:val="bottom"/>
            <w:vMerge w:val="restart"/>
          </w:tcPr>
          <w:p>
            <w:pPr>
              <w:jc w:val="right"/>
              <w:ind w:right="3603"/>
              <w:spacing w:after="0"/>
              <w:rPr>
                <w:sz w:val="20"/>
                <w:szCs w:val="20"/>
                <w:color w:val="auto"/>
              </w:rPr>
            </w:pPr>
            <w:r>
              <w:rPr>
                <w:rFonts w:ascii="Arial" w:cs="Arial" w:eastAsia="Arial" w:hAnsi="Arial"/>
                <w:sz w:val="15"/>
                <w:szCs w:val="15"/>
                <w:b w:val="1"/>
                <w:bCs w:val="1"/>
                <w:color w:val="auto"/>
              </w:rPr>
              <w:t>Description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Number</w:t>
            </w:r>
          </w:p>
        </w:tc>
        <w:tc>
          <w:tcPr>
            <w:tcW w:w="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6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80" w:type="dxa"/>
            <w:vAlign w:val="bottom"/>
            <w:gridSpan w:val="2"/>
          </w:tcPr>
          <w:p>
            <w:pPr>
              <w:jc w:val="right"/>
              <w:ind w:right="43"/>
              <w:spacing w:after="0" w:line="176" w:lineRule="exact"/>
              <w:rPr>
                <w:sz w:val="20"/>
                <w:szCs w:val="20"/>
                <w:color w:val="auto"/>
              </w:rPr>
            </w:pPr>
            <w:r>
              <w:rPr>
                <w:rFonts w:ascii="Arial" w:cs="Arial" w:eastAsia="Arial" w:hAnsi="Arial"/>
                <w:sz w:val="17"/>
                <w:szCs w:val="17"/>
                <w:color w:val="auto"/>
              </w:rPr>
              <w:t>99.1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740" w:type="dxa"/>
            <w:vAlign w:val="bottom"/>
            <w:gridSpan w:val="2"/>
          </w:tcPr>
          <w:p>
            <w:pPr>
              <w:spacing w:after="0" w:line="176" w:lineRule="exact"/>
              <w:rPr>
                <w:rFonts w:ascii="Arial" w:cs="Arial" w:eastAsia="Arial" w:hAnsi="Arial"/>
                <w:sz w:val="17"/>
                <w:szCs w:val="17"/>
                <w:color w:val="0000FF"/>
              </w:rPr>
            </w:pPr>
            <w:hyperlink w:anchor="page4">
              <w:r>
                <w:rPr>
                  <w:rFonts w:ascii="Arial" w:cs="Arial" w:eastAsia="Arial" w:hAnsi="Arial"/>
                  <w:sz w:val="17"/>
                  <w:szCs w:val="17"/>
                  <w:color w:val="0000FF"/>
                </w:rPr>
                <w:t>Press Release dated May 4, 2021</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780" w:type="dxa"/>
            <w:vAlign w:val="bottom"/>
            <w:gridSpan w:val="2"/>
          </w:tcPr>
          <w:p>
            <w:pPr>
              <w:jc w:val="right"/>
              <w:ind w:right="63"/>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740" w:type="dxa"/>
            <w:vAlign w:val="bottom"/>
            <w:gridSpan w:val="2"/>
          </w:tcPr>
          <w:p>
            <w:pPr>
              <w:spacing w:after="0"/>
              <w:rPr>
                <w:sz w:val="20"/>
                <w:szCs w:val="20"/>
                <w:color w:val="auto"/>
              </w:rPr>
            </w:pPr>
            <w:r>
              <w:rPr>
                <w:rFonts w:ascii="Arial" w:cs="Arial" w:eastAsia="Arial" w:hAnsi="Arial"/>
                <w:sz w:val="17"/>
                <w:szCs w:val="17"/>
                <w:color w:val="auto"/>
              </w:rPr>
              <w:t>Cover Page Interactive Data File (embedded within the Inline XBRL document)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7"/>
        </w:trPr>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80" w:type="dxa"/>
            <w:vAlign w:val="bottom"/>
            <w:gridSpan w:val="3"/>
          </w:tcPr>
          <w:p>
            <w:pPr>
              <w:jc w:val="right"/>
              <w:ind w:right="5503"/>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648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85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94" w:lineRule="exact"/>
        <w:rPr>
          <w:sz w:val="20"/>
          <w:szCs w:val="20"/>
          <w:color w:val="auto"/>
        </w:rPr>
      </w:pPr>
    </w:p>
    <w:p>
      <w:pPr>
        <w:ind w:right="300" w:firstLine="172"/>
        <w:spacing w:after="0" w:line="27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900" w:type="dxa"/>
            <w:vAlign w:val="bottom"/>
          </w:tcPr>
          <w:p>
            <w:pPr>
              <w:spacing w:after="0"/>
              <w:rPr>
                <w:sz w:val="18"/>
                <w:szCs w:val="18"/>
                <w:color w:val="auto"/>
              </w:rPr>
            </w:pPr>
          </w:p>
        </w:tc>
        <w:tc>
          <w:tcPr>
            <w:tcW w:w="8300" w:type="dxa"/>
            <w:vAlign w:val="bottom"/>
            <w:gridSpan w:val="3"/>
          </w:tcPr>
          <w:p>
            <w:pPr>
              <w:ind w:left="1620"/>
              <w:spacing w:after="0"/>
              <w:rPr>
                <w:sz w:val="20"/>
                <w:szCs w:val="20"/>
                <w:color w:val="auto"/>
              </w:rPr>
            </w:pPr>
            <w:r>
              <w:rPr>
                <w:rFonts w:ascii="Arial" w:cs="Arial" w:eastAsia="Arial" w:hAnsi="Arial"/>
                <w:sz w:val="17"/>
                <w:szCs w:val="17"/>
                <w:color w:val="auto"/>
              </w:rPr>
              <w:t>PLAINS ALL AMERICAN PIPELINE, L.P.</w:t>
            </w:r>
          </w:p>
        </w:tc>
      </w:tr>
      <w:tr>
        <w:trPr>
          <w:trHeight w:val="477"/>
        </w:trPr>
        <w:tc>
          <w:tcPr>
            <w:tcW w:w="2900" w:type="dxa"/>
            <w:vAlign w:val="bottom"/>
          </w:tcPr>
          <w:p>
            <w:pPr>
              <w:spacing w:after="0"/>
              <w:rPr>
                <w:sz w:val="24"/>
                <w:szCs w:val="24"/>
                <w:color w:val="auto"/>
              </w:rPr>
            </w:pPr>
          </w:p>
        </w:tc>
        <w:tc>
          <w:tcPr>
            <w:tcW w:w="2060" w:type="dxa"/>
            <w:vAlign w:val="bottom"/>
          </w:tcPr>
          <w:p>
            <w:pPr>
              <w:ind w:left="1620"/>
              <w:spacing w:after="0"/>
              <w:rPr>
                <w:sz w:val="20"/>
                <w:szCs w:val="20"/>
                <w:color w:val="auto"/>
              </w:rPr>
            </w:pPr>
            <w:r>
              <w:rPr>
                <w:rFonts w:ascii="Arial" w:cs="Arial" w:eastAsia="Arial" w:hAnsi="Arial"/>
                <w:sz w:val="17"/>
                <w:szCs w:val="17"/>
                <w:color w:val="auto"/>
              </w:rPr>
              <w:t>By:</w:t>
            </w:r>
          </w:p>
        </w:tc>
        <w:tc>
          <w:tcPr>
            <w:tcW w:w="6240" w:type="dxa"/>
            <w:vAlign w:val="bottom"/>
            <w:gridSpan w:val="2"/>
          </w:tcPr>
          <w:p>
            <w:pPr>
              <w:ind w:left="20"/>
              <w:spacing w:after="0"/>
              <w:rPr>
                <w:sz w:val="20"/>
                <w:szCs w:val="20"/>
                <w:color w:val="auto"/>
              </w:rPr>
            </w:pPr>
            <w:r>
              <w:rPr>
                <w:rFonts w:ascii="Arial" w:cs="Arial" w:eastAsia="Arial" w:hAnsi="Arial"/>
                <w:sz w:val="17"/>
                <w:szCs w:val="17"/>
                <w:color w:val="auto"/>
              </w:rPr>
              <w:t>PAA GP LLC, its general partner</w:t>
            </w:r>
          </w:p>
        </w:tc>
      </w:tr>
      <w:tr>
        <w:trPr>
          <w:trHeight w:val="477"/>
        </w:trPr>
        <w:tc>
          <w:tcPr>
            <w:tcW w:w="2900" w:type="dxa"/>
            <w:vAlign w:val="bottom"/>
          </w:tcPr>
          <w:p>
            <w:pPr>
              <w:spacing w:after="0"/>
              <w:rPr>
                <w:sz w:val="24"/>
                <w:szCs w:val="24"/>
                <w:color w:val="auto"/>
              </w:rPr>
            </w:pPr>
          </w:p>
        </w:tc>
        <w:tc>
          <w:tcPr>
            <w:tcW w:w="2060" w:type="dxa"/>
            <w:vAlign w:val="bottom"/>
          </w:tcPr>
          <w:p>
            <w:pPr>
              <w:ind w:left="1620"/>
              <w:spacing w:after="0"/>
              <w:rPr>
                <w:sz w:val="20"/>
                <w:szCs w:val="20"/>
                <w:color w:val="auto"/>
              </w:rPr>
            </w:pPr>
            <w:r>
              <w:rPr>
                <w:rFonts w:ascii="Arial" w:cs="Arial" w:eastAsia="Arial" w:hAnsi="Arial"/>
                <w:sz w:val="17"/>
                <w:szCs w:val="17"/>
                <w:color w:val="auto"/>
              </w:rPr>
              <w:t>By:</w:t>
            </w:r>
          </w:p>
        </w:tc>
        <w:tc>
          <w:tcPr>
            <w:tcW w:w="6240" w:type="dxa"/>
            <w:vAlign w:val="bottom"/>
            <w:gridSpan w:val="2"/>
          </w:tcPr>
          <w:p>
            <w:pPr>
              <w:ind w:left="20"/>
              <w:spacing w:after="0"/>
              <w:rPr>
                <w:sz w:val="20"/>
                <w:szCs w:val="20"/>
                <w:color w:val="auto"/>
              </w:rPr>
            </w:pPr>
            <w:r>
              <w:rPr>
                <w:rFonts w:ascii="Arial" w:cs="Arial" w:eastAsia="Arial" w:hAnsi="Arial"/>
                <w:sz w:val="17"/>
                <w:szCs w:val="17"/>
                <w:color w:val="auto"/>
              </w:rPr>
              <w:t>Plains AAP, L.P., its sole member</w:t>
            </w:r>
          </w:p>
        </w:tc>
      </w:tr>
      <w:tr>
        <w:trPr>
          <w:trHeight w:val="477"/>
        </w:trPr>
        <w:tc>
          <w:tcPr>
            <w:tcW w:w="2900" w:type="dxa"/>
            <w:vAlign w:val="bottom"/>
          </w:tcPr>
          <w:p>
            <w:pPr>
              <w:spacing w:after="0"/>
              <w:rPr>
                <w:sz w:val="24"/>
                <w:szCs w:val="24"/>
                <w:color w:val="auto"/>
              </w:rPr>
            </w:pPr>
          </w:p>
        </w:tc>
        <w:tc>
          <w:tcPr>
            <w:tcW w:w="2060" w:type="dxa"/>
            <w:vAlign w:val="bottom"/>
          </w:tcPr>
          <w:p>
            <w:pPr>
              <w:ind w:left="1620"/>
              <w:spacing w:after="0"/>
              <w:rPr>
                <w:sz w:val="20"/>
                <w:szCs w:val="20"/>
                <w:color w:val="auto"/>
              </w:rPr>
            </w:pPr>
            <w:r>
              <w:rPr>
                <w:rFonts w:ascii="Arial" w:cs="Arial" w:eastAsia="Arial" w:hAnsi="Arial"/>
                <w:sz w:val="17"/>
                <w:szCs w:val="17"/>
                <w:color w:val="auto"/>
              </w:rPr>
              <w:t>By:</w:t>
            </w:r>
          </w:p>
        </w:tc>
        <w:tc>
          <w:tcPr>
            <w:tcW w:w="6240" w:type="dxa"/>
            <w:vAlign w:val="bottom"/>
            <w:gridSpan w:val="2"/>
          </w:tcPr>
          <w:p>
            <w:pPr>
              <w:ind w:left="20"/>
              <w:spacing w:after="0"/>
              <w:rPr>
                <w:sz w:val="20"/>
                <w:szCs w:val="20"/>
                <w:color w:val="auto"/>
              </w:rPr>
            </w:pPr>
            <w:r>
              <w:rPr>
                <w:rFonts w:ascii="Arial" w:cs="Arial" w:eastAsia="Arial" w:hAnsi="Arial"/>
                <w:sz w:val="17"/>
                <w:szCs w:val="17"/>
                <w:color w:val="auto"/>
              </w:rPr>
              <w:t>Plains All American GP LLC, its general partner</w:t>
            </w:r>
          </w:p>
        </w:tc>
      </w:tr>
      <w:tr>
        <w:trPr>
          <w:trHeight w:val="478"/>
        </w:trPr>
        <w:tc>
          <w:tcPr>
            <w:tcW w:w="2900" w:type="dxa"/>
            <w:vAlign w:val="bottom"/>
          </w:tcPr>
          <w:p>
            <w:pPr>
              <w:spacing w:after="0"/>
              <w:rPr>
                <w:sz w:val="20"/>
                <w:szCs w:val="20"/>
                <w:color w:val="auto"/>
              </w:rPr>
            </w:pPr>
            <w:r>
              <w:rPr>
                <w:rFonts w:ascii="Arial" w:cs="Arial" w:eastAsia="Arial" w:hAnsi="Arial"/>
                <w:sz w:val="17"/>
                <w:szCs w:val="17"/>
                <w:color w:val="auto"/>
              </w:rPr>
              <w:t>Date: May 4, 2021</w:t>
            </w:r>
          </w:p>
        </w:tc>
        <w:tc>
          <w:tcPr>
            <w:tcW w:w="2060" w:type="dxa"/>
            <w:vAlign w:val="bottom"/>
          </w:tcPr>
          <w:p>
            <w:pPr>
              <w:ind w:left="1620"/>
              <w:spacing w:after="0"/>
              <w:rPr>
                <w:sz w:val="20"/>
                <w:szCs w:val="20"/>
                <w:color w:val="auto"/>
              </w:rPr>
            </w:pPr>
            <w:r>
              <w:rPr>
                <w:rFonts w:ascii="Arial" w:cs="Arial" w:eastAsia="Arial" w:hAnsi="Arial"/>
                <w:sz w:val="17"/>
                <w:szCs w:val="17"/>
                <w:color w:val="auto"/>
              </w:rPr>
              <w:t>By:</w:t>
            </w:r>
          </w:p>
        </w:tc>
        <w:tc>
          <w:tcPr>
            <w:tcW w:w="62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Sharon Spurlin</w:t>
            </w:r>
          </w:p>
        </w:tc>
      </w:tr>
      <w:tr>
        <w:trPr>
          <w:trHeight w:val="211"/>
        </w:trPr>
        <w:tc>
          <w:tcPr>
            <w:tcW w:w="2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auto"/>
              </w:rPr>
              <w:t>Name:</w:t>
            </w:r>
          </w:p>
        </w:tc>
        <w:tc>
          <w:tcPr>
            <w:tcW w:w="5600" w:type="dxa"/>
            <w:vAlign w:val="bottom"/>
          </w:tcPr>
          <w:p>
            <w:pPr>
              <w:ind w:left="180"/>
              <w:spacing w:after="0"/>
              <w:rPr>
                <w:sz w:val="20"/>
                <w:szCs w:val="20"/>
                <w:color w:val="auto"/>
              </w:rPr>
            </w:pPr>
            <w:r>
              <w:rPr>
                <w:rFonts w:ascii="Arial" w:cs="Arial" w:eastAsia="Arial" w:hAnsi="Arial"/>
                <w:sz w:val="17"/>
                <w:szCs w:val="17"/>
                <w:color w:val="auto"/>
              </w:rPr>
              <w:t>Sharon Spurlin</w:t>
            </w:r>
          </w:p>
        </w:tc>
      </w:tr>
      <w:tr>
        <w:trPr>
          <w:trHeight w:val="219"/>
        </w:trPr>
        <w:tc>
          <w:tcPr>
            <w:tcW w:w="29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auto"/>
              </w:rPr>
              <w:t>Title:</w:t>
            </w:r>
          </w:p>
        </w:tc>
        <w:tc>
          <w:tcPr>
            <w:tcW w:w="5600" w:type="dxa"/>
            <w:vAlign w:val="bottom"/>
          </w:tcPr>
          <w:p>
            <w:pPr>
              <w:ind w:left="180"/>
              <w:spacing w:after="0"/>
              <w:rPr>
                <w:sz w:val="20"/>
                <w:szCs w:val="20"/>
                <w:color w:val="auto"/>
              </w:rPr>
            </w:pPr>
            <w:r>
              <w:rPr>
                <w:rFonts w:ascii="Arial" w:cs="Arial" w:eastAsia="Arial" w:hAnsi="Arial"/>
                <w:sz w:val="17"/>
                <w:szCs w:val="17"/>
                <w:i w:val="1"/>
                <w:iCs w:val="1"/>
                <w:color w:val="auto"/>
              </w:rPr>
              <w:t>Senior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20"/>
          </w:cols>
          <w:pgMar w:left="320" w:top="946"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427990</wp:posOffset>
            </wp:positionV>
            <wp:extent cx="5582920" cy="7200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8292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and Plains GP Holdings Report First-Quarter 2021 Results</w:t>
      </w:r>
    </w:p>
    <w:p>
      <w:pPr>
        <w:spacing w:after="0" w:line="249" w:lineRule="exact"/>
        <w:rPr>
          <w:sz w:val="20"/>
          <w:szCs w:val="20"/>
          <w:color w:val="auto"/>
        </w:rPr>
      </w:pPr>
    </w:p>
    <w:p>
      <w:pPr>
        <w:ind w:right="60" w:firstLine="172"/>
        <w:spacing w:after="0" w:line="279" w:lineRule="auto"/>
        <w:rPr>
          <w:sz w:val="20"/>
          <w:szCs w:val="20"/>
          <w:color w:val="auto"/>
        </w:rPr>
      </w:pPr>
      <w:r>
        <w:rPr>
          <w:rFonts w:ascii="Arial" w:cs="Arial" w:eastAsia="Arial" w:hAnsi="Arial"/>
          <w:sz w:val="17"/>
          <w:szCs w:val="17"/>
          <w:color w:val="auto"/>
        </w:rPr>
        <w:t>Houston, May 04, 2021 — Plains All American Pipeline, L.P. (Nasdaq: PAA) and Plains GP Holdings (Nasdaq: PAGP) today reported first-quarter 2021 results and provided an update on other matters.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Highlights</w:t>
      </w:r>
    </w:p>
    <w:p>
      <w:pPr>
        <w:spacing w:after="0" w:line="249" w:lineRule="exact"/>
        <w:rPr>
          <w:sz w:val="20"/>
          <w:szCs w:val="20"/>
          <w:color w:val="auto"/>
        </w:rPr>
      </w:pPr>
    </w:p>
    <w:p>
      <w:pPr>
        <w:ind w:left="620" w:hanging="307"/>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Reported PAA first-quarter 2021 net cash flow from operations of $791 million and net income of $422 million</w:t>
      </w:r>
    </w:p>
    <w:p>
      <w:pPr>
        <w:spacing w:after="0" w:line="217" w:lineRule="exact"/>
        <w:rPr>
          <w:rFonts w:ascii="Arial" w:cs="Arial" w:eastAsia="Arial" w:hAnsi="Arial"/>
          <w:sz w:val="17"/>
          <w:szCs w:val="17"/>
          <w:color w:val="auto"/>
        </w:rPr>
      </w:pPr>
    </w:p>
    <w:p>
      <w:pPr>
        <w:ind w:left="620" w:hanging="307"/>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Delivered first-quarter 2021 Adjusted EBITDA of $546 million</w:t>
      </w:r>
    </w:p>
    <w:p>
      <w:pPr>
        <w:spacing w:after="0" w:line="217" w:lineRule="exact"/>
        <w:rPr>
          <w:rFonts w:ascii="Arial" w:cs="Arial" w:eastAsia="Arial" w:hAnsi="Arial"/>
          <w:sz w:val="17"/>
          <w:szCs w:val="17"/>
          <w:color w:val="auto"/>
        </w:rPr>
      </w:pPr>
    </w:p>
    <w:p>
      <w:pPr>
        <w:ind w:left="620" w:right="200" w:hanging="307"/>
        <w:spacing w:after="0" w:line="248" w:lineRule="auto"/>
        <w:tabs>
          <w:tab w:leader="none" w:pos="616"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Increased 2021 forecasted Free Cash Flow after Distributions by $100 million to +/- $400 million, or $1.15 billion when including anticipated proceeds from asset sales targeted in 2021</w:t>
      </w:r>
    </w:p>
    <w:p>
      <w:pPr>
        <w:spacing w:after="0" w:line="189" w:lineRule="exact"/>
        <w:rPr>
          <w:rFonts w:ascii="Arial" w:cs="Arial" w:eastAsia="Arial" w:hAnsi="Arial"/>
          <w:sz w:val="17"/>
          <w:szCs w:val="17"/>
          <w:color w:val="auto"/>
        </w:rPr>
      </w:pPr>
    </w:p>
    <w:p>
      <w:pPr>
        <w:ind w:left="620" w:hanging="307"/>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Lowered total 2021 investment and maintenance capital guidance by $65 million, or 10%</w:t>
      </w:r>
    </w:p>
    <w:p>
      <w:pPr>
        <w:spacing w:after="0" w:line="217" w:lineRule="exact"/>
        <w:rPr>
          <w:rFonts w:ascii="Arial" w:cs="Arial" w:eastAsia="Arial" w:hAnsi="Arial"/>
          <w:sz w:val="17"/>
          <w:szCs w:val="17"/>
          <w:color w:val="auto"/>
        </w:rPr>
      </w:pPr>
    </w:p>
    <w:p>
      <w:pPr>
        <w:ind w:left="620" w:hanging="307"/>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Maintained full-year 2021 Adjusted EBITDA guidance of +/- $2.15 billion</w:t>
      </w:r>
    </w:p>
    <w:p>
      <w:pPr>
        <w:spacing w:after="0" w:line="217" w:lineRule="exact"/>
        <w:rPr>
          <w:rFonts w:ascii="Arial" w:cs="Arial" w:eastAsia="Arial" w:hAnsi="Arial"/>
          <w:sz w:val="17"/>
          <w:szCs w:val="17"/>
          <w:color w:val="auto"/>
        </w:rPr>
      </w:pPr>
    </w:p>
    <w:p>
      <w:pPr>
        <w:ind w:left="620" w:hanging="307"/>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Remain on track to achieve 2021 asset sales target of +/- $750 million</w:t>
      </w:r>
    </w:p>
    <w:p>
      <w:pPr>
        <w:spacing w:after="0" w:line="200" w:lineRule="exact"/>
        <w:rPr>
          <w:sz w:val="20"/>
          <w:szCs w:val="20"/>
          <w:color w:val="auto"/>
        </w:rPr>
      </w:pPr>
    </w:p>
    <w:p>
      <w:pPr>
        <w:spacing w:after="0" w:line="262" w:lineRule="exact"/>
        <w:rPr>
          <w:sz w:val="20"/>
          <w:szCs w:val="20"/>
          <w:color w:val="auto"/>
        </w:rPr>
      </w:pPr>
    </w:p>
    <w:p>
      <w:pPr>
        <w:ind w:right="60" w:firstLine="619"/>
        <w:spacing w:after="0" w:line="279" w:lineRule="auto"/>
        <w:rPr>
          <w:sz w:val="20"/>
          <w:szCs w:val="20"/>
          <w:color w:val="auto"/>
        </w:rPr>
      </w:pPr>
      <w:r>
        <w:rPr>
          <w:rFonts w:ascii="Arial" w:cs="Arial" w:eastAsia="Arial" w:hAnsi="Arial"/>
          <w:sz w:val="16"/>
          <w:szCs w:val="16"/>
          <w:color w:val="auto"/>
        </w:rPr>
        <w:t>“We delivered first-quarter results that exceeded our expectations, generated strong free cash flow, maintained full-year 2021 Adjusted EBITDA guidance, increased our expected 2021 Free Cash Flow after Distributions and advanced a number of key objectives,” stated Willie Chiang, Chairman and CEO of Plains. “We are increasingly constructive in our outlook for global energy demand recovery and for a corresponding supply response to build momentum through 2022. Our key execution focus remains maximizing multi-year free cash flow and reducing debt while simultaneously increasing cash returns to equity holders. We believe this disciplined approach will provide meaningful long-term value for our investors.”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96520</wp:posOffset>
            </wp:positionV>
            <wp:extent cx="7122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3"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Financial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(unaudited)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8"/>
        </w:trPr>
        <w:tc>
          <w:tcPr>
            <w:tcW w:w="8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3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GAAP Results</w:t>
            </w:r>
          </w:p>
        </w:tc>
        <w:tc>
          <w:tcPr>
            <w:tcW w:w="200" w:type="dxa"/>
            <w:vAlign w:val="bottom"/>
          </w:tcPr>
          <w:p>
            <w:pPr>
              <w:spacing w:after="0"/>
              <w:rPr>
                <w:sz w:val="15"/>
                <w:szCs w:val="15"/>
                <w:color w:val="auto"/>
              </w:rPr>
            </w:pPr>
          </w:p>
        </w:tc>
        <w:tc>
          <w:tcPr>
            <w:tcW w:w="700" w:type="dxa"/>
            <w:vAlign w:val="bottom"/>
          </w:tcPr>
          <w:p>
            <w:pPr>
              <w:jc w:val="right"/>
              <w:ind w:right="24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ind w:right="238"/>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920" w:type="dxa"/>
            <w:vAlign w:val="bottom"/>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3"/>
        </w:trPr>
        <w:tc>
          <w:tcPr>
            <w:tcW w:w="8180" w:type="dxa"/>
            <w:vAlign w:val="bottom"/>
            <w:tcBorders>
              <w:top w:val="single" w:sz="8" w:color="auto"/>
            </w:tcBorders>
            <w:shd w:val="clear" w:color="auto" w:fill="CCEEFF"/>
          </w:tcPr>
          <w:p>
            <w:pPr>
              <w:ind w:left="20"/>
              <w:spacing w:after="0" w:line="213" w:lineRule="exact"/>
              <w:rPr>
                <w:sz w:val="20"/>
                <w:szCs w:val="20"/>
                <w:color w:val="auto"/>
              </w:rPr>
            </w:pPr>
            <w:r>
              <w:rPr>
                <w:rFonts w:ascii="Arial" w:cs="Arial" w:eastAsia="Arial" w:hAnsi="Arial"/>
                <w:sz w:val="17"/>
                <w:szCs w:val="17"/>
                <w:color w:val="auto"/>
              </w:rPr>
              <w:t xml:space="preserve">Net income/(loss) attributable to PAA </w:t>
            </w:r>
            <w:r>
              <w:rPr>
                <w:rFonts w:ascii="Arial" w:cs="Arial" w:eastAsia="Arial" w:hAnsi="Arial"/>
                <w:sz w:val="22"/>
                <w:szCs w:val="22"/>
                <w:color w:val="auto"/>
                <w:vertAlign w:val="superscript"/>
              </w:rPr>
              <w:t>(1)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(2,847)</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Diluted net income/(loss) per common unit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0.51</w:t>
            </w:r>
          </w:p>
        </w:tc>
        <w:tc>
          <w:tcPr>
            <w:tcW w:w="120" w:type="dxa"/>
            <w:vAlign w:val="bottom"/>
          </w:tcPr>
          <w:p>
            <w:pPr>
              <w:spacing w:after="0"/>
              <w:rPr>
                <w:sz w:val="18"/>
                <w:szCs w:val="18"/>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(3.98)</w:t>
            </w:r>
          </w:p>
        </w:tc>
        <w:tc>
          <w:tcPr>
            <w:tcW w:w="10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Diluted weighted average common units outstanding</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8"/>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00" w:type="dxa"/>
            <w:vAlign w:val="bottom"/>
          </w:tcPr>
          <w:p>
            <w:pPr>
              <w:jc w:val="right"/>
              <w:ind w:right="15"/>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791</w:t>
            </w:r>
          </w:p>
        </w:tc>
        <w:tc>
          <w:tcPr>
            <w:tcW w:w="12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890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0"/>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Distribution per common unit declared for the period</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24561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56180" cy="825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Indicates that variance as a percentage is not meaningful.</w:t>
      </w:r>
    </w:p>
    <w:p>
      <w:pPr>
        <w:spacing w:after="0" w:line="114" w:lineRule="exact"/>
        <w:rPr>
          <w:sz w:val="20"/>
          <w:szCs w:val="20"/>
          <w:color w:val="auto"/>
        </w:rPr>
      </w:pPr>
    </w:p>
    <w:p>
      <w:pPr>
        <w:ind w:left="320" w:right="200" w:hanging="317"/>
        <w:spacing w:after="0" w:line="226" w:lineRule="auto"/>
        <w:tabs>
          <w:tab w:leader="none" w:pos="308" w:val="left"/>
        </w:tabs>
        <w:numPr>
          <w:ilvl w:val="0"/>
          <w:numId w:val="3"/>
        </w:numPr>
        <w:rPr>
          <w:rFonts w:ascii="Arial" w:cs="Arial" w:eastAsia="Arial" w:hAnsi="Arial"/>
          <w:sz w:val="22"/>
          <w:szCs w:val="22"/>
          <w:color w:val="auto"/>
          <w:vertAlign w:val="superscript"/>
        </w:rPr>
      </w:pPr>
      <w:r>
        <w:rPr>
          <w:rFonts w:ascii="Arial" w:cs="Arial" w:eastAsia="Arial" w:hAnsi="Arial"/>
          <w:sz w:val="17"/>
          <w:szCs w:val="17"/>
          <w:color w:val="auto"/>
        </w:rPr>
        <w:t>Reported results for the three months ended March 31, 2020 include aggregate non-cash goodwill and asset impairments totaling $3.2 billion, representing a net loss of $4.33 after tax per common unit.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8"/>
        </w:trPr>
        <w:tc>
          <w:tcPr>
            <w:tcW w:w="8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 xml:space="preserve">Non-GAAP Results </w:t>
            </w:r>
            <w:r>
              <w:rPr>
                <w:rFonts w:ascii="Arial" w:cs="Arial" w:eastAsia="Arial" w:hAnsi="Arial"/>
                <w:sz w:val="8"/>
                <w:szCs w:val="8"/>
                <w:b w:val="1"/>
                <w:bCs w:val="1"/>
                <w:i w:val="1"/>
                <w:iCs w:val="1"/>
                <w:color w:val="auto"/>
              </w:rPr>
              <w:t>(1)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3"/>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Adjusted net income attributable to PAA</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18"/>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Diluted adjusted net income per common unit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0.25</w:t>
            </w:r>
          </w:p>
        </w:tc>
        <w:tc>
          <w:tcPr>
            <w:tcW w:w="12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0.55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20"/>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8"/>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Implied DCF per common unit and common unit equivalent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0.51</w:t>
            </w:r>
          </w:p>
        </w:tc>
        <w:tc>
          <w:tcPr>
            <w:tcW w:w="12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0.79</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20"/>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Free Cash Flow</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Free Cash Flow after Distributions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511</w:t>
            </w:r>
          </w:p>
        </w:tc>
        <w:tc>
          <w:tcPr>
            <w:tcW w:w="12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920" w:type="dxa"/>
            <w:vAlign w:val="bottom"/>
          </w:tcPr>
          <w:p>
            <w:pPr>
              <w:jc w:val="right"/>
              <w:ind w:right="13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24561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56180" cy="825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 Indicates that variance as a percentage is not meaningful.</w:t>
      </w:r>
    </w:p>
    <w:p>
      <w:pPr>
        <w:spacing w:after="0" w:line="62" w:lineRule="exact"/>
        <w:rPr>
          <w:sz w:val="20"/>
          <w:szCs w:val="20"/>
          <w:color w:val="auto"/>
        </w:rPr>
      </w:pPr>
    </w:p>
    <w:p>
      <w:pPr>
        <w:ind w:left="320" w:right="180" w:hanging="317"/>
        <w:spacing w:after="0" w:line="233" w:lineRule="auto"/>
        <w:tabs>
          <w:tab w:leader="none" w:pos="30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2" w:lineRule="exact"/>
        <w:rPr>
          <w:rFonts w:ascii="Arial" w:cs="Arial" w:eastAsia="Arial" w:hAnsi="Arial"/>
          <w:sz w:val="21"/>
          <w:szCs w:val="21"/>
          <w:color w:val="auto"/>
          <w:vertAlign w:val="superscript"/>
        </w:rPr>
      </w:pPr>
    </w:p>
    <w:p>
      <w:pPr>
        <w:ind w:left="5440" w:hanging="93"/>
        <w:spacing w:after="0"/>
        <w:tabs>
          <w:tab w:leader="none" w:pos="5440" w:val="left"/>
        </w:tabs>
        <w:numPr>
          <w:ilvl w:val="1"/>
          <w:numId w:val="4"/>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87630</wp:posOffset>
            </wp:positionV>
            <wp:extent cx="7122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29"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auto"/>
        </w:rPr>
        <w:t>Page 3</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of Selected Financial Data by Segment</w:t>
      </w:r>
      <w:r>
        <w:rPr>
          <w:rFonts w:ascii="Arial" w:cs="Arial" w:eastAsia="Arial" w:hAnsi="Arial"/>
          <w:sz w:val="17"/>
          <w:szCs w:val="17"/>
          <w:b w:val="1"/>
          <w:bCs w:val="1"/>
          <w:color w:val="auto"/>
        </w:rPr>
        <w:t xml:space="preserve"> </w:t>
      </w:r>
      <w:r>
        <w:rPr>
          <w:rFonts w:ascii="Arial" w:cs="Arial" w:eastAsia="Arial" w:hAnsi="Arial"/>
          <w:sz w:val="17"/>
          <w:szCs w:val="17"/>
          <w:color w:val="auto"/>
        </w:rPr>
        <w:t>(unaudited)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4"/>
              </w:rPr>
              <w:t>Segment Adjusted EBITDA</w:t>
            </w: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2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Transportation</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Facilities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56"/>
              <w:spacing w:after="0"/>
              <w:rPr>
                <w:sz w:val="20"/>
                <w:szCs w:val="20"/>
                <w:color w:val="auto"/>
              </w:rPr>
            </w:pPr>
            <w:r>
              <w:rPr>
                <w:rFonts w:ascii="Arial" w:cs="Arial" w:eastAsia="Arial" w:hAnsi="Arial"/>
                <w:sz w:val="15"/>
                <w:szCs w:val="15"/>
                <w:b w:val="1"/>
                <w:bCs w:val="1"/>
                <w:color w:val="auto"/>
                <w:w w:val="90"/>
              </w:rPr>
              <w:t>Supply and Logistics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Three Months Ended March 31, 2021</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7"/>
                <w:szCs w:val="17"/>
                <w:color w:val="auto"/>
              </w:rPr>
              <w:t>388</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171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6120" w:type="dxa"/>
            <w:vAlign w:val="bottom"/>
            <w:gridSpan w:val="2"/>
          </w:tcPr>
          <w:p>
            <w:pPr>
              <w:ind w:left="20"/>
              <w:spacing w:after="0" w:line="191" w:lineRule="exact"/>
              <w:rPr>
                <w:sz w:val="20"/>
                <w:szCs w:val="20"/>
                <w:color w:val="auto"/>
              </w:rPr>
            </w:pPr>
            <w:r>
              <w:rPr>
                <w:rFonts w:ascii="Arial" w:cs="Arial" w:eastAsia="Arial" w:hAnsi="Arial"/>
                <w:sz w:val="17"/>
                <w:szCs w:val="17"/>
                <w:color w:val="auto"/>
              </w:rPr>
              <w:t>Three Months Ended March 31, 2020</w:t>
            </w:r>
          </w:p>
        </w:tc>
        <w:tc>
          <w:tcPr>
            <w:tcW w:w="200" w:type="dxa"/>
            <w:vAlign w:val="bottom"/>
          </w:tcPr>
          <w:p>
            <w:pPr>
              <w:jc w:val="right"/>
              <w:ind w:right="14"/>
              <w:spacing w:after="0" w:line="191" w:lineRule="exact"/>
              <w:rPr>
                <w:sz w:val="20"/>
                <w:szCs w:val="20"/>
                <w:color w:val="auto"/>
              </w:rPr>
            </w:pPr>
            <w:r>
              <w:rPr>
                <w:rFonts w:ascii="Arial" w:cs="Arial" w:eastAsia="Arial" w:hAnsi="Arial"/>
                <w:sz w:val="17"/>
                <w:szCs w:val="17"/>
                <w:color w:val="auto"/>
                <w:w w:val="84"/>
              </w:rPr>
              <w:t>$</w:t>
            </w:r>
          </w:p>
        </w:tc>
        <w:tc>
          <w:tcPr>
            <w:tcW w:w="1420" w:type="dxa"/>
            <w:vAlign w:val="bottom"/>
          </w:tcPr>
          <w:p>
            <w:pPr>
              <w:ind w:left="960"/>
              <w:spacing w:after="0" w:line="191" w:lineRule="exact"/>
              <w:rPr>
                <w:sz w:val="20"/>
                <w:szCs w:val="20"/>
                <w:color w:val="auto"/>
              </w:rPr>
            </w:pPr>
            <w:r>
              <w:rPr>
                <w:rFonts w:ascii="Arial" w:cs="Arial" w:eastAsia="Arial" w:hAnsi="Arial"/>
                <w:sz w:val="17"/>
                <w:szCs w:val="17"/>
                <w:color w:val="auto"/>
              </w:rPr>
              <w:t>442</w:t>
            </w:r>
          </w:p>
        </w:tc>
        <w:tc>
          <w:tcPr>
            <w:tcW w:w="420" w:type="dxa"/>
            <w:vAlign w:val="bottom"/>
            <w:gridSpan w:val="3"/>
          </w:tcPr>
          <w:p>
            <w:pPr>
              <w:jc w:val="right"/>
              <w:ind w:right="114"/>
              <w:spacing w:after="0" w:line="191" w:lineRule="exact"/>
              <w:rPr>
                <w:sz w:val="20"/>
                <w:szCs w:val="20"/>
                <w:color w:val="auto"/>
              </w:rPr>
            </w:pPr>
            <w:r>
              <w:rPr>
                <w:rFonts w:ascii="Arial" w:cs="Arial" w:eastAsia="Arial" w:hAnsi="Arial"/>
                <w:sz w:val="17"/>
                <w:szCs w:val="17"/>
                <w:color w:val="auto"/>
              </w:rPr>
              <w:t>$</w:t>
            </w:r>
          </w:p>
        </w:tc>
        <w:tc>
          <w:tcPr>
            <w:tcW w:w="1320" w:type="dxa"/>
            <w:vAlign w:val="bottom"/>
          </w:tcPr>
          <w:p>
            <w:pPr>
              <w:jc w:val="right"/>
              <w:ind w:right="136"/>
              <w:spacing w:after="0" w:line="191" w:lineRule="exact"/>
              <w:rPr>
                <w:sz w:val="20"/>
                <w:szCs w:val="20"/>
                <w:color w:val="auto"/>
              </w:rPr>
            </w:pPr>
            <w:r>
              <w:rPr>
                <w:rFonts w:ascii="Arial" w:cs="Arial" w:eastAsia="Arial" w:hAnsi="Arial"/>
                <w:sz w:val="17"/>
                <w:szCs w:val="17"/>
                <w:color w:val="auto"/>
              </w:rPr>
              <w:t>210</w:t>
            </w:r>
          </w:p>
        </w:tc>
        <w:tc>
          <w:tcPr>
            <w:tcW w:w="10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Arial" w:cs="Arial" w:eastAsia="Arial" w:hAnsi="Arial"/>
                <w:sz w:val="17"/>
                <w:szCs w:val="17"/>
                <w:color w:val="auto"/>
                <w:w w:val="84"/>
              </w:rPr>
              <w:t>$</w:t>
            </w:r>
          </w:p>
        </w:tc>
        <w:tc>
          <w:tcPr>
            <w:tcW w:w="1520" w:type="dxa"/>
            <w:vAlign w:val="bottom"/>
          </w:tcPr>
          <w:p>
            <w:pPr>
              <w:jc w:val="right"/>
              <w:ind w:right="136"/>
              <w:spacing w:after="0" w:line="191" w:lineRule="exact"/>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Percentage change in Segment Adjusted EBITDA versus 2020 period</w:t>
            </w: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7"/>
                <w:szCs w:val="17"/>
                <w:b w:val="1"/>
                <w:bCs w:val="1"/>
                <w:i w:val="1"/>
                <w:iCs w:val="1"/>
                <w:color w:val="auto"/>
                <w:w w:val="92"/>
              </w:rPr>
              <w:t>(12)%</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Borders>
              <w:top w:val="single" w:sz="8" w:color="CCEEFF"/>
              <w:bottom w:val="single" w:sz="8" w:color="CCEEFF"/>
            </w:tcBorders>
            <w:gridSpan w:val="2"/>
            <w:vMerge w:val="restart"/>
          </w:tcPr>
          <w:p>
            <w:pPr>
              <w:ind w:left="20"/>
              <w:spacing w:after="0" w:line="154" w:lineRule="exact"/>
              <w:rPr>
                <w:sz w:val="20"/>
                <w:szCs w:val="20"/>
                <w:color w:val="auto"/>
              </w:rPr>
            </w:pPr>
            <w:r>
              <w:rPr>
                <w:rFonts w:ascii="Arial" w:cs="Arial" w:eastAsia="Arial" w:hAnsi="Arial"/>
                <w:sz w:val="17"/>
                <w:szCs w:val="17"/>
                <w:b w:val="1"/>
                <w:bCs w:val="1"/>
                <w:i w:val="1"/>
                <w:iCs w:val="1"/>
                <w:color w:val="auto"/>
                <w:w w:val="98"/>
              </w:rPr>
              <w:t>Percentage change in Segment Adjusted EBITDA versus 2020 period further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61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vMerge w:val="restart"/>
          </w:tcPr>
          <w:p>
            <w:pPr>
              <w:ind w:left="980"/>
              <w:spacing w:after="0"/>
              <w:rPr>
                <w:sz w:val="20"/>
                <w:szCs w:val="20"/>
                <w:color w:val="auto"/>
              </w:rPr>
            </w:pPr>
            <w:r>
              <w:rPr>
                <w:rFonts w:ascii="Arial" w:cs="Arial" w:eastAsia="Arial" w:hAnsi="Arial"/>
                <w:sz w:val="17"/>
                <w:szCs w:val="17"/>
                <w:b w:val="1"/>
                <w:bCs w:val="1"/>
                <w:i w:val="1"/>
                <w:iCs w:val="1"/>
                <w:color w:val="auto"/>
                <w:w w:val="92"/>
              </w:rPr>
              <w:t>(12)%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(11)%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N/A</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20" w:type="dxa"/>
            <w:vAlign w:val="bottom"/>
            <w:gridSpan w:val="2"/>
          </w:tcPr>
          <w:p>
            <w:pPr>
              <w:ind w:left="180"/>
              <w:spacing w:after="0" w:line="193" w:lineRule="exact"/>
              <w:rPr>
                <w:sz w:val="20"/>
                <w:szCs w:val="20"/>
                <w:color w:val="auto"/>
              </w:rPr>
            </w:pPr>
            <w:r>
              <w:rPr>
                <w:rFonts w:ascii="Arial" w:cs="Arial" w:eastAsia="Arial" w:hAnsi="Arial"/>
                <w:sz w:val="17"/>
                <w:szCs w:val="17"/>
                <w:b w:val="1"/>
                <w:bCs w:val="1"/>
                <w:i w:val="1"/>
                <w:iCs w:val="1"/>
                <w:color w:val="auto"/>
              </w:rPr>
              <w:t xml:space="preserve">adjusted for impact of divested assets </w:t>
            </w:r>
            <w:r>
              <w:rPr>
                <w:rFonts w:ascii="Arial" w:cs="Arial" w:eastAsia="Arial" w:hAnsi="Arial"/>
                <w:sz w:val="22"/>
                <w:szCs w:val="22"/>
                <w:b w:val="1"/>
                <w:bCs w:val="1"/>
                <w:i w:val="1"/>
                <w:iCs w:val="1"/>
                <w:color w:val="auto"/>
                <w:vertAlign w:val="superscript"/>
              </w:rPr>
              <w:t>(1)</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both"/>
        <w:ind w:left="320" w:right="140" w:hanging="317"/>
        <w:spacing w:after="0" w:line="234" w:lineRule="auto"/>
        <w:tabs>
          <w:tab w:leader="none" w:pos="308"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Estimated impact of divestitures completed during 2020 and 2021, assuming an effective date of January 1, 2020. Divested assets primarily included certain NGL storage terminals and Los Angeles Basin crude oil storage terminals that were previously included in our Facilities segment and the sale of a portion of our interest in a joint venture pipeline that was previously reported in our Transportation segment.</w:t>
      </w:r>
    </w:p>
    <w:p>
      <w:pPr>
        <w:spacing w:after="0" w:line="326"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First-quarter 2021 Transportation Segment Adjusted EBITDA decreased 12% versus comparable 2020 results due to lower tariff volumes in multiple regions primarily driven by the impact of excess pipeline capacity in most regions of the country, which has been exacerbated by the COVID-related reset to North American production. Additionally, the extreme winter weather event that occurred in February of 2021 (“Winter Storm Uri”) further impacted tariff volumes during the quarter. Partially offsetting these volumetric impacts were lower power costs, including the impact of gains related to hedged power costs resulting from Winter Storm Uri.</w:t>
      </w:r>
    </w:p>
    <w:p>
      <w:pPr>
        <w:spacing w:after="0" w:line="209" w:lineRule="exact"/>
        <w:rPr>
          <w:sz w:val="20"/>
          <w:szCs w:val="20"/>
          <w:color w:val="auto"/>
        </w:rPr>
      </w:pPr>
    </w:p>
    <w:p>
      <w:pPr>
        <w:ind w:firstLine="172"/>
        <w:spacing w:after="0" w:line="290" w:lineRule="auto"/>
        <w:rPr>
          <w:sz w:val="20"/>
          <w:szCs w:val="20"/>
          <w:color w:val="auto"/>
        </w:rPr>
      </w:pPr>
      <w:r>
        <w:rPr>
          <w:rFonts w:ascii="Arial" w:cs="Arial" w:eastAsia="Arial" w:hAnsi="Arial"/>
          <w:sz w:val="16"/>
          <w:szCs w:val="16"/>
          <w:color w:val="auto"/>
        </w:rPr>
        <w:t>First-quarter 2021 Facilities Segment Adjusted EBITDA decreased 19% versus comparable 2020 results primarily due to the impact of asset sales, reduced NGL intersegment fee structure based on market conditions and the collection of a deficiency payment on a multi-year contract in the first-quarter of 2020, partially offset by the favorable impact of operational cost savings and the performance of our natural gas storage business during Winter Storm Uri.</w:t>
      </w:r>
    </w:p>
    <w:p>
      <w:pPr>
        <w:spacing w:after="0" w:line="158" w:lineRule="exact"/>
        <w:rPr>
          <w:sz w:val="20"/>
          <w:szCs w:val="20"/>
          <w:color w:val="auto"/>
        </w:rPr>
      </w:pPr>
    </w:p>
    <w:p>
      <w:pPr>
        <w:ind w:right="260" w:firstLine="172"/>
        <w:spacing w:after="0" w:line="264" w:lineRule="auto"/>
        <w:rPr>
          <w:sz w:val="20"/>
          <w:szCs w:val="20"/>
          <w:color w:val="auto"/>
        </w:rPr>
      </w:pPr>
      <w:r>
        <w:rPr>
          <w:rFonts w:ascii="Arial" w:cs="Arial" w:eastAsia="Arial" w:hAnsi="Arial"/>
          <w:sz w:val="17"/>
          <w:szCs w:val="17"/>
          <w:color w:val="auto"/>
        </w:rPr>
        <w:t>First-quarter 2021 Supply and Logistics Segment Adjusted EBITDA decreased versus comparable 2020 results due to less favorable crude oil differentials in both the Permian Basin and Canada, in addition to lower realized margins on our NGL sales activities.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96520</wp:posOffset>
            </wp:positionV>
            <wp:extent cx="7122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auto"/>
        </w:rPr>
        <w:t>Page 4</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and Operating Guidance</w:t>
      </w:r>
      <w:r>
        <w:rPr>
          <w:rFonts w:ascii="Arial" w:cs="Arial" w:eastAsia="Arial" w:hAnsi="Arial"/>
          <w:sz w:val="17"/>
          <w:szCs w:val="17"/>
          <w:b w:val="1"/>
          <w:bCs w:val="1"/>
          <w:color w:val="auto"/>
        </w:rPr>
        <w:t xml:space="preserve"> </w:t>
      </w:r>
      <w:r>
        <w:rPr>
          <w:rFonts w:ascii="Arial" w:cs="Arial" w:eastAsia="Arial" w:hAnsi="Arial"/>
          <w:sz w:val="17"/>
          <w:szCs w:val="17"/>
          <w:color w:val="auto"/>
        </w:rPr>
        <w:t>(unaudited)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volumes, per unit and per barrel data)</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jc w:val="right"/>
              <w:ind w:right="14"/>
              <w:spacing w:after="0"/>
              <w:rPr>
                <w:sz w:val="20"/>
                <w:szCs w:val="20"/>
                <w:color w:val="auto"/>
              </w:rPr>
            </w:pPr>
            <w:r>
              <w:rPr>
                <w:rFonts w:ascii="Arial" w:cs="Arial" w:eastAsia="Arial" w:hAnsi="Arial"/>
                <w:sz w:val="15"/>
                <w:szCs w:val="15"/>
                <w:b w:val="1"/>
                <w:bCs w:val="1"/>
                <w:color w:val="auto"/>
              </w:rPr>
              <w:t>Twelve Months Ended December 31,</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00" w:type="dxa"/>
            <w:vAlign w:val="bottom"/>
          </w:tcPr>
          <w:p>
            <w:pPr>
              <w:spacing w:after="0"/>
              <w:rPr>
                <w:sz w:val="17"/>
                <w:szCs w:val="17"/>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5"/>
                <w:szCs w:val="15"/>
                <w:b w:val="1"/>
                <w:bCs w:val="1"/>
                <w:color w:val="auto"/>
              </w:rPr>
              <w:t>2019</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5"/>
              <w:spacing w:after="0"/>
              <w:rPr>
                <w:sz w:val="20"/>
                <w:szCs w:val="20"/>
                <w:color w:val="auto"/>
              </w:rPr>
            </w:pPr>
            <w:r>
              <w:rPr>
                <w:rFonts w:ascii="Arial" w:cs="Arial" w:eastAsia="Arial" w:hAnsi="Arial"/>
                <w:sz w:val="15"/>
                <w:szCs w:val="15"/>
                <w:b w:val="1"/>
                <w:bCs w:val="1"/>
                <w:color w:val="auto"/>
              </w:rPr>
              <w:t>2021 (G)</w:t>
            </w:r>
          </w:p>
        </w:tc>
        <w:tc>
          <w:tcPr>
            <w:tcW w:w="0" w:type="dxa"/>
            <w:vAlign w:val="bottom"/>
          </w:tcPr>
          <w:p>
            <w:pPr>
              <w:spacing w:after="0"/>
              <w:rPr>
                <w:sz w:val="1"/>
                <w:szCs w:val="1"/>
                <w:color w:val="auto"/>
              </w:rPr>
            </w:pPr>
          </w:p>
        </w:tc>
      </w:tr>
      <w:tr>
        <w:trPr>
          <w:trHeight w:val="199"/>
        </w:trPr>
        <w:tc>
          <w:tcPr>
            <w:tcW w:w="6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jc w:val="right"/>
              <w:ind w:right="575"/>
              <w:spacing w:after="0"/>
              <w:rPr>
                <w:sz w:val="20"/>
                <w:szCs w:val="20"/>
                <w:color w:val="auto"/>
              </w:rPr>
            </w:pPr>
            <w:r>
              <w:rPr>
                <w:rFonts w:ascii="Arial" w:cs="Arial" w:eastAsia="Arial" w:hAnsi="Arial"/>
                <w:sz w:val="15"/>
                <w:szCs w:val="15"/>
                <w:color w:val="auto"/>
              </w:rPr>
              <w:t>+ / -</w:t>
            </w:r>
          </w:p>
        </w:tc>
        <w:tc>
          <w:tcPr>
            <w:tcW w:w="0" w:type="dxa"/>
            <w:vAlign w:val="bottom"/>
          </w:tcPr>
          <w:p>
            <w:pPr>
              <w:spacing w:after="0"/>
              <w:rPr>
                <w:sz w:val="1"/>
                <w:szCs w:val="1"/>
                <w:color w:val="auto"/>
              </w:rPr>
            </w:pPr>
          </w:p>
        </w:tc>
      </w:tr>
      <w:tr>
        <w:trPr>
          <w:trHeight w:val="222"/>
        </w:trPr>
        <w:tc>
          <w:tcPr>
            <w:tcW w:w="6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Adjusted EBITDA</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200" w:type="dxa"/>
            <w:vAlign w:val="bottom"/>
          </w:tcPr>
          <w:p>
            <w:pPr>
              <w:ind w:left="180"/>
              <w:spacing w:after="0"/>
              <w:rPr>
                <w:sz w:val="20"/>
                <w:szCs w:val="20"/>
                <w:color w:val="auto"/>
              </w:rPr>
            </w:pPr>
            <w:r>
              <w:rPr>
                <w:rFonts w:ascii="Arial" w:cs="Arial" w:eastAsia="Arial" w:hAnsi="Arial"/>
                <w:sz w:val="17"/>
                <w:szCs w:val="17"/>
                <w:color w:val="auto"/>
              </w:rPr>
              <w:t>Transportation</w:t>
            </w:r>
          </w:p>
        </w:tc>
        <w:tc>
          <w:tcPr>
            <w:tcW w:w="1060" w:type="dxa"/>
            <w:vAlign w:val="bottom"/>
          </w:tcPr>
          <w:p>
            <w:pPr>
              <w:jc w:val="right"/>
              <w:ind w:right="875"/>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1,722</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1,616</w:t>
            </w:r>
          </w:p>
        </w:tc>
        <w:tc>
          <w:tcPr>
            <w:tcW w:w="100" w:type="dxa"/>
            <w:vAlign w:val="bottom"/>
          </w:tcPr>
          <w:p>
            <w:pPr>
              <w:spacing w:after="0"/>
              <w:rPr>
                <w:sz w:val="18"/>
                <w:szCs w:val="18"/>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1,580</w:t>
            </w:r>
          </w:p>
        </w:tc>
        <w:tc>
          <w:tcPr>
            <w:tcW w:w="0" w:type="dxa"/>
            <w:vAlign w:val="bottom"/>
          </w:tcPr>
          <w:p>
            <w:pPr>
              <w:spacing w:after="0"/>
              <w:rPr>
                <w:sz w:val="1"/>
                <w:szCs w:val="1"/>
                <w:color w:val="auto"/>
              </w:rPr>
            </w:pPr>
          </w:p>
        </w:tc>
      </w:tr>
      <w:tr>
        <w:trPr>
          <w:trHeight w:val="220"/>
        </w:trPr>
        <w:tc>
          <w:tcPr>
            <w:tcW w:w="6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Facilities</w:t>
            </w:r>
          </w:p>
        </w:tc>
        <w:tc>
          <w:tcPr>
            <w:tcW w:w="10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545</w:t>
            </w:r>
          </w:p>
        </w:tc>
        <w:tc>
          <w:tcPr>
            <w:tcW w:w="0" w:type="dxa"/>
            <w:vAlign w:val="bottom"/>
          </w:tcPr>
          <w:p>
            <w:pPr>
              <w:spacing w:after="0"/>
              <w:rPr>
                <w:sz w:val="1"/>
                <w:szCs w:val="1"/>
                <w:color w:val="auto"/>
              </w:rPr>
            </w:pPr>
          </w:p>
        </w:tc>
      </w:tr>
      <w:tr>
        <w:trPr>
          <w:trHeight w:val="212"/>
        </w:trPr>
        <w:tc>
          <w:tcPr>
            <w:tcW w:w="6200" w:type="dxa"/>
            <w:vAlign w:val="bottom"/>
          </w:tcPr>
          <w:p>
            <w:pPr>
              <w:ind w:left="300"/>
              <w:spacing w:after="0"/>
              <w:rPr>
                <w:sz w:val="20"/>
                <w:szCs w:val="20"/>
                <w:color w:val="auto"/>
              </w:rPr>
            </w:pPr>
            <w:r>
              <w:rPr>
                <w:rFonts w:ascii="Arial" w:cs="Arial" w:eastAsia="Arial" w:hAnsi="Arial"/>
                <w:sz w:val="17"/>
                <w:szCs w:val="17"/>
                <w:b w:val="1"/>
                <w:bCs w:val="1"/>
                <w:color w:val="auto"/>
              </w:rPr>
              <w:t>Fee-Based</w:t>
            </w:r>
          </w:p>
        </w:tc>
        <w:tc>
          <w:tcPr>
            <w:tcW w:w="1060" w:type="dxa"/>
            <w:vAlign w:val="bottom"/>
          </w:tcPr>
          <w:p>
            <w:pPr>
              <w:jc w:val="right"/>
              <w:ind w:right="875"/>
              <w:spacing w:after="0"/>
              <w:rPr>
                <w:sz w:val="20"/>
                <w:szCs w:val="20"/>
                <w:color w:val="auto"/>
              </w:rPr>
            </w:pPr>
            <w:r>
              <w:rPr>
                <w:rFonts w:ascii="Arial" w:cs="Arial" w:eastAsia="Arial" w:hAnsi="Arial"/>
                <w:sz w:val="17"/>
                <w:szCs w:val="17"/>
                <w:b w:val="1"/>
                <w:bCs w:val="1"/>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2,427</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2,347</w:t>
            </w:r>
          </w:p>
        </w:tc>
        <w:tc>
          <w:tcPr>
            <w:tcW w:w="100" w:type="dxa"/>
            <w:vAlign w:val="bottom"/>
          </w:tcPr>
          <w:p>
            <w:pPr>
              <w:spacing w:after="0"/>
              <w:rPr>
                <w:sz w:val="18"/>
                <w:szCs w:val="18"/>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2,125</w:t>
            </w: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Supply and Logistics</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9"/>
        </w:trPr>
        <w:tc>
          <w:tcPr>
            <w:tcW w:w="6200" w:type="dxa"/>
            <w:vAlign w:val="bottom"/>
            <w:tcBorders>
              <w:bottom w:val="single" w:sz="8" w:color="CCEEFF"/>
            </w:tcBorders>
          </w:tcPr>
          <w:p>
            <w:pPr>
              <w:ind w:left="180"/>
              <w:spacing w:after="0" w:line="219" w:lineRule="exact"/>
              <w:rPr>
                <w:sz w:val="20"/>
                <w:szCs w:val="20"/>
                <w:color w:val="auto"/>
              </w:rPr>
            </w:pPr>
            <w:r>
              <w:rPr>
                <w:rFonts w:ascii="Arial" w:cs="Arial" w:eastAsia="Arial" w:hAnsi="Arial"/>
                <w:sz w:val="17"/>
                <w:szCs w:val="17"/>
                <w:color w:val="auto"/>
              </w:rPr>
              <w:t xml:space="preserve">Adjusted other income/(expense), net </w:t>
            </w:r>
            <w:r>
              <w:rPr>
                <w:rFonts w:ascii="Arial" w:cs="Arial" w:eastAsia="Arial" w:hAnsi="Arial"/>
                <w:sz w:val="22"/>
                <w:szCs w:val="22"/>
                <w:color w:val="auto"/>
                <w:vertAlign w:val="superscript"/>
              </w:rPr>
              <w:t>(1)</w:t>
            </w: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7"/>
        </w:trPr>
        <w:tc>
          <w:tcPr>
            <w:tcW w:w="6200" w:type="dxa"/>
            <w:vAlign w:val="bottom"/>
            <w:tcBorders>
              <w:bottom w:val="single" w:sz="8" w:color="CCEEFF"/>
            </w:tcBorders>
            <w:shd w:val="clear" w:color="auto" w:fill="CCEEFF"/>
          </w:tcPr>
          <w:p>
            <w:pPr>
              <w:ind w:left="20"/>
              <w:spacing w:after="0" w:line="212" w:lineRule="exact"/>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22"/>
                <w:szCs w:val="22"/>
                <w:b w:val="1"/>
                <w:bCs w:val="1"/>
                <w:color w:val="auto"/>
                <w:vertAlign w:val="superscript"/>
              </w:rPr>
              <w:t>(2)</w:t>
            </w:r>
          </w:p>
        </w:tc>
        <w:tc>
          <w:tcPr>
            <w:tcW w:w="1060" w:type="dxa"/>
            <w:vAlign w:val="bottom"/>
            <w:tcBorders>
              <w:bottom w:val="single" w:sz="8" w:color="auto"/>
            </w:tcBorders>
            <w:shd w:val="clear" w:color="auto" w:fill="CCEEFF"/>
          </w:tcPr>
          <w:p>
            <w:pPr>
              <w:jc w:val="right"/>
              <w:ind w:right="875"/>
              <w:spacing w:after="0"/>
              <w:rPr>
                <w:sz w:val="20"/>
                <w:szCs w:val="20"/>
                <w:color w:val="auto"/>
              </w:rPr>
            </w:pPr>
            <w:r>
              <w:rPr>
                <w:rFonts w:ascii="Arial" w:cs="Arial" w:eastAsia="Arial" w:hAnsi="Arial"/>
                <w:sz w:val="17"/>
                <w:szCs w:val="17"/>
                <w:b w:val="1"/>
                <w:bCs w:val="1"/>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3,237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2,560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2,150</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180"/>
              <w:spacing w:after="0" w:line="230" w:lineRule="exact"/>
              <w:rPr>
                <w:sz w:val="20"/>
                <w:szCs w:val="20"/>
                <w:color w:val="auto"/>
              </w:rPr>
            </w:pPr>
            <w:r>
              <w:rPr>
                <w:rFonts w:ascii="Arial" w:cs="Arial" w:eastAsia="Arial" w:hAnsi="Arial"/>
                <w:sz w:val="17"/>
                <w:szCs w:val="17"/>
                <w:color w:val="auto"/>
              </w:rPr>
              <w:t xml:space="preserve">Interest expense, net of certain non-cash items </w:t>
            </w:r>
            <w:r>
              <w:rPr>
                <w:rFonts w:ascii="Arial" w:cs="Arial" w:eastAsia="Arial" w:hAnsi="Arial"/>
                <w:sz w:val="22"/>
                <w:szCs w:val="22"/>
                <w:color w:val="auto"/>
                <w:vertAlign w:val="superscript"/>
              </w:rPr>
              <w:t>(3)</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20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jc w:val="right"/>
              <w:spacing w:after="0" w:line="191" w:lineRule="exact"/>
              <w:rPr>
                <w:sz w:val="20"/>
                <w:szCs w:val="20"/>
                <w:color w:val="auto"/>
              </w:rPr>
            </w:pPr>
            <w:r>
              <w:rPr>
                <w:rFonts w:ascii="Arial" w:cs="Arial" w:eastAsia="Arial" w:hAnsi="Arial"/>
                <w:sz w:val="17"/>
                <w:szCs w:val="17"/>
                <w:color w:val="auto"/>
              </w:rPr>
              <w:t>(407)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line="191" w:lineRule="exact"/>
              <w:rPr>
                <w:sz w:val="20"/>
                <w:szCs w:val="20"/>
                <w:color w:val="auto"/>
              </w:rPr>
            </w:pPr>
            <w:r>
              <w:rPr>
                <w:rFonts w:ascii="Arial" w:cs="Arial" w:eastAsia="Arial" w:hAnsi="Arial"/>
                <w:sz w:val="17"/>
                <w:szCs w:val="17"/>
                <w:color w:val="auto"/>
              </w:rPr>
              <w:t>(415)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Arial" w:cs="Arial" w:eastAsia="Arial" w:hAnsi="Arial"/>
                <w:sz w:val="17"/>
                <w:szCs w:val="17"/>
                <w:color w:val="auto"/>
              </w:rPr>
              <w:t>(410)</w:t>
            </w: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Maintenance capital</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18"/>
        </w:trPr>
        <w:tc>
          <w:tcPr>
            <w:tcW w:w="6200" w:type="dxa"/>
            <w:vAlign w:val="bottom"/>
          </w:tcPr>
          <w:p>
            <w:pPr>
              <w:ind w:left="180"/>
              <w:spacing w:after="0"/>
              <w:rPr>
                <w:sz w:val="20"/>
                <w:szCs w:val="20"/>
                <w:color w:val="auto"/>
              </w:rPr>
            </w:pPr>
            <w:r>
              <w:rPr>
                <w:rFonts w:ascii="Arial" w:cs="Arial" w:eastAsia="Arial" w:hAnsi="Arial"/>
                <w:sz w:val="17"/>
                <w:szCs w:val="17"/>
                <w:color w:val="auto"/>
              </w:rPr>
              <w:t>Current income tax expense</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20"/>
        </w:trPr>
        <w:tc>
          <w:tcPr>
            <w:tcW w:w="6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2"/>
        </w:trPr>
        <w:tc>
          <w:tcPr>
            <w:tcW w:w="6200" w:type="dxa"/>
            <w:vAlign w:val="bottom"/>
          </w:tcPr>
          <w:p>
            <w:pPr>
              <w:ind w:left="20"/>
              <w:spacing w:after="0" w:line="212" w:lineRule="exact"/>
              <w:rPr>
                <w:sz w:val="20"/>
                <w:szCs w:val="20"/>
                <w:color w:val="auto"/>
              </w:rPr>
            </w:pPr>
            <w:r>
              <w:rPr>
                <w:rFonts w:ascii="Arial" w:cs="Arial" w:eastAsia="Arial" w:hAnsi="Arial"/>
                <w:sz w:val="17"/>
                <w:szCs w:val="17"/>
                <w:b w:val="1"/>
                <w:bCs w:val="1"/>
                <w:color w:val="auto"/>
              </w:rPr>
              <w:t xml:space="preserve">Implied DCF </w:t>
            </w:r>
            <w:r>
              <w:rPr>
                <w:rFonts w:ascii="Arial" w:cs="Arial" w:eastAsia="Arial" w:hAnsi="Arial"/>
                <w:sz w:val="22"/>
                <w:szCs w:val="22"/>
                <w:b w:val="1"/>
                <w:bCs w:val="1"/>
                <w:color w:val="auto"/>
                <w:vertAlign w:val="superscript"/>
              </w:rPr>
              <w:t>(2)</w:t>
            </w:r>
          </w:p>
        </w:tc>
        <w:tc>
          <w:tcPr>
            <w:tcW w:w="1060" w:type="dxa"/>
            <w:vAlign w:val="bottom"/>
          </w:tcPr>
          <w:p>
            <w:pPr>
              <w:jc w:val="right"/>
              <w:ind w:right="875"/>
              <w:spacing w:after="0"/>
              <w:rPr>
                <w:sz w:val="20"/>
                <w:szCs w:val="20"/>
                <w:color w:val="auto"/>
              </w:rPr>
            </w:pPr>
            <w:r>
              <w:rPr>
                <w:rFonts w:ascii="Arial" w:cs="Arial" w:eastAsia="Arial" w:hAnsi="Arial"/>
                <w:sz w:val="17"/>
                <w:szCs w:val="17"/>
                <w:b w:val="1"/>
                <w:bCs w:val="1"/>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2,376</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1,881</w:t>
            </w:r>
          </w:p>
        </w:tc>
        <w:tc>
          <w:tcPr>
            <w:tcW w:w="100" w:type="dxa"/>
            <w:vAlign w:val="bottom"/>
          </w:tcPr>
          <w:p>
            <w:pPr>
              <w:spacing w:after="0"/>
              <w:rPr>
                <w:sz w:val="18"/>
                <w:szCs w:val="18"/>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1,515</w:t>
            </w: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180"/>
              <w:spacing w:after="0" w:line="219" w:lineRule="exact"/>
              <w:rPr>
                <w:sz w:val="20"/>
                <w:szCs w:val="20"/>
                <w:color w:val="auto"/>
              </w:rPr>
            </w:pPr>
            <w:r>
              <w:rPr>
                <w:rFonts w:ascii="Arial" w:cs="Arial" w:eastAsia="Arial" w:hAnsi="Arial"/>
                <w:sz w:val="17"/>
                <w:szCs w:val="17"/>
                <w:color w:val="auto"/>
              </w:rPr>
              <w:t xml:space="preserve">Preferred unit distributions paid </w:t>
            </w:r>
            <w:r>
              <w:rPr>
                <w:rFonts w:ascii="Arial" w:cs="Arial" w:eastAsia="Arial" w:hAnsi="Arial"/>
                <w:sz w:val="22"/>
                <w:szCs w:val="22"/>
                <w:color w:val="auto"/>
                <w:vertAlign w:val="superscript"/>
              </w:rPr>
              <w:t>(4)</w:t>
            </w:r>
          </w:p>
        </w:tc>
        <w:tc>
          <w:tcPr>
            <w:tcW w:w="10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12"/>
        </w:trPr>
        <w:tc>
          <w:tcPr>
            <w:tcW w:w="6200" w:type="dxa"/>
            <w:vAlign w:val="bottom"/>
          </w:tcPr>
          <w:p>
            <w:pPr>
              <w:ind w:left="20"/>
              <w:spacing w:after="0"/>
              <w:rPr>
                <w:sz w:val="20"/>
                <w:szCs w:val="20"/>
                <w:color w:val="auto"/>
              </w:rPr>
            </w:pPr>
            <w:r>
              <w:rPr>
                <w:rFonts w:ascii="Arial" w:cs="Arial" w:eastAsia="Arial" w:hAnsi="Arial"/>
                <w:sz w:val="17"/>
                <w:szCs w:val="17"/>
                <w:b w:val="1"/>
                <w:bCs w:val="1"/>
                <w:color w:val="auto"/>
              </w:rPr>
              <w:t>Implied DCF Available to Common Unitholders</w:t>
            </w:r>
          </w:p>
        </w:tc>
        <w:tc>
          <w:tcPr>
            <w:tcW w:w="1060" w:type="dxa"/>
            <w:vAlign w:val="bottom"/>
            <w:tcBorders>
              <w:bottom w:val="single" w:sz="8" w:color="auto"/>
            </w:tcBorders>
          </w:tcPr>
          <w:p>
            <w:pPr>
              <w:jc w:val="right"/>
              <w:ind w:right="875"/>
              <w:spacing w:after="0"/>
              <w:rPr>
                <w:sz w:val="20"/>
                <w:szCs w:val="20"/>
                <w:color w:val="auto"/>
              </w:rPr>
            </w:pPr>
            <w:r>
              <w:rPr>
                <w:rFonts w:ascii="Arial" w:cs="Arial" w:eastAsia="Arial" w:hAnsi="Arial"/>
                <w:sz w:val="17"/>
                <w:szCs w:val="17"/>
                <w:b w:val="1"/>
                <w:bCs w:val="1"/>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2,178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1,683</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1,315</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200" w:type="dxa"/>
            <w:vAlign w:val="bottom"/>
          </w:tcPr>
          <w:p>
            <w:pPr>
              <w:ind w:left="20"/>
              <w:spacing w:after="0" w:line="219" w:lineRule="exact"/>
              <w:rPr>
                <w:sz w:val="20"/>
                <w:szCs w:val="20"/>
                <w:color w:val="auto"/>
              </w:rPr>
            </w:pPr>
            <w:r>
              <w:rPr>
                <w:rFonts w:ascii="Arial" w:cs="Arial" w:eastAsia="Arial" w:hAnsi="Arial"/>
                <w:sz w:val="17"/>
                <w:szCs w:val="17"/>
                <w:b w:val="1"/>
                <w:bCs w:val="1"/>
                <w:color w:val="auto"/>
              </w:rPr>
              <w:t xml:space="preserve">Implied DCF per Common Unit and Common Unit Equivalent </w:t>
            </w:r>
            <w:r>
              <w:rPr>
                <w:rFonts w:ascii="Arial" w:cs="Arial" w:eastAsia="Arial" w:hAnsi="Arial"/>
                <w:sz w:val="22"/>
                <w:szCs w:val="22"/>
                <w:b w:val="1"/>
                <w:bCs w:val="1"/>
                <w:color w:val="auto"/>
                <w:vertAlign w:val="superscript"/>
              </w:rPr>
              <w:t>(2)</w:t>
            </w:r>
          </w:p>
        </w:tc>
        <w:tc>
          <w:tcPr>
            <w:tcW w:w="1060" w:type="dxa"/>
            <w:vAlign w:val="bottom"/>
          </w:tcPr>
          <w:p>
            <w:pPr>
              <w:jc w:val="right"/>
              <w:ind w:right="875"/>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2.91</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2.29</w:t>
            </w:r>
          </w:p>
        </w:tc>
        <w:tc>
          <w:tcPr>
            <w:tcW w:w="100" w:type="dxa"/>
            <w:vAlign w:val="bottom"/>
          </w:tcPr>
          <w:p>
            <w:pPr>
              <w:spacing w:after="0"/>
              <w:rPr>
                <w:sz w:val="19"/>
                <w:szCs w:val="19"/>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206"/>
        </w:trPr>
        <w:tc>
          <w:tcPr>
            <w:tcW w:w="6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200" w:type="dxa"/>
            <w:vAlign w:val="bottom"/>
          </w:tcPr>
          <w:p>
            <w:pPr>
              <w:ind w:left="20"/>
              <w:spacing w:after="0" w:line="219" w:lineRule="exact"/>
              <w:rPr>
                <w:sz w:val="20"/>
                <w:szCs w:val="20"/>
                <w:color w:val="auto"/>
              </w:rPr>
            </w:pPr>
            <w:r>
              <w:rPr>
                <w:rFonts w:ascii="Arial" w:cs="Arial" w:eastAsia="Arial" w:hAnsi="Arial"/>
                <w:sz w:val="17"/>
                <w:szCs w:val="17"/>
                <w:b w:val="1"/>
                <w:bCs w:val="1"/>
                <w:color w:val="auto"/>
              </w:rPr>
              <w:t xml:space="preserve">Distributions per Common Unit </w:t>
            </w:r>
            <w:r>
              <w:rPr>
                <w:rFonts w:ascii="Arial" w:cs="Arial" w:eastAsia="Arial" w:hAnsi="Arial"/>
                <w:sz w:val="22"/>
                <w:szCs w:val="22"/>
                <w:b w:val="1"/>
                <w:bCs w:val="1"/>
                <w:color w:val="auto"/>
                <w:vertAlign w:val="superscript"/>
              </w:rPr>
              <w:t>(5)</w:t>
            </w:r>
          </w:p>
        </w:tc>
        <w:tc>
          <w:tcPr>
            <w:tcW w:w="1060" w:type="dxa"/>
            <w:vAlign w:val="bottom"/>
          </w:tcPr>
          <w:p>
            <w:pPr>
              <w:jc w:val="right"/>
              <w:ind w:right="875"/>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0.90</w:t>
            </w:r>
          </w:p>
        </w:tc>
        <w:tc>
          <w:tcPr>
            <w:tcW w:w="100" w:type="dxa"/>
            <w:vAlign w:val="bottom"/>
          </w:tcPr>
          <w:p>
            <w:pPr>
              <w:spacing w:after="0"/>
              <w:rPr>
                <w:sz w:val="19"/>
                <w:szCs w:val="19"/>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0.72</w:t>
            </w: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Common Unit Distribution Coverage Ratio</w:t>
            </w:r>
          </w:p>
        </w:tc>
        <w:tc>
          <w:tcPr>
            <w:tcW w:w="10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2.17x</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2.57x</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2.54x</w:t>
            </w:r>
          </w:p>
        </w:tc>
        <w:tc>
          <w:tcPr>
            <w:tcW w:w="0" w:type="dxa"/>
            <w:vAlign w:val="bottom"/>
          </w:tcPr>
          <w:p>
            <w:pPr>
              <w:spacing w:after="0"/>
              <w:rPr>
                <w:sz w:val="1"/>
                <w:szCs w:val="1"/>
                <w:color w:val="auto"/>
              </w:rPr>
            </w:pPr>
          </w:p>
        </w:tc>
      </w:tr>
      <w:tr>
        <w:trPr>
          <w:trHeight w:val="206"/>
        </w:trPr>
        <w:tc>
          <w:tcPr>
            <w:tcW w:w="6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b w:val="1"/>
                <w:bCs w:val="1"/>
                <w:color w:val="auto"/>
              </w:rPr>
              <w:t xml:space="preserve">Diluted Adjusted Net Income per Common Unit </w:t>
            </w:r>
            <w:r>
              <w:rPr>
                <w:rFonts w:ascii="Arial" w:cs="Arial" w:eastAsia="Arial" w:hAnsi="Arial"/>
                <w:sz w:val="22"/>
                <w:szCs w:val="22"/>
                <w:b w:val="1"/>
                <w:bCs w:val="1"/>
                <w:color w:val="auto"/>
                <w:vertAlign w:val="superscript"/>
              </w:rPr>
              <w:t>(2)</w:t>
            </w:r>
          </w:p>
        </w:tc>
        <w:tc>
          <w:tcPr>
            <w:tcW w:w="1060" w:type="dxa"/>
            <w:vAlign w:val="bottom"/>
            <w:shd w:val="clear" w:color="auto" w:fill="CCEEFF"/>
          </w:tcPr>
          <w:p>
            <w:pPr>
              <w:jc w:val="right"/>
              <w:ind w:right="875"/>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0" w:type="dxa"/>
            <w:vAlign w:val="bottom"/>
          </w:tcPr>
          <w:p>
            <w:pPr>
              <w:spacing w:after="0"/>
              <w:rPr>
                <w:sz w:val="1"/>
                <w:szCs w:val="1"/>
                <w:color w:val="auto"/>
              </w:rPr>
            </w:pPr>
          </w:p>
        </w:tc>
      </w:tr>
      <w:tr>
        <w:trPr>
          <w:trHeight w:val="206"/>
        </w:trPr>
        <w:tc>
          <w:tcPr>
            <w:tcW w:w="6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Data</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00" w:type="dxa"/>
            <w:vAlign w:val="bottom"/>
          </w:tcPr>
          <w:p>
            <w:pPr>
              <w:ind w:left="180"/>
              <w:spacing w:after="0"/>
              <w:rPr>
                <w:sz w:val="20"/>
                <w:szCs w:val="20"/>
                <w:color w:val="auto"/>
              </w:rPr>
            </w:pPr>
            <w:r>
              <w:rPr>
                <w:rFonts w:ascii="Arial" w:cs="Arial" w:eastAsia="Arial" w:hAnsi="Arial"/>
                <w:sz w:val="17"/>
                <w:szCs w:val="17"/>
                <w:b w:val="1"/>
                <w:bCs w:val="1"/>
                <w:color w:val="auto"/>
              </w:rPr>
              <w:t>Transportation</w:t>
            </w: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Average daily volumes (MBbls/d)</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6,050</w:t>
            </w:r>
          </w:p>
        </w:tc>
        <w:tc>
          <w:tcPr>
            <w:tcW w:w="0" w:type="dxa"/>
            <w:vAlign w:val="bottom"/>
          </w:tcPr>
          <w:p>
            <w:pPr>
              <w:spacing w:after="0"/>
              <w:rPr>
                <w:sz w:val="1"/>
                <w:szCs w:val="1"/>
                <w:color w:val="auto"/>
              </w:rPr>
            </w:pPr>
          </w:p>
        </w:tc>
      </w:tr>
      <w:tr>
        <w:trPr>
          <w:trHeight w:val="218"/>
        </w:trPr>
        <w:tc>
          <w:tcPr>
            <w:tcW w:w="6200" w:type="dxa"/>
            <w:vAlign w:val="bottom"/>
          </w:tcPr>
          <w:p>
            <w:pPr>
              <w:ind w:left="320"/>
              <w:spacing w:after="0"/>
              <w:rPr>
                <w:sz w:val="20"/>
                <w:szCs w:val="20"/>
                <w:color w:val="auto"/>
              </w:rPr>
            </w:pPr>
            <w:r>
              <w:rPr>
                <w:rFonts w:ascii="Arial" w:cs="Arial" w:eastAsia="Arial" w:hAnsi="Arial"/>
                <w:sz w:val="17"/>
                <w:szCs w:val="17"/>
                <w:color w:val="auto"/>
              </w:rPr>
              <w:t>Segment Adjusted EBITDA per barrel</w:t>
            </w:r>
          </w:p>
        </w:tc>
        <w:tc>
          <w:tcPr>
            <w:tcW w:w="1060" w:type="dxa"/>
            <w:vAlign w:val="bottom"/>
          </w:tcPr>
          <w:p>
            <w:pPr>
              <w:jc w:val="right"/>
              <w:ind w:right="875"/>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0.68</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0.70</w:t>
            </w:r>
          </w:p>
        </w:tc>
        <w:tc>
          <w:tcPr>
            <w:tcW w:w="100" w:type="dxa"/>
            <w:vAlign w:val="bottom"/>
          </w:tcPr>
          <w:p>
            <w:pPr>
              <w:spacing w:after="0"/>
              <w:rPr>
                <w:sz w:val="18"/>
                <w:szCs w:val="18"/>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0.72</w:t>
            </w:r>
          </w:p>
        </w:tc>
        <w:tc>
          <w:tcPr>
            <w:tcW w:w="0" w:type="dxa"/>
            <w:vAlign w:val="bottom"/>
          </w:tcPr>
          <w:p>
            <w:pPr>
              <w:spacing w:after="0"/>
              <w:rPr>
                <w:sz w:val="1"/>
                <w:szCs w:val="1"/>
                <w:color w:val="auto"/>
              </w:rPr>
            </w:pPr>
          </w:p>
        </w:tc>
      </w:tr>
      <w:tr>
        <w:trPr>
          <w:trHeight w:val="207"/>
        </w:trPr>
        <w:tc>
          <w:tcPr>
            <w:tcW w:w="6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0" w:type="dxa"/>
            <w:vAlign w:val="bottom"/>
          </w:tcPr>
          <w:p>
            <w:pPr>
              <w:ind w:left="180"/>
              <w:spacing w:after="0"/>
              <w:rPr>
                <w:sz w:val="20"/>
                <w:szCs w:val="20"/>
                <w:color w:val="auto"/>
              </w:rPr>
            </w:pPr>
            <w:r>
              <w:rPr>
                <w:rFonts w:ascii="Arial" w:cs="Arial" w:eastAsia="Arial" w:hAnsi="Arial"/>
                <w:sz w:val="17"/>
                <w:szCs w:val="17"/>
                <w:b w:val="1"/>
                <w:bCs w:val="1"/>
                <w:color w:val="auto"/>
              </w:rPr>
              <w:t>Facilities</w:t>
            </w: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Average capacity (MMBbls/Mo)</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18"/>
        </w:trPr>
        <w:tc>
          <w:tcPr>
            <w:tcW w:w="6200" w:type="dxa"/>
            <w:vAlign w:val="bottom"/>
          </w:tcPr>
          <w:p>
            <w:pPr>
              <w:ind w:left="320"/>
              <w:spacing w:after="0"/>
              <w:rPr>
                <w:sz w:val="20"/>
                <w:szCs w:val="20"/>
                <w:color w:val="auto"/>
              </w:rPr>
            </w:pPr>
            <w:r>
              <w:rPr>
                <w:rFonts w:ascii="Arial" w:cs="Arial" w:eastAsia="Arial" w:hAnsi="Arial"/>
                <w:sz w:val="17"/>
                <w:szCs w:val="17"/>
                <w:color w:val="auto"/>
              </w:rPr>
              <w:t>Segment Adjusted EBITDA per barrel</w:t>
            </w:r>
          </w:p>
        </w:tc>
        <w:tc>
          <w:tcPr>
            <w:tcW w:w="1060" w:type="dxa"/>
            <w:vAlign w:val="bottom"/>
          </w:tcPr>
          <w:p>
            <w:pPr>
              <w:jc w:val="right"/>
              <w:ind w:right="875"/>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0.47</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0.49</w:t>
            </w:r>
          </w:p>
        </w:tc>
        <w:tc>
          <w:tcPr>
            <w:tcW w:w="100" w:type="dxa"/>
            <w:vAlign w:val="bottom"/>
          </w:tcPr>
          <w:p>
            <w:pPr>
              <w:spacing w:after="0"/>
              <w:rPr>
                <w:sz w:val="18"/>
                <w:szCs w:val="18"/>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0.41</w:t>
            </w:r>
          </w:p>
        </w:tc>
        <w:tc>
          <w:tcPr>
            <w:tcW w:w="0" w:type="dxa"/>
            <w:vAlign w:val="bottom"/>
          </w:tcPr>
          <w:p>
            <w:pPr>
              <w:spacing w:after="0"/>
              <w:rPr>
                <w:sz w:val="1"/>
                <w:szCs w:val="1"/>
                <w:color w:val="auto"/>
              </w:rPr>
            </w:pPr>
          </w:p>
        </w:tc>
      </w:tr>
      <w:tr>
        <w:trPr>
          <w:trHeight w:val="207"/>
        </w:trPr>
        <w:tc>
          <w:tcPr>
            <w:tcW w:w="6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0" w:type="dxa"/>
            <w:vAlign w:val="bottom"/>
          </w:tcPr>
          <w:p>
            <w:pPr>
              <w:ind w:left="180"/>
              <w:spacing w:after="0"/>
              <w:rPr>
                <w:sz w:val="20"/>
                <w:szCs w:val="20"/>
                <w:color w:val="auto"/>
              </w:rPr>
            </w:pPr>
            <w:r>
              <w:rPr>
                <w:rFonts w:ascii="Arial" w:cs="Arial" w:eastAsia="Arial" w:hAnsi="Arial"/>
                <w:sz w:val="17"/>
                <w:szCs w:val="17"/>
                <w:b w:val="1"/>
                <w:bCs w:val="1"/>
                <w:color w:val="auto"/>
              </w:rPr>
              <w:t>Supply and Logistics</w:t>
            </w: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Average daily volumes (MBbls/d)</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1,380</w:t>
            </w:r>
          </w:p>
        </w:tc>
        <w:tc>
          <w:tcPr>
            <w:tcW w:w="0" w:type="dxa"/>
            <w:vAlign w:val="bottom"/>
          </w:tcPr>
          <w:p>
            <w:pPr>
              <w:spacing w:after="0"/>
              <w:rPr>
                <w:sz w:val="1"/>
                <w:szCs w:val="1"/>
                <w:color w:val="auto"/>
              </w:rPr>
            </w:pPr>
          </w:p>
        </w:tc>
      </w:tr>
      <w:tr>
        <w:trPr>
          <w:trHeight w:val="218"/>
        </w:trPr>
        <w:tc>
          <w:tcPr>
            <w:tcW w:w="6200" w:type="dxa"/>
            <w:vAlign w:val="bottom"/>
          </w:tcPr>
          <w:p>
            <w:pPr>
              <w:ind w:left="320"/>
              <w:spacing w:after="0"/>
              <w:rPr>
                <w:sz w:val="20"/>
                <w:szCs w:val="20"/>
                <w:color w:val="auto"/>
              </w:rPr>
            </w:pPr>
            <w:r>
              <w:rPr>
                <w:rFonts w:ascii="Arial" w:cs="Arial" w:eastAsia="Arial" w:hAnsi="Arial"/>
                <w:sz w:val="17"/>
                <w:szCs w:val="17"/>
                <w:color w:val="auto"/>
              </w:rPr>
              <w:t>Segment Adjusted EBITDA per barrel</w:t>
            </w:r>
          </w:p>
        </w:tc>
        <w:tc>
          <w:tcPr>
            <w:tcW w:w="1060" w:type="dxa"/>
            <w:vAlign w:val="bottom"/>
          </w:tcPr>
          <w:p>
            <w:pPr>
              <w:jc w:val="right"/>
              <w:ind w:right="875"/>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0.43</w:t>
            </w:r>
          </w:p>
        </w:tc>
        <w:tc>
          <w:tcPr>
            <w:tcW w:w="100" w:type="dxa"/>
            <w:vAlign w:val="bottom"/>
          </w:tcPr>
          <w:p>
            <w:pPr>
              <w:spacing w:after="0"/>
              <w:rPr>
                <w:sz w:val="18"/>
                <w:szCs w:val="18"/>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07"/>
        </w:trPr>
        <w:tc>
          <w:tcPr>
            <w:tcW w:w="6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0" w:type="dxa"/>
            <w:vAlign w:val="bottom"/>
          </w:tcPr>
          <w:p>
            <w:pPr>
              <w:ind w:left="20"/>
              <w:spacing w:after="0"/>
              <w:rPr>
                <w:sz w:val="20"/>
                <w:szCs w:val="20"/>
                <w:color w:val="auto"/>
              </w:rPr>
            </w:pPr>
            <w:r>
              <w:rPr>
                <w:rFonts w:ascii="Arial" w:cs="Arial" w:eastAsia="Arial" w:hAnsi="Arial"/>
                <w:sz w:val="17"/>
                <w:szCs w:val="17"/>
                <w:b w:val="1"/>
                <w:bCs w:val="1"/>
                <w:color w:val="auto"/>
              </w:rPr>
              <w:t>Investment Capital</w:t>
            </w:r>
          </w:p>
        </w:tc>
        <w:tc>
          <w:tcPr>
            <w:tcW w:w="1060" w:type="dxa"/>
            <w:vAlign w:val="bottom"/>
          </w:tcPr>
          <w:p>
            <w:pPr>
              <w:jc w:val="right"/>
              <w:ind w:right="875"/>
              <w:spacing w:after="0"/>
              <w:rPr>
                <w:sz w:val="20"/>
                <w:szCs w:val="20"/>
                <w:color w:val="auto"/>
              </w:rPr>
            </w:pPr>
            <w:r>
              <w:rPr>
                <w:rFonts w:ascii="Arial" w:cs="Arial" w:eastAsia="Arial" w:hAnsi="Arial"/>
                <w:sz w:val="17"/>
                <w:szCs w:val="17"/>
                <w:b w:val="1"/>
                <w:bCs w:val="1"/>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1,340</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921</w:t>
            </w:r>
          </w:p>
        </w:tc>
        <w:tc>
          <w:tcPr>
            <w:tcW w:w="100" w:type="dxa"/>
            <w:vAlign w:val="bottom"/>
          </w:tcPr>
          <w:p>
            <w:pPr>
              <w:spacing w:after="0"/>
              <w:rPr>
                <w:sz w:val="19"/>
                <w:szCs w:val="19"/>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375</w:t>
            </w:r>
          </w:p>
        </w:tc>
        <w:tc>
          <w:tcPr>
            <w:tcW w:w="0" w:type="dxa"/>
            <w:vAlign w:val="bottom"/>
          </w:tcPr>
          <w:p>
            <w:pPr>
              <w:spacing w:after="0"/>
              <w:rPr>
                <w:sz w:val="1"/>
                <w:szCs w:val="1"/>
                <w:color w:val="auto"/>
              </w:rPr>
            </w:pPr>
          </w:p>
        </w:tc>
      </w:tr>
      <w:tr>
        <w:trPr>
          <w:trHeight w:val="206"/>
        </w:trPr>
        <w:tc>
          <w:tcPr>
            <w:tcW w:w="6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3"/>
        </w:trPr>
        <w:tc>
          <w:tcPr>
            <w:tcW w:w="6200" w:type="dxa"/>
            <w:vAlign w:val="bottom"/>
          </w:tcPr>
          <w:p>
            <w:pPr>
              <w:ind w:left="20"/>
              <w:spacing w:after="0"/>
              <w:rPr>
                <w:sz w:val="20"/>
                <w:szCs w:val="20"/>
                <w:color w:val="auto"/>
              </w:rPr>
            </w:pPr>
            <w:r>
              <w:rPr>
                <w:rFonts w:ascii="Arial" w:cs="Arial" w:eastAsia="Arial" w:hAnsi="Arial"/>
                <w:sz w:val="17"/>
                <w:szCs w:val="17"/>
                <w:b w:val="1"/>
                <w:bCs w:val="1"/>
                <w:color w:val="auto"/>
              </w:rPr>
              <w:t xml:space="preserve">Second and Third-Quarter Adjusted EBITDA as a Percentage of Full Year </w:t>
            </w:r>
            <w:r>
              <w:rPr>
                <w:rFonts w:ascii="Arial" w:cs="Arial" w:eastAsia="Arial" w:hAnsi="Arial"/>
                <w:sz w:val="22"/>
                <w:szCs w:val="22"/>
                <w:b w:val="1"/>
                <w:bCs w:val="1"/>
                <w:color w:val="auto"/>
                <w:vertAlign w:val="superscript"/>
              </w:rPr>
              <w:t>(6)</w:t>
            </w:r>
          </w:p>
        </w:tc>
        <w:tc>
          <w:tcPr>
            <w:tcW w:w="1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47%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47%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24561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5618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(G) 2021 Guidance forecasts are intended to be + / - amounts.</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96520</wp:posOffset>
            </wp:positionV>
            <wp:extent cx="7122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00"/>
          </w:cols>
          <w:pgMar w:left="320" w:top="359" w:right="37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auto"/>
        </w:rPr>
        <w:t>Page 5</w:t>
      </w:r>
    </w:p>
    <w:p>
      <w:pPr>
        <w:spacing w:after="0" w:line="200" w:lineRule="exact"/>
        <w:rPr>
          <w:sz w:val="20"/>
          <w:szCs w:val="20"/>
          <w:color w:val="auto"/>
        </w:rPr>
      </w:pPr>
    </w:p>
    <w:p>
      <w:pPr>
        <w:spacing w:after="0" w:line="275" w:lineRule="exact"/>
        <w:rPr>
          <w:sz w:val="20"/>
          <w:szCs w:val="20"/>
          <w:color w:val="auto"/>
        </w:rPr>
      </w:pPr>
    </w:p>
    <w:p>
      <w:pPr>
        <w:ind w:left="320" w:right="100" w:hanging="317"/>
        <w:spacing w:after="0" w:line="234" w:lineRule="auto"/>
        <w:tabs>
          <w:tab w:leader="none" w:pos="308"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Represents “Other income, net” as reported on our Condensed Consolidated Statements of Operations, adjusted for selected items impacting comparability of $(17) million and $(36) million for the twelve months ended December 31, 2019 and 2020, respectively. See the “Selected Items Impacting Comparability” table for additional information.</w:t>
      </w:r>
    </w:p>
    <w:p>
      <w:pPr>
        <w:spacing w:after="0" w:line="81" w:lineRule="exact"/>
        <w:rPr>
          <w:rFonts w:ascii="Arial" w:cs="Arial" w:eastAsia="Arial" w:hAnsi="Arial"/>
          <w:sz w:val="22"/>
          <w:szCs w:val="22"/>
          <w:color w:val="auto"/>
          <w:vertAlign w:val="superscript"/>
        </w:rPr>
      </w:pPr>
    </w:p>
    <w:p>
      <w:pPr>
        <w:ind w:left="320" w:right="80" w:hanging="317"/>
        <w:spacing w:after="0" w:line="262" w:lineRule="auto"/>
        <w:tabs>
          <w:tab w:leader="none" w:pos="30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See the section of this release entitled “Non-GAAP Financial Measures and Selected Items Impacting Comparability” for information regarding non-GAAP financial measures and, for the historical 2019 and 2020 periods, see the Non-GAAP Reconciliation tables attached hereto for a reconciliation of such non-GAAP financial measures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such items and the periods in which such items may be recognized. Thus, a reconciliation of non-GAAP financial measures to the equivalent GAAP financial measures could result in disclosure that could be imprecise or potentially misleading.</w:t>
      </w:r>
    </w:p>
    <w:p>
      <w:pPr>
        <w:spacing w:after="0" w:line="16" w:lineRule="exact"/>
        <w:rPr>
          <w:rFonts w:ascii="Arial" w:cs="Arial" w:eastAsia="Arial" w:hAnsi="Arial"/>
          <w:sz w:val="21"/>
          <w:szCs w:val="21"/>
          <w:color w:val="auto"/>
          <w:vertAlign w:val="superscript"/>
        </w:rPr>
      </w:pPr>
    </w:p>
    <w:p>
      <w:pPr>
        <w:ind w:left="300" w:hanging="297"/>
        <w:spacing w:after="0"/>
        <w:tabs>
          <w:tab w:leader="none" w:pos="300"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79" w:lineRule="exact"/>
        <w:rPr>
          <w:rFonts w:ascii="Arial" w:cs="Arial" w:eastAsia="Arial" w:hAnsi="Arial"/>
          <w:sz w:val="22"/>
          <w:szCs w:val="22"/>
          <w:color w:val="auto"/>
          <w:vertAlign w:val="superscript"/>
        </w:rPr>
      </w:pPr>
    </w:p>
    <w:p>
      <w:pPr>
        <w:ind w:left="320" w:right="20" w:hanging="317"/>
        <w:spacing w:after="0" w:line="226" w:lineRule="auto"/>
        <w:tabs>
          <w:tab w:leader="none" w:pos="308"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to our preferred unitholders during 2019 and 2020. 2021(G) reflects the current annualized distribution requirement of $2.10 per Series A preferred unit and the current annualized distribution requirement of $61.25 per Series B preferred unit.</w:t>
      </w:r>
    </w:p>
    <w:p>
      <w:pPr>
        <w:spacing w:after="0" w:line="55"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Cash distributions per common unit paid during 2019 and 2020. 2021(G) reflects the current annualized distribution rate of $0.72 per common unit.</w:t>
      </w:r>
    </w:p>
    <w:p>
      <w:pPr>
        <w:spacing w:after="0" w:line="66" w:lineRule="exact"/>
        <w:rPr>
          <w:rFonts w:ascii="Arial" w:cs="Arial" w:eastAsia="Arial" w:hAnsi="Arial"/>
          <w:sz w:val="21"/>
          <w:szCs w:val="21"/>
          <w:color w:val="auto"/>
          <w:vertAlign w:val="superscript"/>
        </w:rPr>
      </w:pPr>
    </w:p>
    <w:p>
      <w:pPr>
        <w:ind w:left="320" w:right="40" w:hanging="317"/>
        <w:spacing w:after="0" w:line="238" w:lineRule="auto"/>
        <w:tabs>
          <w:tab w:leader="none" w:pos="308"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2021 (G) includes our +/- forecast for the full year based on a certain set of assumptions as of the date of this earnings release and acknowledges that uncertainties under the current market environment could result in timing shifts across individual quarters. As such, we expect the aggregate of the second and third quarter to be approximately 45% as a percentage of full year Adjusted EBITDA with the second quarter expected to range between 20% and 22% and the third quarter to range between 23% and 25%.</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w:t>
      </w:r>
    </w:p>
    <w:p>
      <w:pPr>
        <w:spacing w:after="0" w:line="249" w:lineRule="exact"/>
        <w:rPr>
          <w:sz w:val="20"/>
          <w:szCs w:val="20"/>
          <w:color w:val="auto"/>
        </w:rPr>
      </w:pPr>
    </w:p>
    <w:p>
      <w:pPr>
        <w:jc w:val="both"/>
        <w:ind w:firstLine="172"/>
        <w:spacing w:after="0" w:line="26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Conference Call</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PAA and PAGP will hold a joint conference call at 4:30 p.m. CT on Tuesday, May 4, 2021 to discuss the following items:</w:t>
      </w:r>
    </w:p>
    <w:p>
      <w:pPr>
        <w:spacing w:after="0" w:line="114" w:lineRule="exact"/>
        <w:rPr>
          <w:sz w:val="20"/>
          <w:szCs w:val="20"/>
          <w:color w:val="auto"/>
        </w:rPr>
      </w:pPr>
    </w:p>
    <w:p>
      <w:pPr>
        <w:ind w:left="1080" w:hanging="303"/>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PAA’s first-quarter 2021 performance;</w:t>
      </w:r>
    </w:p>
    <w:p>
      <w:pPr>
        <w:spacing w:after="0" w:line="62" w:lineRule="exact"/>
        <w:rPr>
          <w:rFonts w:ascii="Arial" w:cs="Arial" w:eastAsia="Arial" w:hAnsi="Arial"/>
          <w:sz w:val="17"/>
          <w:szCs w:val="17"/>
          <w:color w:val="auto"/>
        </w:rPr>
      </w:pPr>
    </w:p>
    <w:p>
      <w:pPr>
        <w:ind w:left="1080" w:hanging="303"/>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Capitalization and liquidity; and</w:t>
      </w:r>
    </w:p>
    <w:p>
      <w:pPr>
        <w:spacing w:after="0" w:line="62" w:lineRule="exact"/>
        <w:rPr>
          <w:rFonts w:ascii="Arial" w:cs="Arial" w:eastAsia="Arial" w:hAnsi="Arial"/>
          <w:sz w:val="17"/>
          <w:szCs w:val="17"/>
          <w:color w:val="auto"/>
        </w:rPr>
      </w:pPr>
    </w:p>
    <w:p>
      <w:pPr>
        <w:ind w:left="1080" w:hanging="303"/>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Financial and operating guidance.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Conference Call Webcast Instructions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 access the internet webcast, please go to https://edge.media-server.com/mmc/p/zn5w3dqh.</w:t>
      </w:r>
    </w:p>
    <w:p>
      <w:pPr>
        <w:spacing w:after="0" w:line="243" w:lineRule="exact"/>
        <w:rPr>
          <w:sz w:val="20"/>
          <w:szCs w:val="20"/>
          <w:color w:val="auto"/>
        </w:rPr>
      </w:pPr>
    </w:p>
    <w:p>
      <w:pPr>
        <w:jc w:val="both"/>
        <w:ind w:right="40" w:firstLine="619"/>
        <w:spacing w:after="0" w:line="318" w:lineRule="auto"/>
        <w:rPr>
          <w:sz w:val="20"/>
          <w:szCs w:val="20"/>
          <w:color w:val="auto"/>
        </w:rPr>
      </w:pPr>
      <w:r>
        <w:rPr>
          <w:rFonts w:ascii="Arial" w:cs="Arial" w:eastAsia="Arial" w:hAnsi="Arial"/>
          <w:sz w:val="15"/>
          <w:szCs w:val="15"/>
          <w:color w:val="auto"/>
        </w:rPr>
        <w:t>Alternatively, the webcast can be accessed on our website (www.plainsallamerican.com)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A transcript will also be available after the call at the above referenced website.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Financial Measures and Selected Items Impacting Comparability</w:t>
      </w:r>
    </w:p>
    <w:p>
      <w:pPr>
        <w:spacing w:after="0" w:line="165" w:lineRule="exact"/>
        <w:rPr>
          <w:sz w:val="20"/>
          <w:szCs w:val="20"/>
          <w:color w:val="auto"/>
        </w:rPr>
      </w:pPr>
    </w:p>
    <w:p>
      <w:pPr>
        <w:ind w:right="220" w:firstLine="619"/>
        <w:spacing w:after="0" w:line="266"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96520</wp:posOffset>
            </wp:positionV>
            <wp:extent cx="7122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auto"/>
        </w:rPr>
        <w:t>Page 6</w:t>
      </w:r>
    </w:p>
    <w:p>
      <w:pPr>
        <w:spacing w:after="0" w:line="200" w:lineRule="exact"/>
        <w:rPr>
          <w:sz w:val="20"/>
          <w:szCs w:val="20"/>
          <w:color w:val="auto"/>
        </w:rPr>
      </w:pPr>
    </w:p>
    <w:p>
      <w:pPr>
        <w:spacing w:after="0" w:line="223" w:lineRule="exact"/>
        <w:rPr>
          <w:sz w:val="20"/>
          <w:szCs w:val="20"/>
          <w:color w:val="auto"/>
        </w:rPr>
      </w:pPr>
    </w:p>
    <w:p>
      <w:pPr>
        <w:ind w:right="40" w:firstLine="619"/>
        <w:spacing w:after="0" w:line="293" w:lineRule="auto"/>
        <w:rPr>
          <w:sz w:val="20"/>
          <w:szCs w:val="20"/>
          <w:color w:val="auto"/>
        </w:rPr>
      </w:pPr>
      <w:r>
        <w:rPr>
          <w:rFonts w:ascii="Arial" w:cs="Arial" w:eastAsia="Arial" w:hAnsi="Arial"/>
          <w:sz w:val="15"/>
          <w:szCs w:val="15"/>
          <w:color w:val="auto"/>
        </w:rPr>
        <w:t>The primary additional measures used by management are earnings before interest, taxes, depreciation and amortization (including our proportionate share of depreciation and amortization of unconsolidated entities), gains and losses on asset sales and asset impairments, goodwill impairment losses and gains on and impairments of investments in unconsolidated entities, adjusted for certain selected items impacting comparability (“Adjusted EBITDA”), Implied distributable cash flow (“DCF”), Free Cash Flow and Free Cash Flow after Distributions. Our definition and calculation of certain non-GAAP financial measures may not be comparable to similarly-titled measures of other companies. Adjusted EBITDA, Implied DCF and certain other non-GAAP financial performance measures are reconciled to Net Income/(Loss), and Free Cash Flow and Free Cash Flow after Distributions are reconciled to Net Cash Provided by Operating Activities (the most directly comparable measures as reported in accordance with GAAP) for the historical periods presented in the tables attached to this release, and should be viewed in addition to, and not in lieu of, our Condensed Consolidated Financial Statements and accompanying notes.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Performance Measures</w:t>
      </w:r>
    </w:p>
    <w:p>
      <w:pPr>
        <w:spacing w:after="0" w:line="249" w:lineRule="exact"/>
        <w:rPr>
          <w:sz w:val="20"/>
          <w:szCs w:val="20"/>
          <w:color w:val="auto"/>
        </w:rPr>
      </w:pPr>
    </w:p>
    <w:p>
      <w:pPr>
        <w:ind w:firstLine="619"/>
        <w:spacing w:after="0" w:line="288" w:lineRule="auto"/>
        <w:rPr>
          <w:sz w:val="20"/>
          <w:szCs w:val="20"/>
          <w:color w:val="auto"/>
        </w:rPr>
      </w:pPr>
      <w:r>
        <w:rPr>
          <w:rFonts w:ascii="Arial" w:cs="Arial" w:eastAsia="Arial" w:hAnsi="Arial"/>
          <w:sz w:val="15"/>
          <w:szCs w:val="15"/>
          <w:color w:val="auto"/>
        </w:rPr>
        <w:t>Management believes that the presentation of Adjusted EBITDA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w:t>
      </w:r>
    </w:p>
    <w:p>
      <w:pPr>
        <w:spacing w:after="0" w:line="4" w:lineRule="exact"/>
        <w:rPr>
          <w:sz w:val="20"/>
          <w:szCs w:val="20"/>
          <w:color w:val="auto"/>
        </w:rPr>
      </w:pPr>
    </w:p>
    <w:p>
      <w:pPr>
        <w:ind w:right="80" w:firstLine="3"/>
        <w:spacing w:after="0" w:line="271" w:lineRule="auto"/>
        <w:tabs>
          <w:tab w:leader="none" w:pos="291" w:val="left"/>
        </w:tabs>
        <w:numPr>
          <w:ilvl w:val="0"/>
          <w:numId w:val="8"/>
        </w:numPr>
        <w:rPr>
          <w:rFonts w:ascii="Arial" w:cs="Arial" w:eastAsia="Arial" w:hAnsi="Arial"/>
          <w:sz w:val="16"/>
          <w:szCs w:val="16"/>
          <w:color w:val="auto"/>
        </w:rPr>
      </w:pPr>
      <w:r>
        <w:rPr>
          <w:rFonts w:ascii="Arial" w:cs="Arial" w:eastAsia="Arial" w:hAnsi="Arial"/>
          <w:sz w:val="16"/>
          <w:szCs w:val="16"/>
          <w:color w:val="auto"/>
        </w:rPr>
        <w:t>items that are not indicative of our core operating results and business outlook and/or (v) 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All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 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Liquidity Measures</w:t>
      </w:r>
    </w:p>
    <w:p>
      <w:pPr>
        <w:spacing w:after="0" w:line="249" w:lineRule="exact"/>
        <w:rPr>
          <w:sz w:val="20"/>
          <w:szCs w:val="20"/>
          <w:color w:val="auto"/>
        </w:rPr>
      </w:pPr>
    </w:p>
    <w:p>
      <w:pPr>
        <w:ind w:right="100" w:firstLine="619"/>
        <w:spacing w:after="0" w:line="258" w:lineRule="auto"/>
        <w:rPr>
          <w:sz w:val="20"/>
          <w:szCs w:val="20"/>
          <w:color w:val="auto"/>
        </w:rPr>
      </w:pPr>
      <w:r>
        <w:rPr>
          <w:rFonts w:ascii="Arial" w:cs="Arial" w:eastAsia="Arial" w:hAnsi="Arial"/>
          <w:sz w:val="17"/>
          <w:szCs w:val="17"/>
          <w:color w:val="auto"/>
        </w:rPr>
        <w:t>Management also uses the non-GAAP financial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Used in Investing Activities, which primarily includes acquisition, investment and maintenance capital expenditures, investments in unconsolidated entities and the impact from the purchase and sale of linefill and base gas, net of proceeds from the sales of assets and further impacted by cash received from or paid to noncontrolling interests. Free Cash Flow is further reduced by cash distributions paid to our preferred and common unitholders to arrive at Free Cash Flow after Distributions.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96520</wp:posOffset>
            </wp:positionV>
            <wp:extent cx="7122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20"/>
          </w:cols>
          <w:pgMar w:left="320" w:top="359" w:right="35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auto"/>
        </w:rPr>
        <w:t>Page 7</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22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CONSOLIDATED STATEMENTS OF OPERATIONS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data)</w:t>
      </w:r>
    </w:p>
    <w:p>
      <w:pPr>
        <w:spacing w:after="0" w:line="13"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Three Months Ended</w:t>
      </w:r>
    </w:p>
    <w:p>
      <w:pPr>
        <w:jc w:val="center"/>
        <w:ind w:left="8800"/>
        <w:spacing w:after="0"/>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Borders>
              <w:bottom w:val="single" w:sz="8" w:color="CCEEFF"/>
            </w:tcBorders>
          </w:tcPr>
          <w:p>
            <w:pPr>
              <w:spacing w:after="0"/>
              <w:rPr>
                <w:sz w:val="15"/>
                <w:szCs w:val="15"/>
                <w:color w:val="auto"/>
              </w:rPr>
            </w:pPr>
          </w:p>
        </w:tc>
        <w:tc>
          <w:tcPr>
            <w:tcW w:w="4720" w:type="dxa"/>
            <w:vAlign w:val="bottom"/>
            <w:tcBorders>
              <w:bottom w:val="single" w:sz="8" w:color="CCEEFF"/>
            </w:tcBorders>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r>
      <w:tr>
        <w:trPr>
          <w:trHeight w:val="213"/>
        </w:trPr>
        <w:tc>
          <w:tcPr>
            <w:tcW w:w="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22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8,269</w:t>
            </w:r>
          </w:p>
        </w:tc>
      </w:tr>
      <w:tr>
        <w:trPr>
          <w:trHeight w:val="206"/>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9"/>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COSTS AND EXPENSES</w:t>
            </w:r>
          </w:p>
        </w:tc>
        <w:tc>
          <w:tcPr>
            <w:tcW w:w="2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Purchases and related costs</w:t>
            </w:r>
          </w:p>
        </w:tc>
        <w:tc>
          <w:tcPr>
            <w:tcW w:w="2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7,392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7,367</w:t>
            </w:r>
          </w:p>
        </w:tc>
      </w:tr>
      <w:tr>
        <w:trPr>
          <w:trHeight w:val="22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Field operating costs</w:t>
            </w:r>
          </w:p>
        </w:tc>
        <w:tc>
          <w:tcPr>
            <w:tcW w:w="2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w:t>
            </w:r>
          </w:p>
        </w:tc>
      </w:tr>
      <w:tr>
        <w:trPr>
          <w:trHeight w:val="218"/>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2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2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2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r>
      <w:tr>
        <w:trPr>
          <w:trHeight w:val="218"/>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(Gains)/losses on asset sales and asset impairments, net</w:t>
            </w:r>
          </w:p>
        </w:tc>
        <w:tc>
          <w:tcPr>
            <w:tcW w:w="2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619</w:t>
            </w:r>
          </w:p>
        </w:tc>
      </w:tr>
      <w:tr>
        <w:trPr>
          <w:trHeight w:val="22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impairment losses</w:t>
            </w:r>
          </w:p>
        </w:tc>
        <w:tc>
          <w:tcPr>
            <w:tcW w:w="2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w:t>
            </w:r>
          </w:p>
        </w:tc>
      </w:tr>
      <w:tr>
        <w:trPr>
          <w:trHeight w:val="211"/>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Total costs and expenses</w:t>
            </w:r>
          </w:p>
        </w:tc>
        <w:tc>
          <w:tcPr>
            <w:tcW w:w="2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7,857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11,042</w:t>
            </w:r>
          </w:p>
        </w:tc>
      </w:tr>
      <w:tr>
        <w:trPr>
          <w:trHeight w:val="207"/>
        </w:trPr>
        <w:tc>
          <w:tcPr>
            <w:tcW w:w="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7"/>
                <w:szCs w:val="17"/>
                <w:b w:val="1"/>
                <w:bCs w:val="1"/>
                <w:color w:val="auto"/>
              </w:rPr>
              <w:t>OPERATING INCOME/(LOSS)</w:t>
            </w:r>
          </w:p>
        </w:tc>
        <w:tc>
          <w:tcPr>
            <w:tcW w:w="2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(2,773)</w:t>
            </w:r>
          </w:p>
        </w:tc>
      </w:tr>
      <w:tr>
        <w:trPr>
          <w:trHeight w:val="206"/>
        </w:trPr>
        <w:tc>
          <w:tcPr>
            <w:tcW w:w="2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7"/>
                <w:szCs w:val="17"/>
                <w:b w:val="1"/>
                <w:bCs w:val="1"/>
                <w:color w:val="auto"/>
              </w:rPr>
              <w:t>OTHER INCOME/(EXPENSE)</w:t>
            </w:r>
          </w:p>
        </w:tc>
        <w:tc>
          <w:tcPr>
            <w:tcW w:w="2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Equity earnings in unconsolidated entities</w:t>
            </w:r>
          </w:p>
        </w:tc>
        <w:tc>
          <w:tcPr>
            <w:tcW w:w="2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r>
      <w:tr>
        <w:trPr>
          <w:trHeight w:val="218"/>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color w:val="auto"/>
                <w:w w:val="93"/>
              </w:rPr>
              <w:t>Gain on/(impairment of) investments in unconsolidated entities, net</w:t>
            </w:r>
          </w:p>
        </w:tc>
        <w:tc>
          <w:tcPr>
            <w:tcW w:w="2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2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2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r>
      <w:tr>
        <w:trPr>
          <w:trHeight w:val="218"/>
        </w:trPr>
        <w:tc>
          <w:tcPr>
            <w:tcW w:w="20" w:type="dxa"/>
            <w:vAlign w:val="bottom"/>
            <w:tcBorders>
              <w:bottom w:val="single" w:sz="8" w:color="CCEEFF"/>
            </w:tcBorders>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expense, net</w:t>
            </w:r>
          </w:p>
        </w:tc>
        <w:tc>
          <w:tcPr>
            <w:tcW w:w="22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r>
      <w:tr>
        <w:trPr>
          <w:trHeight w:val="187"/>
        </w:trPr>
        <w:tc>
          <w:tcPr>
            <w:tcW w:w="20" w:type="dxa"/>
            <w:vAlign w:val="bottom"/>
            <w:shd w:val="clear" w:color="auto" w:fill="CCEEFF"/>
          </w:tcPr>
          <w:p>
            <w:pPr>
              <w:spacing w:after="0"/>
              <w:rPr>
                <w:sz w:val="16"/>
                <w:szCs w:val="16"/>
                <w:color w:val="auto"/>
              </w:rPr>
            </w:pPr>
          </w:p>
        </w:tc>
        <w:tc>
          <w:tcPr>
            <w:tcW w:w="472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7"/>
                <w:szCs w:val="17"/>
                <w:b w:val="1"/>
                <w:bCs w:val="1"/>
                <w:color w:val="auto"/>
              </w:rPr>
              <w:t>INCOME/(LOSS) BEFORE TAX</w:t>
            </w:r>
          </w:p>
        </w:tc>
        <w:tc>
          <w:tcPr>
            <w:tcW w:w="2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(2,824)</w:t>
            </w:r>
          </w:p>
        </w:tc>
      </w:tr>
      <w:tr>
        <w:trPr>
          <w:trHeight w:val="219"/>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Current income tax expense</w:t>
            </w:r>
          </w:p>
        </w:tc>
        <w:tc>
          <w:tcPr>
            <w:tcW w:w="2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18"/>
        </w:trPr>
        <w:tc>
          <w:tcPr>
            <w:tcW w:w="20" w:type="dxa"/>
            <w:vAlign w:val="bottom"/>
            <w:tcBorders>
              <w:bottom w:val="single" w:sz="8" w:color="CCEEFF"/>
            </w:tcBorders>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Deferred income tax expense</w:t>
            </w:r>
          </w:p>
        </w:tc>
        <w:tc>
          <w:tcPr>
            <w:tcW w:w="22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r>
      <w:tr>
        <w:trPr>
          <w:trHeight w:val="187"/>
        </w:trPr>
        <w:tc>
          <w:tcPr>
            <w:tcW w:w="20" w:type="dxa"/>
            <w:vAlign w:val="bottom"/>
            <w:shd w:val="clear" w:color="auto" w:fill="CCEEFF"/>
          </w:tcPr>
          <w:p>
            <w:pPr>
              <w:spacing w:after="0"/>
              <w:rPr>
                <w:sz w:val="16"/>
                <w:szCs w:val="16"/>
                <w:color w:val="auto"/>
              </w:rPr>
            </w:pPr>
          </w:p>
        </w:tc>
        <w:tc>
          <w:tcPr>
            <w:tcW w:w="472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7"/>
                <w:szCs w:val="17"/>
                <w:b w:val="1"/>
                <w:bCs w:val="1"/>
                <w:color w:val="auto"/>
              </w:rPr>
              <w:t>NET INCOME/(LOSS)</w:t>
            </w:r>
          </w:p>
        </w:tc>
        <w:tc>
          <w:tcPr>
            <w:tcW w:w="2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(2,845)</w:t>
            </w:r>
          </w:p>
        </w:tc>
      </w:tr>
      <w:tr>
        <w:trPr>
          <w:trHeight w:val="218"/>
        </w:trPr>
        <w:tc>
          <w:tcPr>
            <w:tcW w:w="20" w:type="dxa"/>
            <w:vAlign w:val="bottom"/>
            <w:shd w:val="clear" w:color="auto" w:fill="CCEEFF"/>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income attributable to noncontrolling interests</w:t>
            </w:r>
          </w:p>
        </w:tc>
        <w:tc>
          <w:tcPr>
            <w:tcW w:w="22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3"/>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b w:val="1"/>
                <w:bCs w:val="1"/>
                <w:color w:val="auto"/>
              </w:rPr>
              <w:t>NET INCOME/(LOSS) ATTRIBUTABLE TO PAA</w:t>
            </w:r>
          </w:p>
        </w:tc>
        <w:tc>
          <w:tcPr>
            <w:tcW w:w="2220" w:type="dxa"/>
            <w:vAlign w:val="bottom"/>
          </w:tcPr>
          <w:p>
            <w:pPr>
              <w:spacing w:after="0"/>
              <w:rPr>
                <w:sz w:val="18"/>
                <w:szCs w:val="18"/>
                <w:color w:val="auto"/>
              </w:rPr>
            </w:pPr>
          </w:p>
        </w:tc>
        <w:tc>
          <w:tcPr>
            <w:tcW w:w="2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422</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(2,847)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472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19"/>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7"/>
                <w:szCs w:val="17"/>
                <w:b w:val="1"/>
                <w:bCs w:val="1"/>
                <w:color w:val="auto"/>
              </w:rPr>
              <w:t>NET INCOME/(LOSS) PER COMMON UNIT:</w:t>
            </w:r>
          </w:p>
        </w:tc>
        <w:tc>
          <w:tcPr>
            <w:tcW w:w="2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income/(loss) allocated to common unitholders — Basic and Diluted</w:t>
            </w:r>
          </w:p>
        </w:tc>
        <w:tc>
          <w:tcPr>
            <w:tcW w:w="2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(2,897)</w:t>
            </w:r>
          </w:p>
        </w:tc>
      </w:tr>
      <w:tr>
        <w:trPr>
          <w:trHeight w:val="218"/>
        </w:trPr>
        <w:tc>
          <w:tcPr>
            <w:tcW w:w="20" w:type="dxa"/>
            <w:vAlign w:val="bottom"/>
          </w:tcPr>
          <w:p>
            <w:pPr>
              <w:spacing w:after="0"/>
              <w:rPr>
                <w:sz w:val="18"/>
                <w:szCs w:val="18"/>
                <w:color w:val="auto"/>
              </w:rPr>
            </w:pPr>
          </w:p>
        </w:tc>
        <w:tc>
          <w:tcPr>
            <w:tcW w:w="4720" w:type="dxa"/>
            <w:vAlign w:val="bottom"/>
          </w:tcPr>
          <w:p>
            <w:pPr>
              <w:ind w:left="120"/>
              <w:spacing w:after="0"/>
              <w:rPr>
                <w:sz w:val="20"/>
                <w:szCs w:val="20"/>
                <w:color w:val="auto"/>
              </w:rPr>
            </w:pPr>
            <w:r>
              <w:rPr>
                <w:rFonts w:ascii="Arial" w:cs="Arial" w:eastAsia="Arial" w:hAnsi="Arial"/>
                <w:sz w:val="17"/>
                <w:szCs w:val="17"/>
                <w:color w:val="auto"/>
                <w:w w:val="97"/>
              </w:rPr>
              <w:t>Basic and diluted weighted average common units outstanding</w:t>
            </w:r>
          </w:p>
        </w:tc>
        <w:tc>
          <w:tcPr>
            <w:tcW w:w="2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728</w:t>
            </w:r>
          </w:p>
        </w:tc>
      </w:tr>
      <w:tr>
        <w:trPr>
          <w:trHeight w:val="22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Basic and diluted net income/(loss) per common unit</w:t>
            </w:r>
          </w:p>
        </w:tc>
        <w:tc>
          <w:tcPr>
            <w:tcW w:w="222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w:t>
            </w:r>
          </w:p>
        </w:tc>
      </w:tr>
      <w:tr>
        <w:trPr>
          <w:trHeight w:val="488"/>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220" w:type="dxa"/>
            <w:vAlign w:val="bottom"/>
          </w:tcPr>
          <w:p>
            <w:pPr>
              <w:jc w:val="center"/>
              <w:ind w:right="374"/>
              <w:spacing w:after="0"/>
              <w:rPr>
                <w:sz w:val="20"/>
                <w:szCs w:val="20"/>
                <w:color w:val="auto"/>
              </w:rPr>
            </w:pPr>
            <w:r>
              <w:rPr>
                <w:rFonts w:ascii="Arial" w:cs="Arial" w:eastAsia="Arial" w:hAnsi="Arial"/>
                <w:sz w:val="17"/>
                <w:szCs w:val="17"/>
                <w:color w:val="auto"/>
                <w:w w:val="94"/>
              </w:rPr>
              <w:t>- more -</w:t>
            </w: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30"/>
        </w:trPr>
        <w:tc>
          <w:tcPr>
            <w:tcW w:w="20" w:type="dxa"/>
            <w:vAlign w:val="bottom"/>
          </w:tcPr>
          <w:p>
            <w:pPr>
              <w:spacing w:after="0"/>
              <w:rPr>
                <w:sz w:val="11"/>
                <w:szCs w:val="11"/>
                <w:color w:val="auto"/>
              </w:rPr>
            </w:pPr>
          </w:p>
        </w:tc>
        <w:tc>
          <w:tcPr>
            <w:tcW w:w="472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3020" w:type="dxa"/>
            <w:vAlign w:val="bottom"/>
            <w:tcBorders>
              <w:bottom w:val="single" w:sz="8" w:color="auto"/>
            </w:tcBorders>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r>
        <w:trPr>
          <w:trHeight w:val="314"/>
        </w:trPr>
        <w:tc>
          <w:tcPr>
            <w:tcW w:w="20" w:type="dxa"/>
            <w:vAlign w:val="bottom"/>
          </w:tcPr>
          <w:p>
            <w:pPr>
              <w:spacing w:after="0"/>
              <w:rPr>
                <w:sz w:val="24"/>
                <w:szCs w:val="24"/>
                <w:color w:val="auto"/>
              </w:rPr>
            </w:pPr>
          </w:p>
        </w:tc>
        <w:tc>
          <w:tcPr>
            <w:tcW w:w="4720" w:type="dxa"/>
            <w:vAlign w:val="bottom"/>
          </w:tcPr>
          <w:p>
            <w:pPr>
              <w:ind w:left="1740"/>
              <w:spacing w:after="0"/>
              <w:rPr>
                <w:sz w:val="20"/>
                <w:szCs w:val="20"/>
                <w:color w:val="auto"/>
              </w:rPr>
            </w:pPr>
            <w:r>
              <w:rPr>
                <w:rFonts w:ascii="Arial" w:cs="Arial" w:eastAsia="Arial" w:hAnsi="Arial"/>
                <w:sz w:val="17"/>
                <w:szCs w:val="17"/>
                <w:b w:val="1"/>
                <w:bCs w:val="1"/>
                <w:color w:val="auto"/>
              </w:rPr>
              <w:t>333 Clay Street, Suite 1600</w:t>
            </w:r>
          </w:p>
        </w:tc>
        <w:tc>
          <w:tcPr>
            <w:tcW w:w="2220" w:type="dxa"/>
            <w:vAlign w:val="bottom"/>
          </w:tcPr>
          <w:p>
            <w:pPr>
              <w:jc w:val="center"/>
              <w:ind w:right="394"/>
              <w:spacing w:after="0"/>
              <w:rPr>
                <w:sz w:val="20"/>
                <w:szCs w:val="20"/>
                <w:color w:val="auto"/>
              </w:rPr>
            </w:pPr>
            <w:r>
              <w:rPr>
                <w:rFonts w:ascii="Arial" w:cs="Arial" w:eastAsia="Arial" w:hAnsi="Arial"/>
                <w:sz w:val="17"/>
                <w:szCs w:val="17"/>
                <w:b w:val="1"/>
                <w:bCs w:val="1"/>
                <w:color w:val="auto"/>
                <w:w w:val="88"/>
              </w:rPr>
              <w:t>Houston, Texas 77002</w:t>
            </w:r>
          </w:p>
        </w:tc>
        <w:tc>
          <w:tcPr>
            <w:tcW w:w="3020" w:type="dxa"/>
            <w:vAlign w:val="bottom"/>
            <w:gridSpan w:val="3"/>
          </w:tcPr>
          <w:p>
            <w:pPr>
              <w:jc w:val="right"/>
              <w:ind w:right="315"/>
              <w:spacing w:after="0"/>
              <w:rPr>
                <w:sz w:val="20"/>
                <w:szCs w:val="20"/>
                <w:color w:val="auto"/>
              </w:rPr>
            </w:pPr>
            <w:r>
              <w:rPr>
                <w:rFonts w:ascii="Arial" w:cs="Arial" w:eastAsia="Arial" w:hAnsi="Arial"/>
                <w:sz w:val="17"/>
                <w:szCs w:val="17"/>
                <w:b w:val="1"/>
                <w:bCs w:val="1"/>
                <w:color w:val="auto"/>
              </w:rPr>
              <w:t>713-646-4100 / 866-809-1291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240"/>
          </w:cols>
          <w:pgMar w:left="320" w:top="359"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auto"/>
        </w:rPr>
        <w:t>Page 8</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22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CONSOLIDATED BALANCE SHEET DATA</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14"/>
                <w:szCs w:val="14"/>
                <w:color w:val="auto"/>
              </w:rPr>
            </w:pPr>
          </w:p>
        </w:tc>
        <w:tc>
          <w:tcPr>
            <w:tcW w:w="1160" w:type="dxa"/>
            <w:vAlign w:val="bottom"/>
          </w:tcPr>
          <w:p>
            <w:pPr>
              <w:jc w:val="center"/>
              <w:ind w:right="116"/>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268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232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Arial" w:cs="Arial" w:eastAsia="Arial" w:hAnsi="Arial"/>
                <w:sz w:val="17"/>
                <w:szCs w:val="17"/>
                <w:color w:val="auto"/>
              </w:rPr>
              <w:t>Current assets (including Cash and cash equivalents of $30 and $22, respectively)</w:t>
            </w:r>
          </w:p>
        </w:tc>
        <w:tc>
          <w:tcPr>
            <w:tcW w:w="170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4,424</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3,665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2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Investments in unconsolidated entities</w:t>
            </w:r>
          </w:p>
        </w:tc>
        <w:tc>
          <w:tcPr>
            <w:tcW w:w="2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3,777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3,764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Linefill and base gas</w:t>
            </w:r>
          </w:p>
        </w:tc>
        <w:tc>
          <w:tcPr>
            <w:tcW w:w="2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Long-term operating lease right-of-use assets, net</w:t>
            </w:r>
          </w:p>
        </w:tc>
        <w:tc>
          <w:tcPr>
            <w:tcW w:w="2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inventory</w:t>
            </w:r>
          </w:p>
        </w:tc>
        <w:tc>
          <w:tcPr>
            <w:tcW w:w="2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 long-term assets, net</w:t>
            </w:r>
          </w:p>
        </w:tc>
        <w:tc>
          <w:tcPr>
            <w:tcW w:w="23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assets</w:t>
            </w:r>
          </w:p>
        </w:tc>
        <w:tc>
          <w:tcPr>
            <w:tcW w:w="23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25,331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LIABILITIES AND PARTNERS’ CAPITAL</w:t>
            </w:r>
          </w:p>
        </w:tc>
        <w:tc>
          <w:tcPr>
            <w:tcW w:w="2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2320" w:type="dxa"/>
            <w:vAlign w:val="bottom"/>
          </w:tcPr>
          <w:p>
            <w:pPr>
              <w:spacing w:after="0"/>
              <w:rPr>
                <w:sz w:val="18"/>
                <w:szCs w:val="18"/>
                <w:color w:val="auto"/>
              </w:rPr>
            </w:pPr>
          </w:p>
        </w:tc>
        <w:tc>
          <w:tcPr>
            <w:tcW w:w="170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4,678</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4,253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Senior notes, net</w:t>
            </w:r>
          </w:p>
        </w:tc>
        <w:tc>
          <w:tcPr>
            <w:tcW w:w="2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Other long-term debt, net</w:t>
            </w:r>
          </w:p>
        </w:tc>
        <w:tc>
          <w:tcPr>
            <w:tcW w:w="2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operating lease liabilities</w:t>
            </w:r>
          </w:p>
        </w:tc>
        <w:tc>
          <w:tcPr>
            <w:tcW w:w="2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 long-term liabilities and deferred credits</w:t>
            </w:r>
          </w:p>
        </w:tc>
        <w:tc>
          <w:tcPr>
            <w:tcW w:w="23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liabilities</w:t>
            </w:r>
          </w:p>
        </w:tc>
        <w:tc>
          <w:tcPr>
            <w:tcW w:w="2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Partners’ capital excluding noncontrolling interests</w:t>
            </w:r>
          </w:p>
        </w:tc>
        <w:tc>
          <w:tcPr>
            <w:tcW w:w="2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9,593</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Noncontrolling interests</w:t>
            </w:r>
          </w:p>
        </w:tc>
        <w:tc>
          <w:tcPr>
            <w:tcW w:w="23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Total partners’ capital</w:t>
            </w:r>
          </w:p>
        </w:tc>
        <w:tc>
          <w:tcPr>
            <w:tcW w:w="2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10,084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7"/>
                <w:szCs w:val="17"/>
                <w:color w:val="auto"/>
              </w:rPr>
              <w:t>Total liabilities and partners’ capital</w:t>
            </w:r>
          </w:p>
        </w:tc>
        <w:tc>
          <w:tcPr>
            <w:tcW w:w="2320" w:type="dxa"/>
            <w:vAlign w:val="bottom"/>
          </w:tcPr>
          <w:p>
            <w:pPr>
              <w:spacing w:after="0"/>
              <w:rPr>
                <w:sz w:val="18"/>
                <w:szCs w:val="18"/>
                <w:color w:val="auto"/>
              </w:rPr>
            </w:pPr>
          </w:p>
        </w:tc>
        <w:tc>
          <w:tcPr>
            <w:tcW w:w="170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25,331</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24,497</w:t>
            </w: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DEBT CAPITALIZATION RATIOS</w:t>
            </w:r>
          </w:p>
        </w:tc>
        <w:tc>
          <w:tcPr>
            <w:tcW w:w="1940" w:type="dxa"/>
            <w:vAlign w:val="bottom"/>
            <w:vMerge w:val="restart"/>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2700" w:type="dxa"/>
            <w:vAlign w:val="bottom"/>
            <w:tcBorders>
              <w:bottom w:val="single" w:sz="8" w:color="auto"/>
            </w:tcBorders>
            <w:gridSpan w:val="2"/>
            <w:vMerge w:val="continue"/>
          </w:tcPr>
          <w:p>
            <w:pPr>
              <w:spacing w:after="0"/>
              <w:rPr>
                <w:sz w:val="24"/>
                <w:szCs w:val="24"/>
                <w:color w:val="auto"/>
              </w:rPr>
            </w:pPr>
          </w:p>
        </w:tc>
        <w:tc>
          <w:tcPr>
            <w:tcW w:w="1940" w:type="dxa"/>
            <w:vAlign w:val="bottom"/>
            <w:vMerge w:val="continue"/>
          </w:tcPr>
          <w:p>
            <w:pPr>
              <w:spacing w:after="0"/>
              <w:rPr>
                <w:sz w:val="24"/>
                <w:szCs w:val="24"/>
                <w:color w:val="auto"/>
              </w:rPr>
            </w:pPr>
          </w:p>
        </w:tc>
        <w:tc>
          <w:tcPr>
            <w:tcW w:w="2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40" w:type="dxa"/>
            <w:vAlign w:val="bottom"/>
            <w:gridSpan w:val="3"/>
          </w:tcPr>
          <w:p>
            <w:pPr>
              <w:spacing w:after="0"/>
              <w:rPr>
                <w:sz w:val="20"/>
                <w:szCs w:val="20"/>
                <w:color w:val="auto"/>
              </w:rPr>
            </w:pPr>
            <w:r>
              <w:rPr>
                <w:rFonts w:ascii="Arial" w:cs="Arial" w:eastAsia="Arial" w:hAnsi="Arial"/>
                <w:sz w:val="17"/>
                <w:szCs w:val="17"/>
                <w:color w:val="auto"/>
              </w:rPr>
              <w:t>(in millions)</w:t>
            </w:r>
          </w:p>
        </w:tc>
        <w:tc>
          <w:tcPr>
            <w:tcW w:w="2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13"/>
                <w:szCs w:val="13"/>
                <w:color w:val="auto"/>
              </w:rPr>
            </w:pPr>
          </w:p>
        </w:tc>
        <w:tc>
          <w:tcPr>
            <w:tcW w:w="1160" w:type="dxa"/>
            <w:vAlign w:val="bottom"/>
          </w:tcPr>
          <w:p>
            <w:pPr>
              <w:jc w:val="center"/>
              <w:ind w:right="116"/>
              <w:spacing w:after="0" w:line="156"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268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232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Short-term debt</w:t>
            </w:r>
          </w:p>
        </w:tc>
        <w:tc>
          <w:tcPr>
            <w:tcW w:w="2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Long-term debt</w:t>
            </w:r>
          </w:p>
        </w:tc>
        <w:tc>
          <w:tcPr>
            <w:tcW w:w="23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9,338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9,382</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Total debt</w:t>
            </w:r>
          </w:p>
        </w:tc>
        <w:tc>
          <w:tcPr>
            <w:tcW w:w="23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9,592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w:t>
            </w:r>
          </w:p>
        </w:tc>
        <w:tc>
          <w:tcPr>
            <w:tcW w:w="23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9,382</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Partners’ capital</w:t>
            </w:r>
          </w:p>
        </w:tc>
        <w:tc>
          <w:tcPr>
            <w:tcW w:w="23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10,084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9,738</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Total book capitalization</w:t>
            </w:r>
          </w:p>
        </w:tc>
        <w:tc>
          <w:tcPr>
            <w:tcW w:w="23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20" w:type="dxa"/>
            <w:vAlign w:val="bottom"/>
            <w:gridSpan w:val="2"/>
          </w:tcPr>
          <w:p>
            <w:pPr>
              <w:ind w:left="300"/>
              <w:spacing w:after="0" w:line="191" w:lineRule="exact"/>
              <w:rPr>
                <w:sz w:val="20"/>
                <w:szCs w:val="20"/>
                <w:color w:val="auto"/>
              </w:rPr>
            </w:pPr>
            <w:r>
              <w:rPr>
                <w:rFonts w:ascii="Arial" w:cs="Arial" w:eastAsia="Arial" w:hAnsi="Arial"/>
                <w:sz w:val="17"/>
                <w:szCs w:val="17"/>
                <w:color w:val="auto"/>
              </w:rPr>
              <w:t>Total book capitalization, including short-term debt</w:t>
            </w:r>
          </w:p>
        </w:tc>
        <w:tc>
          <w:tcPr>
            <w:tcW w:w="2320" w:type="dxa"/>
            <w:vAlign w:val="bottom"/>
          </w:tcPr>
          <w:p>
            <w:pPr>
              <w:spacing w:after="0"/>
              <w:rPr>
                <w:sz w:val="16"/>
                <w:szCs w:val="16"/>
                <w:color w:val="auto"/>
              </w:rPr>
            </w:pPr>
          </w:p>
        </w:tc>
        <w:tc>
          <w:tcPr>
            <w:tcW w:w="1700" w:type="dxa"/>
            <w:vAlign w:val="bottom"/>
            <w:gridSpan w:val="2"/>
          </w:tcPr>
          <w:p>
            <w:pPr>
              <w:jc w:val="right"/>
              <w:ind w:right="54"/>
              <w:spacing w:after="0" w:line="191"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91" w:lineRule="exact"/>
              <w:rPr>
                <w:sz w:val="20"/>
                <w:szCs w:val="20"/>
                <w:color w:val="auto"/>
              </w:rPr>
            </w:pPr>
            <w:r>
              <w:rPr>
                <w:rFonts w:ascii="Arial" w:cs="Arial" w:eastAsia="Arial" w:hAnsi="Arial"/>
                <w:sz w:val="17"/>
                <w:szCs w:val="17"/>
                <w:color w:val="auto"/>
              </w:rPr>
              <w:t>19,676</w:t>
            </w:r>
          </w:p>
        </w:tc>
        <w:tc>
          <w:tcPr>
            <w:tcW w:w="100" w:type="dxa"/>
            <w:vAlign w:val="bottom"/>
          </w:tcPr>
          <w:p>
            <w:pPr>
              <w:spacing w:after="0"/>
              <w:rPr>
                <w:sz w:val="16"/>
                <w:szCs w:val="16"/>
                <w:color w:val="auto"/>
              </w:rPr>
            </w:pPr>
          </w:p>
        </w:tc>
        <w:tc>
          <w:tcPr>
            <w:tcW w:w="200" w:type="dxa"/>
            <w:vAlign w:val="bottom"/>
          </w:tcPr>
          <w:p>
            <w:pPr>
              <w:jc w:val="right"/>
              <w:ind w:right="14"/>
              <w:spacing w:after="0" w:line="191" w:lineRule="exact"/>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line="191" w:lineRule="exact"/>
              <w:rPr>
                <w:sz w:val="20"/>
                <w:szCs w:val="20"/>
                <w:color w:val="auto"/>
              </w:rPr>
            </w:pPr>
            <w:r>
              <w:rPr>
                <w:rFonts w:ascii="Arial" w:cs="Arial" w:eastAsia="Arial" w:hAnsi="Arial"/>
                <w:sz w:val="17"/>
                <w:szCs w:val="17"/>
                <w:color w:val="auto"/>
              </w:rPr>
              <w:t>19,951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Long-term debt-to-total book capitalization</w:t>
            </w:r>
          </w:p>
        </w:tc>
        <w:tc>
          <w:tcPr>
            <w:tcW w:w="2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6"/>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20" w:type="dxa"/>
            <w:vAlign w:val="bottom"/>
          </w:tcPr>
          <w:p>
            <w:pPr>
              <w:jc w:val="center"/>
              <w:ind w:right="274"/>
              <w:spacing w:after="0"/>
              <w:rPr>
                <w:sz w:val="20"/>
                <w:szCs w:val="20"/>
                <w:color w:val="auto"/>
              </w:rPr>
            </w:pPr>
            <w:r>
              <w:rPr>
                <w:rFonts w:ascii="Arial" w:cs="Arial" w:eastAsia="Arial" w:hAnsi="Arial"/>
                <w:sz w:val="17"/>
                <w:szCs w:val="17"/>
                <w:color w:val="auto"/>
                <w:w w:val="94"/>
              </w:rPr>
              <w:t>- more -</w:t>
            </w: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2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4620" w:type="dxa"/>
            <w:vAlign w:val="bottom"/>
            <w:gridSpan w:val="2"/>
          </w:tcPr>
          <w:p>
            <w:pPr>
              <w:ind w:left="1740"/>
              <w:spacing w:after="0"/>
              <w:rPr>
                <w:sz w:val="20"/>
                <w:szCs w:val="20"/>
                <w:color w:val="auto"/>
              </w:rPr>
            </w:pPr>
            <w:r>
              <w:rPr>
                <w:rFonts w:ascii="Arial" w:cs="Arial" w:eastAsia="Arial" w:hAnsi="Arial"/>
                <w:sz w:val="17"/>
                <w:szCs w:val="17"/>
                <w:b w:val="1"/>
                <w:bCs w:val="1"/>
                <w:color w:val="auto"/>
              </w:rPr>
              <w:t>333 Clay Street, Suite 1600</w:t>
            </w:r>
          </w:p>
        </w:tc>
        <w:tc>
          <w:tcPr>
            <w:tcW w:w="2320" w:type="dxa"/>
            <w:vAlign w:val="bottom"/>
          </w:tcPr>
          <w:p>
            <w:pPr>
              <w:jc w:val="center"/>
              <w:ind w:right="294"/>
              <w:spacing w:after="0"/>
              <w:rPr>
                <w:sz w:val="20"/>
                <w:szCs w:val="20"/>
                <w:color w:val="auto"/>
              </w:rPr>
            </w:pPr>
            <w:r>
              <w:rPr>
                <w:rFonts w:ascii="Arial" w:cs="Arial" w:eastAsia="Arial" w:hAnsi="Arial"/>
                <w:sz w:val="17"/>
                <w:szCs w:val="17"/>
                <w:b w:val="1"/>
                <w:bCs w:val="1"/>
                <w:color w:val="auto"/>
                <w:w w:val="88"/>
              </w:rPr>
              <w:t>Houston, Texas 77002</w:t>
            </w:r>
          </w:p>
        </w:tc>
        <w:tc>
          <w:tcPr>
            <w:tcW w:w="2820" w:type="dxa"/>
            <w:vAlign w:val="bottom"/>
            <w:gridSpan w:val="3"/>
          </w:tcPr>
          <w:p>
            <w:pPr>
              <w:jc w:val="right"/>
              <w:ind w:right="116"/>
              <w:spacing w:after="0"/>
              <w:rPr>
                <w:sz w:val="20"/>
                <w:szCs w:val="20"/>
                <w:color w:val="auto"/>
              </w:rPr>
            </w:pPr>
            <w:r>
              <w:rPr>
                <w:rFonts w:ascii="Arial" w:cs="Arial" w:eastAsia="Arial" w:hAnsi="Arial"/>
                <w:sz w:val="17"/>
                <w:szCs w:val="17"/>
                <w:b w:val="1"/>
                <w:bCs w:val="1"/>
                <w:color w:val="auto"/>
              </w:rPr>
              <w:t>713-646-4100 / 866-809-1291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9"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auto"/>
        </w:rPr>
        <w:t>Page 9</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22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COMPUTATION OF BASIC AND DILUTED NET INCOME/(LOSS) PER COMMON UNIT</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p>
      <w:pPr>
        <w:spacing w:after="0"/>
        <w:rPr>
          <w:sz w:val="20"/>
          <w:szCs w:val="20"/>
          <w:color w:val="auto"/>
        </w:rPr>
      </w:pPr>
      <w:r>
        <w:rPr>
          <w:rFonts w:ascii="Arial" w:cs="Arial" w:eastAsia="Arial" w:hAnsi="Arial"/>
          <w:sz w:val="17"/>
          <w:szCs w:val="17"/>
          <w:color w:val="auto"/>
        </w:rPr>
        <w:t>(in millions, except per unit data)</w:t>
      </w:r>
    </w:p>
    <w:p>
      <w:pPr>
        <w:sectPr>
          <w:pgSz w:w="11900" w:h="16838" w:orient="portrait"/>
          <w:cols w:equalWidth="0" w:num="1">
            <w:col w:w="11240"/>
          </w:cols>
          <w:pgMar w:left="320" w:top="359"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Basic and Diluted Net Income/(Loss)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138670" cy="139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income/(loss) attributable to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Distributions to Series A preferred unitholders</w:t>
      </w:r>
    </w:p>
    <w:p>
      <w:pPr>
        <w:spacing w:after="0" w:line="2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Distributions to Series B preferred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Other</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income/(loss) allocated to common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0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Basic and diluted weighted average common units outstanding </w:t>
      </w:r>
      <w:r>
        <w:rPr>
          <w:rFonts w:ascii="Arial" w:cs="Arial" w:eastAsia="Arial" w:hAnsi="Arial"/>
          <w:sz w:val="19"/>
          <w:szCs w:val="19"/>
          <w:color w:val="auto"/>
          <w:vertAlign w:val="superscript"/>
        </w:rPr>
        <w:t>(2)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38670" cy="130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Basic and diluted net income/(loss)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24561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561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Three Months Ended</w:t>
      </w:r>
    </w:p>
    <w:p>
      <w:pPr>
        <w:jc w:val="center"/>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5392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39240" cy="8255"/>
                    </a:xfrm>
                    <a:prstGeom prst="rect">
                      <a:avLst/>
                    </a:prstGeom>
                    <a:noFill/>
                  </pic:spPr>
                </pic:pic>
              </a:graphicData>
            </a:graphic>
          </wp:anchor>
        </w:drawing>
      </w:r>
    </w:p>
    <w:p>
      <w:pPr>
        <w:ind w:left="440"/>
        <w:spacing w:after="0"/>
        <w:tabs>
          <w:tab w:leader="none" w:pos="16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422</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(2,847)</w:t>
            </w:r>
          </w:p>
        </w:tc>
      </w:tr>
      <w:tr>
        <w:trPr>
          <w:trHeight w:val="219"/>
        </w:trPr>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19"/>
        </w:trPr>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0"/>
        </w:trPr>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12"/>
        </w:trPr>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(2,897)</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90"/>
        </w:trPr>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722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728</w:t>
            </w:r>
          </w:p>
        </w:tc>
      </w:tr>
      <w:tr>
        <w:trPr>
          <w:trHeight w:val="426"/>
        </w:trPr>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0.51</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00" w:space="720"/>
            <w:col w:w="2420"/>
          </w:cols>
          <w:pgMar w:left="320" w:top="359" w:right="339" w:bottom="1440" w:gutter="0" w:footer="0" w:header="0"/>
          <w:type w:val="continuous"/>
        </w:sectPr>
      </w:pPr>
    </w:p>
    <w:p>
      <w:pPr>
        <w:spacing w:after="0" w:line="73" w:lineRule="exact"/>
        <w:rPr>
          <w:sz w:val="20"/>
          <w:szCs w:val="20"/>
          <w:color w:val="auto"/>
        </w:rPr>
      </w:pPr>
    </w:p>
    <w:p>
      <w:pPr>
        <w:ind w:left="320" w:right="120" w:hanging="317"/>
        <w:spacing w:after="0" w:line="227" w:lineRule="auto"/>
        <w:tabs>
          <w:tab w:leader="none" w:pos="320"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We calculate net income/(loss)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1" w:lineRule="exact"/>
        <w:rPr>
          <w:rFonts w:ascii="Arial" w:cs="Arial" w:eastAsia="Arial" w:hAnsi="Arial"/>
          <w:sz w:val="22"/>
          <w:szCs w:val="22"/>
          <w:color w:val="auto"/>
          <w:vertAlign w:val="superscript"/>
        </w:rPr>
      </w:pPr>
    </w:p>
    <w:p>
      <w:pPr>
        <w:ind w:left="320" w:right="240" w:hanging="317"/>
        <w:spacing w:after="0" w:line="218" w:lineRule="auto"/>
        <w:tabs>
          <w:tab w:leader="none" w:pos="320"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The possible conversion of our Series A preferred units was excluded from the calculation of diluted net income/(loss) per common unit for the three months ended March 31, 2021 and 2020 as the effect was antidilutive.</w:t>
      </w:r>
    </w:p>
    <w:p>
      <w:pPr>
        <w:spacing w:after="0" w:line="30" w:lineRule="exact"/>
        <w:rPr>
          <w:rFonts w:ascii="Arial" w:cs="Arial" w:eastAsia="Arial" w:hAnsi="Arial"/>
          <w:sz w:val="22"/>
          <w:szCs w:val="22"/>
          <w:color w:val="auto"/>
          <w:vertAlign w:val="superscript"/>
        </w:rPr>
      </w:pPr>
    </w:p>
    <w:p>
      <w:pPr>
        <w:ind w:left="320" w:right="60" w:hanging="317"/>
        <w:spacing w:after="0" w:line="229" w:lineRule="auto"/>
        <w:tabs>
          <w:tab w:leader="none" w:pos="320"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months ended March 31, 2021 and 2020, the effect of equity-indexed compensation plan awards was antidilutive.</w:t>
      </w:r>
    </w:p>
    <w:p>
      <w:pPr>
        <w:spacing w:after="0" w:line="171" w:lineRule="exact"/>
        <w:rPr>
          <w:rFonts w:ascii="Arial" w:cs="Arial" w:eastAsia="Arial" w:hAnsi="Arial"/>
          <w:sz w:val="22"/>
          <w:szCs w:val="22"/>
          <w:color w:val="auto"/>
          <w:vertAlign w:val="superscript"/>
        </w:rPr>
      </w:pPr>
    </w:p>
    <w:p>
      <w:pPr>
        <w:ind w:left="5440" w:hanging="93"/>
        <w:spacing w:after="0"/>
        <w:tabs>
          <w:tab w:leader="none" w:pos="5440" w:val="left"/>
        </w:tabs>
        <w:numPr>
          <w:ilvl w:val="1"/>
          <w:numId w:val="9"/>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96520</wp:posOffset>
            </wp:positionV>
            <wp:extent cx="7122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7"/>
          <w:szCs w:val="17"/>
          <w:u w:val="single" w:color="auto"/>
          <w:color w:val="auto"/>
        </w:rPr>
        <w:t>Page 10</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22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COMPUTATION OF BASIC AND DILUTED ADJUSTED NET INCOME PER COMMON UNIT</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p>
      <w:pPr>
        <w:spacing w:after="0"/>
        <w:rPr>
          <w:sz w:val="20"/>
          <w:szCs w:val="20"/>
          <w:color w:val="auto"/>
        </w:rPr>
      </w:pPr>
      <w:r>
        <w:rPr>
          <w:rFonts w:ascii="Arial" w:cs="Arial" w:eastAsia="Arial" w:hAnsi="Arial"/>
          <w:sz w:val="17"/>
          <w:szCs w:val="17"/>
          <w:color w:val="auto"/>
        </w:rPr>
        <w:t>(in millions, except per unit data)</w:t>
      </w:r>
    </w:p>
    <w:p>
      <w:pPr>
        <w:spacing w:after="0" w:line="9"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Three Months Ended</w:t>
      </w:r>
    </w:p>
    <w:p>
      <w:pPr>
        <w:jc w:val="center"/>
        <w:ind w:left="8800"/>
        <w:spacing w:after="0"/>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Borders>
              <w:bottom w:val="single" w:sz="8" w:color="CCEEFF"/>
            </w:tcBorders>
          </w:tcPr>
          <w:p>
            <w:pPr>
              <w:spacing w:after="0"/>
              <w:rPr>
                <w:sz w:val="15"/>
                <w:szCs w:val="15"/>
                <w:color w:val="auto"/>
              </w:rPr>
            </w:pPr>
          </w:p>
        </w:tc>
        <w:tc>
          <w:tcPr>
            <w:tcW w:w="4940" w:type="dxa"/>
            <w:vAlign w:val="bottom"/>
            <w:tcBorders>
              <w:bottom w:val="single" w:sz="8" w:color="CCEEFF"/>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r>
      <w:tr>
        <w:trPr>
          <w:trHeight w:val="20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Basic Adjusted Net Income per Common Unit</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8"/>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Net income/(loss) attributable to PAA</w:t>
            </w:r>
          </w:p>
        </w:tc>
        <w:tc>
          <w:tcPr>
            <w:tcW w:w="740" w:type="dxa"/>
            <w:vAlign w:val="bottom"/>
          </w:tcPr>
          <w:p>
            <w:pPr>
              <w:jc w:val="right"/>
              <w:ind w:right="556"/>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422</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(2,847)</w:t>
            </w:r>
          </w:p>
        </w:tc>
      </w:tr>
      <w:tr>
        <w:trPr>
          <w:trHeight w:val="220"/>
        </w:trPr>
        <w:tc>
          <w:tcPr>
            <w:tcW w:w="882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Selected items impacting comparability - Adjusted net income attributable to PAA </w:t>
            </w:r>
            <w:r>
              <w:rPr>
                <w:rFonts w:ascii="Arial" w:cs="Arial" w:eastAsia="Arial" w:hAnsi="Arial"/>
                <w:sz w:val="22"/>
                <w:szCs w:val="22"/>
                <w:color w:val="auto"/>
                <w:vertAlign w:val="superscript"/>
              </w:rPr>
              <w:t>(2)</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3,303</w:t>
            </w:r>
          </w:p>
        </w:tc>
      </w:tr>
      <w:tr>
        <w:trPr>
          <w:trHeight w:val="211"/>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Adjusted net income attributable to PAA</w:t>
            </w:r>
          </w:p>
        </w:tc>
        <w:tc>
          <w:tcPr>
            <w:tcW w:w="740" w:type="dxa"/>
            <w:vAlign w:val="bottom"/>
          </w:tcPr>
          <w:p>
            <w:pPr>
              <w:jc w:val="right"/>
              <w:ind w:right="556"/>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232</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456</w:t>
            </w:r>
          </w:p>
        </w:tc>
      </w:tr>
      <w:tr>
        <w:trPr>
          <w:trHeight w:val="220"/>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Distributions to Series A preferred unitholders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18"/>
        </w:trPr>
        <w:tc>
          <w:tcPr>
            <w:tcW w:w="8820" w:type="dxa"/>
            <w:vAlign w:val="bottom"/>
            <w:gridSpan w:val="2"/>
          </w:tcPr>
          <w:p>
            <w:pPr>
              <w:ind w:left="180"/>
              <w:spacing w:after="0"/>
              <w:rPr>
                <w:sz w:val="20"/>
                <w:szCs w:val="20"/>
                <w:color w:val="auto"/>
              </w:rPr>
            </w:pPr>
            <w:r>
              <w:rPr>
                <w:rFonts w:ascii="Arial" w:cs="Arial" w:eastAsia="Arial" w:hAnsi="Arial"/>
                <w:sz w:val="17"/>
                <w:szCs w:val="17"/>
                <w:color w:val="auto"/>
              </w:rPr>
              <w:t>Distributions to Series B preferred unitholders</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9"/>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3"/>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Adjusted net income allocated to common unitholders</w:t>
            </w:r>
          </w:p>
        </w:tc>
        <w:tc>
          <w:tcPr>
            <w:tcW w:w="74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3880" w:type="dxa"/>
            <w:vAlign w:val="bottom"/>
            <w:shd w:val="clear" w:color="auto" w:fill="CCEEFF"/>
          </w:tcPr>
          <w:p>
            <w:pPr>
              <w:spacing w:after="0"/>
              <w:rPr>
                <w:sz w:val="13"/>
                <w:szCs w:val="13"/>
                <w:color w:val="auto"/>
              </w:rPr>
            </w:pPr>
          </w:p>
        </w:tc>
        <w:tc>
          <w:tcPr>
            <w:tcW w:w="49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218"/>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Basic weighted average common units outstanding</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722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728</w:t>
            </w:r>
          </w:p>
        </w:tc>
      </w:tr>
      <w:tr>
        <w:trPr>
          <w:trHeight w:val="194"/>
        </w:trPr>
        <w:tc>
          <w:tcPr>
            <w:tcW w:w="3880" w:type="dxa"/>
            <w:vAlign w:val="bottom"/>
            <w:shd w:val="clear" w:color="auto" w:fill="CCEEFF"/>
          </w:tcPr>
          <w:p>
            <w:pPr>
              <w:spacing w:after="0"/>
              <w:rPr>
                <w:sz w:val="16"/>
                <w:szCs w:val="16"/>
                <w:color w:val="auto"/>
              </w:rPr>
            </w:pPr>
          </w:p>
        </w:tc>
        <w:tc>
          <w:tcPr>
            <w:tcW w:w="49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9"/>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Basic adjusted net income per common unit</w:t>
            </w:r>
          </w:p>
        </w:tc>
        <w:tc>
          <w:tcPr>
            <w:tcW w:w="74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0.56</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3880" w:type="dxa"/>
            <w:vAlign w:val="bottom"/>
            <w:shd w:val="clear" w:color="auto" w:fill="CCEEFF"/>
          </w:tcPr>
          <w:p>
            <w:pPr>
              <w:spacing w:after="0"/>
              <w:rPr>
                <w:sz w:val="13"/>
                <w:szCs w:val="13"/>
                <w:color w:val="auto"/>
              </w:rPr>
            </w:pPr>
          </w:p>
        </w:tc>
        <w:tc>
          <w:tcPr>
            <w:tcW w:w="49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219"/>
        </w:trPr>
        <w:tc>
          <w:tcPr>
            <w:tcW w:w="8820" w:type="dxa"/>
            <w:vAlign w:val="bottom"/>
            <w:gridSpan w:val="2"/>
          </w:tcPr>
          <w:p>
            <w:pPr>
              <w:ind w:left="20"/>
              <w:spacing w:after="0"/>
              <w:rPr>
                <w:sz w:val="20"/>
                <w:szCs w:val="20"/>
                <w:color w:val="auto"/>
              </w:rPr>
            </w:pPr>
            <w:r>
              <w:rPr>
                <w:rFonts w:ascii="Arial" w:cs="Arial" w:eastAsia="Arial" w:hAnsi="Arial"/>
                <w:sz w:val="17"/>
                <w:szCs w:val="17"/>
                <w:b w:val="1"/>
                <w:bCs w:val="1"/>
                <w:color w:val="auto"/>
              </w:rPr>
              <w:t>Diluted Adjusted Net Income per Common Unit</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9"/>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income/(loss) attributable to PAA</w:t>
            </w: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(2,847)</w:t>
            </w:r>
          </w:p>
        </w:tc>
      </w:tr>
      <w:tr>
        <w:trPr>
          <w:trHeight w:val="219"/>
        </w:trPr>
        <w:tc>
          <w:tcPr>
            <w:tcW w:w="8820" w:type="dxa"/>
            <w:vAlign w:val="bottom"/>
            <w:tcBorders>
              <w:bottom w:val="single" w:sz="8" w:color="CCEEFF"/>
            </w:tcBorders>
            <w:gridSpan w:val="2"/>
          </w:tcPr>
          <w:p>
            <w:pPr>
              <w:ind w:left="180"/>
              <w:spacing w:after="0" w:line="219" w:lineRule="exact"/>
              <w:rPr>
                <w:sz w:val="20"/>
                <w:szCs w:val="20"/>
                <w:color w:val="auto"/>
              </w:rPr>
            </w:pPr>
            <w:r>
              <w:rPr>
                <w:rFonts w:ascii="Arial" w:cs="Arial" w:eastAsia="Arial" w:hAnsi="Arial"/>
                <w:sz w:val="17"/>
                <w:szCs w:val="17"/>
                <w:color w:val="auto"/>
              </w:rPr>
              <w:t xml:space="preserve">Selected items impacting comparability - Adjusted net income attributable to PAA </w:t>
            </w:r>
            <w:r>
              <w:rPr>
                <w:rFonts w:ascii="Arial" w:cs="Arial" w:eastAsia="Arial" w:hAnsi="Arial"/>
                <w:sz w:val="22"/>
                <w:szCs w:val="22"/>
                <w:color w:val="auto"/>
                <w:vertAlign w:val="superscript"/>
              </w:rPr>
              <w:t>(2)</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3,303</w:t>
            </w:r>
          </w:p>
        </w:tc>
      </w:tr>
      <w:tr>
        <w:trPr>
          <w:trHeight w:val="212"/>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Adjusted net income attributable to PAA</w:t>
            </w: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w:t>
            </w:r>
          </w:p>
        </w:tc>
      </w:tr>
      <w:tr>
        <w:trPr>
          <w:trHeight w:val="218"/>
        </w:trPr>
        <w:tc>
          <w:tcPr>
            <w:tcW w:w="8820" w:type="dxa"/>
            <w:vAlign w:val="bottom"/>
            <w:gridSpan w:val="2"/>
          </w:tcPr>
          <w:p>
            <w:pPr>
              <w:ind w:left="180"/>
              <w:spacing w:after="0"/>
              <w:rPr>
                <w:sz w:val="20"/>
                <w:szCs w:val="20"/>
                <w:color w:val="auto"/>
              </w:rPr>
            </w:pPr>
            <w:r>
              <w:rPr>
                <w:rFonts w:ascii="Arial" w:cs="Arial" w:eastAsia="Arial" w:hAnsi="Arial"/>
                <w:sz w:val="17"/>
                <w:szCs w:val="17"/>
                <w:color w:val="auto"/>
              </w:rPr>
              <w:t>Distributions to Series A preferred unitholders</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Distributions to Series B preferred unitholders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8"/>
        </w:trPr>
        <w:tc>
          <w:tcPr>
            <w:tcW w:w="8820" w:type="dxa"/>
            <w:vAlign w:val="bottom"/>
            <w:tcBorders>
              <w:bottom w:val="single" w:sz="8" w:color="CCEEFF"/>
            </w:tcBorders>
            <w:gridSpan w:val="2"/>
          </w:tcPr>
          <w:p>
            <w:pPr>
              <w:ind w:left="180"/>
              <w:spacing w:after="0"/>
              <w:rPr>
                <w:sz w:val="20"/>
                <w:szCs w:val="20"/>
                <w:color w:val="auto"/>
              </w:rPr>
            </w:pPr>
            <w:r>
              <w:rPr>
                <w:rFonts w:ascii="Arial" w:cs="Arial" w:eastAsia="Arial" w:hAnsi="Arial"/>
                <w:sz w:val="17"/>
                <w:szCs w:val="17"/>
                <w:color w:val="auto"/>
              </w:rPr>
              <w:t>Other</w:t>
            </w: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38"/>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Adjusted net income allocated to common unitholders</w:t>
            </w: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39"/>
        </w:trPr>
        <w:tc>
          <w:tcPr>
            <w:tcW w:w="38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19"/>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weighted average common units outstanding</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w:t>
            </w:r>
          </w:p>
        </w:tc>
      </w:tr>
      <w:tr>
        <w:trPr>
          <w:trHeight w:val="218"/>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Effect of dilutive securities:</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0"/>
        </w:trPr>
        <w:tc>
          <w:tcPr>
            <w:tcW w:w="882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Series A preferred units </w:t>
            </w:r>
            <w:r>
              <w:rPr>
                <w:rFonts w:ascii="Arial" w:cs="Arial" w:eastAsia="Arial" w:hAnsi="Arial"/>
                <w:sz w:val="22"/>
                <w:szCs w:val="22"/>
                <w:color w:val="auto"/>
                <w:vertAlign w:val="superscript"/>
              </w:rPr>
              <w:t>(3)</w:t>
            </w: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r>
      <w:tr>
        <w:trPr>
          <w:trHeight w:val="219"/>
        </w:trPr>
        <w:tc>
          <w:tcPr>
            <w:tcW w:w="8820" w:type="dxa"/>
            <w:vAlign w:val="bottom"/>
            <w:gridSpan w:val="2"/>
          </w:tcPr>
          <w:p>
            <w:pPr>
              <w:ind w:left="180"/>
              <w:spacing w:after="0" w:line="219" w:lineRule="exact"/>
              <w:rPr>
                <w:sz w:val="20"/>
                <w:szCs w:val="20"/>
                <w:color w:val="auto"/>
              </w:rPr>
            </w:pPr>
            <w:r>
              <w:rPr>
                <w:rFonts w:ascii="Arial" w:cs="Arial" w:eastAsia="Arial" w:hAnsi="Arial"/>
                <w:sz w:val="17"/>
                <w:szCs w:val="17"/>
                <w:color w:val="auto"/>
              </w:rPr>
              <w:t xml:space="preserve">Equity-indexed compensation plan awards </w:t>
            </w:r>
            <w:r>
              <w:rPr>
                <w:rFonts w:ascii="Arial" w:cs="Arial" w:eastAsia="Arial" w:hAnsi="Arial"/>
                <w:sz w:val="22"/>
                <w:szCs w:val="22"/>
                <w:color w:val="auto"/>
                <w:vertAlign w:val="superscript"/>
              </w:rPr>
              <w:t>(4)</w:t>
            </w:r>
          </w:p>
        </w:tc>
        <w:tc>
          <w:tcPr>
            <w:tcW w:w="7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37"/>
        </w:trPr>
        <w:tc>
          <w:tcPr>
            <w:tcW w:w="8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Diluted weighted average common units outstanding</w:t>
            </w:r>
          </w:p>
        </w:tc>
        <w:tc>
          <w:tcPr>
            <w:tcW w:w="740" w:type="dxa"/>
            <w:vAlign w:val="bottom"/>
            <w:tcBorders>
              <w:top w:val="single" w:sz="8" w:color="auto"/>
              <w:bottom w:val="single" w:sz="8" w:color="auto"/>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39"/>
        </w:trPr>
        <w:tc>
          <w:tcPr>
            <w:tcW w:w="38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44"/>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Diluted adjusted net income per common unit</w:t>
            </w: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26"/>
        </w:trPr>
        <w:tc>
          <w:tcPr>
            <w:tcW w:w="3880" w:type="dxa"/>
            <w:vAlign w:val="bottom"/>
            <w:tcBorders>
              <w:bottom w:val="single" w:sz="8" w:color="auto"/>
            </w:tcBorders>
          </w:tcPr>
          <w:p>
            <w:pPr>
              <w:spacing w:after="0"/>
              <w:rPr>
                <w:sz w:val="10"/>
                <w:szCs w:val="10"/>
                <w:color w:val="auto"/>
              </w:rPr>
            </w:pPr>
          </w:p>
        </w:tc>
        <w:tc>
          <w:tcPr>
            <w:tcW w:w="4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r>
    </w:tbl>
    <w:p>
      <w:pPr>
        <w:spacing w:after="0" w:line="129" w:lineRule="exact"/>
        <w:rPr>
          <w:sz w:val="20"/>
          <w:szCs w:val="20"/>
          <w:color w:val="auto"/>
        </w:rPr>
      </w:pPr>
    </w:p>
    <w:p>
      <w:pPr>
        <w:ind w:left="320" w:right="20" w:hanging="317"/>
        <w:spacing w:after="0" w:line="236" w:lineRule="auto"/>
        <w:tabs>
          <w:tab w:leader="none" w:pos="315"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34" w:lineRule="exact"/>
        <w:rPr>
          <w:rFonts w:ascii="Arial" w:cs="Arial" w:eastAsia="Arial" w:hAnsi="Arial"/>
          <w:sz w:val="18"/>
          <w:szCs w:val="18"/>
          <w:color w:val="auto"/>
          <w:vertAlign w:val="superscript"/>
        </w:rPr>
      </w:pPr>
    </w:p>
    <w:p>
      <w:pPr>
        <w:ind w:left="320" w:right="300" w:hanging="317"/>
        <w:spacing w:after="0" w:line="217" w:lineRule="auto"/>
        <w:tabs>
          <w:tab w:leader="none" w:pos="315"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Certain of our non-GAAP financial measures may not be impacted by each of the selected items impacting comparability. See the “Selected Items Impacting Comparability” table for additional information.</w:t>
      </w:r>
    </w:p>
    <w:p>
      <w:pPr>
        <w:spacing w:after="0" w:line="33" w:lineRule="exact"/>
        <w:rPr>
          <w:rFonts w:ascii="Arial" w:cs="Arial" w:eastAsia="Arial" w:hAnsi="Arial"/>
          <w:sz w:val="19"/>
          <w:szCs w:val="19"/>
          <w:color w:val="auto"/>
          <w:vertAlign w:val="superscript"/>
        </w:rPr>
      </w:pPr>
    </w:p>
    <w:p>
      <w:pPr>
        <w:ind w:left="320" w:right="340" w:hanging="317"/>
        <w:spacing w:after="0" w:line="217" w:lineRule="auto"/>
        <w:tabs>
          <w:tab w:leader="none" w:pos="315"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The possible conversion of our Series A preferred units were excluded from the calculation of diluted net income per common unit for the three months ended March 31, 2021 as the effect was antidilutive.</w:t>
      </w:r>
    </w:p>
    <w:p>
      <w:pPr>
        <w:spacing w:after="0" w:line="33" w:lineRule="exact"/>
        <w:rPr>
          <w:rFonts w:ascii="Arial" w:cs="Arial" w:eastAsia="Arial" w:hAnsi="Arial"/>
          <w:sz w:val="19"/>
          <w:szCs w:val="19"/>
          <w:color w:val="auto"/>
          <w:vertAlign w:val="superscript"/>
        </w:rPr>
      </w:pPr>
    </w:p>
    <w:p>
      <w:pPr>
        <w:ind w:left="320" w:right="140" w:hanging="317"/>
        <w:spacing w:after="0" w:line="210" w:lineRule="auto"/>
        <w:tabs>
          <w:tab w:leader="none" w:pos="315"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months ended March 31, 2021, the effect of equity-indexed compensation plan awards was antidilutive.</w:t>
      </w:r>
    </w:p>
    <w:p>
      <w:pPr>
        <w:spacing w:after="0" w:line="2" w:lineRule="exact"/>
        <w:rPr>
          <w:rFonts w:ascii="Arial" w:cs="Arial" w:eastAsia="Arial" w:hAnsi="Arial"/>
          <w:sz w:val="19"/>
          <w:szCs w:val="19"/>
          <w:color w:val="auto"/>
          <w:vertAlign w:val="superscript"/>
        </w:rPr>
      </w:pPr>
    </w:p>
    <w:p>
      <w:pPr>
        <w:ind w:left="5440" w:hanging="93"/>
        <w:spacing w:after="0"/>
        <w:tabs>
          <w:tab w:leader="none" w:pos="54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87630</wp:posOffset>
            </wp:positionV>
            <wp:extent cx="7122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29"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auto"/>
        </w:rPr>
        <w:t>Page 11</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22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 (continued)</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Income/(Loss) Per Common Unit to Adjusted Net Income Per Common Unit Reconciliations:</w:t>
      </w:r>
    </w:p>
    <w:p>
      <w:pPr>
        <w:spacing w:after="0" w:line="263"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Three Months Ended</w:t>
      </w:r>
    </w:p>
    <w:p>
      <w:pPr>
        <w:jc w:val="center"/>
        <w:ind w:left="8800"/>
        <w:spacing w:after="0"/>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Borders>
              <w:bottom w:val="single" w:sz="8" w:color="CCEEFF"/>
            </w:tcBorders>
          </w:tcPr>
          <w:p>
            <w:pPr>
              <w:spacing w:after="0"/>
              <w:rPr>
                <w:sz w:val="15"/>
                <w:szCs w:val="15"/>
                <w:color w:val="auto"/>
              </w:rPr>
            </w:pPr>
          </w:p>
        </w:tc>
        <w:tc>
          <w:tcPr>
            <w:tcW w:w="494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r>
      <w:tr>
        <w:trPr>
          <w:trHeight w:val="213"/>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net income/(loss) per common unit</w:t>
            </w:r>
          </w:p>
        </w:tc>
        <w:tc>
          <w:tcPr>
            <w:tcW w:w="720" w:type="dxa"/>
            <w:vAlign w:val="bottom"/>
            <w:shd w:val="clear" w:color="auto" w:fill="CCEEFF"/>
          </w:tcPr>
          <w:p>
            <w:pPr>
              <w:jc w:val="right"/>
              <w:ind w:right="538"/>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0.51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center"/>
              <w:ind w:left="337"/>
              <w:spacing w:after="0"/>
              <w:rPr>
                <w:sz w:val="20"/>
                <w:szCs w:val="20"/>
                <w:color w:val="auto"/>
              </w:rPr>
            </w:pPr>
            <w:r>
              <w:rPr>
                <w:rFonts w:ascii="Arial" w:cs="Arial" w:eastAsia="Arial" w:hAnsi="Arial"/>
                <w:sz w:val="17"/>
                <w:szCs w:val="17"/>
                <w:color w:val="auto"/>
                <w:w w:val="94"/>
              </w:rPr>
              <w:t>(3.98)</w:t>
            </w:r>
          </w:p>
        </w:tc>
      </w:tr>
      <w:tr>
        <w:trPr>
          <w:trHeight w:val="219"/>
        </w:trPr>
        <w:tc>
          <w:tcPr>
            <w:tcW w:w="8820" w:type="dxa"/>
            <w:vAlign w:val="bottom"/>
            <w:tcBorders>
              <w:bottom w:val="single" w:sz="8" w:color="CCEEFF"/>
            </w:tcBorders>
            <w:gridSpan w:val="2"/>
          </w:tcPr>
          <w:p>
            <w:pPr>
              <w:ind w:left="20"/>
              <w:spacing w:after="0" w:line="219" w:lineRule="exact"/>
              <w:rPr>
                <w:sz w:val="20"/>
                <w:szCs w:val="20"/>
                <w:color w:val="auto"/>
              </w:rPr>
            </w:pPr>
            <w:r>
              <w:rPr>
                <w:rFonts w:ascii="Arial" w:cs="Arial" w:eastAsia="Arial" w:hAnsi="Arial"/>
                <w:sz w:val="17"/>
                <w:szCs w:val="17"/>
                <w:color w:val="auto"/>
              </w:rPr>
              <w:t xml:space="preserve">Selected items impacting comparability per common unit </w:t>
            </w:r>
            <w:r>
              <w:rPr>
                <w:rFonts w:ascii="Arial" w:cs="Arial" w:eastAsia="Arial" w:hAnsi="Arial"/>
                <w:sz w:val="22"/>
                <w:szCs w:val="22"/>
                <w:color w:val="auto"/>
                <w:vertAlign w:val="superscript"/>
              </w:rPr>
              <w:t>(1)</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(0.26)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77"/>
              <w:spacing w:after="0"/>
              <w:rPr>
                <w:sz w:val="20"/>
                <w:szCs w:val="20"/>
                <w:color w:val="auto"/>
              </w:rPr>
            </w:pPr>
            <w:r>
              <w:rPr>
                <w:rFonts w:ascii="Arial" w:cs="Arial" w:eastAsia="Arial" w:hAnsi="Arial"/>
                <w:sz w:val="17"/>
                <w:szCs w:val="17"/>
                <w:color w:val="auto"/>
                <w:w w:val="90"/>
              </w:rPr>
              <w:t>4.54</w:t>
            </w:r>
          </w:p>
        </w:tc>
      </w:tr>
      <w:tr>
        <w:trPr>
          <w:trHeight w:val="237"/>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Basic adjusted net income per common unit</w:t>
            </w:r>
          </w:p>
        </w:tc>
        <w:tc>
          <w:tcPr>
            <w:tcW w:w="720" w:type="dxa"/>
            <w:vAlign w:val="bottom"/>
            <w:tcBorders>
              <w:bottom w:val="single" w:sz="8" w:color="auto"/>
            </w:tcBorders>
            <w:shd w:val="clear" w:color="auto" w:fill="CCEEFF"/>
          </w:tcPr>
          <w:p>
            <w:pPr>
              <w:jc w:val="right"/>
              <w:ind w:right="538"/>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0.25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center"/>
              <w:ind w:left="377"/>
              <w:spacing w:after="0"/>
              <w:rPr>
                <w:sz w:val="20"/>
                <w:szCs w:val="20"/>
                <w:color w:val="auto"/>
              </w:rPr>
            </w:pPr>
            <w:r>
              <w:rPr>
                <w:rFonts w:ascii="Arial" w:cs="Arial" w:eastAsia="Arial" w:hAnsi="Arial"/>
                <w:sz w:val="17"/>
                <w:szCs w:val="17"/>
                <w:color w:val="auto"/>
                <w:w w:val="90"/>
              </w:rPr>
              <w:t>0.56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3880" w:type="dxa"/>
            <w:vAlign w:val="bottom"/>
          </w:tcPr>
          <w:p>
            <w:pPr>
              <w:spacing w:after="0"/>
              <w:rPr>
                <w:sz w:val="8"/>
                <w:szCs w:val="8"/>
                <w:color w:val="auto"/>
              </w:rPr>
            </w:pPr>
          </w:p>
        </w:tc>
        <w:tc>
          <w:tcPr>
            <w:tcW w:w="4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19"/>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Diluted net income/(loss) per common unit</w:t>
            </w:r>
          </w:p>
        </w:tc>
        <w:tc>
          <w:tcPr>
            <w:tcW w:w="720" w:type="dxa"/>
            <w:vAlign w:val="bottom"/>
            <w:shd w:val="clear" w:color="auto" w:fill="CCEEFF"/>
          </w:tcPr>
          <w:p>
            <w:pPr>
              <w:jc w:val="right"/>
              <w:ind w:right="538"/>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0.51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center"/>
              <w:ind w:left="337"/>
              <w:spacing w:after="0"/>
              <w:rPr>
                <w:sz w:val="20"/>
                <w:szCs w:val="20"/>
                <w:color w:val="auto"/>
              </w:rPr>
            </w:pPr>
            <w:r>
              <w:rPr>
                <w:rFonts w:ascii="Arial" w:cs="Arial" w:eastAsia="Arial" w:hAnsi="Arial"/>
                <w:sz w:val="17"/>
                <w:szCs w:val="17"/>
                <w:color w:val="auto"/>
                <w:w w:val="94"/>
              </w:rPr>
              <w:t>(3.98)</w:t>
            </w:r>
          </w:p>
        </w:tc>
      </w:tr>
      <w:tr>
        <w:trPr>
          <w:trHeight w:val="219"/>
        </w:trPr>
        <w:tc>
          <w:tcPr>
            <w:tcW w:w="8820" w:type="dxa"/>
            <w:vAlign w:val="bottom"/>
            <w:tcBorders>
              <w:bottom w:val="single" w:sz="8" w:color="CCEEFF"/>
            </w:tcBorders>
            <w:gridSpan w:val="2"/>
          </w:tcPr>
          <w:p>
            <w:pPr>
              <w:ind w:left="20"/>
              <w:spacing w:after="0" w:line="219" w:lineRule="exact"/>
              <w:rPr>
                <w:sz w:val="20"/>
                <w:szCs w:val="20"/>
                <w:color w:val="auto"/>
              </w:rPr>
            </w:pPr>
            <w:r>
              <w:rPr>
                <w:rFonts w:ascii="Arial" w:cs="Arial" w:eastAsia="Arial" w:hAnsi="Arial"/>
                <w:sz w:val="17"/>
                <w:szCs w:val="17"/>
                <w:color w:val="auto"/>
              </w:rPr>
              <w:t xml:space="preserve">Selected items impacting comparability per common unit </w:t>
            </w:r>
            <w:r>
              <w:rPr>
                <w:rFonts w:ascii="Arial" w:cs="Arial" w:eastAsia="Arial" w:hAnsi="Arial"/>
                <w:sz w:val="22"/>
                <w:szCs w:val="22"/>
                <w:color w:val="auto"/>
                <w:vertAlign w:val="superscript"/>
              </w:rPr>
              <w:t>(1)</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(0.26)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77"/>
              <w:spacing w:after="0"/>
              <w:rPr>
                <w:sz w:val="20"/>
                <w:szCs w:val="20"/>
                <w:color w:val="auto"/>
              </w:rPr>
            </w:pPr>
            <w:r>
              <w:rPr>
                <w:rFonts w:ascii="Arial" w:cs="Arial" w:eastAsia="Arial" w:hAnsi="Arial"/>
                <w:sz w:val="17"/>
                <w:szCs w:val="17"/>
                <w:color w:val="auto"/>
                <w:w w:val="90"/>
              </w:rPr>
              <w:t>4.53</w:t>
            </w:r>
          </w:p>
        </w:tc>
      </w:tr>
      <w:tr>
        <w:trPr>
          <w:trHeight w:val="237"/>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Diluted adjusted net income per common unit</w:t>
            </w:r>
          </w:p>
        </w:tc>
        <w:tc>
          <w:tcPr>
            <w:tcW w:w="720" w:type="dxa"/>
            <w:vAlign w:val="bottom"/>
            <w:tcBorders>
              <w:bottom w:val="single" w:sz="8" w:color="auto"/>
            </w:tcBorders>
            <w:shd w:val="clear" w:color="auto" w:fill="CCEEFF"/>
          </w:tcPr>
          <w:p>
            <w:pPr>
              <w:jc w:val="right"/>
              <w:ind w:right="538"/>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0.25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center"/>
              <w:ind w:left="377"/>
              <w:spacing w:after="0"/>
              <w:rPr>
                <w:sz w:val="20"/>
                <w:szCs w:val="20"/>
                <w:color w:val="auto"/>
              </w:rPr>
            </w:pPr>
            <w:r>
              <w:rPr>
                <w:rFonts w:ascii="Arial" w:cs="Arial" w:eastAsia="Arial" w:hAnsi="Arial"/>
                <w:sz w:val="17"/>
                <w:szCs w:val="17"/>
                <w:color w:val="auto"/>
                <w:w w:val="90"/>
              </w:rPr>
              <w:t>0.55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26"/>
        </w:trPr>
        <w:tc>
          <w:tcPr>
            <w:tcW w:w="3880" w:type="dxa"/>
            <w:vAlign w:val="bottom"/>
            <w:tcBorders>
              <w:bottom w:val="single" w:sz="8" w:color="auto"/>
            </w:tcBorders>
          </w:tcPr>
          <w:p>
            <w:pPr>
              <w:spacing w:after="0"/>
              <w:rPr>
                <w:sz w:val="10"/>
                <w:szCs w:val="10"/>
                <w:color w:val="auto"/>
              </w:rPr>
            </w:pPr>
          </w:p>
        </w:tc>
        <w:tc>
          <w:tcPr>
            <w:tcW w:w="4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r>
    </w:tbl>
    <w:p>
      <w:pPr>
        <w:spacing w:after="0" w:line="129" w:lineRule="exact"/>
        <w:rPr>
          <w:sz w:val="20"/>
          <w:szCs w:val="20"/>
          <w:color w:val="auto"/>
        </w:rPr>
      </w:pPr>
    </w:p>
    <w:p>
      <w:pPr>
        <w:ind w:left="320" w:right="140" w:hanging="317"/>
        <w:spacing w:after="0" w:line="226" w:lineRule="auto"/>
        <w:tabs>
          <w:tab w:leader="none" w:pos="308"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See the “Selected Items Impacting Comparability” and the “Computation of Basic and Diluted Adjusted Net Income Per Common Unit” tables for additional information.</w:t>
      </w:r>
    </w:p>
    <w:p>
      <w:pPr>
        <w:spacing w:after="0" w:line="338"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Twelve Months Ended</w:t>
      </w:r>
    </w:p>
    <w:p>
      <w:pPr>
        <w:jc w:val="center"/>
        <w:ind w:left="8800"/>
        <w:spacing w:after="0"/>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Borders>
              <w:bottom w:val="single" w:sz="8" w:color="CCEEFF"/>
            </w:tcBorders>
          </w:tcPr>
          <w:p>
            <w:pPr>
              <w:spacing w:after="0"/>
              <w:rPr>
                <w:sz w:val="15"/>
                <w:szCs w:val="15"/>
                <w:color w:val="auto"/>
              </w:rPr>
            </w:pPr>
          </w:p>
        </w:tc>
        <w:tc>
          <w:tcPr>
            <w:tcW w:w="494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r>
      <w:tr>
        <w:trPr>
          <w:trHeight w:val="213"/>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net income/(loss) per common unit</w:t>
            </w:r>
          </w:p>
        </w:tc>
        <w:tc>
          <w:tcPr>
            <w:tcW w:w="720" w:type="dxa"/>
            <w:vAlign w:val="bottom"/>
            <w:shd w:val="clear" w:color="auto" w:fill="CCEEFF"/>
          </w:tcPr>
          <w:p>
            <w:pPr>
              <w:jc w:val="right"/>
              <w:ind w:right="538"/>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center"/>
              <w:ind w:left="377"/>
              <w:spacing w:after="0"/>
              <w:rPr>
                <w:sz w:val="20"/>
                <w:szCs w:val="20"/>
                <w:color w:val="auto"/>
              </w:rPr>
            </w:pPr>
            <w:r>
              <w:rPr>
                <w:rFonts w:ascii="Arial" w:cs="Arial" w:eastAsia="Arial" w:hAnsi="Arial"/>
                <w:sz w:val="17"/>
                <w:szCs w:val="17"/>
                <w:color w:val="auto"/>
                <w:w w:val="90"/>
              </w:rPr>
              <w:t>2.70</w:t>
            </w:r>
          </w:p>
        </w:tc>
      </w:tr>
      <w:tr>
        <w:trPr>
          <w:trHeight w:val="219"/>
        </w:trPr>
        <w:tc>
          <w:tcPr>
            <w:tcW w:w="8820" w:type="dxa"/>
            <w:vAlign w:val="bottom"/>
            <w:tcBorders>
              <w:bottom w:val="single" w:sz="8" w:color="CCEEFF"/>
            </w:tcBorders>
            <w:gridSpan w:val="2"/>
          </w:tcPr>
          <w:p>
            <w:pPr>
              <w:ind w:left="20"/>
              <w:spacing w:after="0" w:line="219" w:lineRule="exact"/>
              <w:rPr>
                <w:sz w:val="20"/>
                <w:szCs w:val="20"/>
                <w:color w:val="auto"/>
              </w:rPr>
            </w:pPr>
            <w:r>
              <w:rPr>
                <w:rFonts w:ascii="Arial" w:cs="Arial" w:eastAsia="Arial" w:hAnsi="Arial"/>
                <w:sz w:val="17"/>
                <w:szCs w:val="17"/>
                <w:color w:val="auto"/>
              </w:rPr>
              <w:t xml:space="preserve">Selected items impacting comparability per common unit </w:t>
            </w:r>
            <w:r>
              <w:rPr>
                <w:rFonts w:ascii="Arial" w:cs="Arial" w:eastAsia="Arial" w:hAnsi="Arial"/>
                <w:sz w:val="22"/>
                <w:szCs w:val="22"/>
                <w:color w:val="auto"/>
                <w:vertAlign w:val="superscript"/>
              </w:rPr>
              <w:t>(1)</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5.38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37"/>
              <w:spacing w:after="0"/>
              <w:rPr>
                <w:sz w:val="20"/>
                <w:szCs w:val="20"/>
                <w:color w:val="auto"/>
              </w:rPr>
            </w:pPr>
            <w:r>
              <w:rPr>
                <w:rFonts w:ascii="Arial" w:cs="Arial" w:eastAsia="Arial" w:hAnsi="Arial"/>
                <w:sz w:val="17"/>
                <w:szCs w:val="17"/>
                <w:color w:val="auto"/>
                <w:w w:val="94"/>
              </w:rPr>
              <w:t>(0.14)</w:t>
            </w:r>
          </w:p>
        </w:tc>
      </w:tr>
      <w:tr>
        <w:trPr>
          <w:trHeight w:val="237"/>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Basic adjusted net income per common unit</w:t>
            </w:r>
          </w:p>
        </w:tc>
        <w:tc>
          <w:tcPr>
            <w:tcW w:w="720" w:type="dxa"/>
            <w:vAlign w:val="bottom"/>
            <w:tcBorders>
              <w:bottom w:val="single" w:sz="8" w:color="auto"/>
            </w:tcBorders>
            <w:shd w:val="clear" w:color="auto" w:fill="CCEEFF"/>
          </w:tcPr>
          <w:p>
            <w:pPr>
              <w:jc w:val="right"/>
              <w:ind w:right="538"/>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center"/>
              <w:ind w:left="377"/>
              <w:spacing w:after="0"/>
              <w:rPr>
                <w:sz w:val="20"/>
                <w:szCs w:val="20"/>
                <w:color w:val="auto"/>
              </w:rPr>
            </w:pPr>
            <w:r>
              <w:rPr>
                <w:rFonts w:ascii="Arial" w:cs="Arial" w:eastAsia="Arial" w:hAnsi="Arial"/>
                <w:sz w:val="17"/>
                <w:szCs w:val="17"/>
                <w:color w:val="auto"/>
                <w:w w:val="90"/>
              </w:rPr>
              <w:t>2.56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3880" w:type="dxa"/>
            <w:vAlign w:val="bottom"/>
          </w:tcPr>
          <w:p>
            <w:pPr>
              <w:spacing w:after="0"/>
              <w:rPr>
                <w:sz w:val="8"/>
                <w:szCs w:val="8"/>
                <w:color w:val="auto"/>
              </w:rPr>
            </w:pPr>
          </w:p>
        </w:tc>
        <w:tc>
          <w:tcPr>
            <w:tcW w:w="4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19"/>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Diluted net income/(loss) per common unit</w:t>
            </w:r>
          </w:p>
        </w:tc>
        <w:tc>
          <w:tcPr>
            <w:tcW w:w="720" w:type="dxa"/>
            <w:vAlign w:val="bottom"/>
            <w:shd w:val="clear" w:color="auto" w:fill="CCEEFF"/>
          </w:tcPr>
          <w:p>
            <w:pPr>
              <w:jc w:val="right"/>
              <w:ind w:right="538"/>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center"/>
              <w:ind w:left="377"/>
              <w:spacing w:after="0"/>
              <w:rPr>
                <w:sz w:val="20"/>
                <w:szCs w:val="20"/>
                <w:color w:val="auto"/>
              </w:rPr>
            </w:pPr>
            <w:r>
              <w:rPr>
                <w:rFonts w:ascii="Arial" w:cs="Arial" w:eastAsia="Arial" w:hAnsi="Arial"/>
                <w:sz w:val="17"/>
                <w:szCs w:val="17"/>
                <w:color w:val="auto"/>
                <w:w w:val="90"/>
              </w:rPr>
              <w:t>2.65</w:t>
            </w:r>
          </w:p>
        </w:tc>
      </w:tr>
      <w:tr>
        <w:trPr>
          <w:trHeight w:val="219"/>
        </w:trPr>
        <w:tc>
          <w:tcPr>
            <w:tcW w:w="8820" w:type="dxa"/>
            <w:vAlign w:val="bottom"/>
            <w:tcBorders>
              <w:bottom w:val="single" w:sz="8" w:color="CCEEFF"/>
            </w:tcBorders>
            <w:gridSpan w:val="2"/>
          </w:tcPr>
          <w:p>
            <w:pPr>
              <w:ind w:left="20"/>
              <w:spacing w:after="0" w:line="219" w:lineRule="exact"/>
              <w:rPr>
                <w:sz w:val="20"/>
                <w:szCs w:val="20"/>
                <w:color w:val="auto"/>
              </w:rPr>
            </w:pPr>
            <w:r>
              <w:rPr>
                <w:rFonts w:ascii="Arial" w:cs="Arial" w:eastAsia="Arial" w:hAnsi="Arial"/>
                <w:sz w:val="17"/>
                <w:szCs w:val="17"/>
                <w:color w:val="auto"/>
              </w:rPr>
              <w:t xml:space="preserve">Selected items impacting comparability per common unit </w:t>
            </w:r>
            <w:r>
              <w:rPr>
                <w:rFonts w:ascii="Arial" w:cs="Arial" w:eastAsia="Arial" w:hAnsi="Arial"/>
                <w:sz w:val="22"/>
                <w:szCs w:val="22"/>
                <w:color w:val="auto"/>
                <w:vertAlign w:val="superscript"/>
              </w:rPr>
              <w:t>(1)</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5.38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37"/>
              <w:spacing w:after="0"/>
              <w:rPr>
                <w:sz w:val="20"/>
                <w:szCs w:val="20"/>
                <w:color w:val="auto"/>
              </w:rPr>
            </w:pPr>
            <w:r>
              <w:rPr>
                <w:rFonts w:ascii="Arial" w:cs="Arial" w:eastAsia="Arial" w:hAnsi="Arial"/>
                <w:sz w:val="17"/>
                <w:szCs w:val="17"/>
                <w:color w:val="auto"/>
                <w:w w:val="94"/>
              </w:rPr>
              <w:t>(0.14)</w:t>
            </w:r>
          </w:p>
        </w:tc>
      </w:tr>
      <w:tr>
        <w:trPr>
          <w:trHeight w:val="237"/>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Diluted adjusted net income per common unit</w:t>
            </w:r>
          </w:p>
        </w:tc>
        <w:tc>
          <w:tcPr>
            <w:tcW w:w="720" w:type="dxa"/>
            <w:vAlign w:val="bottom"/>
            <w:tcBorders>
              <w:bottom w:val="single" w:sz="8" w:color="auto"/>
            </w:tcBorders>
            <w:shd w:val="clear" w:color="auto" w:fill="CCEEFF"/>
          </w:tcPr>
          <w:p>
            <w:pPr>
              <w:jc w:val="right"/>
              <w:ind w:right="538"/>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center"/>
              <w:ind w:left="377"/>
              <w:spacing w:after="0"/>
              <w:rPr>
                <w:sz w:val="20"/>
                <w:szCs w:val="20"/>
                <w:color w:val="auto"/>
              </w:rPr>
            </w:pPr>
            <w:r>
              <w:rPr>
                <w:rFonts w:ascii="Arial" w:cs="Arial" w:eastAsia="Arial" w:hAnsi="Arial"/>
                <w:sz w:val="17"/>
                <w:szCs w:val="17"/>
                <w:color w:val="auto"/>
                <w:w w:val="90"/>
              </w:rPr>
              <w:t>2.51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39"/>
        </w:trPr>
        <w:tc>
          <w:tcPr>
            <w:tcW w:w="3880" w:type="dxa"/>
            <w:vAlign w:val="bottom"/>
            <w:tcBorders>
              <w:bottom w:val="single" w:sz="8" w:color="auto"/>
            </w:tcBorders>
          </w:tcPr>
          <w:p>
            <w:pPr>
              <w:spacing w:after="0"/>
              <w:rPr>
                <w:sz w:val="12"/>
                <w:szCs w:val="12"/>
                <w:color w:val="auto"/>
              </w:rPr>
            </w:pPr>
          </w:p>
        </w:tc>
        <w:tc>
          <w:tcPr>
            <w:tcW w:w="4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r>
    </w:tbl>
    <w:p>
      <w:pPr>
        <w:spacing w:after="0" w:line="81" w:lineRule="exact"/>
        <w:rPr>
          <w:sz w:val="20"/>
          <w:szCs w:val="20"/>
          <w:color w:val="auto"/>
        </w:rPr>
      </w:pPr>
    </w:p>
    <w:p>
      <w:pPr>
        <w:ind w:left="300" w:hanging="297"/>
        <w:spacing w:after="0"/>
        <w:tabs>
          <w:tab w:leader="none" w:pos="300"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See the “Selected Items Impacting Comparability” table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96520</wp:posOffset>
            </wp:positionV>
            <wp:extent cx="7122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auto"/>
        </w:rPr>
        <w:t>Page 12</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22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 (continued)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and ratio data)</w:t>
      </w:r>
    </w:p>
    <w:p>
      <w:pPr>
        <w:spacing w:after="0" w:line="13"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Three Months Ended</w:t>
      </w:r>
    </w:p>
    <w:p>
      <w:pPr>
        <w:jc w:val="center"/>
        <w:ind w:left="8800"/>
        <w:spacing w:after="0"/>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Borders>
              <w:bottom w:val="single" w:sz="8" w:color="CCEEFF"/>
            </w:tcBorders>
          </w:tcPr>
          <w:p>
            <w:pPr>
              <w:spacing w:after="0"/>
              <w:rPr>
                <w:sz w:val="15"/>
                <w:szCs w:val="15"/>
                <w:color w:val="auto"/>
              </w:rPr>
            </w:pPr>
          </w:p>
        </w:tc>
        <w:tc>
          <w:tcPr>
            <w:tcW w:w="4940" w:type="dxa"/>
            <w:vAlign w:val="bottom"/>
            <w:tcBorders>
              <w:bottom w:val="single" w:sz="8" w:color="CCEEFF"/>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r>
      <w:tr>
        <w:trPr>
          <w:trHeight w:val="20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Income/(Loss) to Adjusted EBITDA and Implied DCF Reconciliation</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8"/>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Net Income/(Loss)</w:t>
            </w:r>
          </w:p>
        </w:tc>
        <w:tc>
          <w:tcPr>
            <w:tcW w:w="740" w:type="dxa"/>
            <w:vAlign w:val="bottom"/>
          </w:tcPr>
          <w:p>
            <w:pPr>
              <w:jc w:val="right"/>
              <w:ind w:right="556"/>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423</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(2,845)</w:t>
            </w:r>
          </w:p>
        </w:tc>
      </w:tr>
      <w:tr>
        <w:trPr>
          <w:trHeight w:val="220"/>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Interest expense, net</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r>
      <w:tr>
        <w:trPr>
          <w:trHeight w:val="218"/>
        </w:trPr>
        <w:tc>
          <w:tcPr>
            <w:tcW w:w="8820" w:type="dxa"/>
            <w:vAlign w:val="bottom"/>
            <w:gridSpan w:val="2"/>
          </w:tcPr>
          <w:p>
            <w:pPr>
              <w:ind w:left="180"/>
              <w:spacing w:after="0"/>
              <w:rPr>
                <w:sz w:val="20"/>
                <w:szCs w:val="20"/>
                <w:color w:val="auto"/>
              </w:rPr>
            </w:pPr>
            <w:r>
              <w:rPr>
                <w:rFonts w:ascii="Arial" w:cs="Arial" w:eastAsia="Arial" w:hAnsi="Arial"/>
                <w:sz w:val="17"/>
                <w:szCs w:val="17"/>
                <w:color w:val="auto"/>
              </w:rPr>
              <w:t>Income tax expense</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20"/>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r>
      <w:tr>
        <w:trPr>
          <w:trHeight w:val="218"/>
        </w:trPr>
        <w:tc>
          <w:tcPr>
            <w:tcW w:w="8820" w:type="dxa"/>
            <w:vAlign w:val="bottom"/>
            <w:gridSpan w:val="2"/>
          </w:tcPr>
          <w:p>
            <w:pPr>
              <w:ind w:left="180"/>
              <w:spacing w:after="0"/>
              <w:rPr>
                <w:sz w:val="20"/>
                <w:szCs w:val="20"/>
                <w:color w:val="auto"/>
              </w:rPr>
            </w:pPr>
            <w:r>
              <w:rPr>
                <w:rFonts w:ascii="Arial" w:cs="Arial" w:eastAsia="Arial" w:hAnsi="Arial"/>
                <w:sz w:val="17"/>
                <w:szCs w:val="17"/>
                <w:color w:val="auto"/>
              </w:rPr>
              <w:t>(Gains)/losses on asset sales and asset impairments, net</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619</w:t>
            </w:r>
          </w:p>
        </w:tc>
      </w:tr>
      <w:tr>
        <w:trPr>
          <w:trHeight w:val="220"/>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Goodwill impairment losses</w:t>
            </w: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w:t>
            </w:r>
          </w:p>
        </w:tc>
      </w:tr>
      <w:tr>
        <w:trPr>
          <w:trHeight w:val="218"/>
        </w:trPr>
        <w:tc>
          <w:tcPr>
            <w:tcW w:w="8820" w:type="dxa"/>
            <w:vAlign w:val="bottom"/>
            <w:gridSpan w:val="2"/>
          </w:tcPr>
          <w:p>
            <w:pPr>
              <w:ind w:left="180"/>
              <w:spacing w:after="0"/>
              <w:rPr>
                <w:sz w:val="20"/>
                <w:szCs w:val="20"/>
                <w:color w:val="auto"/>
              </w:rPr>
            </w:pPr>
            <w:r>
              <w:rPr>
                <w:rFonts w:ascii="Arial" w:cs="Arial" w:eastAsia="Arial" w:hAnsi="Arial"/>
                <w:sz w:val="17"/>
                <w:szCs w:val="17"/>
                <w:color w:val="auto"/>
              </w:rPr>
              <w:t>(Gain on)/impairment of investments in unconsolidated entities, net</w:t>
            </w:r>
          </w:p>
        </w:tc>
        <w:tc>
          <w:tcPr>
            <w:tcW w:w="7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20"/>
        </w:trPr>
        <w:tc>
          <w:tcPr>
            <w:tcW w:w="882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Depreciation and amortization of unconsolidated entities </w:t>
            </w:r>
            <w:r>
              <w:rPr>
                <w:rFonts w:ascii="Arial" w:cs="Arial" w:eastAsia="Arial" w:hAnsi="Arial"/>
                <w:sz w:val="22"/>
                <w:szCs w:val="22"/>
                <w:color w:val="auto"/>
                <w:vertAlign w:val="superscript"/>
              </w:rPr>
              <w:t>(1)</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9"/>
        </w:trPr>
        <w:tc>
          <w:tcPr>
            <w:tcW w:w="8820" w:type="dxa"/>
            <w:vAlign w:val="bottom"/>
            <w:tcBorders>
              <w:bottom w:val="single" w:sz="8" w:color="CCEEFF"/>
            </w:tcBorders>
            <w:gridSpan w:val="2"/>
          </w:tcPr>
          <w:p>
            <w:pPr>
              <w:ind w:left="180"/>
              <w:spacing w:after="0" w:line="219" w:lineRule="exact"/>
              <w:rPr>
                <w:sz w:val="20"/>
                <w:szCs w:val="20"/>
                <w:color w:val="auto"/>
              </w:rPr>
            </w:pPr>
            <w:r>
              <w:rPr>
                <w:rFonts w:ascii="Arial" w:cs="Arial" w:eastAsia="Arial" w:hAnsi="Arial"/>
                <w:sz w:val="17"/>
                <w:szCs w:val="17"/>
                <w:color w:val="auto"/>
              </w:rPr>
              <w:t xml:space="preserve">Selected items impacting comparability - Adjusted EBITDA </w:t>
            </w:r>
            <w:r>
              <w:rPr>
                <w:rFonts w:ascii="Arial" w:cs="Arial" w:eastAsia="Arial" w:hAnsi="Arial"/>
                <w:sz w:val="22"/>
                <w:szCs w:val="22"/>
                <w:color w:val="auto"/>
                <w:vertAlign w:val="superscript"/>
              </w:rPr>
              <w:t>(2)</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(207)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w:t>
            </w:r>
          </w:p>
        </w:tc>
      </w:tr>
      <w:tr>
        <w:trPr>
          <w:trHeight w:val="212"/>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w:t>
            </w:r>
          </w:p>
        </w:tc>
      </w:tr>
      <w:tr>
        <w:trPr>
          <w:trHeight w:val="219"/>
        </w:trPr>
        <w:tc>
          <w:tcPr>
            <w:tcW w:w="8820" w:type="dxa"/>
            <w:vAlign w:val="bottom"/>
            <w:gridSpan w:val="2"/>
          </w:tcPr>
          <w:p>
            <w:pPr>
              <w:ind w:left="180"/>
              <w:spacing w:after="0" w:line="219" w:lineRule="exact"/>
              <w:rPr>
                <w:sz w:val="20"/>
                <w:szCs w:val="20"/>
                <w:color w:val="auto"/>
              </w:rPr>
            </w:pPr>
            <w:r>
              <w:rPr>
                <w:rFonts w:ascii="Arial" w:cs="Arial" w:eastAsia="Arial" w:hAnsi="Arial"/>
                <w:sz w:val="17"/>
                <w:szCs w:val="17"/>
                <w:color w:val="auto"/>
              </w:rPr>
              <w:t xml:space="preserve">Interest expense, net of certain non-cash items </w:t>
            </w:r>
            <w:r>
              <w:rPr>
                <w:rFonts w:ascii="Arial" w:cs="Arial" w:eastAsia="Arial" w:hAnsi="Arial"/>
                <w:sz w:val="22"/>
                <w:szCs w:val="22"/>
                <w:color w:val="auto"/>
                <w:vertAlign w:val="superscript"/>
              </w:rPr>
              <w:t>(3)</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5"/>
              </w:rPr>
              <w:t>(101)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(103)</w:t>
            </w:r>
          </w:p>
        </w:tc>
      </w:tr>
      <w:tr>
        <w:trPr>
          <w:trHeight w:val="219"/>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Maintenance capital</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r>
      <w:tr>
        <w:trPr>
          <w:trHeight w:val="218"/>
        </w:trPr>
        <w:tc>
          <w:tcPr>
            <w:tcW w:w="8820" w:type="dxa"/>
            <w:vAlign w:val="bottom"/>
            <w:gridSpan w:val="2"/>
          </w:tcPr>
          <w:p>
            <w:pPr>
              <w:ind w:left="180"/>
              <w:spacing w:after="0"/>
              <w:rPr>
                <w:sz w:val="20"/>
                <w:szCs w:val="20"/>
                <w:color w:val="auto"/>
              </w:rPr>
            </w:pPr>
            <w:r>
              <w:rPr>
                <w:rFonts w:ascii="Arial" w:cs="Arial" w:eastAsia="Arial" w:hAnsi="Arial"/>
                <w:sz w:val="17"/>
                <w:szCs w:val="17"/>
                <w:color w:val="auto"/>
              </w:rPr>
              <w:t>Current income tax expense</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20"/>
        </w:trPr>
        <w:tc>
          <w:tcPr>
            <w:tcW w:w="882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Distributions from unconsolidated entities in excess of/(less than) adjusted equity earnings </w:t>
            </w:r>
            <w:r>
              <w:rPr>
                <w:rFonts w:ascii="Arial" w:cs="Arial" w:eastAsia="Arial" w:hAnsi="Arial"/>
                <w:sz w:val="22"/>
                <w:szCs w:val="22"/>
                <w:color w:val="auto"/>
                <w:vertAlign w:val="superscript"/>
              </w:rPr>
              <w:t>(4)</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9"/>
        </w:trPr>
        <w:tc>
          <w:tcPr>
            <w:tcW w:w="8820" w:type="dxa"/>
            <w:vAlign w:val="bottom"/>
            <w:tcBorders>
              <w:bottom w:val="single" w:sz="8" w:color="CCEEFF"/>
            </w:tcBorders>
            <w:gridSpan w:val="2"/>
          </w:tcPr>
          <w:p>
            <w:pPr>
              <w:ind w:left="180"/>
              <w:spacing w:after="0" w:line="219" w:lineRule="exact"/>
              <w:rPr>
                <w:sz w:val="20"/>
                <w:szCs w:val="20"/>
                <w:color w:val="auto"/>
              </w:rPr>
            </w:pPr>
            <w:r>
              <w:rPr>
                <w:rFonts w:ascii="Arial" w:cs="Arial" w:eastAsia="Arial" w:hAnsi="Arial"/>
                <w:sz w:val="17"/>
                <w:szCs w:val="17"/>
                <w:color w:val="auto"/>
              </w:rPr>
              <w:t xml:space="preserve">Distributions to noncontrolling interests </w:t>
            </w:r>
            <w:r>
              <w:rPr>
                <w:rFonts w:ascii="Arial" w:cs="Arial" w:eastAsia="Arial" w:hAnsi="Arial"/>
                <w:sz w:val="22"/>
                <w:szCs w:val="22"/>
                <w:color w:val="auto"/>
                <w:vertAlign w:val="superscript"/>
              </w:rPr>
              <w:t>(5)</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Implied DCF</w:t>
            </w: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w:t>
            </w:r>
          </w:p>
        </w:tc>
      </w:tr>
      <w:tr>
        <w:trPr>
          <w:trHeight w:val="219"/>
        </w:trPr>
        <w:tc>
          <w:tcPr>
            <w:tcW w:w="8820" w:type="dxa"/>
            <w:vAlign w:val="bottom"/>
            <w:tcBorders>
              <w:bottom w:val="single" w:sz="8" w:color="CCEEFF"/>
            </w:tcBorders>
            <w:gridSpan w:val="2"/>
          </w:tcPr>
          <w:p>
            <w:pPr>
              <w:ind w:left="180"/>
              <w:spacing w:after="0" w:line="219" w:lineRule="exact"/>
              <w:rPr>
                <w:sz w:val="20"/>
                <w:szCs w:val="20"/>
                <w:color w:val="auto"/>
              </w:rPr>
            </w:pPr>
            <w:r>
              <w:rPr>
                <w:rFonts w:ascii="Arial" w:cs="Arial" w:eastAsia="Arial" w:hAnsi="Arial"/>
                <w:sz w:val="17"/>
                <w:szCs w:val="17"/>
                <w:color w:val="auto"/>
              </w:rPr>
              <w:t xml:space="preserve">Preferred unit distributions paid </w:t>
            </w:r>
            <w:r>
              <w:rPr>
                <w:rFonts w:ascii="Arial" w:cs="Arial" w:eastAsia="Arial" w:hAnsi="Arial"/>
                <w:sz w:val="22"/>
                <w:szCs w:val="22"/>
                <w:color w:val="auto"/>
                <w:vertAlign w:val="superscript"/>
              </w:rPr>
              <w:t>(6)</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r>
      <w:tr>
        <w:trPr>
          <w:trHeight w:val="237"/>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Implied DCF Available to Common Unitholders</w:t>
            </w: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3880" w:type="dxa"/>
            <w:vAlign w:val="bottom"/>
          </w:tcPr>
          <w:p>
            <w:pPr>
              <w:spacing w:after="0"/>
              <w:rPr>
                <w:sz w:val="8"/>
                <w:szCs w:val="8"/>
                <w:color w:val="auto"/>
              </w:rPr>
            </w:pPr>
          </w:p>
        </w:tc>
        <w:tc>
          <w:tcPr>
            <w:tcW w:w="4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19"/>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 Average Common Units Outstanding</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w:t>
            </w:r>
          </w:p>
        </w:tc>
      </w:tr>
      <w:tr>
        <w:trPr>
          <w:trHeight w:val="218"/>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Weighted Average Common Units and Common Unit Equivalents</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793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799</w:t>
            </w:r>
          </w:p>
        </w:tc>
      </w:tr>
      <w:tr>
        <w:trPr>
          <w:trHeight w:val="155"/>
        </w:trPr>
        <w:tc>
          <w:tcPr>
            <w:tcW w:w="3880" w:type="dxa"/>
            <w:vAlign w:val="bottom"/>
            <w:shd w:val="clear" w:color="auto" w:fill="CCEEFF"/>
          </w:tcPr>
          <w:p>
            <w:pPr>
              <w:spacing w:after="0"/>
              <w:rPr>
                <w:sz w:val="13"/>
                <w:szCs w:val="13"/>
                <w:color w:val="auto"/>
              </w:rPr>
            </w:pPr>
          </w:p>
        </w:tc>
        <w:tc>
          <w:tcPr>
            <w:tcW w:w="49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219"/>
        </w:trPr>
        <w:tc>
          <w:tcPr>
            <w:tcW w:w="8820" w:type="dxa"/>
            <w:vAlign w:val="bottom"/>
            <w:gridSpan w:val="2"/>
          </w:tcPr>
          <w:p>
            <w:pPr>
              <w:ind w:left="20"/>
              <w:spacing w:after="0" w:line="219" w:lineRule="exact"/>
              <w:rPr>
                <w:sz w:val="20"/>
                <w:szCs w:val="20"/>
                <w:color w:val="auto"/>
              </w:rPr>
            </w:pPr>
            <w:r>
              <w:rPr>
                <w:rFonts w:ascii="Arial" w:cs="Arial" w:eastAsia="Arial" w:hAnsi="Arial"/>
                <w:sz w:val="17"/>
                <w:szCs w:val="17"/>
                <w:color w:val="auto"/>
              </w:rPr>
              <w:t xml:space="preserve">Implied DCF per Common Unit </w:t>
            </w:r>
            <w:r>
              <w:rPr>
                <w:rFonts w:ascii="Arial" w:cs="Arial" w:eastAsia="Arial" w:hAnsi="Arial"/>
                <w:sz w:val="22"/>
                <w:szCs w:val="22"/>
                <w:color w:val="auto"/>
                <w:vertAlign w:val="superscript"/>
              </w:rPr>
              <w:t>(7)</w:t>
            </w:r>
          </w:p>
        </w:tc>
        <w:tc>
          <w:tcPr>
            <w:tcW w:w="740" w:type="dxa"/>
            <w:vAlign w:val="bottom"/>
          </w:tcPr>
          <w:p>
            <w:pPr>
              <w:jc w:val="right"/>
              <w:ind w:right="556"/>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0.51</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0.82</w:t>
            </w:r>
          </w:p>
        </w:tc>
      </w:tr>
      <w:tr>
        <w:trPr>
          <w:trHeight w:val="219"/>
        </w:trPr>
        <w:tc>
          <w:tcPr>
            <w:tcW w:w="882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7"/>
                <w:szCs w:val="17"/>
                <w:color w:val="auto"/>
              </w:rPr>
              <w:t xml:space="preserve">Implied DCF per Common Unit and Common Unit Equivalent </w:t>
            </w:r>
            <w:r>
              <w:rPr>
                <w:rFonts w:ascii="Arial" w:cs="Arial" w:eastAsia="Arial" w:hAnsi="Arial"/>
                <w:sz w:val="22"/>
                <w:szCs w:val="22"/>
                <w:color w:val="auto"/>
                <w:vertAlign w:val="superscript"/>
              </w:rPr>
              <w:t>(8)</w:t>
            </w: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0.79</w:t>
            </w:r>
          </w:p>
        </w:tc>
      </w:tr>
      <w:tr>
        <w:trPr>
          <w:trHeight w:val="155"/>
        </w:trPr>
        <w:tc>
          <w:tcPr>
            <w:tcW w:w="38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19"/>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Distribution Paid per Common Unit</w:t>
            </w: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r>
      <w:tr>
        <w:trPr>
          <w:trHeight w:val="219"/>
        </w:trPr>
        <w:tc>
          <w:tcPr>
            <w:tcW w:w="8820" w:type="dxa"/>
            <w:vAlign w:val="bottom"/>
            <w:gridSpan w:val="2"/>
          </w:tcPr>
          <w:p>
            <w:pPr>
              <w:ind w:left="20"/>
              <w:spacing w:after="0" w:line="219" w:lineRule="exact"/>
              <w:rPr>
                <w:sz w:val="20"/>
                <w:szCs w:val="20"/>
                <w:color w:val="auto"/>
              </w:rPr>
            </w:pPr>
            <w:r>
              <w:rPr>
                <w:rFonts w:ascii="Arial" w:cs="Arial" w:eastAsia="Arial" w:hAnsi="Arial"/>
                <w:sz w:val="17"/>
                <w:szCs w:val="17"/>
                <w:color w:val="auto"/>
              </w:rPr>
              <w:t xml:space="preserve">Common Unit Cash Distributions </w:t>
            </w:r>
            <w:r>
              <w:rPr>
                <w:rFonts w:ascii="Arial" w:cs="Arial" w:eastAsia="Arial" w:hAnsi="Arial"/>
                <w:sz w:val="22"/>
                <w:szCs w:val="22"/>
                <w:color w:val="auto"/>
                <w:vertAlign w:val="superscript"/>
              </w:rPr>
              <w:t>(5)</w:t>
            </w:r>
          </w:p>
        </w:tc>
        <w:tc>
          <w:tcPr>
            <w:tcW w:w="740" w:type="dxa"/>
            <w:vAlign w:val="bottom"/>
          </w:tcPr>
          <w:p>
            <w:pPr>
              <w:jc w:val="right"/>
              <w:ind w:right="556"/>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262</w:t>
            </w:r>
          </w:p>
        </w:tc>
      </w:tr>
      <w:tr>
        <w:trPr>
          <w:trHeight w:val="219"/>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Common Unit Distribution Coverage Ratio</w:t>
            </w: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2.85x</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2.27x</w:t>
            </w:r>
          </w:p>
        </w:tc>
      </w:tr>
      <w:tr>
        <w:trPr>
          <w:trHeight w:val="155"/>
        </w:trPr>
        <w:tc>
          <w:tcPr>
            <w:tcW w:w="38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19"/>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Implied DCF Excess</w:t>
            </w: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w:t>
            </w:r>
          </w:p>
        </w:tc>
      </w:tr>
      <w:tr>
        <w:trPr>
          <w:trHeight w:val="155"/>
        </w:trPr>
        <w:tc>
          <w:tcPr>
            <w:tcW w:w="3880" w:type="dxa"/>
            <w:vAlign w:val="bottom"/>
            <w:tcBorders>
              <w:bottom w:val="single" w:sz="8" w:color="auto"/>
            </w:tcBorders>
          </w:tcPr>
          <w:p>
            <w:pPr>
              <w:spacing w:after="0"/>
              <w:rPr>
                <w:sz w:val="13"/>
                <w:szCs w:val="13"/>
                <w:color w:val="auto"/>
              </w:rPr>
            </w:pPr>
          </w:p>
        </w:tc>
        <w:tc>
          <w:tcPr>
            <w:tcW w:w="4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r>
    </w:tbl>
    <w:p>
      <w:pPr>
        <w:spacing w:after="0" w:line="91" w:lineRule="exact"/>
        <w:rPr>
          <w:sz w:val="20"/>
          <w:szCs w:val="20"/>
          <w:color w:val="auto"/>
        </w:rPr>
      </w:pPr>
    </w:p>
    <w:p>
      <w:pPr>
        <w:ind w:left="300" w:hanging="297"/>
        <w:spacing w:after="0"/>
        <w:tabs>
          <w:tab w:leader="none" w:pos="30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Adjustment to exclude our proportionate share of depreciation and amortization expense of unconsolidated entities.</w:t>
      </w:r>
    </w:p>
    <w:p>
      <w:pPr>
        <w:spacing w:after="0" w:line="43" w:lineRule="exact"/>
        <w:rPr>
          <w:rFonts w:ascii="Arial" w:cs="Arial" w:eastAsia="Arial" w:hAnsi="Arial"/>
          <w:sz w:val="18"/>
          <w:szCs w:val="18"/>
          <w:color w:val="auto"/>
          <w:vertAlign w:val="superscript"/>
        </w:rPr>
      </w:pPr>
    </w:p>
    <w:p>
      <w:pPr>
        <w:ind w:left="300" w:hanging="297"/>
        <w:spacing w:after="0" w:line="188" w:lineRule="auto"/>
        <w:tabs>
          <w:tab w:leader="none" w:pos="30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Certain of our non-GAAP financial measures may not be impacted by each of the selected items impacting comparability.</w:t>
      </w:r>
    </w:p>
    <w:p>
      <w:pPr>
        <w:spacing w:after="0" w:line="44" w:lineRule="exact"/>
        <w:rPr>
          <w:rFonts w:ascii="Arial" w:cs="Arial" w:eastAsia="Arial" w:hAnsi="Arial"/>
          <w:sz w:val="18"/>
          <w:szCs w:val="18"/>
          <w:color w:val="auto"/>
          <w:vertAlign w:val="superscript"/>
        </w:rPr>
      </w:pPr>
    </w:p>
    <w:p>
      <w:pPr>
        <w:ind w:left="300" w:hanging="297"/>
        <w:spacing w:after="0" w:line="188" w:lineRule="auto"/>
        <w:tabs>
          <w:tab w:leader="none" w:pos="30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Excludes certain non-cash items impacting interest expense such as amortization of debt issuance costs and terminated interest rate swaps.</w:t>
      </w:r>
    </w:p>
    <w:p>
      <w:pPr>
        <w:spacing w:after="0" w:line="44" w:lineRule="exact"/>
        <w:rPr>
          <w:rFonts w:ascii="Arial" w:cs="Arial" w:eastAsia="Arial" w:hAnsi="Arial"/>
          <w:sz w:val="18"/>
          <w:szCs w:val="18"/>
          <w:color w:val="auto"/>
          <w:vertAlign w:val="superscript"/>
        </w:rPr>
      </w:pPr>
    </w:p>
    <w:p>
      <w:pPr>
        <w:ind w:left="320" w:right="420" w:hanging="317"/>
        <w:spacing w:after="0" w:line="206" w:lineRule="auto"/>
        <w:tabs>
          <w:tab w:leader="none" w:pos="308"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Comprised of cash distributions received from unconsolidated entities less equity earnings in unconsolidated entities (adjusted for our proportionate share of depreciation and amortization and selected items impacting comparability of unconsolidated entities).</w:t>
      </w:r>
    </w:p>
    <w:p>
      <w:pPr>
        <w:spacing w:after="0" w:line="1" w:lineRule="exact"/>
        <w:rPr>
          <w:rFonts w:ascii="Arial" w:cs="Arial" w:eastAsia="Arial" w:hAnsi="Arial"/>
          <w:sz w:val="18"/>
          <w:szCs w:val="18"/>
          <w:color w:val="auto"/>
          <w:vertAlign w:val="superscript"/>
        </w:rPr>
      </w:pPr>
    </w:p>
    <w:p>
      <w:pPr>
        <w:ind w:left="300" w:hanging="297"/>
        <w:spacing w:after="0"/>
        <w:tabs>
          <w:tab w:leader="none" w:pos="30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Cash distributions paid during the period presented.</w:t>
      </w:r>
    </w:p>
    <w:p>
      <w:pPr>
        <w:spacing w:after="0" w:line="43" w:lineRule="exact"/>
        <w:rPr>
          <w:rFonts w:ascii="Arial" w:cs="Arial" w:eastAsia="Arial" w:hAnsi="Arial"/>
          <w:sz w:val="18"/>
          <w:szCs w:val="18"/>
          <w:color w:val="auto"/>
          <w:vertAlign w:val="superscript"/>
        </w:rPr>
      </w:pPr>
    </w:p>
    <w:p>
      <w:pPr>
        <w:ind w:left="300" w:hanging="297"/>
        <w:spacing w:after="0"/>
        <w:tabs>
          <w:tab w:leader="none" w:pos="30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Cash distributions paid to our preferred unitholders during the period presented.</w:t>
      </w:r>
      <w:r>
        <w:rPr>
          <w:rFonts w:ascii="Arial" w:cs="Arial" w:eastAsia="Arial" w:hAnsi="Arial"/>
          <w:sz w:val="17"/>
          <w:szCs w:val="17"/>
          <w:color w:val="auto"/>
          <w:vertAlign w:val="superscript"/>
        </w:rPr>
        <w:t>.</w:t>
      </w:r>
    </w:p>
    <w:p>
      <w:pPr>
        <w:ind w:left="300" w:hanging="297"/>
        <w:spacing w:after="0" w:line="188" w:lineRule="auto"/>
        <w:tabs>
          <w:tab w:leader="none" w:pos="30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Implied DCF Available to Common Unitholders for the period divided by the weighted average common units outstanding for the period.</w:t>
      </w:r>
    </w:p>
    <w:p>
      <w:pPr>
        <w:spacing w:after="0" w:line="44" w:lineRule="exact"/>
        <w:rPr>
          <w:rFonts w:ascii="Arial" w:cs="Arial" w:eastAsia="Arial" w:hAnsi="Arial"/>
          <w:sz w:val="18"/>
          <w:szCs w:val="18"/>
          <w:color w:val="auto"/>
          <w:vertAlign w:val="superscript"/>
        </w:rPr>
      </w:pPr>
    </w:p>
    <w:p>
      <w:pPr>
        <w:ind w:left="320" w:right="120" w:hanging="317"/>
        <w:spacing w:after="0" w:line="196" w:lineRule="auto"/>
        <w:tabs>
          <w:tab w:leader="none" w:pos="308"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1" w:lineRule="exact"/>
        <w:rPr>
          <w:rFonts w:ascii="Arial" w:cs="Arial" w:eastAsia="Arial" w:hAnsi="Arial"/>
          <w:sz w:val="18"/>
          <w:szCs w:val="18"/>
          <w:color w:val="auto"/>
          <w:vertAlign w:val="superscript"/>
        </w:rPr>
      </w:pPr>
    </w:p>
    <w:p>
      <w:pPr>
        <w:ind w:left="5440" w:hanging="93"/>
        <w:spacing w:after="0"/>
        <w:tabs>
          <w:tab w:leader="none" w:pos="54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87630</wp:posOffset>
            </wp:positionV>
            <wp:extent cx="7122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29"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auto"/>
        </w:rPr>
        <w:t>Page 13</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22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 (continued)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and ratio data)</w:t>
      </w:r>
    </w:p>
    <w:p>
      <w:pPr>
        <w:spacing w:after="0" w:line="13"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Twelve Months Ended</w:t>
      </w:r>
    </w:p>
    <w:p>
      <w:pPr>
        <w:jc w:val="center"/>
        <w:ind w:left="8800"/>
        <w:spacing w:after="0"/>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Borders>
              <w:bottom w:val="single" w:sz="8" w:color="CCEEFF"/>
            </w:tcBorders>
          </w:tcPr>
          <w:p>
            <w:pPr>
              <w:spacing w:after="0"/>
              <w:rPr>
                <w:sz w:val="15"/>
                <w:szCs w:val="15"/>
                <w:color w:val="auto"/>
              </w:rPr>
            </w:pPr>
          </w:p>
        </w:tc>
        <w:tc>
          <w:tcPr>
            <w:tcW w:w="494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r>
      <w:tr>
        <w:trPr>
          <w:trHeight w:val="20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Income/(Loss) to Adjusted EBITDA and Implied DCF Reconciliation</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8"/>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Net Income/(Loss)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(2,580)</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2,180</w:t>
            </w:r>
          </w:p>
        </w:tc>
      </w:tr>
      <w:tr>
        <w:trPr>
          <w:trHeight w:val="220"/>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Interest expense, net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r>
      <w:tr>
        <w:trPr>
          <w:trHeight w:val="218"/>
        </w:trPr>
        <w:tc>
          <w:tcPr>
            <w:tcW w:w="8820" w:type="dxa"/>
            <w:vAlign w:val="bottom"/>
            <w:gridSpan w:val="2"/>
          </w:tcPr>
          <w:p>
            <w:pPr>
              <w:ind w:left="180"/>
              <w:spacing w:after="0"/>
              <w:rPr>
                <w:sz w:val="20"/>
                <w:szCs w:val="20"/>
                <w:color w:val="auto"/>
              </w:rPr>
            </w:pPr>
            <w:r>
              <w:rPr>
                <w:rFonts w:ascii="Arial" w:cs="Arial" w:eastAsia="Arial" w:hAnsi="Arial"/>
                <w:sz w:val="17"/>
                <w:szCs w:val="17"/>
                <w:color w:val="auto"/>
              </w:rPr>
              <w:t>Income tax expense/(benefit)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20"/>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w:t>
            </w:r>
          </w:p>
        </w:tc>
      </w:tr>
      <w:tr>
        <w:trPr>
          <w:trHeight w:val="218"/>
        </w:trPr>
        <w:tc>
          <w:tcPr>
            <w:tcW w:w="8820" w:type="dxa"/>
            <w:vAlign w:val="bottom"/>
            <w:gridSpan w:val="2"/>
          </w:tcPr>
          <w:p>
            <w:pPr>
              <w:ind w:left="180"/>
              <w:spacing w:after="0"/>
              <w:rPr>
                <w:sz w:val="20"/>
                <w:szCs w:val="20"/>
                <w:color w:val="auto"/>
              </w:rPr>
            </w:pPr>
            <w:r>
              <w:rPr>
                <w:rFonts w:ascii="Arial" w:cs="Arial" w:eastAsia="Arial" w:hAnsi="Arial"/>
                <w:sz w:val="17"/>
                <w:szCs w:val="17"/>
                <w:color w:val="auto"/>
              </w:rPr>
              <w:t>(Gains)/losses on asset sales and asset impairments, net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20"/>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Goodwill impairment losses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820" w:type="dxa"/>
            <w:vAlign w:val="bottom"/>
            <w:gridSpan w:val="2"/>
          </w:tcPr>
          <w:p>
            <w:pPr>
              <w:ind w:left="180"/>
              <w:spacing w:after="0"/>
              <w:rPr>
                <w:sz w:val="20"/>
                <w:szCs w:val="20"/>
                <w:color w:val="auto"/>
              </w:rPr>
            </w:pPr>
            <w:r>
              <w:rPr>
                <w:rFonts w:ascii="Arial" w:cs="Arial" w:eastAsia="Arial" w:hAnsi="Arial"/>
                <w:sz w:val="17"/>
                <w:szCs w:val="17"/>
                <w:color w:val="auto"/>
              </w:rPr>
              <w:t>(Gain on)/impairment of investments in unconsolidated entities, net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(271)</w:t>
            </w:r>
          </w:p>
        </w:tc>
      </w:tr>
      <w:tr>
        <w:trPr>
          <w:trHeight w:val="220"/>
        </w:trPr>
        <w:tc>
          <w:tcPr>
            <w:tcW w:w="882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Depreciation and amortization of unconsolidated entities </w:t>
            </w:r>
            <w:r>
              <w:rPr>
                <w:rFonts w:ascii="Arial" w:cs="Arial" w:eastAsia="Arial" w:hAnsi="Arial"/>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19"/>
        </w:trPr>
        <w:tc>
          <w:tcPr>
            <w:tcW w:w="8820" w:type="dxa"/>
            <w:vAlign w:val="bottom"/>
            <w:tcBorders>
              <w:bottom w:val="single" w:sz="8" w:color="CCEEFF"/>
            </w:tcBorders>
            <w:gridSpan w:val="2"/>
          </w:tcPr>
          <w:p>
            <w:pPr>
              <w:ind w:left="180"/>
              <w:spacing w:after="0" w:line="219" w:lineRule="exact"/>
              <w:rPr>
                <w:sz w:val="20"/>
                <w:szCs w:val="20"/>
                <w:color w:val="auto"/>
              </w:rPr>
            </w:pPr>
            <w:r>
              <w:rPr>
                <w:rFonts w:ascii="Arial" w:cs="Arial" w:eastAsia="Arial" w:hAnsi="Arial"/>
                <w:sz w:val="17"/>
                <w:szCs w:val="17"/>
                <w:color w:val="auto"/>
              </w:rPr>
              <w:t xml:space="preserve">Selected items impacting comparability - Adjusted EBITDA </w:t>
            </w:r>
            <w:r>
              <w:rPr>
                <w:rFonts w:ascii="Arial" w:cs="Arial" w:eastAsia="Arial" w:hAnsi="Arial"/>
                <w:sz w:val="22"/>
                <w:szCs w:val="22"/>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r>
      <w:tr>
        <w:trPr>
          <w:trHeight w:val="212"/>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3,237</w:t>
            </w:r>
          </w:p>
        </w:tc>
      </w:tr>
      <w:tr>
        <w:trPr>
          <w:trHeight w:val="219"/>
        </w:trPr>
        <w:tc>
          <w:tcPr>
            <w:tcW w:w="8820" w:type="dxa"/>
            <w:vAlign w:val="bottom"/>
            <w:gridSpan w:val="2"/>
          </w:tcPr>
          <w:p>
            <w:pPr>
              <w:ind w:left="180"/>
              <w:spacing w:after="0" w:line="219" w:lineRule="exact"/>
              <w:rPr>
                <w:sz w:val="20"/>
                <w:szCs w:val="20"/>
                <w:color w:val="auto"/>
              </w:rPr>
            </w:pPr>
            <w:r>
              <w:rPr>
                <w:rFonts w:ascii="Arial" w:cs="Arial" w:eastAsia="Arial" w:hAnsi="Arial"/>
                <w:sz w:val="17"/>
                <w:szCs w:val="17"/>
                <w:color w:val="auto"/>
              </w:rPr>
              <w:t xml:space="preserve">Interest expense, net of certain non-cash items </w:t>
            </w:r>
            <w:r>
              <w:rPr>
                <w:rFonts w:ascii="Arial" w:cs="Arial" w:eastAsia="Arial" w:hAnsi="Arial"/>
                <w:sz w:val="22"/>
                <w:szCs w:val="22"/>
                <w:color w:val="auto"/>
                <w:vertAlign w:val="superscript"/>
              </w:rPr>
              <w:t>(3)</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(407)</w:t>
            </w:r>
          </w:p>
        </w:tc>
      </w:tr>
      <w:tr>
        <w:trPr>
          <w:trHeight w:val="219"/>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Maintenance capital</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r>
      <w:tr>
        <w:trPr>
          <w:trHeight w:val="218"/>
        </w:trPr>
        <w:tc>
          <w:tcPr>
            <w:tcW w:w="8820" w:type="dxa"/>
            <w:vAlign w:val="bottom"/>
            <w:gridSpan w:val="2"/>
          </w:tcPr>
          <w:p>
            <w:pPr>
              <w:ind w:left="180"/>
              <w:spacing w:after="0"/>
              <w:rPr>
                <w:sz w:val="20"/>
                <w:szCs w:val="20"/>
                <w:color w:val="auto"/>
              </w:rPr>
            </w:pPr>
            <w:r>
              <w:rPr>
                <w:rFonts w:ascii="Arial" w:cs="Arial" w:eastAsia="Arial" w:hAnsi="Arial"/>
                <w:sz w:val="17"/>
                <w:szCs w:val="17"/>
                <w:color w:val="auto"/>
              </w:rPr>
              <w:t>Current income tax expense</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(112)</w:t>
            </w:r>
          </w:p>
        </w:tc>
      </w:tr>
      <w:tr>
        <w:trPr>
          <w:trHeight w:val="220"/>
        </w:trPr>
        <w:tc>
          <w:tcPr>
            <w:tcW w:w="882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Distributions from unconsolidated entities in excess of/(less than) adjusted equity earnings </w:t>
            </w:r>
            <w:r>
              <w:rPr>
                <w:rFonts w:ascii="Arial" w:cs="Arial" w:eastAsia="Arial" w:hAnsi="Arial"/>
                <w:sz w:val="22"/>
                <w:szCs w:val="22"/>
                <w:color w:val="auto"/>
                <w:vertAlign w:val="superscript"/>
              </w:rPr>
              <w:t>(4)</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r>
      <w:tr>
        <w:trPr>
          <w:trHeight w:val="219"/>
        </w:trPr>
        <w:tc>
          <w:tcPr>
            <w:tcW w:w="8820" w:type="dxa"/>
            <w:vAlign w:val="bottom"/>
            <w:tcBorders>
              <w:bottom w:val="single" w:sz="8" w:color="CCEEFF"/>
            </w:tcBorders>
            <w:gridSpan w:val="2"/>
          </w:tcPr>
          <w:p>
            <w:pPr>
              <w:ind w:left="180"/>
              <w:spacing w:after="0" w:line="219" w:lineRule="exact"/>
              <w:rPr>
                <w:sz w:val="20"/>
                <w:szCs w:val="20"/>
                <w:color w:val="auto"/>
              </w:rPr>
            </w:pPr>
            <w:r>
              <w:rPr>
                <w:rFonts w:ascii="Arial" w:cs="Arial" w:eastAsia="Arial" w:hAnsi="Arial"/>
                <w:sz w:val="17"/>
                <w:szCs w:val="17"/>
                <w:color w:val="auto"/>
              </w:rPr>
              <w:t xml:space="preserve">Distributions to noncontrolling interests </w:t>
            </w:r>
            <w:r>
              <w:rPr>
                <w:rFonts w:ascii="Arial" w:cs="Arial" w:eastAsia="Arial" w:hAnsi="Arial"/>
                <w:sz w:val="22"/>
                <w:szCs w:val="22"/>
                <w:color w:val="auto"/>
                <w:vertAlign w:val="superscript"/>
              </w:rPr>
              <w:t>(5)</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r>
      <w:tr>
        <w:trPr>
          <w:trHeight w:val="212"/>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Implied DCF</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2,376</w:t>
            </w:r>
          </w:p>
        </w:tc>
      </w:tr>
      <w:tr>
        <w:trPr>
          <w:trHeight w:val="219"/>
        </w:trPr>
        <w:tc>
          <w:tcPr>
            <w:tcW w:w="8820" w:type="dxa"/>
            <w:vAlign w:val="bottom"/>
            <w:tcBorders>
              <w:bottom w:val="single" w:sz="8" w:color="CCEEFF"/>
            </w:tcBorders>
            <w:gridSpan w:val="2"/>
          </w:tcPr>
          <w:p>
            <w:pPr>
              <w:ind w:left="180"/>
              <w:spacing w:after="0" w:line="219" w:lineRule="exact"/>
              <w:rPr>
                <w:sz w:val="20"/>
                <w:szCs w:val="20"/>
                <w:color w:val="auto"/>
              </w:rPr>
            </w:pPr>
            <w:r>
              <w:rPr>
                <w:rFonts w:ascii="Arial" w:cs="Arial" w:eastAsia="Arial" w:hAnsi="Arial"/>
                <w:sz w:val="17"/>
                <w:szCs w:val="17"/>
                <w:color w:val="auto"/>
              </w:rPr>
              <w:t xml:space="preserve">Preferred unit distributions paid </w:t>
            </w:r>
            <w:r>
              <w:rPr>
                <w:rFonts w:ascii="Arial" w:cs="Arial" w:eastAsia="Arial" w:hAnsi="Arial"/>
                <w:sz w:val="22"/>
                <w:szCs w:val="22"/>
                <w:color w:val="auto"/>
                <w:vertAlign w:val="superscript"/>
              </w:rPr>
              <w:t>(6)</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w:t>
            </w:r>
          </w:p>
        </w:tc>
      </w:tr>
      <w:tr>
        <w:trPr>
          <w:trHeight w:val="237"/>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Implied DCF Available to Common Unitholders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388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19"/>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 Average Common Units Outstanding</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w:t>
            </w:r>
          </w:p>
        </w:tc>
      </w:tr>
      <w:tr>
        <w:trPr>
          <w:trHeight w:val="218"/>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Weighted Average Common Units and Common Unit Equivalents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798</w:t>
            </w:r>
          </w:p>
        </w:tc>
      </w:tr>
      <w:tr>
        <w:trPr>
          <w:trHeight w:val="155"/>
        </w:trPr>
        <w:tc>
          <w:tcPr>
            <w:tcW w:w="3880" w:type="dxa"/>
            <w:vAlign w:val="bottom"/>
            <w:shd w:val="clear" w:color="auto" w:fill="CCEEFF"/>
          </w:tcPr>
          <w:p>
            <w:pPr>
              <w:spacing w:after="0"/>
              <w:rPr>
                <w:sz w:val="13"/>
                <w:szCs w:val="13"/>
                <w:color w:val="auto"/>
              </w:rPr>
            </w:pPr>
          </w:p>
        </w:tc>
        <w:tc>
          <w:tcPr>
            <w:tcW w:w="49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219"/>
        </w:trPr>
        <w:tc>
          <w:tcPr>
            <w:tcW w:w="8820" w:type="dxa"/>
            <w:vAlign w:val="bottom"/>
            <w:gridSpan w:val="2"/>
          </w:tcPr>
          <w:p>
            <w:pPr>
              <w:ind w:left="20"/>
              <w:spacing w:after="0" w:line="219" w:lineRule="exact"/>
              <w:rPr>
                <w:sz w:val="20"/>
                <w:szCs w:val="20"/>
                <w:color w:val="auto"/>
              </w:rPr>
            </w:pPr>
            <w:r>
              <w:rPr>
                <w:rFonts w:ascii="Arial" w:cs="Arial" w:eastAsia="Arial" w:hAnsi="Arial"/>
                <w:sz w:val="17"/>
                <w:szCs w:val="17"/>
                <w:color w:val="auto"/>
              </w:rPr>
              <w:t xml:space="preserve">Implied DCF per Common Unit </w:t>
            </w:r>
            <w:r>
              <w:rPr>
                <w:rFonts w:ascii="Arial" w:cs="Arial" w:eastAsia="Arial" w:hAnsi="Arial"/>
                <w:sz w:val="22"/>
                <w:szCs w:val="22"/>
                <w:color w:val="auto"/>
                <w:vertAlign w:val="superscript"/>
              </w:rPr>
              <w:t>(7)</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2.31</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2.99</w:t>
            </w:r>
          </w:p>
        </w:tc>
      </w:tr>
      <w:tr>
        <w:trPr>
          <w:trHeight w:val="219"/>
        </w:trPr>
        <w:tc>
          <w:tcPr>
            <w:tcW w:w="882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7"/>
                <w:szCs w:val="17"/>
                <w:color w:val="auto"/>
              </w:rPr>
              <w:t xml:space="preserve">Implied DCF per Common Unit and Common Unit Equivalent </w:t>
            </w:r>
            <w:r>
              <w:rPr>
                <w:rFonts w:ascii="Arial" w:cs="Arial" w:eastAsia="Arial" w:hAnsi="Arial"/>
                <w:sz w:val="22"/>
                <w:szCs w:val="22"/>
                <w:color w:val="auto"/>
                <w:vertAlign w:val="superscript"/>
              </w:rPr>
              <w:t>(8)</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r>
      <w:tr>
        <w:trPr>
          <w:trHeight w:val="155"/>
        </w:trPr>
        <w:tc>
          <w:tcPr>
            <w:tcW w:w="38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19"/>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Distribution Paid per Common Unit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r>
      <w:tr>
        <w:trPr>
          <w:trHeight w:val="219"/>
        </w:trPr>
        <w:tc>
          <w:tcPr>
            <w:tcW w:w="8820" w:type="dxa"/>
            <w:vAlign w:val="bottom"/>
            <w:gridSpan w:val="2"/>
          </w:tcPr>
          <w:p>
            <w:pPr>
              <w:ind w:left="20"/>
              <w:spacing w:after="0" w:line="219" w:lineRule="exact"/>
              <w:rPr>
                <w:sz w:val="20"/>
                <w:szCs w:val="20"/>
                <w:color w:val="auto"/>
              </w:rPr>
            </w:pPr>
            <w:r>
              <w:rPr>
                <w:rFonts w:ascii="Arial" w:cs="Arial" w:eastAsia="Arial" w:hAnsi="Arial"/>
                <w:sz w:val="17"/>
                <w:szCs w:val="17"/>
                <w:color w:val="auto"/>
              </w:rPr>
              <w:t xml:space="preserve">Common Unit Cash Distributions </w:t>
            </w:r>
            <w:r>
              <w:rPr>
                <w:rFonts w:ascii="Arial" w:cs="Arial" w:eastAsia="Arial" w:hAnsi="Arial"/>
                <w:sz w:val="22"/>
                <w:szCs w:val="22"/>
                <w:color w:val="auto"/>
                <w:vertAlign w:val="superscript"/>
              </w:rPr>
              <w:t>(5)</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655</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1,004</w:t>
            </w:r>
          </w:p>
        </w:tc>
      </w:tr>
      <w:tr>
        <w:trPr>
          <w:trHeight w:val="219"/>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Common Unit Distribution Coverage Ratio</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2.57x</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2.17x</w:t>
            </w:r>
          </w:p>
        </w:tc>
      </w:tr>
      <w:tr>
        <w:trPr>
          <w:trHeight w:val="155"/>
        </w:trPr>
        <w:tc>
          <w:tcPr>
            <w:tcW w:w="38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19"/>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Implied DCF Excess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w:t>
            </w:r>
          </w:p>
        </w:tc>
      </w:tr>
      <w:tr>
        <w:trPr>
          <w:trHeight w:val="155"/>
        </w:trPr>
        <w:tc>
          <w:tcPr>
            <w:tcW w:w="3880" w:type="dxa"/>
            <w:vAlign w:val="bottom"/>
            <w:tcBorders>
              <w:bottom w:val="single" w:sz="8" w:color="auto"/>
            </w:tcBorders>
          </w:tcPr>
          <w:p>
            <w:pPr>
              <w:spacing w:after="0"/>
              <w:rPr>
                <w:sz w:val="13"/>
                <w:szCs w:val="13"/>
                <w:color w:val="auto"/>
              </w:rPr>
            </w:pPr>
          </w:p>
        </w:tc>
        <w:tc>
          <w:tcPr>
            <w:tcW w:w="4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r>
    </w:tbl>
    <w:p>
      <w:pPr>
        <w:spacing w:after="0" w:line="91" w:lineRule="exact"/>
        <w:rPr>
          <w:sz w:val="20"/>
          <w:szCs w:val="20"/>
          <w:color w:val="auto"/>
        </w:rPr>
      </w:pPr>
    </w:p>
    <w:p>
      <w:pPr>
        <w:ind w:left="300" w:hanging="297"/>
        <w:spacing w:after="0"/>
        <w:tabs>
          <w:tab w:leader="none" w:pos="30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Adjustment to exclude our proportionate share of depreciation and amortization expense of unconsolidated entities.</w:t>
      </w:r>
    </w:p>
    <w:p>
      <w:pPr>
        <w:spacing w:after="0" w:line="43" w:lineRule="exact"/>
        <w:rPr>
          <w:rFonts w:ascii="Arial" w:cs="Arial" w:eastAsia="Arial" w:hAnsi="Arial"/>
          <w:sz w:val="18"/>
          <w:szCs w:val="18"/>
          <w:color w:val="auto"/>
          <w:vertAlign w:val="superscript"/>
        </w:rPr>
      </w:pPr>
    </w:p>
    <w:p>
      <w:pPr>
        <w:ind w:left="300" w:hanging="297"/>
        <w:spacing w:after="0" w:line="188" w:lineRule="auto"/>
        <w:tabs>
          <w:tab w:leader="none" w:pos="30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Certain of our non-GAAP financial measures may not be impacted by each of the selected items impacting comparability.</w:t>
      </w:r>
    </w:p>
    <w:p>
      <w:pPr>
        <w:spacing w:after="0" w:line="44" w:lineRule="exact"/>
        <w:rPr>
          <w:rFonts w:ascii="Arial" w:cs="Arial" w:eastAsia="Arial" w:hAnsi="Arial"/>
          <w:sz w:val="18"/>
          <w:szCs w:val="18"/>
          <w:color w:val="auto"/>
          <w:vertAlign w:val="superscript"/>
        </w:rPr>
      </w:pPr>
    </w:p>
    <w:p>
      <w:pPr>
        <w:ind w:left="300" w:hanging="297"/>
        <w:spacing w:after="0" w:line="188" w:lineRule="auto"/>
        <w:tabs>
          <w:tab w:leader="none" w:pos="30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Excludes certain non-cash items impacting interest expense such as amortization of debt issuance costs and terminated interest rate swaps.</w:t>
      </w:r>
    </w:p>
    <w:p>
      <w:pPr>
        <w:spacing w:after="0" w:line="44" w:lineRule="exact"/>
        <w:rPr>
          <w:rFonts w:ascii="Arial" w:cs="Arial" w:eastAsia="Arial" w:hAnsi="Arial"/>
          <w:sz w:val="18"/>
          <w:szCs w:val="18"/>
          <w:color w:val="auto"/>
          <w:vertAlign w:val="superscript"/>
        </w:rPr>
      </w:pPr>
    </w:p>
    <w:p>
      <w:pPr>
        <w:ind w:left="320" w:right="420" w:hanging="317"/>
        <w:spacing w:after="0" w:line="206" w:lineRule="auto"/>
        <w:tabs>
          <w:tab w:leader="none" w:pos="308"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Comprised of cash distributions received from unconsolidated entities less equity earnings in unconsolidated entities (adjusted for our proportionate share of depreciation and amortization and selected items impacting comparability of unconsolidated entities).</w:t>
      </w:r>
    </w:p>
    <w:p>
      <w:pPr>
        <w:spacing w:after="0" w:line="1" w:lineRule="exact"/>
        <w:rPr>
          <w:rFonts w:ascii="Arial" w:cs="Arial" w:eastAsia="Arial" w:hAnsi="Arial"/>
          <w:sz w:val="18"/>
          <w:szCs w:val="18"/>
          <w:color w:val="auto"/>
          <w:vertAlign w:val="superscript"/>
        </w:rPr>
      </w:pPr>
    </w:p>
    <w:p>
      <w:pPr>
        <w:ind w:left="300" w:hanging="297"/>
        <w:spacing w:after="0"/>
        <w:tabs>
          <w:tab w:leader="none" w:pos="30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Cash distributions paid during the period presented.</w:t>
      </w:r>
    </w:p>
    <w:p>
      <w:pPr>
        <w:spacing w:after="0" w:line="43" w:lineRule="exact"/>
        <w:rPr>
          <w:rFonts w:ascii="Arial" w:cs="Arial" w:eastAsia="Arial" w:hAnsi="Arial"/>
          <w:sz w:val="18"/>
          <w:szCs w:val="18"/>
          <w:color w:val="auto"/>
          <w:vertAlign w:val="superscript"/>
        </w:rPr>
      </w:pPr>
    </w:p>
    <w:p>
      <w:pPr>
        <w:ind w:left="300" w:hanging="297"/>
        <w:spacing w:after="0" w:line="188" w:lineRule="auto"/>
        <w:tabs>
          <w:tab w:leader="none" w:pos="30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Cash distributions paid to our preferred unitholders during the period presented.</w:t>
      </w:r>
    </w:p>
    <w:p>
      <w:pPr>
        <w:spacing w:after="0" w:line="44" w:lineRule="exact"/>
        <w:rPr>
          <w:rFonts w:ascii="Arial" w:cs="Arial" w:eastAsia="Arial" w:hAnsi="Arial"/>
          <w:sz w:val="18"/>
          <w:szCs w:val="18"/>
          <w:color w:val="auto"/>
          <w:vertAlign w:val="superscript"/>
        </w:rPr>
      </w:pPr>
    </w:p>
    <w:p>
      <w:pPr>
        <w:ind w:left="300" w:hanging="297"/>
        <w:spacing w:after="0" w:line="188" w:lineRule="auto"/>
        <w:tabs>
          <w:tab w:leader="none" w:pos="30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Implied DCF Available to Common Unitholders for the period divided by the weighted average common units outstanding for the period.</w:t>
      </w:r>
    </w:p>
    <w:p>
      <w:pPr>
        <w:spacing w:after="0" w:line="44" w:lineRule="exact"/>
        <w:rPr>
          <w:rFonts w:ascii="Arial" w:cs="Arial" w:eastAsia="Arial" w:hAnsi="Arial"/>
          <w:sz w:val="18"/>
          <w:szCs w:val="18"/>
          <w:color w:val="auto"/>
          <w:vertAlign w:val="superscript"/>
        </w:rPr>
      </w:pPr>
    </w:p>
    <w:p>
      <w:pPr>
        <w:ind w:left="320" w:right="120" w:hanging="317"/>
        <w:spacing w:after="0" w:line="214" w:lineRule="auto"/>
        <w:tabs>
          <w:tab w:leader="none" w:pos="308"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179" w:lineRule="exact"/>
        <w:rPr>
          <w:rFonts w:ascii="Arial" w:cs="Arial" w:eastAsia="Arial" w:hAnsi="Arial"/>
          <w:sz w:val="18"/>
          <w:szCs w:val="18"/>
          <w:color w:val="auto"/>
          <w:vertAlign w:val="superscript"/>
        </w:rPr>
      </w:pPr>
    </w:p>
    <w:p>
      <w:pPr>
        <w:ind w:left="5440" w:hanging="93"/>
        <w:spacing w:after="0"/>
        <w:tabs>
          <w:tab w:leader="none" w:pos="54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96520</wp:posOffset>
            </wp:positionV>
            <wp:extent cx="7122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sectPr>
      </w:pPr>
    </w:p>
    <w:bookmarkStart w:id="16" w:name="page17"/>
    <w:bookmarkEnd w:id="16"/>
    <w:p>
      <w:pPr>
        <w:ind w:left="100"/>
        <w:spacing w:after="0"/>
        <w:rPr>
          <w:sz w:val="20"/>
          <w:szCs w:val="20"/>
          <w:color w:val="auto"/>
        </w:rPr>
      </w:pPr>
      <w:r>
        <w:rPr>
          <w:rFonts w:ascii="Arial" w:cs="Arial" w:eastAsia="Arial" w:hAnsi="Arial"/>
          <w:sz w:val="17"/>
          <w:szCs w:val="17"/>
          <w:u w:val="single" w:color="auto"/>
          <w:color w:val="auto"/>
        </w:rPr>
        <w:t>Page 14</w:t>
      </w:r>
    </w:p>
    <w:p>
      <w:pPr>
        <w:spacing w:after="0" w:line="200" w:lineRule="exact"/>
        <w:rPr>
          <w:sz w:val="20"/>
          <w:szCs w:val="20"/>
          <w:color w:val="auto"/>
        </w:rPr>
      </w:pPr>
    </w:p>
    <w:p>
      <w:pPr>
        <w:spacing w:after="0" w:line="21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2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57150</wp:posOffset>
            </wp:positionV>
            <wp:extent cx="7122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86" w:lineRule="exact"/>
        <w:rPr>
          <w:sz w:val="20"/>
          <w:szCs w:val="20"/>
          <w:color w:val="auto"/>
        </w:rPr>
      </w:pPr>
    </w:p>
    <w:p>
      <w:pPr>
        <w:ind w:left="100"/>
        <w:spacing w:after="0"/>
        <w:rPr>
          <w:sz w:val="20"/>
          <w:szCs w:val="20"/>
          <w:color w:val="auto"/>
        </w:rPr>
      </w:pPr>
      <w:r>
        <w:rPr>
          <w:rFonts w:ascii="Arial" w:cs="Arial" w:eastAsia="Arial" w:hAnsi="Arial"/>
          <w:sz w:val="17"/>
          <w:szCs w:val="17"/>
          <w:b w:val="1"/>
          <w:bCs w:val="1"/>
          <w:u w:val="single" w:color="auto"/>
          <w:color w:val="auto"/>
        </w:rPr>
        <w:t>NON-GAAP RECONCILIATIONS (continued)</w:t>
      </w:r>
    </w:p>
    <w:p>
      <w:pPr>
        <w:spacing w:after="0" w:line="24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Net Income/(Loss) Per Common Unit to Implied DCF Per Common Unit and Common Unit Equivalent Reconciliations:</w:t>
      </w:r>
    </w:p>
    <w:p>
      <w:pPr>
        <w:spacing w:after="0" w:line="263"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Three Months Ended</w:t>
      </w:r>
    </w:p>
    <w:tbl>
      <w:tblPr>
        <w:tblLayout w:type="fixed"/>
        <w:tblInd w:w="0" w:type="dxa"/>
        <w:tblCellMar>
          <w:top w:w="0" w:type="dxa"/>
          <w:left w:w="0" w:type="dxa"/>
          <w:bottom w:w="0" w:type="dxa"/>
          <w:right w:w="0" w:type="dxa"/>
        </w:tblCellMar>
      </w:tblPr>
      <w:tr>
        <w:trPr>
          <w:trHeight w:val="174"/>
        </w:trPr>
        <w:tc>
          <w:tcPr>
            <w:tcW w:w="10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Borders>
              <w:bottom w:val="single" w:sz="8" w:color="auto"/>
            </w:tcBorders>
          </w:tcPr>
          <w:p>
            <w:pPr>
              <w:spacing w:after="0"/>
              <w:rPr>
                <w:sz w:val="15"/>
                <w:szCs w:val="15"/>
                <w:color w:val="auto"/>
              </w:rPr>
            </w:pPr>
          </w:p>
        </w:tc>
      </w:tr>
      <w:tr>
        <w:trPr>
          <w:trHeight w:val="171"/>
        </w:trPr>
        <w:tc>
          <w:tcPr>
            <w:tcW w:w="10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r>
      <w:tr>
        <w:trPr>
          <w:trHeight w:val="213"/>
        </w:trPr>
        <w:tc>
          <w:tcPr>
            <w:tcW w:w="6700" w:type="dxa"/>
            <w:vAlign w:val="bottom"/>
            <w:gridSpan w:val="2"/>
          </w:tcPr>
          <w:p>
            <w:pPr>
              <w:spacing w:after="0"/>
              <w:rPr>
                <w:sz w:val="20"/>
                <w:szCs w:val="20"/>
                <w:color w:val="auto"/>
              </w:rPr>
            </w:pPr>
            <w:r>
              <w:rPr>
                <w:rFonts w:ascii="Arial" w:cs="Arial" w:eastAsia="Arial" w:hAnsi="Arial"/>
                <w:sz w:val="17"/>
                <w:szCs w:val="17"/>
                <w:color w:val="auto"/>
              </w:rPr>
              <w:t>Basic net income/(loss) per common unit</w:t>
            </w:r>
          </w:p>
        </w:tc>
        <w:tc>
          <w:tcPr>
            <w:tcW w:w="210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0.51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spacing w:after="0"/>
              <w:rPr>
                <w:sz w:val="18"/>
                <w:szCs w:val="18"/>
                <w:color w:val="auto"/>
              </w:rPr>
            </w:pPr>
          </w:p>
        </w:tc>
        <w:tc>
          <w:tcPr>
            <w:tcW w:w="860" w:type="dxa"/>
            <w:vAlign w:val="bottom"/>
          </w:tcPr>
          <w:p>
            <w:pPr>
              <w:jc w:val="center"/>
              <w:ind w:left="277"/>
              <w:spacing w:after="0"/>
              <w:rPr>
                <w:sz w:val="20"/>
                <w:szCs w:val="20"/>
                <w:color w:val="auto"/>
              </w:rPr>
            </w:pPr>
            <w:r>
              <w:rPr>
                <w:rFonts w:ascii="Arial" w:cs="Arial" w:eastAsia="Arial" w:hAnsi="Arial"/>
                <w:sz w:val="17"/>
                <w:szCs w:val="17"/>
                <w:color w:val="auto"/>
                <w:w w:val="94"/>
              </w:rPr>
              <w:t>(3.98)</w:t>
            </w:r>
          </w:p>
        </w:tc>
      </w:tr>
      <w:tr>
        <w:trPr>
          <w:trHeight w:val="221"/>
        </w:trPr>
        <w:tc>
          <w:tcPr>
            <w:tcW w:w="6700" w:type="dxa"/>
            <w:vAlign w:val="bottom"/>
            <w:gridSpan w:val="2"/>
          </w:tcPr>
          <w:p>
            <w:pPr>
              <w:spacing w:after="0" w:line="221" w:lineRule="exact"/>
              <w:rPr>
                <w:sz w:val="20"/>
                <w:szCs w:val="20"/>
                <w:color w:val="auto"/>
              </w:rPr>
            </w:pPr>
            <w:r>
              <w:rPr>
                <w:rFonts w:ascii="Arial" w:cs="Arial" w:eastAsia="Arial" w:hAnsi="Arial"/>
                <w:sz w:val="17"/>
                <w:szCs w:val="17"/>
                <w:color w:val="auto"/>
              </w:rPr>
              <w:t xml:space="preserve">Reconciling items per common unit </w:t>
            </w:r>
            <w:r>
              <w:rPr>
                <w:rFonts w:ascii="Arial" w:cs="Arial" w:eastAsia="Arial" w:hAnsi="Arial"/>
                <w:sz w:val="22"/>
                <w:szCs w:val="22"/>
                <w:color w:val="auto"/>
                <w:vertAlign w:val="superscript"/>
              </w:rPr>
              <w:t>(1) (2)</w:t>
            </w:r>
          </w:p>
        </w:tc>
        <w:tc>
          <w:tcPr>
            <w:tcW w:w="2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center"/>
              <w:ind w:left="317"/>
              <w:spacing w:after="0"/>
              <w:rPr>
                <w:sz w:val="20"/>
                <w:szCs w:val="20"/>
                <w:color w:val="auto"/>
              </w:rPr>
            </w:pPr>
            <w:r>
              <w:rPr>
                <w:rFonts w:ascii="Arial" w:cs="Arial" w:eastAsia="Arial" w:hAnsi="Arial"/>
                <w:sz w:val="17"/>
                <w:szCs w:val="17"/>
                <w:color w:val="auto"/>
                <w:w w:val="90"/>
              </w:rPr>
              <w:t>4.80</w:t>
            </w:r>
          </w:p>
        </w:tc>
      </w:tr>
      <w:tr>
        <w:trPr>
          <w:trHeight w:val="20"/>
        </w:trPr>
        <w:tc>
          <w:tcPr>
            <w:tcW w:w="100" w:type="dxa"/>
            <w:vAlign w:val="bottom"/>
          </w:tcPr>
          <w:p>
            <w:pPr>
              <w:spacing w:after="0" w:line="20" w:lineRule="exact"/>
              <w:rPr>
                <w:sz w:val="1"/>
                <w:szCs w:val="1"/>
                <w:color w:val="auto"/>
              </w:rPr>
            </w:pPr>
          </w:p>
        </w:tc>
        <w:tc>
          <w:tcPr>
            <w:tcW w:w="660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232"/>
        </w:trPr>
        <w:tc>
          <w:tcPr>
            <w:tcW w:w="100" w:type="dxa"/>
            <w:vAlign w:val="bottom"/>
          </w:tcPr>
          <w:p>
            <w:pPr>
              <w:spacing w:after="0"/>
              <w:rPr>
                <w:sz w:val="20"/>
                <w:szCs w:val="20"/>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mplied DCF per common unit</w:t>
            </w: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center"/>
              <w:ind w:left="317"/>
              <w:spacing w:after="0"/>
              <w:rPr>
                <w:sz w:val="20"/>
                <w:szCs w:val="20"/>
                <w:color w:val="auto"/>
              </w:rPr>
            </w:pPr>
            <w:r>
              <w:rPr>
                <w:rFonts w:ascii="Arial" w:cs="Arial" w:eastAsia="Arial" w:hAnsi="Arial"/>
                <w:sz w:val="17"/>
                <w:szCs w:val="17"/>
                <w:color w:val="auto"/>
                <w:w w:val="90"/>
              </w:rPr>
              <w:t>0.82</w:t>
            </w:r>
          </w:p>
        </w:tc>
      </w:tr>
      <w:tr>
        <w:trPr>
          <w:trHeight w:val="20"/>
        </w:trPr>
        <w:tc>
          <w:tcPr>
            <w:tcW w:w="100" w:type="dxa"/>
            <w:vAlign w:val="bottom"/>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370"/>
        </w:trPr>
        <w:tc>
          <w:tcPr>
            <w:tcW w:w="6700" w:type="dxa"/>
            <w:vAlign w:val="bottom"/>
            <w:gridSpan w:val="2"/>
          </w:tcPr>
          <w:p>
            <w:pPr>
              <w:spacing w:after="0"/>
              <w:rPr>
                <w:sz w:val="20"/>
                <w:szCs w:val="20"/>
                <w:color w:val="auto"/>
              </w:rPr>
            </w:pPr>
            <w:r>
              <w:rPr>
                <w:rFonts w:ascii="Arial" w:cs="Arial" w:eastAsia="Arial" w:hAnsi="Arial"/>
                <w:sz w:val="17"/>
                <w:szCs w:val="17"/>
                <w:color w:val="auto"/>
              </w:rPr>
              <w:t>Basic net income/(loss) per common unit</w:t>
            </w:r>
          </w:p>
        </w:tc>
        <w:tc>
          <w:tcPr>
            <w:tcW w:w="210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0.51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spacing w:after="0"/>
              <w:rPr>
                <w:sz w:val="24"/>
                <w:szCs w:val="24"/>
                <w:color w:val="auto"/>
              </w:rPr>
            </w:pPr>
          </w:p>
        </w:tc>
        <w:tc>
          <w:tcPr>
            <w:tcW w:w="860" w:type="dxa"/>
            <w:vAlign w:val="bottom"/>
          </w:tcPr>
          <w:p>
            <w:pPr>
              <w:jc w:val="center"/>
              <w:ind w:left="277"/>
              <w:spacing w:after="0"/>
              <w:rPr>
                <w:sz w:val="20"/>
                <w:szCs w:val="20"/>
                <w:color w:val="auto"/>
              </w:rPr>
            </w:pPr>
            <w:r>
              <w:rPr>
                <w:rFonts w:ascii="Arial" w:cs="Arial" w:eastAsia="Arial" w:hAnsi="Arial"/>
                <w:sz w:val="17"/>
                <w:szCs w:val="17"/>
                <w:color w:val="auto"/>
                <w:w w:val="94"/>
              </w:rPr>
              <w:t>(3.98)</w:t>
            </w:r>
          </w:p>
        </w:tc>
      </w:tr>
      <w:tr>
        <w:trPr>
          <w:trHeight w:val="221"/>
        </w:trPr>
        <w:tc>
          <w:tcPr>
            <w:tcW w:w="6700" w:type="dxa"/>
            <w:vAlign w:val="bottom"/>
            <w:gridSpan w:val="2"/>
          </w:tcPr>
          <w:p>
            <w:pPr>
              <w:spacing w:after="0" w:line="221" w:lineRule="exact"/>
              <w:rPr>
                <w:sz w:val="20"/>
                <w:szCs w:val="20"/>
                <w:color w:val="auto"/>
              </w:rPr>
            </w:pPr>
            <w:r>
              <w:rPr>
                <w:rFonts w:ascii="Arial" w:cs="Arial" w:eastAsia="Arial" w:hAnsi="Arial"/>
                <w:sz w:val="17"/>
                <w:szCs w:val="17"/>
                <w:color w:val="auto"/>
              </w:rPr>
              <w:t xml:space="preserve">Reconciling items per common unit and common unit equivalent </w:t>
            </w:r>
            <w:r>
              <w:rPr>
                <w:rFonts w:ascii="Arial" w:cs="Arial" w:eastAsia="Arial" w:hAnsi="Arial"/>
                <w:sz w:val="22"/>
                <w:szCs w:val="22"/>
                <w:color w:val="auto"/>
                <w:vertAlign w:val="superscript"/>
              </w:rPr>
              <w:t>(1) (3)</w:t>
            </w:r>
          </w:p>
        </w:tc>
        <w:tc>
          <w:tcPr>
            <w:tcW w:w="2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center"/>
              <w:ind w:left="317"/>
              <w:spacing w:after="0"/>
              <w:rPr>
                <w:sz w:val="20"/>
                <w:szCs w:val="20"/>
                <w:color w:val="auto"/>
              </w:rPr>
            </w:pPr>
            <w:r>
              <w:rPr>
                <w:rFonts w:ascii="Arial" w:cs="Arial" w:eastAsia="Arial" w:hAnsi="Arial"/>
                <w:sz w:val="17"/>
                <w:szCs w:val="17"/>
                <w:color w:val="auto"/>
                <w:w w:val="90"/>
              </w:rPr>
              <w:t>4.77</w:t>
            </w:r>
          </w:p>
        </w:tc>
      </w:tr>
      <w:tr>
        <w:trPr>
          <w:trHeight w:val="20"/>
        </w:trPr>
        <w:tc>
          <w:tcPr>
            <w:tcW w:w="100" w:type="dxa"/>
            <w:vAlign w:val="bottom"/>
          </w:tcPr>
          <w:p>
            <w:pPr>
              <w:spacing w:after="0" w:line="20" w:lineRule="exact"/>
              <w:rPr>
                <w:sz w:val="1"/>
                <w:szCs w:val="1"/>
                <w:color w:val="auto"/>
              </w:rPr>
            </w:pPr>
          </w:p>
        </w:tc>
        <w:tc>
          <w:tcPr>
            <w:tcW w:w="660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232"/>
        </w:trPr>
        <w:tc>
          <w:tcPr>
            <w:tcW w:w="100" w:type="dxa"/>
            <w:vAlign w:val="bottom"/>
          </w:tcPr>
          <w:p>
            <w:pPr>
              <w:spacing w:after="0"/>
              <w:rPr>
                <w:sz w:val="20"/>
                <w:szCs w:val="20"/>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mplied DCF per common unit and common unit equivalent</w:t>
            </w: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center"/>
              <w:ind w:left="317"/>
              <w:spacing w:after="0"/>
              <w:rPr>
                <w:sz w:val="20"/>
                <w:szCs w:val="20"/>
                <w:color w:val="auto"/>
              </w:rPr>
            </w:pPr>
            <w:r>
              <w:rPr>
                <w:rFonts w:ascii="Arial" w:cs="Arial" w:eastAsia="Arial" w:hAnsi="Arial"/>
                <w:sz w:val="17"/>
                <w:szCs w:val="17"/>
                <w:color w:val="auto"/>
                <w:w w:val="90"/>
              </w:rPr>
              <w:t>0.79</w:t>
            </w:r>
          </w:p>
        </w:tc>
      </w:tr>
      <w:tr>
        <w:trPr>
          <w:trHeight w:val="20"/>
        </w:trPr>
        <w:tc>
          <w:tcPr>
            <w:tcW w:w="100" w:type="dxa"/>
            <w:vAlign w:val="bottom"/>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-1038860</wp:posOffset>
            </wp:positionV>
            <wp:extent cx="7040245" cy="147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40245" cy="14732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-457835</wp:posOffset>
            </wp:positionV>
            <wp:extent cx="7040245" cy="139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40245" cy="139065"/>
                    </a:xfrm>
                    <a:prstGeom prst="rect">
                      <a:avLst/>
                    </a:prstGeom>
                    <a:noFill/>
                  </pic:spPr>
                </pic:pic>
              </a:graphicData>
            </a:graphic>
          </wp:anchor>
        </w:drawing>
      </w:r>
    </w:p>
    <w:p>
      <w:pPr>
        <w:spacing w:after="0" w:line="393"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Twelve Months Ended</w:t>
      </w:r>
    </w:p>
    <w:p>
      <w:pPr>
        <w:jc w:val="center"/>
        <w:ind w:left="8800"/>
        <w:spacing w:after="0"/>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3880" w:type="dxa"/>
            <w:vAlign w:val="bottom"/>
            <w:tcBorders>
              <w:bottom w:val="single" w:sz="8" w:color="CCEEFF"/>
            </w:tcBorders>
          </w:tcPr>
          <w:p>
            <w:pPr>
              <w:spacing w:after="0"/>
              <w:rPr>
                <w:sz w:val="15"/>
                <w:szCs w:val="15"/>
                <w:color w:val="auto"/>
              </w:rPr>
            </w:pPr>
          </w:p>
        </w:tc>
        <w:tc>
          <w:tcPr>
            <w:tcW w:w="494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r>
      <w:tr>
        <w:trPr>
          <w:trHeight w:val="213"/>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net income/(loss) per common unit</w:t>
            </w:r>
          </w:p>
        </w:tc>
        <w:tc>
          <w:tcPr>
            <w:tcW w:w="720" w:type="dxa"/>
            <w:vAlign w:val="bottom"/>
            <w:shd w:val="clear" w:color="auto" w:fill="CCEEFF"/>
          </w:tcPr>
          <w:p>
            <w:pPr>
              <w:jc w:val="right"/>
              <w:ind w:right="538"/>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r>
      <w:tr>
        <w:trPr>
          <w:trHeight w:val="219"/>
        </w:trPr>
        <w:tc>
          <w:tcPr>
            <w:tcW w:w="8820" w:type="dxa"/>
            <w:vAlign w:val="bottom"/>
            <w:tcBorders>
              <w:bottom w:val="single" w:sz="8" w:color="CCEEFF"/>
            </w:tcBorders>
            <w:gridSpan w:val="2"/>
          </w:tcPr>
          <w:p>
            <w:pPr>
              <w:ind w:left="20"/>
              <w:spacing w:after="0" w:line="219" w:lineRule="exact"/>
              <w:rPr>
                <w:sz w:val="20"/>
                <w:szCs w:val="20"/>
                <w:color w:val="auto"/>
              </w:rPr>
            </w:pPr>
            <w:r>
              <w:rPr>
                <w:rFonts w:ascii="Arial" w:cs="Arial" w:eastAsia="Arial" w:hAnsi="Arial"/>
                <w:sz w:val="17"/>
                <w:szCs w:val="17"/>
                <w:color w:val="auto"/>
              </w:rPr>
              <w:t xml:space="preserve">Reconciling items per common unit </w:t>
            </w:r>
            <w:r>
              <w:rPr>
                <w:rFonts w:ascii="Arial" w:cs="Arial" w:eastAsia="Arial" w:hAnsi="Arial"/>
                <w:sz w:val="22"/>
                <w:szCs w:val="22"/>
                <w:color w:val="auto"/>
                <w:vertAlign w:val="superscript"/>
              </w:rPr>
              <w:t>(1) (4)</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6.14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0.29</w:t>
            </w:r>
          </w:p>
        </w:tc>
      </w:tr>
      <w:tr>
        <w:trPr>
          <w:trHeight w:val="237"/>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Implied DCF per common unit</w:t>
            </w:r>
          </w:p>
        </w:tc>
        <w:tc>
          <w:tcPr>
            <w:tcW w:w="720" w:type="dxa"/>
            <w:vAlign w:val="bottom"/>
            <w:tcBorders>
              <w:bottom w:val="single" w:sz="8" w:color="auto"/>
            </w:tcBorders>
            <w:shd w:val="clear" w:color="auto" w:fill="CCEEFF"/>
          </w:tcPr>
          <w:p>
            <w:pPr>
              <w:jc w:val="right"/>
              <w:ind w:right="538"/>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2.31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38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19"/>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net income/(loss) per common unit</w:t>
            </w:r>
          </w:p>
        </w:tc>
        <w:tc>
          <w:tcPr>
            <w:tcW w:w="720" w:type="dxa"/>
            <w:vAlign w:val="bottom"/>
            <w:shd w:val="clear" w:color="auto" w:fill="CCEEFF"/>
          </w:tcPr>
          <w:p>
            <w:pPr>
              <w:jc w:val="right"/>
              <w:ind w:right="538"/>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r>
      <w:tr>
        <w:trPr>
          <w:trHeight w:val="219"/>
        </w:trPr>
        <w:tc>
          <w:tcPr>
            <w:tcW w:w="8820" w:type="dxa"/>
            <w:vAlign w:val="bottom"/>
            <w:tcBorders>
              <w:bottom w:val="single" w:sz="8" w:color="CCEEFF"/>
            </w:tcBorders>
            <w:gridSpan w:val="2"/>
          </w:tcPr>
          <w:p>
            <w:pPr>
              <w:ind w:left="20"/>
              <w:spacing w:after="0" w:line="219" w:lineRule="exact"/>
              <w:rPr>
                <w:sz w:val="20"/>
                <w:szCs w:val="20"/>
                <w:color w:val="auto"/>
              </w:rPr>
            </w:pPr>
            <w:r>
              <w:rPr>
                <w:rFonts w:ascii="Arial" w:cs="Arial" w:eastAsia="Arial" w:hAnsi="Arial"/>
                <w:sz w:val="17"/>
                <w:szCs w:val="17"/>
                <w:color w:val="auto"/>
              </w:rPr>
              <w:t xml:space="preserve">Reconciling items per common unit and common unit equivalent </w:t>
            </w:r>
            <w:r>
              <w:rPr>
                <w:rFonts w:ascii="Arial" w:cs="Arial" w:eastAsia="Arial" w:hAnsi="Arial"/>
                <w:sz w:val="22"/>
                <w:szCs w:val="22"/>
                <w:color w:val="auto"/>
                <w:vertAlign w:val="superscript"/>
              </w:rPr>
              <w:t>(1) (3)</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6.12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0.21</w:t>
            </w:r>
          </w:p>
        </w:tc>
      </w:tr>
      <w:tr>
        <w:trPr>
          <w:trHeight w:val="237"/>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Implied DCF per common unit and common unit equivalent</w:t>
            </w:r>
          </w:p>
        </w:tc>
        <w:tc>
          <w:tcPr>
            <w:tcW w:w="720" w:type="dxa"/>
            <w:vAlign w:val="bottom"/>
            <w:tcBorders>
              <w:bottom w:val="single" w:sz="8" w:color="auto"/>
            </w:tcBorders>
            <w:shd w:val="clear" w:color="auto" w:fill="CCEEFF"/>
          </w:tcPr>
          <w:p>
            <w:pPr>
              <w:jc w:val="right"/>
              <w:ind w:right="538"/>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2.29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39"/>
        </w:trPr>
        <w:tc>
          <w:tcPr>
            <w:tcW w:w="3880" w:type="dxa"/>
            <w:vAlign w:val="bottom"/>
            <w:tcBorders>
              <w:bottom w:val="single" w:sz="8" w:color="auto"/>
            </w:tcBorders>
          </w:tcPr>
          <w:p>
            <w:pPr>
              <w:spacing w:after="0"/>
              <w:rPr>
                <w:sz w:val="12"/>
                <w:szCs w:val="12"/>
                <w:color w:val="auto"/>
              </w:rPr>
            </w:pPr>
          </w:p>
        </w:tc>
        <w:tc>
          <w:tcPr>
            <w:tcW w:w="4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r>
    </w:tbl>
    <w:p>
      <w:pPr>
        <w:spacing w:after="0" w:line="129" w:lineRule="exact"/>
        <w:rPr>
          <w:sz w:val="20"/>
          <w:szCs w:val="20"/>
          <w:color w:val="auto"/>
        </w:rPr>
      </w:pPr>
    </w:p>
    <w:p>
      <w:pPr>
        <w:ind w:left="420" w:right="300" w:hanging="317"/>
        <w:spacing w:after="0" w:line="226" w:lineRule="auto"/>
        <w:tabs>
          <w:tab w:leader="none" w:pos="408"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to Net Income to calculate Implied DCF Available to Common Unitholders. See the “Net Income/(Loss) to Adjusted EBITDA and Implied DCF Reconciliation” table for additional information.</w:t>
      </w:r>
    </w:p>
    <w:p>
      <w:pPr>
        <w:spacing w:after="0" w:line="5" w:lineRule="exact"/>
        <w:rPr>
          <w:rFonts w:ascii="Arial" w:cs="Arial" w:eastAsia="Arial" w:hAnsi="Arial"/>
          <w:sz w:val="22"/>
          <w:szCs w:val="22"/>
          <w:color w:val="auto"/>
          <w:vertAlign w:val="superscript"/>
        </w:rPr>
      </w:pPr>
    </w:p>
    <w:p>
      <w:pPr>
        <w:ind w:left="400" w:hanging="297"/>
        <w:spacing w:after="0"/>
        <w:tabs>
          <w:tab w:leader="none" w:pos="400"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Based on weighted average common units outstanding for the period of 722 million and 728 million, respectively.</w:t>
      </w:r>
    </w:p>
    <w:p>
      <w:pPr>
        <w:spacing w:after="0" w:line="54" w:lineRule="exact"/>
        <w:rPr>
          <w:rFonts w:ascii="Arial" w:cs="Arial" w:eastAsia="Arial" w:hAnsi="Arial"/>
          <w:sz w:val="22"/>
          <w:szCs w:val="22"/>
          <w:color w:val="auto"/>
          <w:vertAlign w:val="superscript"/>
        </w:rPr>
      </w:pPr>
    </w:p>
    <w:p>
      <w:pPr>
        <w:ind w:left="420" w:right="140" w:hanging="317"/>
        <w:spacing w:after="0" w:line="219" w:lineRule="auto"/>
        <w:tabs>
          <w:tab w:leader="none" w:pos="408"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Based on weighted average common units outstanding for the period, as well as weighted average Series A preferred units outstanding of 71 million for each of the periods presented.</w:t>
      </w:r>
    </w:p>
    <w:p>
      <w:pPr>
        <w:spacing w:after="0" w:line="5" w:lineRule="exact"/>
        <w:rPr>
          <w:rFonts w:ascii="Arial" w:cs="Arial" w:eastAsia="Arial" w:hAnsi="Arial"/>
          <w:sz w:val="22"/>
          <w:szCs w:val="22"/>
          <w:color w:val="auto"/>
          <w:vertAlign w:val="superscript"/>
        </w:rPr>
      </w:pPr>
    </w:p>
    <w:p>
      <w:pPr>
        <w:ind w:left="400" w:hanging="297"/>
        <w:spacing w:after="0"/>
        <w:tabs>
          <w:tab w:leader="none" w:pos="400"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Based on weighted average common units outstanding for the period of 728 million and 727 million, respectively.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96520</wp:posOffset>
            </wp:positionV>
            <wp:extent cx="7122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860"/>
        <w:spacing w:after="0"/>
        <w:tabs>
          <w:tab w:leader="none" w:pos="4900" w:val="left"/>
          <w:tab w:leader="none" w:pos="75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340"/>
          </w:cols>
          <w:pgMar w:left="220" w:top="359"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auto"/>
        </w:rPr>
        <w:t>Page 15</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22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 (continued)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13"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Three Months Ended</w:t>
      </w:r>
    </w:p>
    <w:p>
      <w:pPr>
        <w:jc w:val="center"/>
        <w:ind w:left="8800"/>
        <w:spacing w:after="0"/>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80" w:type="dxa"/>
            <w:vAlign w:val="bottom"/>
            <w:tcBorders>
              <w:bottom w:val="single" w:sz="8" w:color="CCEEFF"/>
            </w:tcBorders>
          </w:tcPr>
          <w:p>
            <w:pPr>
              <w:spacing w:after="0"/>
              <w:rPr>
                <w:sz w:val="15"/>
                <w:szCs w:val="15"/>
                <w:color w:val="auto"/>
              </w:rPr>
            </w:pPr>
          </w:p>
        </w:tc>
        <w:tc>
          <w:tcPr>
            <w:tcW w:w="4940" w:type="dxa"/>
            <w:vAlign w:val="bottom"/>
            <w:tcBorders>
              <w:bottom w:val="single" w:sz="8" w:color="CCEEFF"/>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r>
      <w:tr>
        <w:trPr>
          <w:trHeight w:val="201"/>
        </w:trPr>
        <w:tc>
          <w:tcPr>
            <w:tcW w:w="8820" w:type="dxa"/>
            <w:vAlign w:val="bottom"/>
            <w:gridSpan w:val="2"/>
            <w:shd w:val="clear" w:color="auto" w:fill="CCEEFF"/>
          </w:tcPr>
          <w:p>
            <w:pPr>
              <w:spacing w:after="0" w:line="201" w:lineRule="exact"/>
              <w:rPr>
                <w:sz w:val="20"/>
                <w:szCs w:val="20"/>
                <w:color w:val="auto"/>
              </w:rPr>
            </w:pPr>
            <w:r>
              <w:rPr>
                <w:rFonts w:ascii="Arial" w:cs="Arial" w:eastAsia="Arial" w:hAnsi="Arial"/>
                <w:sz w:val="17"/>
                <w:szCs w:val="17"/>
                <w:b w:val="1"/>
                <w:bCs w:val="1"/>
                <w:color w:val="auto"/>
              </w:rPr>
              <w:t xml:space="preserve">Free Cash Flow and Free Cash Flow after Distributions Reconciliation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8"/>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740" w:type="dxa"/>
            <w:vAlign w:val="bottom"/>
          </w:tcPr>
          <w:p>
            <w:pPr>
              <w:jc w:val="right"/>
              <w:ind w:right="558"/>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791</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890</w:t>
            </w:r>
          </w:p>
        </w:tc>
      </w:tr>
      <w:tr>
        <w:trPr>
          <w:trHeight w:val="22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Adjustments to reconcile net cash provided by operating activities to free cash flow:</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8"/>
        </w:trPr>
        <w:tc>
          <w:tcPr>
            <w:tcW w:w="8820" w:type="dxa"/>
            <w:vAlign w:val="bottom"/>
            <w:gridSpan w:val="2"/>
          </w:tcPr>
          <w:p>
            <w:pPr>
              <w:ind w:left="120"/>
              <w:spacing w:after="0"/>
              <w:rPr>
                <w:sz w:val="20"/>
                <w:szCs w:val="20"/>
                <w:color w:val="auto"/>
              </w:rPr>
            </w:pPr>
            <w:r>
              <w:rPr>
                <w:rFonts w:ascii="Arial" w:cs="Arial" w:eastAsia="Arial" w:hAnsi="Arial"/>
                <w:sz w:val="17"/>
                <w:szCs w:val="17"/>
                <w:color w:val="auto"/>
              </w:rPr>
              <w:t>Net cash used in investing activities</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5"/>
              </w:rPr>
              <w:t>(108)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(610)</w:t>
            </w:r>
          </w:p>
        </w:tc>
      </w:tr>
      <w:tr>
        <w:trPr>
          <w:trHeight w:val="220"/>
        </w:trPr>
        <w:tc>
          <w:tcPr>
            <w:tcW w:w="88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Cash contributions from noncontrolling interests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19"/>
        </w:trPr>
        <w:tc>
          <w:tcPr>
            <w:tcW w:w="8820" w:type="dxa"/>
            <w:vAlign w:val="bottom"/>
            <w:tcBorders>
              <w:bottom w:val="single" w:sz="8" w:color="CCEEFF"/>
            </w:tcBorders>
            <w:gridSpan w:val="2"/>
          </w:tcPr>
          <w:p>
            <w:pPr>
              <w:ind w:left="120"/>
              <w:spacing w:after="0" w:line="219" w:lineRule="exact"/>
              <w:rPr>
                <w:sz w:val="20"/>
                <w:szCs w:val="20"/>
                <w:color w:val="auto"/>
              </w:rPr>
            </w:pPr>
            <w:r>
              <w:rPr>
                <w:rFonts w:ascii="Arial" w:cs="Arial" w:eastAsia="Arial" w:hAnsi="Arial"/>
                <w:sz w:val="17"/>
                <w:szCs w:val="17"/>
                <w:color w:val="auto"/>
              </w:rPr>
              <w:t xml:space="preserve">Cash distributions paid to noncontrolling interests </w:t>
            </w:r>
            <w:r>
              <w:rPr>
                <w:rFonts w:ascii="Arial" w:cs="Arial" w:eastAsia="Arial" w:hAnsi="Arial"/>
                <w:sz w:val="22"/>
                <w:szCs w:val="22"/>
                <w:color w:val="auto"/>
                <w:vertAlign w:val="superscript"/>
              </w:rPr>
              <w:t>(2)</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Free Cash Flow</w:t>
            </w:r>
          </w:p>
        </w:tc>
        <w:tc>
          <w:tcPr>
            <w:tcW w:w="740" w:type="dxa"/>
            <w:vAlign w:val="bottom"/>
            <w:shd w:val="clear" w:color="auto" w:fill="CCEEFF"/>
          </w:tcPr>
          <w:p>
            <w:pPr>
              <w:jc w:val="right"/>
              <w:ind w:right="558"/>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w:t>
            </w:r>
          </w:p>
        </w:tc>
      </w:tr>
      <w:tr>
        <w:trPr>
          <w:trHeight w:val="219"/>
        </w:trPr>
        <w:tc>
          <w:tcPr>
            <w:tcW w:w="8820" w:type="dxa"/>
            <w:vAlign w:val="bottom"/>
            <w:tcBorders>
              <w:bottom w:val="single" w:sz="8" w:color="CCEEFF"/>
            </w:tcBorders>
            <w:gridSpan w:val="2"/>
          </w:tcPr>
          <w:p>
            <w:pPr>
              <w:ind w:left="120"/>
              <w:spacing w:after="0" w:line="219" w:lineRule="exact"/>
              <w:rPr>
                <w:sz w:val="20"/>
                <w:szCs w:val="20"/>
                <w:color w:val="auto"/>
              </w:rPr>
            </w:pPr>
            <w:r>
              <w:rPr>
                <w:rFonts w:ascii="Arial" w:cs="Arial" w:eastAsia="Arial" w:hAnsi="Arial"/>
                <w:sz w:val="17"/>
                <w:szCs w:val="17"/>
                <w:color w:val="auto"/>
              </w:rPr>
              <w:t xml:space="preserve">Cash distributions </w:t>
            </w:r>
            <w:r>
              <w:rPr>
                <w:rFonts w:ascii="Arial" w:cs="Arial" w:eastAsia="Arial" w:hAnsi="Arial"/>
                <w:sz w:val="22"/>
                <w:szCs w:val="22"/>
                <w:color w:val="auto"/>
                <w:vertAlign w:val="superscript"/>
              </w:rPr>
              <w:t>(3)</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w:t>
            </w:r>
          </w:p>
        </w:tc>
      </w:tr>
      <w:tr>
        <w:trPr>
          <w:trHeight w:val="237"/>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Free Cash Flow after Distributions</w:t>
            </w:r>
          </w:p>
        </w:tc>
        <w:tc>
          <w:tcPr>
            <w:tcW w:w="740" w:type="dxa"/>
            <w:vAlign w:val="bottom"/>
            <w:tcBorders>
              <w:bottom w:val="single" w:sz="8" w:color="auto"/>
            </w:tcBorders>
            <w:shd w:val="clear" w:color="auto" w:fill="CCEEFF"/>
          </w:tcPr>
          <w:p>
            <w:pPr>
              <w:jc w:val="right"/>
              <w:ind w:right="558"/>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3880" w:type="dxa"/>
            <w:vAlign w:val="bottom"/>
            <w:tcBorders>
              <w:bottom w:val="single" w:sz="8" w:color="auto"/>
            </w:tcBorders>
          </w:tcPr>
          <w:p>
            <w:pPr>
              <w:spacing w:after="0"/>
              <w:rPr>
                <w:sz w:val="15"/>
                <w:szCs w:val="15"/>
                <w:color w:val="auto"/>
              </w:rPr>
            </w:pPr>
          </w:p>
        </w:tc>
        <w:tc>
          <w:tcPr>
            <w:tcW w:w="4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spacing w:after="0" w:line="129" w:lineRule="exact"/>
        <w:rPr>
          <w:sz w:val="20"/>
          <w:szCs w:val="20"/>
          <w:color w:val="auto"/>
        </w:rPr>
      </w:pPr>
    </w:p>
    <w:p>
      <w:pPr>
        <w:ind w:left="320" w:right="60" w:hanging="317"/>
        <w:spacing w:after="0" w:line="226" w:lineRule="auto"/>
        <w:tabs>
          <w:tab w:leader="none" w:pos="308"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Management uses the Non-GAAP financial measures Free Cash Flow and Free Cash Flow after Distributions to assess the amount of cash that is available for distributions, debt repayments, common equity repurchases and other general partnership purposes.</w:t>
      </w:r>
    </w:p>
    <w:p>
      <w:pPr>
        <w:spacing w:after="0" w:line="5"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during the period presented.</w:t>
      </w:r>
    </w:p>
    <w:p>
      <w:pPr>
        <w:spacing w:after="0" w:line="54" w:lineRule="exact"/>
        <w:rPr>
          <w:rFonts w:ascii="Arial" w:cs="Arial" w:eastAsia="Arial" w:hAnsi="Arial"/>
          <w:sz w:val="22"/>
          <w:szCs w:val="22"/>
          <w:color w:val="auto"/>
          <w:vertAlign w:val="superscript"/>
        </w:rPr>
      </w:pPr>
    </w:p>
    <w:p>
      <w:pPr>
        <w:ind w:left="300" w:hanging="297"/>
        <w:spacing w:after="0" w:line="184" w:lineRule="auto"/>
        <w:tabs>
          <w:tab w:leader="none" w:pos="300"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Cash distributions paid to preferred and common unitholders during the period.</w:t>
      </w:r>
    </w:p>
    <w:p>
      <w:pPr>
        <w:ind w:left="5440" w:hanging="93"/>
        <w:spacing w:after="0"/>
        <w:tabs>
          <w:tab w:leader="none" w:pos="54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87630</wp:posOffset>
            </wp:positionV>
            <wp:extent cx="7122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29"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auto"/>
        </w:rPr>
        <w:t>Page 16</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22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ITEMS IMPACTING COMPARABILITY</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13" w:lineRule="exact"/>
        <w:rPr>
          <w:sz w:val="20"/>
          <w:szCs w:val="20"/>
          <w:color w:val="auto"/>
        </w:rPr>
      </w:pPr>
    </w:p>
    <w:p>
      <w:pPr>
        <w:jc w:val="center"/>
        <w:ind w:left="8980"/>
        <w:spacing w:after="0"/>
        <w:rPr>
          <w:sz w:val="20"/>
          <w:szCs w:val="20"/>
          <w:color w:val="auto"/>
        </w:rPr>
      </w:pPr>
      <w:r>
        <w:rPr>
          <w:rFonts w:ascii="Arial" w:cs="Arial" w:eastAsia="Arial" w:hAnsi="Arial"/>
          <w:sz w:val="14"/>
          <w:szCs w:val="14"/>
          <w:b w:val="1"/>
          <w:bCs w:val="1"/>
          <w:color w:val="auto"/>
        </w:rPr>
        <w:t>Three Months Ended</w:t>
      </w:r>
    </w:p>
    <w:p>
      <w:pPr>
        <w:jc w:val="center"/>
        <w:ind w:left="8980"/>
        <w:spacing w:after="0"/>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Borders>
              <w:bottom w:val="single" w:sz="8" w:color="CCEEFF"/>
            </w:tcBorders>
          </w:tcPr>
          <w:p>
            <w:pPr>
              <w:spacing w:after="0"/>
              <w:rPr>
                <w:sz w:val="15"/>
                <w:szCs w:val="15"/>
                <w:color w:val="auto"/>
              </w:rPr>
            </w:pPr>
          </w:p>
        </w:tc>
        <w:tc>
          <w:tcPr>
            <w:tcW w:w="512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2020</w:t>
            </w:r>
          </w:p>
        </w:tc>
      </w:tr>
      <w:tr>
        <w:trPr>
          <w:trHeight w:val="187"/>
        </w:trPr>
        <w:tc>
          <w:tcPr>
            <w:tcW w:w="9000" w:type="dxa"/>
            <w:vAlign w:val="bottom"/>
            <w:gridSpan w:val="2"/>
            <w:shd w:val="clear" w:color="auto" w:fill="CCEEFF"/>
          </w:tcPr>
          <w:p>
            <w:pPr>
              <w:ind w:left="20"/>
              <w:spacing w:after="0" w:line="188" w:lineRule="exact"/>
              <w:rPr>
                <w:sz w:val="20"/>
                <w:szCs w:val="20"/>
                <w:color w:val="auto"/>
              </w:rPr>
            </w:pPr>
            <w:r>
              <w:rPr>
                <w:rFonts w:ascii="Arial" w:cs="Arial" w:eastAsia="Arial" w:hAnsi="Arial"/>
                <w:sz w:val="16"/>
                <w:szCs w:val="16"/>
                <w:b w:val="1"/>
                <w:bCs w:val="1"/>
                <w:color w:val="auto"/>
              </w:rPr>
              <w:t xml:space="preserve">Selected Items Impacting Comparability: </w:t>
            </w:r>
            <w:r>
              <w:rPr>
                <w:rFonts w:ascii="Arial" w:cs="Arial" w:eastAsia="Arial" w:hAnsi="Arial"/>
                <w:sz w:val="21"/>
                <w:szCs w:val="21"/>
                <w:b w:val="1"/>
                <w:bCs w:val="1"/>
                <w:color w:val="auto"/>
                <w:vertAlign w:val="superscript"/>
              </w:rPr>
              <w:t>(1)</w:t>
            </w: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06"/>
        </w:trPr>
        <w:tc>
          <w:tcPr>
            <w:tcW w:w="900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Gains/(losses) from derivative activities and inventory valuation adjustments </w:t>
            </w:r>
            <w:r>
              <w:rPr>
                <w:rFonts w:ascii="Arial" w:cs="Arial" w:eastAsia="Arial" w:hAnsi="Arial"/>
                <w:sz w:val="21"/>
                <w:szCs w:val="21"/>
                <w:color w:val="auto"/>
                <w:vertAlign w:val="superscript"/>
              </w:rPr>
              <w:t>(2)</w:t>
            </w:r>
          </w:p>
        </w:tc>
        <w:tc>
          <w:tcPr>
            <w:tcW w:w="720" w:type="dxa"/>
            <w:vAlign w:val="bottom"/>
          </w:tcPr>
          <w:p>
            <w:pPr>
              <w:jc w:val="right"/>
              <w:ind w:right="54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97"/>
              </w:rPr>
              <w:t>131</w:t>
            </w:r>
          </w:p>
        </w:tc>
        <w:tc>
          <w:tcPr>
            <w:tcW w:w="100" w:type="dxa"/>
            <w:vAlign w:val="bottom"/>
          </w:tcPr>
          <w:p>
            <w:pPr>
              <w:spacing w:after="0"/>
              <w:rPr>
                <w:sz w:val="17"/>
                <w:szCs w:val="17"/>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06"/>
        </w:trPr>
        <w:tc>
          <w:tcPr>
            <w:tcW w:w="90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Long-term inventory costing adjustments </w:t>
            </w:r>
            <w:r>
              <w:rPr>
                <w:rFonts w:ascii="Arial" w:cs="Arial" w:eastAsia="Arial" w:hAnsi="Arial"/>
                <w:sz w:val="21"/>
                <w:szCs w:val="21"/>
                <w:color w:val="auto"/>
                <w:vertAlign w:val="superscript"/>
              </w:rPr>
              <w:t>(3)</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06"/>
        </w:trPr>
        <w:tc>
          <w:tcPr>
            <w:tcW w:w="900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Deficiencies under minimum volume commitments, net </w:t>
            </w:r>
            <w:r>
              <w:rPr>
                <w:rFonts w:ascii="Arial" w:cs="Arial" w:eastAsia="Arial" w:hAnsi="Arial"/>
                <w:sz w:val="21"/>
                <w:szCs w:val="21"/>
                <w:color w:val="auto"/>
                <w:vertAlign w:val="superscript"/>
              </w:rPr>
              <w:t>(4)</w:t>
            </w:r>
          </w:p>
        </w:tc>
        <w:tc>
          <w:tcPr>
            <w:tcW w:w="7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06"/>
        </w:trPr>
        <w:tc>
          <w:tcPr>
            <w:tcW w:w="90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Equity-indexed compensation expense </w:t>
            </w:r>
            <w:r>
              <w:rPr>
                <w:rFonts w:ascii="Arial" w:cs="Arial" w:eastAsia="Arial" w:hAnsi="Arial"/>
                <w:sz w:val="21"/>
                <w:szCs w:val="21"/>
                <w:color w:val="auto"/>
                <w:vertAlign w:val="superscript"/>
              </w:rPr>
              <w:t>(5)</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6"/>
        </w:trPr>
        <w:tc>
          <w:tcPr>
            <w:tcW w:w="900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Net gain/(loss) on foreign currency revaluation </w:t>
            </w:r>
            <w:r>
              <w:rPr>
                <w:rFonts w:ascii="Arial" w:cs="Arial" w:eastAsia="Arial" w:hAnsi="Arial"/>
                <w:sz w:val="21"/>
                <w:szCs w:val="21"/>
                <w:color w:val="auto"/>
                <w:vertAlign w:val="superscript"/>
              </w:rPr>
              <w:t>(6)</w:t>
            </w:r>
          </w:p>
        </w:tc>
        <w:tc>
          <w:tcPr>
            <w:tcW w:w="7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9"/>
        </w:trPr>
        <w:tc>
          <w:tcPr>
            <w:tcW w:w="900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Significant acquisition-related expenses </w:t>
            </w:r>
            <w:r>
              <w:rPr>
                <w:rFonts w:ascii="Arial" w:cs="Arial" w:eastAsia="Arial" w:hAnsi="Arial"/>
                <w:sz w:val="21"/>
                <w:szCs w:val="21"/>
                <w:color w:val="auto"/>
                <w:vertAlign w:val="superscript"/>
              </w:rPr>
              <w:t>(7)</w:t>
            </w:r>
          </w:p>
        </w:tc>
        <w:tc>
          <w:tcPr>
            <w:tcW w:w="7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199"/>
        </w:trPr>
        <w:tc>
          <w:tcPr>
            <w:tcW w:w="9000" w:type="dxa"/>
            <w:vAlign w:val="bottom"/>
            <w:gridSpan w:val="2"/>
          </w:tcPr>
          <w:p>
            <w:pPr>
              <w:ind w:left="180"/>
              <w:spacing w:after="0"/>
              <w:rPr>
                <w:sz w:val="20"/>
                <w:szCs w:val="20"/>
                <w:color w:val="auto"/>
              </w:rPr>
            </w:pPr>
            <w:r>
              <w:rPr>
                <w:rFonts w:ascii="Arial" w:cs="Arial" w:eastAsia="Arial" w:hAnsi="Arial"/>
                <w:sz w:val="16"/>
                <w:szCs w:val="16"/>
                <w:color w:val="auto"/>
              </w:rPr>
              <w:t>Selected items impacting comparability - Adjusted EBITDA</w:t>
            </w:r>
          </w:p>
        </w:tc>
        <w:tc>
          <w:tcPr>
            <w:tcW w:w="720" w:type="dxa"/>
            <w:vAlign w:val="bottom"/>
            <w:tcBorders>
              <w:top w:val="single" w:sz="8" w:color="auto"/>
            </w:tcBorders>
          </w:tcPr>
          <w:p>
            <w:pPr>
              <w:jc w:val="right"/>
              <w:ind w:right="54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207</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w:t>
            </w:r>
          </w:p>
        </w:tc>
      </w:tr>
      <w:tr>
        <w:trPr>
          <w:trHeight w:val="219"/>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 on/(impairment of) investments in unconsolidated entities, net</w:t>
            </w:r>
          </w:p>
        </w:tc>
        <w:tc>
          <w:tcPr>
            <w:tcW w:w="7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18"/>
        </w:trPr>
        <w:tc>
          <w:tcPr>
            <w:tcW w:w="9000" w:type="dxa"/>
            <w:vAlign w:val="bottom"/>
            <w:gridSpan w:val="2"/>
          </w:tcPr>
          <w:p>
            <w:pPr>
              <w:ind w:left="20"/>
              <w:spacing w:after="0"/>
              <w:rPr>
                <w:sz w:val="20"/>
                <w:szCs w:val="20"/>
                <w:color w:val="auto"/>
              </w:rPr>
            </w:pPr>
            <w:r>
              <w:rPr>
                <w:rFonts w:ascii="Arial" w:cs="Arial" w:eastAsia="Arial" w:hAnsi="Arial"/>
                <w:sz w:val="16"/>
                <w:szCs w:val="16"/>
                <w:color w:val="auto"/>
              </w:rPr>
              <w:t>Gains/(losses) on asset sales and asset impairments, net</w:t>
            </w: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(619)</w:t>
            </w:r>
          </w:p>
        </w:tc>
      </w:tr>
      <w:tr>
        <w:trPr>
          <w:trHeight w:val="220"/>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Goodwill impairment losses</w:t>
            </w:r>
          </w:p>
        </w:tc>
        <w:tc>
          <w:tcPr>
            <w:tcW w:w="7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w:t>
            </w:r>
          </w:p>
        </w:tc>
      </w:tr>
      <w:tr>
        <w:trPr>
          <w:trHeight w:val="206"/>
        </w:trPr>
        <w:tc>
          <w:tcPr>
            <w:tcW w:w="9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Tax effect on selected items impacting comparability</w:t>
            </w:r>
          </w:p>
        </w:tc>
        <w:tc>
          <w:tcPr>
            <w:tcW w:w="7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24"/>
        </w:trPr>
        <w:tc>
          <w:tcPr>
            <w:tcW w:w="9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Selected items impacting comparability - Adjusted net income attributable to PAA</w:t>
            </w:r>
          </w:p>
        </w:tc>
        <w:tc>
          <w:tcPr>
            <w:tcW w:w="720" w:type="dxa"/>
            <w:vAlign w:val="bottom"/>
            <w:tcBorders>
              <w:bottom w:val="single" w:sz="8" w:color="auto"/>
            </w:tcBorders>
            <w:shd w:val="clear" w:color="auto" w:fill="CCEEFF"/>
          </w:tcPr>
          <w:p>
            <w:pPr>
              <w:jc w:val="right"/>
              <w:ind w:right="54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190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26"/>
        </w:trPr>
        <w:tc>
          <w:tcPr>
            <w:tcW w:w="3880" w:type="dxa"/>
            <w:vAlign w:val="bottom"/>
            <w:tcBorders>
              <w:bottom w:val="single" w:sz="8" w:color="auto"/>
            </w:tcBorders>
          </w:tcPr>
          <w:p>
            <w:pPr>
              <w:spacing w:after="0"/>
              <w:rPr>
                <w:sz w:val="10"/>
                <w:szCs w:val="10"/>
                <w:color w:val="auto"/>
              </w:rPr>
            </w:pPr>
          </w:p>
        </w:tc>
        <w:tc>
          <w:tcPr>
            <w:tcW w:w="5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r>
    </w:tbl>
    <w:p>
      <w:pPr>
        <w:spacing w:after="0" w:line="91" w:lineRule="exact"/>
        <w:rPr>
          <w:sz w:val="20"/>
          <w:szCs w:val="20"/>
          <w:color w:val="auto"/>
        </w:rPr>
      </w:pPr>
    </w:p>
    <w:p>
      <w:pPr>
        <w:ind w:left="300" w:hanging="297"/>
        <w:spacing w:after="0"/>
        <w:tabs>
          <w:tab w:leader="none" w:pos="30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Certain of our non-GAAP financial measures may not be impacted by each of the selected items impacting comparability.</w:t>
      </w:r>
    </w:p>
    <w:p>
      <w:pPr>
        <w:spacing w:after="0" w:line="43" w:lineRule="exact"/>
        <w:rPr>
          <w:rFonts w:ascii="Arial" w:cs="Arial" w:eastAsia="Arial" w:hAnsi="Arial"/>
          <w:sz w:val="18"/>
          <w:szCs w:val="18"/>
          <w:color w:val="auto"/>
          <w:vertAlign w:val="superscript"/>
        </w:rPr>
      </w:pPr>
    </w:p>
    <w:p>
      <w:pPr>
        <w:ind w:left="320" w:hanging="317"/>
        <w:spacing w:after="0" w:line="236" w:lineRule="auto"/>
        <w:tabs>
          <w:tab w:leader="none" w:pos="308"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investing activities, such as the purchase of linefill.</w:t>
      </w:r>
    </w:p>
    <w:p>
      <w:pPr>
        <w:spacing w:after="0" w:line="32" w:lineRule="exact"/>
        <w:rPr>
          <w:rFonts w:ascii="Arial" w:cs="Arial" w:eastAsia="Arial" w:hAnsi="Arial"/>
          <w:sz w:val="17"/>
          <w:szCs w:val="17"/>
          <w:color w:val="auto"/>
          <w:vertAlign w:val="superscript"/>
        </w:rPr>
      </w:pPr>
    </w:p>
    <w:p>
      <w:pPr>
        <w:ind w:left="320" w:hanging="317"/>
        <w:spacing w:after="0" w:line="237" w:lineRule="auto"/>
        <w:tabs>
          <w:tab w:leader="none" w:pos="308"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34" w:lineRule="exact"/>
        <w:rPr>
          <w:rFonts w:ascii="Arial" w:cs="Arial" w:eastAsia="Arial" w:hAnsi="Arial"/>
          <w:sz w:val="17"/>
          <w:szCs w:val="17"/>
          <w:color w:val="auto"/>
          <w:vertAlign w:val="superscript"/>
        </w:rPr>
      </w:pPr>
    </w:p>
    <w:p>
      <w:pPr>
        <w:ind w:left="320" w:right="20" w:hanging="317"/>
        <w:spacing w:after="0" w:line="243" w:lineRule="auto"/>
        <w:tabs>
          <w:tab w:leader="none" w:pos="308"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or our equity method investees,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or our equity method investees,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35" w:lineRule="exact"/>
        <w:rPr>
          <w:rFonts w:ascii="Arial" w:cs="Arial" w:eastAsia="Arial" w:hAnsi="Arial"/>
          <w:sz w:val="17"/>
          <w:szCs w:val="17"/>
          <w:color w:val="auto"/>
          <w:vertAlign w:val="superscript"/>
        </w:rPr>
      </w:pPr>
    </w:p>
    <w:p>
      <w:pPr>
        <w:ind w:left="320" w:right="40" w:hanging="317"/>
        <w:spacing w:after="0" w:line="222" w:lineRule="auto"/>
        <w:tabs>
          <w:tab w:leader="none" w:pos="308"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32" w:lineRule="exact"/>
        <w:rPr>
          <w:rFonts w:ascii="Arial" w:cs="Arial" w:eastAsia="Arial" w:hAnsi="Arial"/>
          <w:sz w:val="18"/>
          <w:szCs w:val="18"/>
          <w:color w:val="auto"/>
          <w:vertAlign w:val="superscript"/>
        </w:rPr>
      </w:pPr>
    </w:p>
    <w:p>
      <w:pPr>
        <w:ind w:left="320" w:right="60" w:hanging="317"/>
        <w:spacing w:after="0" w:line="219" w:lineRule="auto"/>
        <w:tabs>
          <w:tab w:leader="none" w:pos="308"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w:t>
      </w:r>
    </w:p>
    <w:p>
      <w:pPr>
        <w:spacing w:after="0" w:line="1" w:lineRule="exact"/>
        <w:rPr>
          <w:rFonts w:ascii="Arial" w:cs="Arial" w:eastAsia="Arial" w:hAnsi="Arial"/>
          <w:sz w:val="18"/>
          <w:szCs w:val="18"/>
          <w:color w:val="auto"/>
          <w:vertAlign w:val="superscript"/>
        </w:rPr>
      </w:pPr>
    </w:p>
    <w:p>
      <w:pPr>
        <w:ind w:left="300" w:hanging="297"/>
        <w:spacing w:after="0"/>
        <w:tabs>
          <w:tab w:leader="none" w:pos="30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Includes acquisition-related expenses associated with the acquisition of Felix Midstream LLC in February 2020.</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96520</wp:posOffset>
            </wp:positionV>
            <wp:extent cx="7122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auto"/>
        </w:rPr>
        <w:t>Page 17</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22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ITEMS IMPACTING COMPARABILITY (continued)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13" w:lineRule="exact"/>
        <w:rPr>
          <w:sz w:val="20"/>
          <w:szCs w:val="20"/>
          <w:color w:val="auto"/>
        </w:rPr>
      </w:pPr>
    </w:p>
    <w:p>
      <w:pPr>
        <w:jc w:val="center"/>
        <w:ind w:left="8980"/>
        <w:spacing w:after="0"/>
        <w:rPr>
          <w:sz w:val="20"/>
          <w:szCs w:val="20"/>
          <w:color w:val="auto"/>
        </w:rPr>
      </w:pPr>
      <w:r>
        <w:rPr>
          <w:rFonts w:ascii="Arial" w:cs="Arial" w:eastAsia="Arial" w:hAnsi="Arial"/>
          <w:sz w:val="14"/>
          <w:szCs w:val="14"/>
          <w:b w:val="1"/>
          <w:bCs w:val="1"/>
          <w:color w:val="auto"/>
        </w:rPr>
        <w:t>Twelve Months Ended</w:t>
      </w:r>
    </w:p>
    <w:p>
      <w:pPr>
        <w:jc w:val="center"/>
        <w:ind w:left="8980"/>
        <w:spacing w:after="0"/>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Borders>
              <w:bottom w:val="single" w:sz="8" w:color="CCEEFF"/>
            </w:tcBorders>
          </w:tcPr>
          <w:p>
            <w:pPr>
              <w:spacing w:after="0"/>
              <w:rPr>
                <w:sz w:val="15"/>
                <w:szCs w:val="15"/>
                <w:color w:val="auto"/>
              </w:rPr>
            </w:pPr>
          </w:p>
        </w:tc>
        <w:tc>
          <w:tcPr>
            <w:tcW w:w="5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2019</w:t>
            </w:r>
          </w:p>
        </w:tc>
      </w:tr>
      <w:tr>
        <w:trPr>
          <w:trHeight w:val="187"/>
        </w:trPr>
        <w:tc>
          <w:tcPr>
            <w:tcW w:w="9000" w:type="dxa"/>
            <w:vAlign w:val="bottom"/>
            <w:gridSpan w:val="2"/>
            <w:shd w:val="clear" w:color="auto" w:fill="CCEEFF"/>
          </w:tcPr>
          <w:p>
            <w:pPr>
              <w:ind w:left="20"/>
              <w:spacing w:after="0" w:line="188" w:lineRule="exact"/>
              <w:rPr>
                <w:sz w:val="20"/>
                <w:szCs w:val="20"/>
                <w:color w:val="auto"/>
              </w:rPr>
            </w:pPr>
            <w:r>
              <w:rPr>
                <w:rFonts w:ascii="Arial" w:cs="Arial" w:eastAsia="Arial" w:hAnsi="Arial"/>
                <w:sz w:val="16"/>
                <w:szCs w:val="16"/>
                <w:b w:val="1"/>
                <w:bCs w:val="1"/>
                <w:color w:val="auto"/>
              </w:rPr>
              <w:t xml:space="preserve">Selected Items Impacting Comparability: </w:t>
            </w:r>
            <w:r>
              <w:rPr>
                <w:rFonts w:ascii="Arial" w:cs="Arial" w:eastAsia="Arial" w:hAnsi="Arial"/>
                <w:sz w:val="21"/>
                <w:szCs w:val="21"/>
                <w:b w:val="1"/>
                <w:bCs w:val="1"/>
                <w:color w:val="auto"/>
                <w:vertAlign w:val="superscript"/>
              </w:rPr>
              <w:t>(1)</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06"/>
        </w:trPr>
        <w:tc>
          <w:tcPr>
            <w:tcW w:w="900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Losses from derivative activities and inventory valuation adjustments </w:t>
            </w:r>
            <w:r>
              <w:rPr>
                <w:rFonts w:ascii="Arial" w:cs="Arial" w:eastAsia="Arial" w:hAnsi="Arial"/>
                <w:sz w:val="21"/>
                <w:szCs w:val="21"/>
                <w:color w:val="auto"/>
                <w:vertAlign w:val="superscript"/>
              </w:rPr>
              <w:t>(2)</w:t>
            </w: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7"/>
                <w:szCs w:val="17"/>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06"/>
        </w:trPr>
        <w:tc>
          <w:tcPr>
            <w:tcW w:w="90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Long-term inventory costing adjustments </w:t>
            </w:r>
            <w:r>
              <w:rPr>
                <w:rFonts w:ascii="Arial" w:cs="Arial" w:eastAsia="Arial" w:hAnsi="Arial"/>
                <w:sz w:val="21"/>
                <w:szCs w:val="21"/>
                <w:color w:val="auto"/>
                <w:vertAlign w:val="superscript"/>
              </w:rPr>
              <w:t>(3)</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6"/>
        </w:trPr>
        <w:tc>
          <w:tcPr>
            <w:tcW w:w="900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Deficiencies under minimum volume commitments, net </w:t>
            </w:r>
            <w:r>
              <w:rPr>
                <w:rFonts w:ascii="Arial" w:cs="Arial" w:eastAsia="Arial" w:hAnsi="Arial"/>
                <w:sz w:val="21"/>
                <w:szCs w:val="21"/>
                <w:color w:val="auto"/>
                <w:vertAlign w:val="superscript"/>
              </w:rPr>
              <w:t>(4)</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06"/>
        </w:trPr>
        <w:tc>
          <w:tcPr>
            <w:tcW w:w="90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Equity-indexed compensation expense </w:t>
            </w:r>
            <w:r>
              <w:rPr>
                <w:rFonts w:ascii="Arial" w:cs="Arial" w:eastAsia="Arial" w:hAnsi="Arial"/>
                <w:sz w:val="21"/>
                <w:szCs w:val="21"/>
                <w:color w:val="auto"/>
                <w:vertAlign w:val="superscript"/>
              </w:rPr>
              <w:t>(5)</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6"/>
        </w:trPr>
        <w:tc>
          <w:tcPr>
            <w:tcW w:w="900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Net gain on foreign currency revaluation </w:t>
            </w:r>
            <w:r>
              <w:rPr>
                <w:rFonts w:ascii="Arial" w:cs="Arial" w:eastAsia="Arial" w:hAnsi="Arial"/>
                <w:sz w:val="21"/>
                <w:szCs w:val="21"/>
                <w:color w:val="auto"/>
                <w:vertAlign w:val="superscript"/>
              </w:rPr>
              <w:t>(6)</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6"/>
        </w:trPr>
        <w:tc>
          <w:tcPr>
            <w:tcW w:w="90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Line 901 incident </w:t>
            </w:r>
            <w:r>
              <w:rPr>
                <w:rFonts w:ascii="Arial" w:cs="Arial" w:eastAsia="Arial" w:hAnsi="Arial"/>
                <w:sz w:val="21"/>
                <w:szCs w:val="21"/>
                <w:color w:val="auto"/>
                <w:vertAlign w:val="superscript"/>
              </w:rPr>
              <w:t>(7)</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9000" w:type="dxa"/>
            <w:vAlign w:val="bottom"/>
            <w:gridSpan w:val="2"/>
          </w:tcPr>
          <w:p>
            <w:pPr>
              <w:ind w:left="20"/>
              <w:spacing w:after="0" w:line="219" w:lineRule="exact"/>
              <w:rPr>
                <w:sz w:val="20"/>
                <w:szCs w:val="20"/>
                <w:color w:val="auto"/>
              </w:rPr>
            </w:pPr>
            <w:r>
              <w:rPr>
                <w:rFonts w:ascii="Arial" w:cs="Arial" w:eastAsia="Arial" w:hAnsi="Arial"/>
                <w:sz w:val="16"/>
                <w:szCs w:val="16"/>
                <w:color w:val="auto"/>
              </w:rPr>
              <w:t xml:space="preserve">Significant acquisition-related expenses </w:t>
            </w:r>
            <w:r>
              <w:rPr>
                <w:rFonts w:ascii="Arial" w:cs="Arial" w:eastAsia="Arial" w:hAnsi="Arial"/>
                <w:sz w:val="21"/>
                <w:szCs w:val="21"/>
                <w:color w:val="auto"/>
                <w:vertAlign w:val="superscript"/>
              </w:rPr>
              <w:t>(8)</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900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Net gain on early repayment of senior notes </w:t>
            </w:r>
            <w:r>
              <w:rPr>
                <w:rFonts w:ascii="Arial" w:cs="Arial" w:eastAsia="Arial" w:hAnsi="Arial"/>
                <w:sz w:val="21"/>
                <w:szCs w:val="21"/>
                <w:color w:val="auto"/>
                <w:vertAlign w:val="superscript"/>
              </w:rPr>
              <w:t>(9)</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9"/>
        </w:trPr>
        <w:tc>
          <w:tcPr>
            <w:tcW w:w="9000" w:type="dxa"/>
            <w:vAlign w:val="bottom"/>
            <w:gridSpan w:val="2"/>
          </w:tcPr>
          <w:p>
            <w:pPr>
              <w:ind w:left="180"/>
              <w:spacing w:after="0"/>
              <w:rPr>
                <w:sz w:val="20"/>
                <w:szCs w:val="20"/>
                <w:color w:val="auto"/>
              </w:rPr>
            </w:pPr>
            <w:r>
              <w:rPr>
                <w:rFonts w:ascii="Arial" w:cs="Arial" w:eastAsia="Arial" w:hAnsi="Arial"/>
                <w:sz w:val="16"/>
                <w:szCs w:val="16"/>
                <w:color w:val="auto"/>
              </w:rPr>
              <w:t>Selected items impacting comparability - Adjusted EBITDA</w:t>
            </w: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17"/>
                <w:szCs w:val="17"/>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06"/>
        </w:trPr>
        <w:tc>
          <w:tcPr>
            <w:tcW w:w="90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Losses from derivative activities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8"/>
        </w:trPr>
        <w:tc>
          <w:tcPr>
            <w:tcW w:w="9000" w:type="dxa"/>
            <w:vAlign w:val="bottom"/>
            <w:gridSpan w:val="2"/>
          </w:tcPr>
          <w:p>
            <w:pPr>
              <w:ind w:left="20"/>
              <w:spacing w:after="0"/>
              <w:rPr>
                <w:sz w:val="20"/>
                <w:szCs w:val="20"/>
                <w:color w:val="auto"/>
              </w:rPr>
            </w:pPr>
            <w:r>
              <w:rPr>
                <w:rFonts w:ascii="Arial" w:cs="Arial" w:eastAsia="Arial" w:hAnsi="Arial"/>
                <w:sz w:val="16"/>
                <w:szCs w:val="16"/>
                <w:color w:val="auto"/>
              </w:rPr>
              <w:t>Gain on/(impairment of) investments in unconsolidated entities, net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271</w:t>
            </w:r>
          </w:p>
        </w:tc>
      </w:tr>
      <w:tr>
        <w:trPr>
          <w:trHeight w:val="220"/>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Gains/(losses) on asset sales and asset impairments,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18"/>
        </w:trPr>
        <w:tc>
          <w:tcPr>
            <w:tcW w:w="9000" w:type="dxa"/>
            <w:vAlign w:val="bottom"/>
            <w:gridSpan w:val="2"/>
          </w:tcPr>
          <w:p>
            <w:pPr>
              <w:ind w:left="20"/>
              <w:spacing w:after="0"/>
              <w:rPr>
                <w:sz w:val="20"/>
                <w:szCs w:val="20"/>
                <w:color w:val="auto"/>
              </w:rPr>
            </w:pPr>
            <w:r>
              <w:rPr>
                <w:rFonts w:ascii="Arial" w:cs="Arial" w:eastAsia="Arial" w:hAnsi="Arial"/>
                <w:sz w:val="16"/>
                <w:szCs w:val="16"/>
                <w:color w:val="auto"/>
              </w:rPr>
              <w:t>Goodwill impairment losses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effect on selected items impacting comparability</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199"/>
        </w:trPr>
        <w:tc>
          <w:tcPr>
            <w:tcW w:w="9000" w:type="dxa"/>
            <w:vAlign w:val="bottom"/>
            <w:gridSpan w:val="2"/>
          </w:tcPr>
          <w:p>
            <w:pPr>
              <w:ind w:left="180"/>
              <w:spacing w:after="0"/>
              <w:rPr>
                <w:sz w:val="20"/>
                <w:szCs w:val="20"/>
                <w:color w:val="auto"/>
              </w:rPr>
            </w:pPr>
            <w:r>
              <w:rPr>
                <w:rFonts w:ascii="Arial" w:cs="Arial" w:eastAsia="Arial" w:hAnsi="Arial"/>
                <w:sz w:val="16"/>
                <w:szCs w:val="16"/>
                <w:color w:val="auto"/>
              </w:rPr>
              <w:t>Selected items impacting comparability - Adjusted net income attributable to PAA</w:t>
            </w:r>
          </w:p>
        </w:tc>
        <w:tc>
          <w:tcPr>
            <w:tcW w:w="2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r>
      <w:tr>
        <w:trPr>
          <w:trHeight w:val="20"/>
        </w:trPr>
        <w:tc>
          <w:tcPr>
            <w:tcW w:w="38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6"/>
        </w:trPr>
        <w:tc>
          <w:tcPr>
            <w:tcW w:w="3880" w:type="dxa"/>
            <w:vAlign w:val="bottom"/>
            <w:tcBorders>
              <w:bottom w:val="single" w:sz="8" w:color="auto"/>
            </w:tcBorders>
          </w:tcPr>
          <w:p>
            <w:pPr>
              <w:spacing w:after="0"/>
              <w:rPr>
                <w:sz w:val="12"/>
                <w:szCs w:val="12"/>
                <w:color w:val="auto"/>
              </w:rPr>
            </w:pPr>
          </w:p>
        </w:tc>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r>
    </w:tbl>
    <w:p>
      <w:pPr>
        <w:spacing w:after="0" w:line="100" w:lineRule="exact"/>
        <w:rPr>
          <w:sz w:val="20"/>
          <w:szCs w:val="20"/>
          <w:color w:val="auto"/>
        </w:rPr>
      </w:pPr>
    </w:p>
    <w:p>
      <w:pPr>
        <w:ind w:left="300" w:hanging="297"/>
        <w:spacing w:after="0"/>
        <w:tabs>
          <w:tab w:leader="none" w:pos="300"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Certain of our non-GAAP financial measures may not be impacted by each of the selected items impacting comparability.</w:t>
      </w:r>
    </w:p>
    <w:p>
      <w:pPr>
        <w:spacing w:after="0" w:line="46" w:lineRule="exact"/>
        <w:rPr>
          <w:rFonts w:ascii="Arial" w:cs="Arial" w:eastAsia="Arial" w:hAnsi="Arial"/>
          <w:sz w:val="17"/>
          <w:szCs w:val="17"/>
          <w:color w:val="auto"/>
          <w:vertAlign w:val="superscript"/>
        </w:rPr>
      </w:pPr>
    </w:p>
    <w:p>
      <w:pPr>
        <w:ind w:left="320" w:right="60" w:hanging="317"/>
        <w:spacing w:after="0" w:line="235" w:lineRule="auto"/>
        <w:tabs>
          <w:tab w:leader="none" w:pos="314"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investing activities, such as the purchase of linefill.</w:t>
      </w:r>
    </w:p>
    <w:p>
      <w:pPr>
        <w:spacing w:after="0" w:line="45" w:lineRule="exact"/>
        <w:rPr>
          <w:rFonts w:ascii="Arial" w:cs="Arial" w:eastAsia="Arial" w:hAnsi="Arial"/>
          <w:sz w:val="17"/>
          <w:szCs w:val="17"/>
          <w:color w:val="auto"/>
          <w:vertAlign w:val="superscript"/>
        </w:rPr>
      </w:pPr>
    </w:p>
    <w:p>
      <w:pPr>
        <w:ind w:left="320" w:right="60" w:hanging="317"/>
        <w:spacing w:after="0" w:line="233" w:lineRule="auto"/>
        <w:tabs>
          <w:tab w:leader="none" w:pos="314"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45" w:lineRule="exact"/>
        <w:rPr>
          <w:rFonts w:ascii="Arial" w:cs="Arial" w:eastAsia="Arial" w:hAnsi="Arial"/>
          <w:sz w:val="17"/>
          <w:szCs w:val="17"/>
          <w:color w:val="auto"/>
          <w:vertAlign w:val="superscript"/>
        </w:rPr>
      </w:pPr>
    </w:p>
    <w:p>
      <w:pPr>
        <w:ind w:left="320" w:right="80" w:hanging="317"/>
        <w:spacing w:after="0" w:line="262" w:lineRule="auto"/>
        <w:tabs>
          <w:tab w:leader="none" w:pos="314" w:val="left"/>
        </w:tabs>
        <w:numPr>
          <w:ilvl w:val="0"/>
          <w:numId w:val="18"/>
        </w:numPr>
        <w:rPr>
          <w:rFonts w:ascii="Arial" w:cs="Arial" w:eastAsia="Arial" w:hAnsi="Arial"/>
          <w:sz w:val="16"/>
          <w:szCs w:val="16"/>
          <w:color w:val="auto"/>
          <w:vertAlign w:val="superscript"/>
        </w:rPr>
      </w:pPr>
      <w:r>
        <w:rPr>
          <w:rFonts w:ascii="Arial" w:cs="Arial" w:eastAsia="Arial" w:hAnsi="Arial"/>
          <w:sz w:val="12"/>
          <w:szCs w:val="12"/>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or our equity method investees,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or our equity method investees,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33" w:lineRule="exact"/>
        <w:rPr>
          <w:rFonts w:ascii="Arial" w:cs="Arial" w:eastAsia="Arial" w:hAnsi="Arial"/>
          <w:sz w:val="16"/>
          <w:szCs w:val="16"/>
          <w:color w:val="auto"/>
          <w:vertAlign w:val="superscript"/>
        </w:rPr>
      </w:pPr>
    </w:p>
    <w:p>
      <w:pPr>
        <w:ind w:left="320" w:right="100" w:hanging="317"/>
        <w:spacing w:after="0" w:line="233" w:lineRule="auto"/>
        <w:tabs>
          <w:tab w:leader="none" w:pos="314"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45" w:lineRule="exact"/>
        <w:rPr>
          <w:rFonts w:ascii="Arial" w:cs="Arial" w:eastAsia="Arial" w:hAnsi="Arial"/>
          <w:sz w:val="17"/>
          <w:szCs w:val="17"/>
          <w:color w:val="auto"/>
          <w:vertAlign w:val="superscript"/>
        </w:rPr>
      </w:pPr>
    </w:p>
    <w:p>
      <w:pPr>
        <w:ind w:left="320" w:right="120" w:hanging="317"/>
        <w:spacing w:after="0" w:line="229" w:lineRule="auto"/>
        <w:tabs>
          <w:tab w:leader="none" w:pos="314"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w:t>
      </w:r>
    </w:p>
    <w:p>
      <w:pPr>
        <w:spacing w:after="0" w:line="11" w:lineRule="exact"/>
        <w:rPr>
          <w:rFonts w:ascii="Arial" w:cs="Arial" w:eastAsia="Arial" w:hAnsi="Arial"/>
          <w:sz w:val="17"/>
          <w:szCs w:val="17"/>
          <w:color w:val="auto"/>
          <w:vertAlign w:val="superscript"/>
        </w:rPr>
      </w:pPr>
    </w:p>
    <w:p>
      <w:pPr>
        <w:ind w:left="300" w:hanging="297"/>
        <w:spacing w:after="0"/>
        <w:tabs>
          <w:tab w:leader="none" w:pos="300"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Includes costs recognized during the period related to the Line 901 incident that occurred in May 2015, net of amounts we believe are probable of recovery from insurance.</w:t>
      </w:r>
    </w:p>
    <w:p>
      <w:pPr>
        <w:spacing w:after="0" w:line="46" w:lineRule="exact"/>
        <w:rPr>
          <w:rFonts w:ascii="Arial" w:cs="Arial" w:eastAsia="Arial" w:hAnsi="Arial"/>
          <w:sz w:val="17"/>
          <w:szCs w:val="17"/>
          <w:color w:val="auto"/>
          <w:vertAlign w:val="superscript"/>
        </w:rPr>
      </w:pPr>
    </w:p>
    <w:p>
      <w:pPr>
        <w:ind w:left="300" w:hanging="297"/>
        <w:spacing w:after="0" w:line="196" w:lineRule="auto"/>
        <w:tabs>
          <w:tab w:leader="none" w:pos="300"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Includes acquisition-related expenses associated with the acquisition of Felix Midstream LLC in February 2020.</w:t>
      </w:r>
    </w:p>
    <w:p>
      <w:pPr>
        <w:spacing w:after="0" w:line="46" w:lineRule="exact"/>
        <w:rPr>
          <w:rFonts w:ascii="Arial" w:cs="Arial" w:eastAsia="Arial" w:hAnsi="Arial"/>
          <w:sz w:val="17"/>
          <w:szCs w:val="17"/>
          <w:color w:val="auto"/>
          <w:vertAlign w:val="superscript"/>
        </w:rPr>
      </w:pPr>
    </w:p>
    <w:p>
      <w:pPr>
        <w:ind w:left="300" w:hanging="297"/>
        <w:spacing w:after="0" w:line="196" w:lineRule="auto"/>
        <w:tabs>
          <w:tab w:leader="none" w:pos="300"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Includes net gains recognized in connection with the repurchase of our outstanding senior notes on the open market.</w:t>
      </w:r>
    </w:p>
    <w:p>
      <w:pPr>
        <w:spacing w:after="0" w:line="233" w:lineRule="exact"/>
        <w:rPr>
          <w:rFonts w:ascii="Arial" w:cs="Arial" w:eastAsia="Arial" w:hAnsi="Arial"/>
          <w:sz w:val="17"/>
          <w:szCs w:val="17"/>
          <w:color w:val="auto"/>
          <w:vertAlign w:val="superscript"/>
        </w:rPr>
      </w:pPr>
    </w:p>
    <w:p>
      <w:pPr>
        <w:ind w:left="5440" w:hanging="93"/>
        <w:spacing w:after="0"/>
        <w:tabs>
          <w:tab w:leader="none" w:pos="54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96520</wp:posOffset>
            </wp:positionV>
            <wp:extent cx="7122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auto"/>
        </w:rPr>
        <w:t>Page 18</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22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FINANCIAL DATA BY SEGMENT</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Three Months Ended</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Three Months Ended</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March 31, 2021</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March 31, 2020</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3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right"/>
              <w:ind w:right="94"/>
              <w:spacing w:after="0"/>
              <w:rPr>
                <w:sz w:val="20"/>
                <w:szCs w:val="20"/>
                <w:color w:val="auto"/>
              </w:rPr>
            </w:pPr>
            <w:r>
              <w:rPr>
                <w:rFonts w:ascii="Arial" w:cs="Arial" w:eastAsia="Arial" w:hAnsi="Arial"/>
                <w:sz w:val="14"/>
                <w:szCs w:val="14"/>
                <w:b w:val="1"/>
                <w:bCs w:val="1"/>
                <w:color w:val="auto"/>
                <w:w w:val="93"/>
              </w:rPr>
              <w:t>Transportation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0"/>
              </w:rPr>
              <w:t>Facilities</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right"/>
              <w:ind w:right="216"/>
              <w:spacing w:after="0" w:line="123" w:lineRule="exact"/>
              <w:rPr>
                <w:sz w:val="20"/>
                <w:szCs w:val="20"/>
                <w:color w:val="auto"/>
              </w:rPr>
            </w:pPr>
            <w:r>
              <w:rPr>
                <w:rFonts w:ascii="Arial" w:cs="Arial" w:eastAsia="Arial" w:hAnsi="Arial"/>
                <w:sz w:val="14"/>
                <w:szCs w:val="14"/>
                <w:b w:val="1"/>
                <w:bCs w:val="1"/>
                <w:color w:val="auto"/>
                <w:w w:val="98"/>
              </w:rPr>
              <w:t>Supply and</w:t>
            </w:r>
          </w:p>
        </w:tc>
        <w:tc>
          <w:tcPr>
            <w:tcW w:w="20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3"/>
              </w:rPr>
              <w:t>Transportation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0"/>
              </w:rPr>
              <w:t>Facilities</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right"/>
              <w:ind w:right="196"/>
              <w:spacing w:after="0" w:line="123" w:lineRule="exact"/>
              <w:rPr>
                <w:sz w:val="20"/>
                <w:szCs w:val="20"/>
                <w:color w:val="auto"/>
              </w:rPr>
            </w:pPr>
            <w:r>
              <w:rPr>
                <w:rFonts w:ascii="Arial" w:cs="Arial" w:eastAsia="Arial" w:hAnsi="Arial"/>
                <w:sz w:val="14"/>
                <w:szCs w:val="14"/>
                <w:b w:val="1"/>
                <w:bCs w:val="1"/>
                <w:color w:val="auto"/>
                <w:w w:val="98"/>
              </w:rPr>
              <w:t>Supply and</w:t>
            </w:r>
          </w:p>
        </w:tc>
        <w:tc>
          <w:tcPr>
            <w:tcW w:w="0" w:type="dxa"/>
            <w:vAlign w:val="bottom"/>
          </w:tcPr>
          <w:p>
            <w:pPr>
              <w:spacing w:after="0"/>
              <w:rPr>
                <w:sz w:val="1"/>
                <w:szCs w:val="1"/>
                <w:color w:val="auto"/>
              </w:rPr>
            </w:pPr>
          </w:p>
        </w:tc>
      </w:tr>
      <w:tr>
        <w:trPr>
          <w:trHeight w:val="179"/>
        </w:trPr>
        <w:tc>
          <w:tcPr>
            <w:tcW w:w="30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Logistics</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3"/>
        </w:trPr>
        <w:tc>
          <w:tcPr>
            <w:tcW w:w="3020" w:type="dxa"/>
            <w:vAlign w:val="bottom"/>
            <w:shd w:val="clear" w:color="auto" w:fill="CCEEFF"/>
          </w:tcPr>
          <w:p>
            <w:pPr>
              <w:ind w:left="20"/>
              <w:spacing w:after="0" w:line="213"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2"/>
                <w:szCs w:val="22"/>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7,908</w:t>
            </w:r>
          </w:p>
        </w:tc>
        <w:tc>
          <w:tcPr>
            <w:tcW w:w="0" w:type="dxa"/>
            <w:vAlign w:val="bottom"/>
          </w:tcPr>
          <w:p>
            <w:pPr>
              <w:spacing w:after="0"/>
              <w:rPr>
                <w:sz w:val="1"/>
                <w:szCs w:val="1"/>
                <w:color w:val="auto"/>
              </w:rPr>
            </w:pPr>
          </w:p>
        </w:tc>
      </w:tr>
      <w:tr>
        <w:trPr>
          <w:trHeight w:val="219"/>
        </w:trPr>
        <w:tc>
          <w:tcPr>
            <w:tcW w:w="302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Purchases and related costs </w:t>
            </w:r>
            <w:r>
              <w:rPr>
                <w:rFonts w:ascii="Arial" w:cs="Arial" w:eastAsia="Arial" w:hAnsi="Arial"/>
                <w:sz w:val="22"/>
                <w:szCs w:val="22"/>
                <w:color w:val="auto"/>
                <w:vertAlign w:val="superscript"/>
              </w:rPr>
              <w:t>(1)</w:t>
            </w: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(7,796)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(7,813)</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 xml:space="preserve">Field operating costs </w:t>
            </w:r>
            <w:r>
              <w:rPr>
                <w:rFonts w:ascii="Arial" w:cs="Arial" w:eastAsia="Arial" w:hAnsi="Arial"/>
                <w:sz w:val="22"/>
                <w:szCs w:val="22"/>
                <w:color w:val="auto"/>
                <w:vertAlign w:val="superscript"/>
              </w:rPr>
              <w:t>(1) (2)</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168"/>
        </w:trPr>
        <w:tc>
          <w:tcPr>
            <w:tcW w:w="3020" w:type="dxa"/>
            <w:vAlign w:val="bottom"/>
          </w:tcPr>
          <w:p>
            <w:pPr>
              <w:ind w:left="20"/>
              <w:spacing w:after="0" w:line="167" w:lineRule="exact"/>
              <w:rPr>
                <w:sz w:val="20"/>
                <w:szCs w:val="20"/>
                <w:color w:val="auto"/>
              </w:rPr>
            </w:pPr>
            <w:r>
              <w:rPr>
                <w:rFonts w:ascii="Arial" w:cs="Arial" w:eastAsia="Arial" w:hAnsi="Arial"/>
                <w:sz w:val="17"/>
                <w:szCs w:val="17"/>
                <w:color w:val="auto"/>
              </w:rPr>
              <w:t>Segment general and administrative</w:t>
            </w:r>
          </w:p>
        </w:tc>
        <w:tc>
          <w:tcPr>
            <w:tcW w:w="140" w:type="dxa"/>
            <w:vAlign w:val="bottom"/>
          </w:tcPr>
          <w:p>
            <w:pPr>
              <w:spacing w:after="0"/>
              <w:rPr>
                <w:sz w:val="14"/>
                <w:szCs w:val="14"/>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(21)</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9"/>
        </w:trPr>
        <w:tc>
          <w:tcPr>
            <w:tcW w:w="3020" w:type="dxa"/>
            <w:vAlign w:val="bottom"/>
          </w:tcPr>
          <w:p>
            <w:pPr>
              <w:ind w:left="180"/>
              <w:spacing w:after="0" w:line="219" w:lineRule="exact"/>
              <w:rPr>
                <w:sz w:val="20"/>
                <w:szCs w:val="20"/>
                <w:color w:val="auto"/>
              </w:rPr>
            </w:pPr>
            <w:r>
              <w:rPr>
                <w:rFonts w:ascii="Arial" w:cs="Arial" w:eastAsia="Arial" w:hAnsi="Arial"/>
                <w:sz w:val="17"/>
                <w:szCs w:val="17"/>
                <w:color w:val="auto"/>
              </w:rPr>
              <w:t xml:space="preserve">expenses </w:t>
            </w:r>
            <w:r>
              <w:rPr>
                <w:rFonts w:ascii="Arial" w:cs="Arial" w:eastAsia="Arial" w:hAnsi="Arial"/>
                <w:sz w:val="22"/>
                <w:szCs w:val="22"/>
                <w:color w:val="auto"/>
                <w:vertAlign w:val="superscript"/>
              </w:rPr>
              <w:t>(2) (3)</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Equity earnings in unconsolidated entities</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3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 xml:space="preserve">Adjustments: </w:t>
            </w:r>
            <w:r>
              <w:rPr>
                <w:rFonts w:ascii="Arial" w:cs="Arial" w:eastAsia="Arial" w:hAnsi="Arial"/>
                <w:sz w:val="22"/>
                <w:szCs w:val="22"/>
                <w:color w:val="auto"/>
                <w:vertAlign w:val="superscript"/>
              </w:rPr>
              <w:t>(4)</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020" w:type="dxa"/>
            <w:vAlign w:val="bottom"/>
          </w:tcPr>
          <w:p>
            <w:pPr>
              <w:ind w:left="180"/>
              <w:spacing w:after="0" w:line="168" w:lineRule="exact"/>
              <w:rPr>
                <w:sz w:val="20"/>
                <w:szCs w:val="20"/>
                <w:color w:val="auto"/>
              </w:rPr>
            </w:pPr>
            <w:r>
              <w:rPr>
                <w:rFonts w:ascii="Arial" w:cs="Arial" w:eastAsia="Arial" w:hAnsi="Arial"/>
                <w:sz w:val="17"/>
                <w:szCs w:val="17"/>
                <w:color w:val="auto"/>
              </w:rPr>
              <w:t>Depreciation and amortization of</w:t>
            </w:r>
          </w:p>
        </w:tc>
        <w:tc>
          <w:tcPr>
            <w:tcW w:w="140" w:type="dxa"/>
            <w:vAlign w:val="bottom"/>
          </w:tcPr>
          <w:p>
            <w:pPr>
              <w:spacing w:after="0"/>
              <w:rPr>
                <w:sz w:val="14"/>
                <w:szCs w:val="14"/>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020" w:type="dxa"/>
            <w:vAlign w:val="bottom"/>
          </w:tcPr>
          <w:p>
            <w:pPr>
              <w:ind w:left="320"/>
              <w:spacing w:after="0"/>
              <w:rPr>
                <w:sz w:val="20"/>
                <w:szCs w:val="20"/>
                <w:color w:val="auto"/>
              </w:rPr>
            </w:pPr>
            <w:r>
              <w:rPr>
                <w:rFonts w:ascii="Arial" w:cs="Arial" w:eastAsia="Arial" w:hAnsi="Arial"/>
                <w:sz w:val="17"/>
                <w:szCs w:val="17"/>
                <w:color w:val="auto"/>
              </w:rPr>
              <w:t>unconsolidated entities</w:t>
            </w: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80"/>
              <w:spacing w:after="0" w:line="169" w:lineRule="exact"/>
              <w:rPr>
                <w:sz w:val="20"/>
                <w:szCs w:val="20"/>
                <w:color w:val="auto"/>
              </w:rPr>
            </w:pPr>
            <w:r>
              <w:rPr>
                <w:rFonts w:ascii="Arial" w:cs="Arial" w:eastAsia="Arial" w:hAnsi="Arial"/>
                <w:sz w:val="17"/>
                <w:szCs w:val="17"/>
                <w:color w:val="auto"/>
                <w:w w:val="95"/>
              </w:rPr>
              <w:t>(Gains)/losses from derivative activities</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8"/>
              </w:rPr>
              <w:t>and inventory valuation adjustments</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020" w:type="dxa"/>
            <w:vAlign w:val="bottom"/>
          </w:tcPr>
          <w:p>
            <w:pPr>
              <w:ind w:left="180"/>
              <w:spacing w:after="0" w:line="168" w:lineRule="exact"/>
              <w:rPr>
                <w:sz w:val="20"/>
                <w:szCs w:val="20"/>
                <w:color w:val="auto"/>
              </w:rPr>
            </w:pPr>
            <w:r>
              <w:rPr>
                <w:rFonts w:ascii="Arial" w:cs="Arial" w:eastAsia="Arial" w:hAnsi="Arial"/>
                <w:sz w:val="17"/>
                <w:szCs w:val="17"/>
                <w:color w:val="auto"/>
              </w:rPr>
              <w:t>Long-term inventory costing</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(41)</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18"/>
        </w:trPr>
        <w:tc>
          <w:tcPr>
            <w:tcW w:w="3020" w:type="dxa"/>
            <w:vAlign w:val="bottom"/>
          </w:tcPr>
          <w:p>
            <w:pPr>
              <w:ind w:left="320"/>
              <w:spacing w:after="0"/>
              <w:rPr>
                <w:sz w:val="20"/>
                <w:szCs w:val="20"/>
                <w:color w:val="auto"/>
              </w:rPr>
            </w:pPr>
            <w:r>
              <w:rPr>
                <w:rFonts w:ascii="Arial" w:cs="Arial" w:eastAsia="Arial" w:hAnsi="Arial"/>
                <w:sz w:val="17"/>
                <w:szCs w:val="17"/>
                <w:color w:val="auto"/>
              </w:rPr>
              <w:t>adjustments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80"/>
              <w:spacing w:after="0" w:line="169" w:lineRule="exact"/>
              <w:rPr>
                <w:sz w:val="20"/>
                <w:szCs w:val="20"/>
                <w:color w:val="auto"/>
              </w:rPr>
            </w:pPr>
            <w:r>
              <w:rPr>
                <w:rFonts w:ascii="Arial" w:cs="Arial" w:eastAsia="Arial" w:hAnsi="Arial"/>
                <w:sz w:val="17"/>
                <w:szCs w:val="17"/>
                <w:color w:val="auto"/>
              </w:rPr>
              <w:t>Deficiencies under minimum volume</w:t>
            </w:r>
          </w:p>
        </w:tc>
        <w:tc>
          <w:tcPr>
            <w:tcW w:w="1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commitments, net</w:t>
            </w:r>
          </w:p>
        </w:tc>
        <w:tc>
          <w:tcPr>
            <w:tcW w:w="14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020" w:type="dxa"/>
            <w:vAlign w:val="bottom"/>
          </w:tcPr>
          <w:p>
            <w:pPr>
              <w:ind w:left="180"/>
              <w:spacing w:after="0"/>
              <w:rPr>
                <w:sz w:val="20"/>
                <w:szCs w:val="20"/>
                <w:color w:val="auto"/>
              </w:rPr>
            </w:pPr>
            <w:r>
              <w:rPr>
                <w:rFonts w:ascii="Arial" w:cs="Arial" w:eastAsia="Arial" w:hAnsi="Arial"/>
                <w:sz w:val="17"/>
                <w:szCs w:val="17"/>
                <w:color w:val="auto"/>
                <w:w w:val="96"/>
              </w:rPr>
              <w:t>Equity-indexed compensation expense</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Net gain on foreign currency revaluation</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8"/>
        </w:trPr>
        <w:tc>
          <w:tcPr>
            <w:tcW w:w="30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w w:val="94"/>
              </w:rPr>
              <w:t>Significant acquisition-related expenses</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Maintenance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0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sectPr>
          <w:pgSz w:w="11900" w:h="16838" w:orient="portrait"/>
          <w:cols w:equalWidth="0" w:num="1">
            <w:col w:w="11160"/>
          </w:cols>
          <w:pgMar w:left="320" w:top="359" w:right="41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Includes intersegment amounts.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color w:val="auto"/>
        </w:rPr>
        <w:t>Field operating costs and Segment general and administrative expenses include equity-indexed compensation expense.</w:t>
      </w:r>
    </w:p>
    <w:p>
      <w:pPr>
        <w:spacing w:after="0" w:line="85" w:lineRule="exact"/>
        <w:rPr>
          <w:sz w:val="20"/>
          <w:szCs w:val="20"/>
          <w:color w:val="auto"/>
        </w:rPr>
      </w:pPr>
    </w:p>
    <w:p>
      <w:pPr>
        <w:sectPr>
          <w:pgSz w:w="11900" w:h="16838" w:orient="portrait"/>
          <w:cols w:equalWidth="0" w:num="2">
            <w:col w:w="140" w:space="160"/>
            <w:col w:w="10860"/>
          </w:cols>
          <w:pgMar w:left="320" w:top="359" w:right="419" w:bottom="1440" w:gutter="0" w:footer="0" w:header="0"/>
          <w:type w:val="continuous"/>
        </w:sectPr>
      </w:pPr>
    </w:p>
    <w:p>
      <w:pPr>
        <w:ind w:left="320" w:right="520" w:hanging="317"/>
        <w:spacing w:after="0" w:line="280" w:lineRule="auto"/>
        <w:tabs>
          <w:tab w:leader="none" w:pos="308"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7" w:lineRule="exact"/>
        <w:rPr>
          <w:rFonts w:ascii="Arial" w:cs="Arial" w:eastAsia="Arial" w:hAnsi="Arial"/>
          <w:sz w:val="19"/>
          <w:szCs w:val="19"/>
          <w:color w:val="auto"/>
          <w:vertAlign w:val="superscript"/>
        </w:rPr>
      </w:pPr>
    </w:p>
    <w:p>
      <w:pPr>
        <w:jc w:val="both"/>
        <w:ind w:left="320" w:right="120" w:hanging="317"/>
        <w:spacing w:after="0" w:line="234" w:lineRule="auto"/>
        <w:tabs>
          <w:tab w:leader="none" w:pos="308"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0" w:lineRule="exact"/>
        <w:rPr>
          <w:sz w:val="20"/>
          <w:szCs w:val="20"/>
          <w:color w:val="auto"/>
        </w:rPr>
      </w:pP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96520</wp:posOffset>
            </wp:positionV>
            <wp:extent cx="7122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160"/>
          </w:cols>
          <w:pgMar w:left="320" w:top="359" w:right="41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7"/>
          <w:szCs w:val="17"/>
          <w:u w:val="single" w:color="auto"/>
          <w:color w:val="auto"/>
        </w:rPr>
        <w:t>Page 19</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22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OPERATING DATA BY SEGMENT</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p>
      <w:pPr>
        <w:jc w:val="center"/>
        <w:ind w:left="8800"/>
        <w:spacing w:after="0" w:line="202" w:lineRule="auto"/>
        <w:rPr>
          <w:sz w:val="20"/>
          <w:szCs w:val="20"/>
          <w:color w:val="auto"/>
        </w:rPr>
      </w:pPr>
      <w:r>
        <w:rPr>
          <w:rFonts w:ascii="Arial" w:cs="Arial" w:eastAsia="Arial" w:hAnsi="Arial"/>
          <w:sz w:val="14"/>
          <w:szCs w:val="14"/>
          <w:b w:val="1"/>
          <w:bCs w:val="1"/>
          <w:color w:val="auto"/>
        </w:rPr>
        <w:t>Three Months Ended</w:t>
      </w:r>
    </w:p>
    <w:p>
      <w:pPr>
        <w:jc w:val="center"/>
        <w:ind w:left="8800"/>
        <w:spacing w:after="0"/>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Borders>
              <w:bottom w:val="single" w:sz="8" w:color="CCEEFF"/>
            </w:tcBorders>
          </w:tcPr>
          <w:p>
            <w:pPr>
              <w:spacing w:after="0"/>
              <w:rPr>
                <w:sz w:val="15"/>
                <w:szCs w:val="15"/>
                <w:color w:val="auto"/>
              </w:rPr>
            </w:pPr>
          </w:p>
        </w:tc>
        <w:tc>
          <w:tcPr>
            <w:tcW w:w="4940" w:type="dxa"/>
            <w:vAlign w:val="bottom"/>
            <w:tcBorders>
              <w:bottom w:val="single" w:sz="8" w:color="CCEEFF"/>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r>
      <w:tr>
        <w:trPr>
          <w:trHeight w:val="20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Transportation segment (average daily volumes in thousands of barrels per day):</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8"/>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Tariff activities volumes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0"/>
        </w:trPr>
        <w:tc>
          <w:tcPr>
            <w:tcW w:w="88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Crude oil pipelines (by region):</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9"/>
        </w:trPr>
        <w:tc>
          <w:tcPr>
            <w:tcW w:w="8820" w:type="dxa"/>
            <w:vAlign w:val="bottom"/>
            <w:gridSpan w:val="2"/>
          </w:tcPr>
          <w:p>
            <w:pPr>
              <w:ind w:left="220"/>
              <w:spacing w:after="0" w:line="219" w:lineRule="exact"/>
              <w:rPr>
                <w:sz w:val="20"/>
                <w:szCs w:val="20"/>
                <w:color w:val="auto"/>
              </w:rPr>
            </w:pPr>
            <w:r>
              <w:rPr>
                <w:rFonts w:ascii="Arial" w:cs="Arial" w:eastAsia="Arial" w:hAnsi="Arial"/>
                <w:sz w:val="17"/>
                <w:szCs w:val="17"/>
                <w:color w:val="auto"/>
              </w:rPr>
              <w:t xml:space="preserve">Permian Basin </w:t>
            </w:r>
            <w:r>
              <w:rPr>
                <w:rFonts w:ascii="Arial" w:cs="Arial" w:eastAsia="Arial" w:hAnsi="Arial"/>
                <w:sz w:val="22"/>
                <w:szCs w:val="22"/>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7"/>
                <w:szCs w:val="17"/>
                <w:color w:val="auto"/>
              </w:rPr>
              <w:t>3,753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5,165</w:t>
            </w:r>
          </w:p>
        </w:tc>
      </w:tr>
      <w:tr>
        <w:trPr>
          <w:trHeight w:val="219"/>
        </w:trPr>
        <w:tc>
          <w:tcPr>
            <w:tcW w:w="8820" w:type="dxa"/>
            <w:vAlign w:val="bottom"/>
            <w:gridSpan w:val="2"/>
            <w:shd w:val="clear" w:color="auto" w:fill="CCEEFF"/>
          </w:tcPr>
          <w:p>
            <w:pPr>
              <w:ind w:left="220"/>
              <w:spacing w:after="0" w:line="219" w:lineRule="exact"/>
              <w:rPr>
                <w:sz w:val="20"/>
                <w:szCs w:val="20"/>
                <w:color w:val="auto"/>
              </w:rPr>
            </w:pPr>
            <w:r>
              <w:rPr>
                <w:rFonts w:ascii="Arial" w:cs="Arial" w:eastAsia="Arial" w:hAnsi="Arial"/>
                <w:sz w:val="17"/>
                <w:szCs w:val="17"/>
                <w:color w:val="auto"/>
              </w:rPr>
              <w:t xml:space="preserve">South Texas / Eagle Ford </w:t>
            </w:r>
            <w:r>
              <w:rPr>
                <w:rFonts w:ascii="Arial" w:cs="Arial" w:eastAsia="Arial" w:hAnsi="Arial"/>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w:t>
            </w:r>
          </w:p>
        </w:tc>
      </w:tr>
      <w:tr>
        <w:trPr>
          <w:trHeight w:val="219"/>
        </w:trPr>
        <w:tc>
          <w:tcPr>
            <w:tcW w:w="8820" w:type="dxa"/>
            <w:vAlign w:val="bottom"/>
            <w:gridSpan w:val="2"/>
          </w:tcPr>
          <w:p>
            <w:pPr>
              <w:ind w:left="220"/>
              <w:spacing w:after="0" w:line="219" w:lineRule="exact"/>
              <w:rPr>
                <w:sz w:val="20"/>
                <w:szCs w:val="20"/>
                <w:color w:val="auto"/>
              </w:rPr>
            </w:pPr>
            <w:r>
              <w:rPr>
                <w:rFonts w:ascii="Arial" w:cs="Arial" w:eastAsia="Arial" w:hAnsi="Arial"/>
                <w:sz w:val="17"/>
                <w:szCs w:val="17"/>
                <w:color w:val="auto"/>
              </w:rPr>
              <w:t xml:space="preserve">Central </w:t>
            </w:r>
            <w:r>
              <w:rPr>
                <w:rFonts w:ascii="Arial" w:cs="Arial" w:eastAsia="Arial" w:hAnsi="Arial"/>
                <w:sz w:val="22"/>
                <w:szCs w:val="22"/>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7"/>
                <w:szCs w:val="17"/>
                <w:color w:val="auto"/>
              </w:rPr>
              <w:t>373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404</w:t>
            </w:r>
          </w:p>
        </w:tc>
      </w:tr>
      <w:tr>
        <w:trPr>
          <w:trHeight w:val="219"/>
        </w:trPr>
        <w:tc>
          <w:tcPr>
            <w:tcW w:w="8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Gulf Coast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r>
      <w:tr>
        <w:trPr>
          <w:trHeight w:val="219"/>
        </w:trPr>
        <w:tc>
          <w:tcPr>
            <w:tcW w:w="8820" w:type="dxa"/>
            <w:vAlign w:val="bottom"/>
            <w:gridSpan w:val="2"/>
          </w:tcPr>
          <w:p>
            <w:pPr>
              <w:ind w:left="220"/>
              <w:spacing w:after="0" w:line="219" w:lineRule="exact"/>
              <w:rPr>
                <w:sz w:val="20"/>
                <w:szCs w:val="20"/>
                <w:color w:val="auto"/>
              </w:rPr>
            </w:pPr>
            <w:r>
              <w:rPr>
                <w:rFonts w:ascii="Arial" w:cs="Arial" w:eastAsia="Arial" w:hAnsi="Arial"/>
                <w:sz w:val="17"/>
                <w:szCs w:val="17"/>
                <w:color w:val="auto"/>
              </w:rPr>
              <w:t xml:space="preserve">Rocky Mountain </w:t>
            </w:r>
            <w:r>
              <w:rPr>
                <w:rFonts w:ascii="Arial" w:cs="Arial" w:eastAsia="Arial" w:hAnsi="Arial"/>
                <w:sz w:val="22"/>
                <w:szCs w:val="22"/>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7"/>
                <w:szCs w:val="17"/>
                <w:color w:val="auto"/>
              </w:rPr>
              <w:t>287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273</w:t>
            </w:r>
          </w:p>
        </w:tc>
      </w:tr>
      <w:tr>
        <w:trPr>
          <w:trHeight w:val="219"/>
        </w:trPr>
        <w:tc>
          <w:tcPr>
            <w:tcW w:w="8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Western</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r>
      <w:tr>
        <w:trPr>
          <w:trHeight w:val="218"/>
        </w:trPr>
        <w:tc>
          <w:tcPr>
            <w:tcW w:w="882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Canada</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w:t>
            </w:r>
          </w:p>
        </w:tc>
      </w:tr>
      <w:tr>
        <w:trPr>
          <w:trHeight w:val="213"/>
        </w:trPr>
        <w:tc>
          <w:tcPr>
            <w:tcW w:w="88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Crude oil pipelines</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6,974</w:t>
            </w:r>
          </w:p>
        </w:tc>
      </w:tr>
      <w:tr>
        <w:trPr>
          <w:trHeight w:val="218"/>
        </w:trPr>
        <w:tc>
          <w:tcPr>
            <w:tcW w:w="882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NGL pipelines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w:t>
            </w:r>
          </w:p>
        </w:tc>
      </w:tr>
      <w:tr>
        <w:trPr>
          <w:trHeight w:val="213"/>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Tariff activities total volumes</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7,161</w:t>
            </w:r>
          </w:p>
        </w:tc>
      </w:tr>
      <w:tr>
        <w:trPr>
          <w:trHeight w:val="218"/>
        </w:trPr>
        <w:tc>
          <w:tcPr>
            <w:tcW w:w="882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Trucking volumes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r>
      <w:tr>
        <w:trPr>
          <w:trHeight w:val="238"/>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Transportation segment total volumes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5,681</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7,255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38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19"/>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Facilities segment (average monthly volumes):</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9"/>
        </w:trPr>
        <w:tc>
          <w:tcPr>
            <w:tcW w:w="8820" w:type="dxa"/>
            <w:vAlign w:val="bottom"/>
            <w:gridSpan w:val="2"/>
          </w:tcPr>
          <w:p>
            <w:pPr>
              <w:ind w:left="120"/>
              <w:spacing w:after="0" w:line="219" w:lineRule="exact"/>
              <w:rPr>
                <w:sz w:val="20"/>
                <w:szCs w:val="20"/>
                <w:color w:val="auto"/>
              </w:rPr>
            </w:pPr>
            <w:r>
              <w:rPr>
                <w:rFonts w:ascii="Arial" w:cs="Arial" w:eastAsia="Arial" w:hAnsi="Arial"/>
                <w:sz w:val="17"/>
                <w:szCs w:val="17"/>
                <w:color w:val="auto"/>
              </w:rPr>
              <w:t xml:space="preserve">Liquids storage (average monthly capacity in millions of barrels) </w:t>
            </w:r>
            <w:r>
              <w:rPr>
                <w:rFonts w:ascii="Arial" w:cs="Arial" w:eastAsia="Arial" w:hAnsi="Arial"/>
                <w:sz w:val="22"/>
                <w:szCs w:val="22"/>
                <w:color w:val="auto"/>
                <w:vertAlign w:val="superscript"/>
              </w:rPr>
              <w:t>(3)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6"/>
        </w:trPr>
        <w:tc>
          <w:tcPr>
            <w:tcW w:w="8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Natural gas storage (average monthly working capacity in billions of cubic feet)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820" w:type="dxa"/>
            <w:vAlign w:val="bottom"/>
            <w:gridSpan w:val="2"/>
          </w:tcPr>
          <w:p>
            <w:pPr>
              <w:ind w:left="120"/>
              <w:spacing w:after="0" w:line="191" w:lineRule="exact"/>
              <w:rPr>
                <w:sz w:val="20"/>
                <w:szCs w:val="20"/>
                <w:color w:val="auto"/>
              </w:rPr>
            </w:pPr>
            <w:r>
              <w:rPr>
                <w:rFonts w:ascii="Arial" w:cs="Arial" w:eastAsia="Arial" w:hAnsi="Arial"/>
                <w:sz w:val="17"/>
                <w:szCs w:val="17"/>
                <w:color w:val="auto"/>
              </w:rPr>
              <w:t>NGL fractionation (average volumes in thousands of barrels per day)</w:t>
            </w:r>
          </w:p>
        </w:tc>
        <w:tc>
          <w:tcPr>
            <w:tcW w:w="11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144</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154</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6"/>
        </w:trPr>
        <w:tc>
          <w:tcPr>
            <w:tcW w:w="8820" w:type="dxa"/>
            <w:vAlign w:val="bottom"/>
            <w:tcBorders>
              <w:bottom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Facilities segment total volumes (average monthly volumes in millions of barrels) </w:t>
            </w:r>
            <w:r>
              <w:rPr>
                <w:rFonts w:ascii="Arial" w:cs="Arial" w:eastAsia="Arial" w:hAnsi="Arial"/>
                <w:sz w:val="22"/>
                <w:szCs w:val="22"/>
                <w:color w:val="auto"/>
                <w:vertAlign w:val="superscript"/>
              </w:rPr>
              <w:t>(4)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38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19"/>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Supply and Logistics segment (average daily volumes in thousands of barrels per day):</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8"/>
        </w:trPr>
        <w:tc>
          <w:tcPr>
            <w:tcW w:w="8820" w:type="dxa"/>
            <w:vAlign w:val="bottom"/>
            <w:gridSpan w:val="2"/>
          </w:tcPr>
          <w:p>
            <w:pPr>
              <w:ind w:left="120"/>
              <w:spacing w:after="0"/>
              <w:rPr>
                <w:sz w:val="20"/>
                <w:szCs w:val="20"/>
                <w:color w:val="auto"/>
              </w:rPr>
            </w:pPr>
            <w:r>
              <w:rPr>
                <w:rFonts w:ascii="Arial" w:cs="Arial" w:eastAsia="Arial" w:hAnsi="Arial"/>
                <w:sz w:val="17"/>
                <w:szCs w:val="17"/>
                <w:color w:val="auto"/>
              </w:rPr>
              <w:t>Crude oil lease gathering purchases</w:t>
            </w:r>
          </w:p>
        </w:tc>
        <w:tc>
          <w:tcPr>
            <w:tcW w:w="1160" w:type="dxa"/>
            <w:vAlign w:val="bottom"/>
          </w:tcPr>
          <w:p>
            <w:pPr>
              <w:jc w:val="right"/>
              <w:spacing w:after="0"/>
              <w:rPr>
                <w:sz w:val="20"/>
                <w:szCs w:val="20"/>
                <w:color w:val="auto"/>
              </w:rPr>
            </w:pPr>
            <w:r>
              <w:rPr>
                <w:rFonts w:ascii="Arial" w:cs="Arial" w:eastAsia="Arial" w:hAnsi="Arial"/>
                <w:sz w:val="17"/>
                <w:szCs w:val="17"/>
                <w:color w:val="auto"/>
              </w:rPr>
              <w:t>1,174</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1,318</w:t>
            </w:r>
          </w:p>
        </w:tc>
      </w:tr>
      <w:tr>
        <w:trPr>
          <w:trHeight w:val="219"/>
        </w:trPr>
        <w:tc>
          <w:tcPr>
            <w:tcW w:w="88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NGL sales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w:t>
            </w:r>
          </w:p>
        </w:tc>
      </w:tr>
      <w:tr>
        <w:trPr>
          <w:trHeight w:val="213"/>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Supply and Logistics segment total volumes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1,394</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1,538</w:t>
            </w:r>
          </w:p>
        </w:tc>
      </w:tr>
      <w:tr>
        <w:trPr>
          <w:trHeight w:val="20"/>
        </w:trPr>
        <w:tc>
          <w:tcPr>
            <w:tcW w:w="38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46"/>
        </w:trPr>
        <w:tc>
          <w:tcPr>
            <w:tcW w:w="3880" w:type="dxa"/>
            <w:vAlign w:val="bottom"/>
            <w:tcBorders>
              <w:bottom w:val="single" w:sz="8" w:color="auto"/>
            </w:tcBorders>
          </w:tcPr>
          <w:p>
            <w:pPr>
              <w:spacing w:after="0"/>
              <w:rPr>
                <w:sz w:val="12"/>
                <w:szCs w:val="12"/>
                <w:color w:val="auto"/>
              </w:rPr>
            </w:pPr>
          </w:p>
        </w:tc>
        <w:tc>
          <w:tcPr>
            <w:tcW w:w="4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bl>
    <w:p>
      <w:pPr>
        <w:spacing w:after="0" w:line="105" w:lineRule="exact"/>
        <w:rPr>
          <w:sz w:val="20"/>
          <w:szCs w:val="20"/>
          <w:color w:val="auto"/>
        </w:rPr>
      </w:pPr>
    </w:p>
    <w:p>
      <w:pPr>
        <w:ind w:left="300" w:hanging="297"/>
        <w:spacing w:after="0"/>
        <w:tabs>
          <w:tab w:leader="none" w:pos="300"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Average volumes are calculated as the total volumes (attributable to our interest) for the period divided by the number of days or months in the period.</w:t>
      </w:r>
    </w:p>
    <w:p>
      <w:pPr>
        <w:spacing w:after="0" w:line="54" w:lineRule="exact"/>
        <w:rPr>
          <w:rFonts w:ascii="Arial" w:cs="Arial" w:eastAsia="Arial" w:hAnsi="Arial"/>
          <w:sz w:val="21"/>
          <w:szCs w:val="21"/>
          <w:color w:val="auto"/>
          <w:vertAlign w:val="superscript"/>
        </w:rPr>
      </w:pPr>
    </w:p>
    <w:p>
      <w:pPr>
        <w:ind w:left="300" w:hanging="297"/>
        <w:spacing w:after="0" w:line="192" w:lineRule="auto"/>
        <w:tabs>
          <w:tab w:leader="none" w:pos="300"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Region includes volumes (attributable to our interest) from pipelines owned by unconsolidated entities.</w:t>
      </w:r>
    </w:p>
    <w:p>
      <w:pPr>
        <w:spacing w:after="0" w:line="55" w:lineRule="exact"/>
        <w:rPr>
          <w:rFonts w:ascii="Arial" w:cs="Arial" w:eastAsia="Arial" w:hAnsi="Arial"/>
          <w:sz w:val="22"/>
          <w:szCs w:val="22"/>
          <w:color w:val="auto"/>
          <w:vertAlign w:val="superscript"/>
        </w:rPr>
      </w:pPr>
    </w:p>
    <w:p>
      <w:pPr>
        <w:ind w:left="300" w:hanging="297"/>
        <w:spacing w:after="0" w:line="192" w:lineRule="auto"/>
        <w:tabs>
          <w:tab w:leader="none" w:pos="300"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Includes volumes (attributable to our interest) from facilities owned by unconsolidated entities.</w:t>
      </w:r>
    </w:p>
    <w:p>
      <w:pPr>
        <w:spacing w:after="0" w:line="55" w:lineRule="exact"/>
        <w:rPr>
          <w:rFonts w:ascii="Arial" w:cs="Arial" w:eastAsia="Arial" w:hAnsi="Arial"/>
          <w:sz w:val="22"/>
          <w:szCs w:val="22"/>
          <w:color w:val="auto"/>
          <w:vertAlign w:val="superscript"/>
        </w:rPr>
      </w:pPr>
    </w:p>
    <w:p>
      <w:pPr>
        <w:ind w:left="320" w:right="100" w:hanging="317"/>
        <w:spacing w:after="0" w:line="229" w:lineRule="auto"/>
        <w:tabs>
          <w:tab w:leader="none" w:pos="308"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Facilities segment total volumes are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96520</wp:posOffset>
            </wp:positionV>
            <wp:extent cx="7122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sectPr>
      </w:pPr>
    </w:p>
    <w:bookmarkStart w:id="22" w:name="page23"/>
    <w:bookmarkEnd w:id="22"/>
    <w:p>
      <w:pPr>
        <w:ind w:left="100"/>
        <w:spacing w:after="0"/>
        <w:rPr>
          <w:sz w:val="20"/>
          <w:szCs w:val="20"/>
          <w:color w:val="auto"/>
        </w:rPr>
      </w:pPr>
      <w:r>
        <w:rPr>
          <w:rFonts w:ascii="Arial" w:cs="Arial" w:eastAsia="Arial" w:hAnsi="Arial"/>
          <w:sz w:val="17"/>
          <w:szCs w:val="17"/>
          <w:u w:val="single" w:color="auto"/>
          <w:color w:val="auto"/>
        </w:rPr>
        <w:t>Page 20</w:t>
      </w:r>
    </w:p>
    <w:p>
      <w:pPr>
        <w:spacing w:after="0" w:line="34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2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57150</wp:posOffset>
            </wp:positionV>
            <wp:extent cx="7122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17"/>
          <w:szCs w:val="17"/>
          <w:b w:val="1"/>
          <w:bCs w:val="1"/>
          <w:u w:val="single" w:color="auto"/>
          <w:color w:val="auto"/>
        </w:rPr>
        <w:t>NON-GAAP SEGMENT RECONCILIATIONS</w:t>
      </w:r>
    </w:p>
    <w:p>
      <w:pPr>
        <w:spacing w:after="0" w:line="2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(in millions)</w:t>
      </w:r>
    </w:p>
    <w:p>
      <w:pPr>
        <w:spacing w:after="0" w:line="9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Fee-based Segment Adjusted EBITDA to Adjusted EBITDA Reconciliation:</w:t>
      </w:r>
    </w:p>
    <w:p>
      <w:pPr>
        <w:spacing w:after="0" w:line="263"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Three Months Ended</w:t>
      </w:r>
    </w:p>
    <w:tbl>
      <w:tblPr>
        <w:tblLayout w:type="fixed"/>
        <w:tblInd w:w="0" w:type="dxa"/>
        <w:tblCellMar>
          <w:top w:w="0" w:type="dxa"/>
          <w:left w:w="0" w:type="dxa"/>
          <w:bottom w:w="0" w:type="dxa"/>
          <w:right w:w="0" w:type="dxa"/>
        </w:tblCellMar>
      </w:tblPr>
      <w:tr>
        <w:trPr>
          <w:trHeight w:val="174"/>
        </w:trPr>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00" w:type="dxa"/>
            <w:vAlign w:val="bottom"/>
          </w:tcPr>
          <w:p>
            <w:pPr>
              <w:spacing w:after="0"/>
              <w:rPr>
                <w:sz w:val="14"/>
                <w:szCs w:val="14"/>
                <w:color w:val="auto"/>
              </w:rPr>
            </w:pPr>
          </w:p>
        </w:tc>
        <w:tc>
          <w:tcPr>
            <w:tcW w:w="3880" w:type="dxa"/>
            <w:vAlign w:val="bottom"/>
            <w:tcBorders>
              <w:bottom w:val="single" w:sz="8" w:color="CCEEFF"/>
            </w:tcBorders>
          </w:tcPr>
          <w:p>
            <w:pPr>
              <w:spacing w:after="0"/>
              <w:rPr>
                <w:sz w:val="14"/>
                <w:szCs w:val="14"/>
                <w:color w:val="auto"/>
              </w:rPr>
            </w:pPr>
          </w:p>
        </w:tc>
        <w:tc>
          <w:tcPr>
            <w:tcW w:w="48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Transportation Segment Adjusted EBITDA</w:t>
            </w:r>
          </w:p>
        </w:tc>
        <w:tc>
          <w:tcPr>
            <w:tcW w:w="4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0" w:type="dxa"/>
            <w:vAlign w:val="bottom"/>
          </w:tcPr>
          <w:p>
            <w:pPr>
              <w:spacing w:after="0"/>
              <w:rPr>
                <w:sz w:val="1"/>
                <w:szCs w:val="1"/>
                <w:color w:val="auto"/>
              </w:rPr>
            </w:pPr>
          </w:p>
        </w:tc>
      </w:tr>
      <w:tr>
        <w:trPr>
          <w:trHeight w:val="218"/>
        </w:trPr>
        <w:tc>
          <w:tcPr>
            <w:tcW w:w="3980" w:type="dxa"/>
            <w:vAlign w:val="bottom"/>
            <w:gridSpan w:val="2"/>
          </w:tcPr>
          <w:p>
            <w:pPr>
              <w:spacing w:after="0"/>
              <w:rPr>
                <w:sz w:val="20"/>
                <w:szCs w:val="20"/>
                <w:color w:val="auto"/>
              </w:rPr>
            </w:pPr>
            <w:r>
              <w:rPr>
                <w:rFonts w:ascii="Arial" w:cs="Arial" w:eastAsia="Arial" w:hAnsi="Arial"/>
                <w:sz w:val="17"/>
                <w:szCs w:val="17"/>
                <w:color w:val="auto"/>
              </w:rPr>
              <w:t>Facilities Segment Adjusted EBITDA</w:t>
            </w:r>
          </w:p>
        </w:tc>
        <w:tc>
          <w:tcPr>
            <w:tcW w:w="4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Fee-based Segment Adjusted EBITDA</w:t>
            </w:r>
          </w:p>
        </w:tc>
        <w:tc>
          <w:tcPr>
            <w:tcW w:w="4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0" w:type="dxa"/>
            <w:vAlign w:val="bottom"/>
          </w:tcPr>
          <w:p>
            <w:pPr>
              <w:spacing w:after="0"/>
              <w:rPr>
                <w:sz w:val="18"/>
                <w:szCs w:val="18"/>
                <w:color w:val="auto"/>
              </w:rPr>
            </w:pPr>
          </w:p>
        </w:tc>
        <w:tc>
          <w:tcPr>
            <w:tcW w:w="3880" w:type="dxa"/>
            <w:vAlign w:val="bottom"/>
            <w:vMerge w:val="continue"/>
            <w:shd w:val="clear" w:color="auto" w:fill="CCEEFF"/>
          </w:tcPr>
          <w:p>
            <w:pPr>
              <w:spacing w:after="0"/>
              <w:rPr>
                <w:sz w:val="18"/>
                <w:szCs w:val="18"/>
                <w:color w:val="auto"/>
              </w:rPr>
            </w:pPr>
          </w:p>
        </w:tc>
        <w:tc>
          <w:tcPr>
            <w:tcW w:w="482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0" w:type="dxa"/>
            <w:vAlign w:val="bottom"/>
          </w:tcPr>
          <w:p>
            <w:pPr>
              <w:spacing w:after="0"/>
              <w:rPr>
                <w:sz w:val="1"/>
                <w:szCs w:val="1"/>
                <w:color w:val="auto"/>
              </w:rPr>
            </w:pPr>
          </w:p>
        </w:tc>
      </w:tr>
      <w:tr>
        <w:trPr>
          <w:trHeight w:val="218"/>
        </w:trPr>
        <w:tc>
          <w:tcPr>
            <w:tcW w:w="3980" w:type="dxa"/>
            <w:vAlign w:val="bottom"/>
            <w:gridSpan w:val="2"/>
          </w:tcPr>
          <w:p>
            <w:pPr>
              <w:spacing w:after="0"/>
              <w:rPr>
                <w:sz w:val="20"/>
                <w:szCs w:val="20"/>
                <w:color w:val="auto"/>
              </w:rPr>
            </w:pPr>
            <w:r>
              <w:rPr>
                <w:rFonts w:ascii="Arial" w:cs="Arial" w:eastAsia="Arial" w:hAnsi="Arial"/>
                <w:sz w:val="17"/>
                <w:szCs w:val="17"/>
                <w:color w:val="auto"/>
              </w:rPr>
              <w:t>Supply and Logistics Segment Adjusted EBITDA</w:t>
            </w:r>
          </w:p>
        </w:tc>
        <w:tc>
          <w:tcPr>
            <w:tcW w:w="4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3880" w:type="dxa"/>
            <w:vAlign w:val="bottom"/>
            <w:shd w:val="clear" w:color="auto" w:fill="CCEEFF"/>
          </w:tcPr>
          <w:p>
            <w:pPr>
              <w:spacing w:after="0" w:line="221" w:lineRule="exact"/>
              <w:rPr>
                <w:sz w:val="20"/>
                <w:szCs w:val="20"/>
                <w:color w:val="auto"/>
              </w:rPr>
            </w:pPr>
            <w:r>
              <w:rPr>
                <w:rFonts w:ascii="Arial" w:cs="Arial" w:eastAsia="Arial" w:hAnsi="Arial"/>
                <w:sz w:val="17"/>
                <w:szCs w:val="17"/>
                <w:color w:val="auto"/>
              </w:rPr>
              <w:t xml:space="preserve">Adjusted other income/(expense), net </w:t>
            </w:r>
            <w:r>
              <w:rPr>
                <w:rFonts w:ascii="Arial" w:cs="Arial" w:eastAsia="Arial" w:hAnsi="Arial"/>
                <w:sz w:val="22"/>
                <w:szCs w:val="22"/>
                <w:color w:val="auto"/>
                <w:vertAlign w:val="superscript"/>
              </w:rPr>
              <w:t>(1)</w:t>
            </w:r>
          </w:p>
        </w:tc>
        <w:tc>
          <w:tcPr>
            <w:tcW w:w="48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line="212" w:lineRule="exact"/>
              <w:rPr>
                <w:sz w:val="20"/>
                <w:szCs w:val="20"/>
                <w:color w:val="auto"/>
              </w:rPr>
            </w:pPr>
            <w:r>
              <w:rPr>
                <w:rFonts w:ascii="Arial" w:cs="Arial" w:eastAsia="Arial" w:hAnsi="Arial"/>
                <w:sz w:val="17"/>
                <w:szCs w:val="17"/>
                <w:color w:val="auto"/>
              </w:rPr>
              <w:t xml:space="preserve">Adjusted EBITDA </w:t>
            </w:r>
            <w:r>
              <w:rPr>
                <w:rFonts w:ascii="Arial" w:cs="Arial" w:eastAsia="Arial" w:hAnsi="Arial"/>
                <w:sz w:val="22"/>
                <w:szCs w:val="22"/>
                <w:color w:val="auto"/>
                <w:vertAlign w:val="superscript"/>
              </w:rPr>
              <w:t>(2)</w:t>
            </w:r>
          </w:p>
        </w:tc>
        <w:tc>
          <w:tcPr>
            <w:tcW w:w="482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546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795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00" w:type="dxa"/>
            <w:vAlign w:val="bottom"/>
          </w:tcPr>
          <w:p>
            <w:pPr>
              <w:spacing w:after="0"/>
              <w:rPr>
                <w:sz w:val="17"/>
                <w:szCs w:val="17"/>
                <w:color w:val="auto"/>
              </w:rPr>
            </w:pPr>
          </w:p>
        </w:tc>
        <w:tc>
          <w:tcPr>
            <w:tcW w:w="3880" w:type="dxa"/>
            <w:vAlign w:val="bottom"/>
            <w:tcBorders>
              <w:bottom w:val="single" w:sz="8" w:color="auto"/>
            </w:tcBorders>
          </w:tcPr>
          <w:p>
            <w:pPr>
              <w:spacing w:after="0"/>
              <w:rPr>
                <w:sz w:val="17"/>
                <w:szCs w:val="17"/>
                <w:color w:val="auto"/>
              </w:rPr>
            </w:pPr>
          </w:p>
        </w:tc>
        <w:tc>
          <w:tcPr>
            <w:tcW w:w="4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420" w:right="60" w:hanging="317"/>
        <w:spacing w:after="0" w:line="234" w:lineRule="auto"/>
        <w:tabs>
          <w:tab w:leader="none" w:pos="408"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Represents “Other expense, net” as reported on our Condensed Consolidated Statements of Operations, adjusted for selected items impacting comparability of $60 million and $33 million for the three months ended March 31, 2021 and 2020, respectively. See the “Selected Items Impacting Comparability” table for additional information.</w:t>
      </w:r>
    </w:p>
    <w:p>
      <w:pPr>
        <w:spacing w:after="0" w:line="6" w:lineRule="exact"/>
        <w:rPr>
          <w:rFonts w:ascii="Arial" w:cs="Arial" w:eastAsia="Arial" w:hAnsi="Arial"/>
          <w:sz w:val="22"/>
          <w:szCs w:val="22"/>
          <w:color w:val="auto"/>
          <w:vertAlign w:val="superscript"/>
        </w:rPr>
      </w:pPr>
    </w:p>
    <w:p>
      <w:pPr>
        <w:ind w:left="400" w:hanging="297"/>
        <w:spacing w:after="0"/>
        <w:tabs>
          <w:tab w:leader="none" w:pos="400"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See the “Net Income/(Loss) to Adjusted EBITDA and Implied DCF Reconciliation” table for reconciliation to Net Income/(Loss).</w:t>
      </w:r>
    </w:p>
    <w:p>
      <w:pPr>
        <w:spacing w:after="0" w:line="31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Reconciliation of Segment Adjusted EBITDA to Segment Adjusted EBITDA further adjusted for impact of divested assets:</w:t>
      </w:r>
    </w:p>
    <w:p>
      <w:pPr>
        <w:spacing w:after="0" w:line="358"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Three Months Ended</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Three Months Ended</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March 31, 2021</w:t>
            </w:r>
          </w:p>
        </w:tc>
        <w:tc>
          <w:tcPr>
            <w:tcW w:w="5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March 31, 2020</w:t>
            </w: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tcPr>
          <w:p>
            <w:pPr>
              <w:ind w:left="60"/>
              <w:spacing w:after="0"/>
              <w:rPr>
                <w:sz w:val="20"/>
                <w:szCs w:val="20"/>
                <w:color w:val="auto"/>
              </w:rPr>
            </w:pPr>
            <w:r>
              <w:rPr>
                <w:rFonts w:ascii="Arial" w:cs="Arial" w:eastAsia="Arial" w:hAnsi="Arial"/>
                <w:sz w:val="15"/>
                <w:szCs w:val="15"/>
                <w:b w:val="1"/>
                <w:bCs w:val="1"/>
                <w:color w:val="auto"/>
              </w:rPr>
              <w:t>Transportation</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7"/>
              </w:rPr>
              <w:t>Facilities</w:t>
            </w:r>
          </w:p>
        </w:tc>
        <w:tc>
          <w:tcPr>
            <w:tcW w:w="1340" w:type="dxa"/>
            <w:vAlign w:val="bottom"/>
            <w:gridSpan w:val="2"/>
          </w:tcPr>
          <w:p>
            <w:pPr>
              <w:jc w:val="right"/>
              <w:spacing w:after="0"/>
              <w:rPr>
                <w:sz w:val="20"/>
                <w:szCs w:val="20"/>
                <w:color w:val="auto"/>
              </w:rPr>
            </w:pPr>
            <w:r>
              <w:rPr>
                <w:rFonts w:ascii="Arial" w:cs="Arial" w:eastAsia="Arial" w:hAnsi="Arial"/>
                <w:sz w:val="15"/>
                <w:szCs w:val="15"/>
                <w:b w:val="1"/>
                <w:bCs w:val="1"/>
                <w:color w:val="auto"/>
                <w:w w:val="86"/>
              </w:rPr>
              <w:t>Supply and Logistics</w:t>
            </w:r>
          </w:p>
        </w:tc>
        <w:tc>
          <w:tcPr>
            <w:tcW w:w="22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5"/>
                <w:szCs w:val="15"/>
                <w:b w:val="1"/>
                <w:bCs w:val="1"/>
                <w:color w:val="auto"/>
              </w:rPr>
              <w:t>Transportation</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7"/>
              </w:rPr>
              <w:t>Facilities</w:t>
            </w:r>
          </w:p>
        </w:tc>
        <w:tc>
          <w:tcPr>
            <w:tcW w:w="1360" w:type="dxa"/>
            <w:vAlign w:val="bottom"/>
            <w:gridSpan w:val="2"/>
          </w:tcPr>
          <w:p>
            <w:pPr>
              <w:ind w:left="20"/>
              <w:spacing w:after="0"/>
              <w:rPr>
                <w:sz w:val="20"/>
                <w:szCs w:val="20"/>
                <w:color w:val="auto"/>
              </w:rPr>
            </w:pPr>
            <w:r>
              <w:rPr>
                <w:rFonts w:ascii="Arial" w:cs="Arial" w:eastAsia="Arial" w:hAnsi="Arial"/>
                <w:sz w:val="15"/>
                <w:szCs w:val="15"/>
                <w:b w:val="1"/>
                <w:bCs w:val="1"/>
                <w:color w:val="auto"/>
                <w:w w:val="87"/>
              </w:rPr>
              <w:t>Supply and Logistics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Adjusted EBITDA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388</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210</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ind w:left="20"/>
              <w:spacing w:after="0" w:line="207" w:lineRule="exact"/>
              <w:rPr>
                <w:sz w:val="20"/>
                <w:szCs w:val="20"/>
                <w:color w:val="auto"/>
              </w:rPr>
            </w:pPr>
            <w:r>
              <w:rPr>
                <w:rFonts w:ascii="Arial" w:cs="Arial" w:eastAsia="Arial" w:hAnsi="Arial"/>
                <w:sz w:val="16"/>
                <w:szCs w:val="16"/>
                <w:color w:val="auto"/>
              </w:rPr>
              <w:t xml:space="preserve">Impact of divested assets </w:t>
            </w:r>
            <w:r>
              <w:rPr>
                <w:rFonts w:ascii="Arial" w:cs="Arial" w:eastAsia="Arial" w:hAnsi="Arial"/>
                <w:sz w:val="21"/>
                <w:szCs w:val="21"/>
                <w:color w:val="auto"/>
                <w:vertAlign w:val="superscript"/>
              </w:rPr>
              <w:t>(1)</w:t>
            </w:r>
          </w:p>
        </w:tc>
        <w:tc>
          <w:tcPr>
            <w:tcW w:w="140" w:type="dxa"/>
            <w:vAlign w:val="bottom"/>
          </w:tcPr>
          <w:p>
            <w:pPr>
              <w:spacing w:after="0"/>
              <w:rPr>
                <w:sz w:val="17"/>
                <w:szCs w:val="17"/>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900" w:type="dxa"/>
            <w:vAlign w:val="bottom"/>
            <w:tcBorders>
              <w:right w:val="single" w:sz="8" w:color="auto"/>
            </w:tcBorders>
            <w:gridSpan w:val="2"/>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ind w:left="900"/>
              <w:spacing w:after="0"/>
              <w:rPr>
                <w:sz w:val="20"/>
                <w:szCs w:val="20"/>
                <w:color w:val="auto"/>
              </w:rPr>
            </w:pPr>
            <w:r>
              <w:rPr>
                <w:rFonts w:ascii="Arial" w:cs="Arial" w:eastAsia="Arial" w:hAnsi="Arial"/>
                <w:sz w:val="16"/>
                <w:szCs w:val="16"/>
                <w:color w:val="auto"/>
                <w:w w:val="98"/>
              </w:rPr>
              <w:t>(18)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Borders>
              <w:top w:val="single" w:sz="8" w:color="CCEEFF"/>
            </w:tcBorders>
            <w:shd w:val="clear" w:color="auto" w:fill="CCEEFF"/>
          </w:tcPr>
          <w:p>
            <w:pPr>
              <w:ind w:left="20"/>
              <w:spacing w:after="0" w:line="135" w:lineRule="exact"/>
              <w:rPr>
                <w:sz w:val="20"/>
                <w:szCs w:val="20"/>
                <w:color w:val="auto"/>
              </w:rPr>
            </w:pPr>
            <w:r>
              <w:rPr>
                <w:rFonts w:ascii="Arial" w:cs="Arial" w:eastAsia="Arial" w:hAnsi="Arial"/>
                <w:sz w:val="15"/>
                <w:szCs w:val="15"/>
                <w:color w:val="auto"/>
              </w:rPr>
              <w:t>Segment Adjusted EBITDA further</w:t>
            </w:r>
          </w:p>
        </w:tc>
        <w:tc>
          <w:tcPr>
            <w:tcW w:w="14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60" w:type="dxa"/>
            <w:vAlign w:val="bottom"/>
            <w:shd w:val="clear" w:color="auto" w:fill="CCEEFF"/>
          </w:tcPr>
          <w:p>
            <w:pPr>
              <w:ind w:left="160"/>
              <w:spacing w:after="0" w:line="155" w:lineRule="exact"/>
              <w:rPr>
                <w:sz w:val="20"/>
                <w:szCs w:val="20"/>
                <w:color w:val="auto"/>
              </w:rPr>
            </w:pPr>
            <w:r>
              <w:rPr>
                <w:rFonts w:ascii="Arial" w:cs="Arial" w:eastAsia="Arial" w:hAnsi="Arial"/>
                <w:sz w:val="16"/>
                <w:szCs w:val="16"/>
                <w:color w:val="auto"/>
              </w:rPr>
              <w:t>adjusted for impact of divested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388</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ind w:left="880"/>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tcBorders>
              <w:bottom w:val="single" w:sz="8" w:color="CCEEFF"/>
            </w:tcBorders>
            <w:shd w:val="clear" w:color="auto" w:fill="CCEEFF"/>
          </w:tcPr>
          <w:p>
            <w:pPr>
              <w:ind w:left="160"/>
              <w:spacing w:after="0" w:line="181" w:lineRule="exact"/>
              <w:rPr>
                <w:sz w:val="20"/>
                <w:szCs w:val="20"/>
                <w:color w:val="auto"/>
              </w:rPr>
            </w:pPr>
            <w:r>
              <w:rPr>
                <w:rFonts w:ascii="Arial" w:cs="Arial" w:eastAsia="Arial" w:hAnsi="Arial"/>
                <w:sz w:val="16"/>
                <w:szCs w:val="16"/>
                <w:color w:val="auto"/>
              </w:rPr>
              <w:t>assets</w:t>
            </w: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both"/>
        <w:ind w:left="420" w:right="140" w:hanging="317"/>
        <w:spacing w:after="0" w:line="226" w:lineRule="auto"/>
        <w:tabs>
          <w:tab w:leader="none" w:pos="408"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Estimated impact of divestitures completed during 2020 and 2021, assuming an effective date of January 1, 2020. Divested assets primarily included certain NGL storage terminals and Los Angeles Basin crude oil storage terminals that were previously included in our Facilities segment and the sale of a portion of our interest in a joint venture pipeline that was previously reported in our Transportation segment.</w:t>
      </w:r>
    </w:p>
    <w:p>
      <w:pPr>
        <w:ind w:left="5540" w:hanging="93"/>
        <w:spacing w:after="0"/>
        <w:tabs>
          <w:tab w:leader="none" w:pos="55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87630</wp:posOffset>
            </wp:positionV>
            <wp:extent cx="7122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29" w:lineRule="exact"/>
        <w:rPr>
          <w:sz w:val="20"/>
          <w:szCs w:val="20"/>
          <w:color w:val="auto"/>
        </w:rPr>
      </w:pPr>
    </w:p>
    <w:p>
      <w:pPr>
        <w:ind w:left="1860"/>
        <w:spacing w:after="0"/>
        <w:tabs>
          <w:tab w:leader="none" w:pos="4900" w:val="left"/>
          <w:tab w:leader="none" w:pos="75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340"/>
          </w:cols>
          <w:pgMar w:left="220" w:top="359"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auto"/>
        </w:rPr>
        <w:t>Page 21</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22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CONSOLIDATING STATEMENTS OF OPERATIONS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share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Three Months Ended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Three Months Ended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March 31, 2021</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March 31, 2020</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Consolidating</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Consolidating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354"/>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6"/>
              <w:spacing w:after="0" w:line="193" w:lineRule="exact"/>
              <w:rPr>
                <w:sz w:val="20"/>
                <w:szCs w:val="20"/>
                <w:color w:val="auto"/>
              </w:rPr>
            </w:pPr>
            <w:r>
              <w:rPr>
                <w:rFonts w:ascii="Arial" w:cs="Arial" w:eastAsia="Arial" w:hAnsi="Arial"/>
                <w:sz w:val="14"/>
                <w:szCs w:val="14"/>
                <w:b w:val="1"/>
                <w:bCs w:val="1"/>
                <w:color w:val="auto"/>
                <w:w w:val="85"/>
              </w:rPr>
              <w:t xml:space="preserve">Adjustments </w:t>
            </w:r>
            <w:r>
              <w:rPr>
                <w:rFonts w:ascii="Arial" w:cs="Arial" w:eastAsia="Arial" w:hAnsi="Arial"/>
                <w:sz w:val="17"/>
                <w:szCs w:val="17"/>
                <w:b w:val="1"/>
                <w:bCs w:val="1"/>
                <w:color w:val="auto"/>
                <w:w w:val="85"/>
                <w:vertAlign w:val="superscript"/>
              </w:rPr>
              <w:t>(1)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PAGP</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PAA</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7"/>
              <w:spacing w:after="0" w:line="193" w:lineRule="exact"/>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8,383</w:t>
            </w:r>
          </w:p>
        </w:tc>
        <w:tc>
          <w:tcPr>
            <w:tcW w:w="12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8,269</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140" w:type="dxa"/>
            <w:vAlign w:val="bottom"/>
          </w:tcPr>
          <w:p>
            <w:pPr>
              <w:ind w:left="20"/>
              <w:spacing w:after="0"/>
              <w:rPr>
                <w:sz w:val="20"/>
                <w:szCs w:val="20"/>
                <w:color w:val="auto"/>
              </w:rPr>
            </w:pPr>
            <w:r>
              <w:rPr>
                <w:rFonts w:ascii="Arial" w:cs="Arial" w:eastAsia="Arial" w:hAnsi="Arial"/>
                <w:sz w:val="17"/>
                <w:szCs w:val="17"/>
                <w:color w:val="auto"/>
              </w:rPr>
              <w:t>Purchases and related costs</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7,392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7,392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7,367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7,367</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Field operating costs</w:t>
            </w: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0" w:type="dxa"/>
            <w:vAlign w:val="bottom"/>
          </w:tcPr>
          <w:p>
            <w:pPr>
              <w:spacing w:after="0"/>
              <w:rPr>
                <w:sz w:val="1"/>
                <w:szCs w:val="1"/>
                <w:color w:val="auto"/>
              </w:rPr>
            </w:pPr>
          </w:p>
        </w:tc>
      </w:tr>
      <w:tr>
        <w:trPr>
          <w:trHeight w:val="218"/>
        </w:trPr>
        <w:tc>
          <w:tcPr>
            <w:tcW w:w="314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68</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168"/>
        </w:trPr>
        <w:tc>
          <w:tcPr>
            <w:tcW w:w="3140" w:type="dxa"/>
            <w:vAlign w:val="bottom"/>
          </w:tcPr>
          <w:p>
            <w:pPr>
              <w:ind w:left="20"/>
              <w:spacing w:after="0" w:line="168" w:lineRule="exact"/>
              <w:rPr>
                <w:sz w:val="20"/>
                <w:szCs w:val="20"/>
                <w:color w:val="auto"/>
              </w:rPr>
            </w:pPr>
            <w:r>
              <w:rPr>
                <w:rFonts w:ascii="Arial" w:cs="Arial" w:eastAsia="Arial" w:hAnsi="Arial"/>
                <w:sz w:val="17"/>
                <w:szCs w:val="17"/>
                <w:color w:val="auto"/>
              </w:rPr>
              <w:t>(Gains)/losses on asset sales and asset</w:t>
            </w:r>
          </w:p>
        </w:tc>
        <w:tc>
          <w:tcPr>
            <w:tcW w:w="280" w:type="dxa"/>
            <w:vAlign w:val="bottom"/>
          </w:tcPr>
          <w:p>
            <w:pPr>
              <w:spacing w:after="0"/>
              <w:rPr>
                <w:sz w:val="14"/>
                <w:szCs w:val="14"/>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619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619</w:t>
            </w:r>
          </w:p>
        </w:tc>
        <w:tc>
          <w:tcPr>
            <w:tcW w:w="0" w:type="dxa"/>
            <w:vAlign w:val="bottom"/>
          </w:tcPr>
          <w:p>
            <w:pPr>
              <w:spacing w:after="0"/>
              <w:rPr>
                <w:sz w:val="1"/>
                <w:szCs w:val="1"/>
                <w:color w:val="auto"/>
              </w:rPr>
            </w:pPr>
          </w:p>
        </w:tc>
      </w:tr>
      <w:tr>
        <w:trPr>
          <w:trHeight w:val="218"/>
        </w:trPr>
        <w:tc>
          <w:tcPr>
            <w:tcW w:w="3140" w:type="dxa"/>
            <w:vAlign w:val="bottom"/>
          </w:tcPr>
          <w:p>
            <w:pPr>
              <w:ind w:left="180"/>
              <w:spacing w:after="0"/>
              <w:rPr>
                <w:sz w:val="20"/>
                <w:szCs w:val="20"/>
                <w:color w:val="auto"/>
              </w:rPr>
            </w:pPr>
            <w:r>
              <w:rPr>
                <w:rFonts w:ascii="Arial" w:cs="Arial" w:eastAsia="Arial" w:hAnsi="Arial"/>
                <w:sz w:val="17"/>
                <w:szCs w:val="17"/>
                <w:color w:val="auto"/>
              </w:rPr>
              <w:t>impairments, net</w:t>
            </w:r>
          </w:p>
        </w:tc>
        <w:tc>
          <w:tcPr>
            <w:tcW w:w="2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impairment losses</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w:t>
            </w:r>
          </w:p>
        </w:tc>
        <w:tc>
          <w:tcPr>
            <w:tcW w:w="0" w:type="dxa"/>
            <w:vAlign w:val="bottom"/>
          </w:tcPr>
          <w:p>
            <w:pPr>
              <w:spacing w:after="0"/>
              <w:rPr>
                <w:sz w:val="1"/>
                <w:szCs w:val="1"/>
                <w:color w:val="auto"/>
              </w:rPr>
            </w:pPr>
          </w:p>
        </w:tc>
      </w:tr>
      <w:tr>
        <w:trPr>
          <w:trHeight w:val="211"/>
        </w:trPr>
        <w:tc>
          <w:tcPr>
            <w:tcW w:w="3140" w:type="dxa"/>
            <w:vAlign w:val="bottom"/>
          </w:tcPr>
          <w:p>
            <w:pPr>
              <w:ind w:left="180"/>
              <w:spacing w:after="0"/>
              <w:rPr>
                <w:sz w:val="20"/>
                <w:szCs w:val="20"/>
                <w:color w:val="auto"/>
              </w:rPr>
            </w:pPr>
            <w:r>
              <w:rPr>
                <w:rFonts w:ascii="Arial" w:cs="Arial" w:eastAsia="Arial" w:hAnsi="Arial"/>
                <w:sz w:val="17"/>
                <w:szCs w:val="17"/>
                <w:color w:val="auto"/>
              </w:rPr>
              <w:t>Total costs and expenses</w:t>
            </w: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7,857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7,859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11,042</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11,044</w:t>
            </w:r>
          </w:p>
        </w:tc>
        <w:tc>
          <w:tcPr>
            <w:tcW w:w="0" w:type="dxa"/>
            <w:vAlign w:val="bottom"/>
          </w:tcPr>
          <w:p>
            <w:pPr>
              <w:spacing w:after="0"/>
              <w:rPr>
                <w:sz w:val="1"/>
                <w:szCs w:val="1"/>
                <w:color w:val="auto"/>
              </w:rPr>
            </w:pPr>
          </w:p>
        </w:tc>
      </w:tr>
      <w:tr>
        <w:trPr>
          <w:trHeight w:val="143"/>
        </w:trPr>
        <w:tc>
          <w:tcPr>
            <w:tcW w:w="3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OPERATING INCOME/(LOSS)</w:t>
            </w:r>
          </w:p>
        </w:tc>
        <w:tc>
          <w:tcPr>
            <w:tcW w:w="2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526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524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(2,773)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(2,775)</w:t>
            </w:r>
          </w:p>
        </w:tc>
        <w:tc>
          <w:tcPr>
            <w:tcW w:w="0" w:type="dxa"/>
            <w:vAlign w:val="bottom"/>
          </w:tcPr>
          <w:p>
            <w:pPr>
              <w:spacing w:after="0"/>
              <w:rPr>
                <w:sz w:val="1"/>
                <w:szCs w:val="1"/>
                <w:color w:val="auto"/>
              </w:rPr>
            </w:pPr>
          </w:p>
        </w:tc>
      </w:tr>
      <w:tr>
        <w:trPr>
          <w:trHeight w:val="142"/>
        </w:trPr>
        <w:tc>
          <w:tcPr>
            <w:tcW w:w="3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Equity earnings in unconsolidated entities</w:t>
            </w: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168"/>
        </w:trPr>
        <w:tc>
          <w:tcPr>
            <w:tcW w:w="3140" w:type="dxa"/>
            <w:vAlign w:val="bottom"/>
          </w:tcPr>
          <w:p>
            <w:pPr>
              <w:ind w:left="20"/>
              <w:spacing w:after="0" w:line="168" w:lineRule="exact"/>
              <w:rPr>
                <w:sz w:val="20"/>
                <w:szCs w:val="20"/>
                <w:color w:val="auto"/>
              </w:rPr>
            </w:pPr>
            <w:r>
              <w:rPr>
                <w:rFonts w:ascii="Arial" w:cs="Arial" w:eastAsia="Arial" w:hAnsi="Arial"/>
                <w:sz w:val="17"/>
                <w:szCs w:val="17"/>
                <w:color w:val="auto"/>
              </w:rPr>
              <w:t>Gain on/(impairment of) investments in</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8"/>
        </w:trPr>
        <w:tc>
          <w:tcPr>
            <w:tcW w:w="3140" w:type="dxa"/>
            <w:vAlign w:val="bottom"/>
          </w:tcPr>
          <w:p>
            <w:pPr>
              <w:ind w:left="180"/>
              <w:spacing w:after="0"/>
              <w:rPr>
                <w:sz w:val="20"/>
                <w:szCs w:val="20"/>
                <w:color w:val="auto"/>
              </w:rPr>
            </w:pPr>
            <w:r>
              <w:rPr>
                <w:rFonts w:ascii="Arial" w:cs="Arial" w:eastAsia="Arial" w:hAnsi="Arial"/>
                <w:sz w:val="17"/>
                <w:szCs w:val="17"/>
                <w:color w:val="auto"/>
              </w:rPr>
              <w:t>unconsolidated entities, net</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18"/>
        </w:trPr>
        <w:tc>
          <w:tcPr>
            <w:tcW w:w="3140" w:type="dxa"/>
            <w:vAlign w:val="bottom"/>
          </w:tcPr>
          <w:p>
            <w:pPr>
              <w:ind w:left="20"/>
              <w:spacing w:after="0"/>
              <w:rPr>
                <w:sz w:val="20"/>
                <w:szCs w:val="20"/>
                <w:color w:val="auto"/>
              </w:rPr>
            </w:pPr>
            <w:r>
              <w:rPr>
                <w:rFonts w:ascii="Arial" w:cs="Arial" w:eastAsia="Arial" w:hAnsi="Arial"/>
                <w:sz w:val="17"/>
                <w:szCs w:val="17"/>
                <w:color w:val="auto"/>
              </w:rPr>
              <w:t>Other expense, net</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123"/>
        </w:trPr>
        <w:tc>
          <w:tcPr>
            <w:tcW w:w="314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right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3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INCOME/(LOSS) BEFORE TAX</w:t>
            </w:r>
          </w:p>
        </w:tc>
        <w:tc>
          <w:tcPr>
            <w:tcW w:w="2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447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445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(2,824)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(2,826)</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income tax expense</w:t>
            </w: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8"/>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income tax (expense)/benefit</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123"/>
        </w:trPr>
        <w:tc>
          <w:tcPr>
            <w:tcW w:w="3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NET INCOME/(LOSS)</w:t>
            </w:r>
          </w:p>
        </w:tc>
        <w:tc>
          <w:tcPr>
            <w:tcW w:w="2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423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(2,845)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(2,692)</w:t>
            </w:r>
          </w:p>
        </w:tc>
        <w:tc>
          <w:tcPr>
            <w:tcW w:w="0" w:type="dxa"/>
            <w:vAlign w:val="bottom"/>
          </w:tcPr>
          <w:p>
            <w:pPr>
              <w:spacing w:after="0"/>
              <w:rPr>
                <w:sz w:val="1"/>
                <w:szCs w:val="1"/>
                <w:color w:val="auto"/>
              </w:rPr>
            </w:pPr>
          </w:p>
        </w:tc>
      </w:tr>
      <w:tr>
        <w:trPr>
          <w:trHeight w:val="168"/>
        </w:trPr>
        <w:tc>
          <w:tcPr>
            <w:tcW w:w="3140" w:type="dxa"/>
            <w:vAlign w:val="bottom"/>
            <w:shd w:val="clear" w:color="auto" w:fill="CCEEFF"/>
          </w:tcPr>
          <w:p>
            <w:pPr>
              <w:ind w:left="180"/>
              <w:spacing w:after="0" w:line="168" w:lineRule="exact"/>
              <w:rPr>
                <w:sz w:val="20"/>
                <w:szCs w:val="20"/>
                <w:color w:val="auto"/>
              </w:rPr>
            </w:pPr>
            <w:r>
              <w:rPr>
                <w:rFonts w:ascii="Arial" w:cs="Arial" w:eastAsia="Arial" w:hAnsi="Arial"/>
                <w:sz w:val="17"/>
                <w:szCs w:val="17"/>
                <w:color w:val="auto"/>
              </w:rPr>
              <w:t>Net (income)/loss attributable to</w:t>
            </w:r>
          </w:p>
        </w:tc>
        <w:tc>
          <w:tcPr>
            <w:tcW w:w="2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2,113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2,111</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140" w:type="dxa"/>
            <w:vAlign w:val="bottom"/>
          </w:tcPr>
          <w:p>
            <w:pPr>
              <w:ind w:left="20"/>
              <w:spacing w:after="0" w:line="148" w:lineRule="exact"/>
              <w:rPr>
                <w:sz w:val="20"/>
                <w:szCs w:val="20"/>
                <w:color w:val="auto"/>
              </w:rPr>
            </w:pPr>
            <w:r>
              <w:rPr>
                <w:rFonts w:ascii="Arial" w:cs="Arial" w:eastAsia="Arial" w:hAnsi="Arial"/>
                <w:sz w:val="17"/>
                <w:szCs w:val="17"/>
                <w:b w:val="1"/>
                <w:bCs w:val="1"/>
                <w:color w:val="auto"/>
              </w:rPr>
              <w:t>NET INCOME/(LOSS) ATTRIBUTABLE</w:t>
            </w:r>
          </w:p>
        </w:tc>
        <w:tc>
          <w:tcPr>
            <w:tcW w:w="280" w:type="dxa"/>
            <w:vAlign w:val="bottom"/>
            <w:vMerge w:val="restart"/>
          </w:tcPr>
          <w:p>
            <w:pPr>
              <w:jc w:val="right"/>
              <w:ind w:right="74"/>
              <w:spacing w:after="0"/>
              <w:rPr>
                <w:sz w:val="20"/>
                <w:szCs w:val="20"/>
                <w:color w:val="auto"/>
              </w:rPr>
            </w:pPr>
            <w:r>
              <w:rPr>
                <w:rFonts w:ascii="Arial" w:cs="Arial" w:eastAsia="Arial" w:hAnsi="Arial"/>
                <w:sz w:val="17"/>
                <w:szCs w:val="17"/>
                <w:color w:val="auto"/>
              </w:rPr>
              <w:t>$</w:t>
            </w:r>
          </w:p>
        </w:tc>
        <w:tc>
          <w:tcPr>
            <w:tcW w:w="860" w:type="dxa"/>
            <w:vAlign w:val="bottom"/>
            <w:gridSpan w:val="2"/>
            <w:vMerge w:val="restart"/>
          </w:tcPr>
          <w:p>
            <w:pPr>
              <w:jc w:val="right"/>
              <w:spacing w:after="0"/>
              <w:rPr>
                <w:sz w:val="20"/>
                <w:szCs w:val="20"/>
                <w:color w:val="auto"/>
              </w:rPr>
            </w:pPr>
            <w:r>
              <w:rPr>
                <w:rFonts w:ascii="Arial" w:cs="Arial" w:eastAsia="Arial" w:hAnsi="Arial"/>
                <w:sz w:val="17"/>
                <w:szCs w:val="17"/>
                <w:color w:val="auto"/>
              </w:rPr>
              <w:t>422</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(352)</w:t>
            </w:r>
          </w:p>
        </w:tc>
        <w:tc>
          <w:tcPr>
            <w:tcW w:w="100" w:type="dxa"/>
            <w:vAlign w:val="bottom"/>
          </w:tcPr>
          <w:p>
            <w:pPr>
              <w:spacing w:after="0"/>
              <w:rPr>
                <w:sz w:val="12"/>
                <w:szCs w:val="12"/>
                <w:color w:val="auto"/>
              </w:rPr>
            </w:pP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70</w:t>
            </w:r>
          </w:p>
        </w:tc>
        <w:tc>
          <w:tcPr>
            <w:tcW w:w="120" w:type="dxa"/>
            <w:vAlign w:val="bottom"/>
            <w:tcBorders>
              <w:right w:val="single" w:sz="8" w:color="auto"/>
            </w:tcBorders>
          </w:tcPr>
          <w:p>
            <w:pPr>
              <w:spacing w:after="0"/>
              <w:rPr>
                <w:sz w:val="12"/>
                <w:szCs w:val="12"/>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(2,847)</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vMerge w:val="restart"/>
          </w:tcPr>
          <w:p>
            <w:pPr>
              <w:jc w:val="right"/>
              <w:spacing w:after="0"/>
              <w:rPr>
                <w:sz w:val="20"/>
                <w:szCs w:val="20"/>
                <w:color w:val="auto"/>
              </w:rPr>
            </w:pPr>
            <w:r>
              <w:rPr>
                <w:rFonts w:ascii="Arial" w:cs="Arial" w:eastAsia="Arial" w:hAnsi="Arial"/>
                <w:sz w:val="17"/>
                <w:szCs w:val="17"/>
                <w:color w:val="auto"/>
              </w:rPr>
              <w:t>2,266</w:t>
            </w:r>
          </w:p>
        </w:tc>
        <w:tc>
          <w:tcPr>
            <w:tcW w:w="100" w:type="dxa"/>
            <w:vAlign w:val="bottom"/>
          </w:tcPr>
          <w:p>
            <w:pPr>
              <w:spacing w:after="0"/>
              <w:rPr>
                <w:sz w:val="12"/>
                <w:szCs w:val="12"/>
                <w:color w:val="auto"/>
              </w:rPr>
            </w:pPr>
          </w:p>
        </w:tc>
        <w:tc>
          <w:tcPr>
            <w:tcW w:w="260" w:type="dxa"/>
            <w:vAlign w:val="bottom"/>
            <w:vMerge w:val="restart"/>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(581)</w:t>
            </w:r>
          </w:p>
        </w:tc>
        <w:tc>
          <w:tcPr>
            <w:tcW w:w="0" w:type="dxa"/>
            <w:vAlign w:val="bottom"/>
          </w:tcPr>
          <w:p>
            <w:pPr>
              <w:spacing w:after="0"/>
              <w:rPr>
                <w:sz w:val="1"/>
                <w:szCs w:val="1"/>
                <w:color w:val="auto"/>
              </w:rPr>
            </w:pPr>
          </w:p>
        </w:tc>
      </w:tr>
      <w:tr>
        <w:trPr>
          <w:trHeight w:val="193"/>
        </w:trPr>
        <w:tc>
          <w:tcPr>
            <w:tcW w:w="3140" w:type="dxa"/>
            <w:vAlign w:val="bottom"/>
          </w:tcPr>
          <w:p>
            <w:pPr>
              <w:ind w:left="180"/>
              <w:spacing w:after="0" w:line="194" w:lineRule="exact"/>
              <w:rPr>
                <w:sz w:val="20"/>
                <w:szCs w:val="20"/>
                <w:color w:val="auto"/>
              </w:rPr>
            </w:pPr>
            <w:r>
              <w:rPr>
                <w:rFonts w:ascii="Arial" w:cs="Arial" w:eastAsia="Arial" w:hAnsi="Arial"/>
                <w:sz w:val="17"/>
                <w:szCs w:val="17"/>
                <w:b w:val="1"/>
                <w:bCs w:val="1"/>
                <w:color w:val="auto"/>
              </w:rPr>
              <w:t>TO PAGP</w:t>
            </w:r>
          </w:p>
        </w:tc>
        <w:tc>
          <w:tcPr>
            <w:tcW w:w="28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5900" w:type="dxa"/>
            <w:vAlign w:val="bottom"/>
            <w:gridSpan w:val="8"/>
          </w:tcPr>
          <w:p>
            <w:pPr>
              <w:ind w:left="20"/>
              <w:spacing w:after="0"/>
              <w:rPr>
                <w:sz w:val="20"/>
                <w:szCs w:val="20"/>
                <w:color w:val="auto"/>
              </w:rPr>
            </w:pPr>
            <w:r>
              <w:rPr>
                <w:rFonts w:ascii="Arial" w:cs="Arial" w:eastAsia="Arial" w:hAnsi="Arial"/>
                <w:sz w:val="17"/>
                <w:szCs w:val="17"/>
                <w:b w:val="1"/>
                <w:bCs w:val="1"/>
                <w:color w:val="auto"/>
              </w:rPr>
              <w:t>BASIC AND DILUTED NET INCOME/(LOSS) PER CLASS A SHARE</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5900" w:type="dxa"/>
            <w:vAlign w:val="bottom"/>
            <w:gridSpan w:val="8"/>
          </w:tcPr>
          <w:p>
            <w:pPr>
              <w:ind w:left="20"/>
              <w:spacing w:after="0" w:line="167" w:lineRule="exact"/>
              <w:rPr>
                <w:sz w:val="20"/>
                <w:szCs w:val="20"/>
                <w:color w:val="auto"/>
              </w:rPr>
            </w:pPr>
            <w:r>
              <w:rPr>
                <w:rFonts w:ascii="Arial" w:cs="Arial" w:eastAsia="Arial" w:hAnsi="Arial"/>
                <w:sz w:val="17"/>
                <w:szCs w:val="17"/>
                <w:b w:val="1"/>
                <w:bCs w:val="1"/>
                <w:color w:val="auto"/>
              </w:rPr>
              <w:t>BASIC AND DILUTED WEIGHTED AVERAGE CLASS A SHARES</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194</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33"/>
        </w:trPr>
        <w:tc>
          <w:tcPr>
            <w:tcW w:w="3140" w:type="dxa"/>
            <w:vAlign w:val="bottom"/>
          </w:tcPr>
          <w:p>
            <w:pPr>
              <w:ind w:left="20"/>
              <w:spacing w:after="0" w:line="194" w:lineRule="exact"/>
              <w:rPr>
                <w:sz w:val="20"/>
                <w:szCs w:val="20"/>
                <w:color w:val="auto"/>
              </w:rPr>
            </w:pPr>
            <w:r>
              <w:rPr>
                <w:rFonts w:ascii="Arial" w:cs="Arial" w:eastAsia="Arial" w:hAnsi="Arial"/>
                <w:sz w:val="17"/>
                <w:szCs w:val="17"/>
                <w:b w:val="1"/>
                <w:bCs w:val="1"/>
                <w:color w:val="auto"/>
              </w:rPr>
              <w:t>OUTSTANDING</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3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00" w:hanging="297"/>
        <w:spacing w:after="0"/>
        <w:tabs>
          <w:tab w:leader="none" w:pos="300"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ind w:left="5440" w:hanging="93"/>
        <w:spacing w:after="0"/>
        <w:tabs>
          <w:tab w:leader="none" w:pos="54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87630</wp:posOffset>
            </wp:positionV>
            <wp:extent cx="7122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29"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160"/>
          </w:cols>
          <w:pgMar w:left="320" w:top="359" w:right="41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auto"/>
        </w:rPr>
        <w:t>Page 22</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22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CONSOLIDATING BALANCE SHEET DATA</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March 31, 2021</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7"/>
              </w:rPr>
              <w:t>December 31, 2020</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Consolidating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Consolidating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3"/>
          </w:tcPr>
          <w:p>
            <w:pPr>
              <w:ind w:left="180"/>
              <w:spacing w:after="0"/>
              <w:rPr>
                <w:sz w:val="20"/>
                <w:szCs w:val="20"/>
                <w:color w:val="auto"/>
              </w:rPr>
            </w:pPr>
            <w:r>
              <w:rPr>
                <w:rFonts w:ascii="Arial" w:cs="Arial" w:eastAsia="Arial" w:hAnsi="Arial"/>
                <w:sz w:val="14"/>
                <w:szCs w:val="14"/>
                <w:b w:val="1"/>
                <w:bCs w:val="1"/>
                <w:color w:val="auto"/>
              </w:rPr>
              <w:t>PAA</w:t>
            </w:r>
          </w:p>
        </w:tc>
        <w:tc>
          <w:tcPr>
            <w:tcW w:w="180" w:type="dxa"/>
            <w:vAlign w:val="bottom"/>
          </w:tcPr>
          <w:p>
            <w:pPr>
              <w:spacing w:after="0"/>
              <w:rPr>
                <w:sz w:val="16"/>
                <w:szCs w:val="16"/>
                <w:color w:val="auto"/>
              </w:rPr>
            </w:pPr>
          </w:p>
        </w:tc>
        <w:tc>
          <w:tcPr>
            <w:tcW w:w="1340" w:type="dxa"/>
            <w:vAlign w:val="bottom"/>
            <w:gridSpan w:val="2"/>
          </w:tcPr>
          <w:p>
            <w:pPr>
              <w:jc w:val="center"/>
              <w:ind w:right="260"/>
              <w:spacing w:after="0" w:line="193" w:lineRule="exact"/>
              <w:rPr>
                <w:sz w:val="20"/>
                <w:szCs w:val="20"/>
                <w:color w:val="auto"/>
              </w:rPr>
            </w:pPr>
            <w:r>
              <w:rPr>
                <w:rFonts w:ascii="Arial" w:cs="Arial" w:eastAsia="Arial" w:hAnsi="Arial"/>
                <w:sz w:val="14"/>
                <w:szCs w:val="14"/>
                <w:b w:val="1"/>
                <w:bCs w:val="1"/>
                <w:color w:val="auto"/>
                <w:w w:val="85"/>
              </w:rPr>
              <w:t xml:space="preserve">Adjustments </w:t>
            </w:r>
            <w:r>
              <w:rPr>
                <w:rFonts w:ascii="Arial" w:cs="Arial" w:eastAsia="Arial" w:hAnsi="Arial"/>
                <w:sz w:val="17"/>
                <w:szCs w:val="17"/>
                <w:b w:val="1"/>
                <w:bCs w:val="1"/>
                <w:color w:val="auto"/>
                <w:w w:val="85"/>
                <w:vertAlign w:val="superscript"/>
              </w:rPr>
              <w:t>(1)</w:t>
            </w:r>
          </w:p>
        </w:tc>
        <w:tc>
          <w:tcPr>
            <w:tcW w:w="260" w:type="dxa"/>
            <w:vAlign w:val="bottom"/>
          </w:tcPr>
          <w:p>
            <w:pPr>
              <w:spacing w:after="0"/>
              <w:rPr>
                <w:sz w:val="16"/>
                <w:szCs w:val="16"/>
                <w:color w:val="auto"/>
              </w:rPr>
            </w:pPr>
          </w:p>
        </w:tc>
        <w:tc>
          <w:tcPr>
            <w:tcW w:w="1100" w:type="dxa"/>
            <w:vAlign w:val="bottom"/>
            <w:gridSpan w:val="3"/>
          </w:tcPr>
          <w:p>
            <w:pPr>
              <w:ind w:left="140"/>
              <w:spacing w:after="0"/>
              <w:rPr>
                <w:sz w:val="20"/>
                <w:szCs w:val="20"/>
                <w:color w:val="auto"/>
              </w:rPr>
            </w:pPr>
            <w:r>
              <w:rPr>
                <w:rFonts w:ascii="Arial" w:cs="Arial" w:eastAsia="Arial" w:hAnsi="Arial"/>
                <w:sz w:val="14"/>
                <w:szCs w:val="14"/>
                <w:b w:val="1"/>
                <w:bCs w:val="1"/>
                <w:color w:val="auto"/>
              </w:rPr>
              <w:t>PAGP</w:t>
            </w:r>
          </w:p>
        </w:tc>
        <w:tc>
          <w:tcPr>
            <w:tcW w:w="28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6"/>
                <w:szCs w:val="16"/>
                <w:color w:val="auto"/>
              </w:rPr>
            </w:pPr>
          </w:p>
        </w:tc>
        <w:tc>
          <w:tcPr>
            <w:tcW w:w="1400" w:type="dxa"/>
            <w:vAlign w:val="bottom"/>
            <w:gridSpan w:val="2"/>
          </w:tcPr>
          <w:p>
            <w:pPr>
              <w:jc w:val="center"/>
              <w:ind w:right="240"/>
              <w:spacing w:after="0" w:line="193" w:lineRule="exact"/>
              <w:rPr>
                <w:sz w:val="20"/>
                <w:szCs w:val="20"/>
                <w:color w:val="auto"/>
              </w:rPr>
            </w:pPr>
            <w:r>
              <w:rPr>
                <w:rFonts w:ascii="Arial" w:cs="Arial" w:eastAsia="Arial" w:hAnsi="Arial"/>
                <w:sz w:val="14"/>
                <w:szCs w:val="14"/>
                <w:b w:val="1"/>
                <w:bCs w:val="1"/>
                <w:color w:val="auto"/>
                <w:w w:val="85"/>
              </w:rPr>
              <w:t xml:space="preserve">Adjustments </w:t>
            </w:r>
            <w:r>
              <w:rPr>
                <w:rFonts w:ascii="Arial" w:cs="Arial" w:eastAsia="Arial" w:hAnsi="Arial"/>
                <w:sz w:val="17"/>
                <w:szCs w:val="17"/>
                <w:b w:val="1"/>
                <w:bCs w:val="1"/>
                <w:color w:val="auto"/>
                <w:w w:val="85"/>
                <w:vertAlign w:val="superscript"/>
              </w:rPr>
              <w:t>(1)</w:t>
            </w:r>
          </w:p>
        </w:tc>
        <w:tc>
          <w:tcPr>
            <w:tcW w:w="260" w:type="dxa"/>
            <w:vAlign w:val="bottom"/>
          </w:tcPr>
          <w:p>
            <w:pPr>
              <w:spacing w:after="0"/>
              <w:rPr>
                <w:sz w:val="16"/>
                <w:szCs w:val="16"/>
                <w:color w:val="auto"/>
              </w:rPr>
            </w:pPr>
          </w:p>
        </w:tc>
        <w:tc>
          <w:tcPr>
            <w:tcW w:w="900" w:type="dxa"/>
            <w:vAlign w:val="bottom"/>
          </w:tcPr>
          <w:p>
            <w:pPr>
              <w:jc w:val="right"/>
              <w:ind w:right="315"/>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99"/>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1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4,424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4,426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3,665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3,668</w:t>
            </w:r>
          </w:p>
        </w:tc>
        <w:tc>
          <w:tcPr>
            <w:tcW w:w="0" w:type="dxa"/>
            <w:vAlign w:val="bottom"/>
          </w:tcPr>
          <w:p>
            <w:pPr>
              <w:spacing w:after="0"/>
              <w:rPr>
                <w:sz w:val="1"/>
                <w:szCs w:val="1"/>
                <w:color w:val="auto"/>
              </w:rPr>
            </w:pPr>
          </w:p>
        </w:tc>
      </w:tr>
      <w:tr>
        <w:trPr>
          <w:trHeight w:val="220"/>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14,584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14,592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14,620</w:t>
            </w:r>
          </w:p>
        </w:tc>
        <w:tc>
          <w:tcPr>
            <w:tcW w:w="0" w:type="dxa"/>
            <w:vAlign w:val="bottom"/>
          </w:tcPr>
          <w:p>
            <w:pPr>
              <w:spacing w:after="0"/>
              <w:rPr>
                <w:sz w:val="1"/>
                <w:szCs w:val="1"/>
                <w:color w:val="auto"/>
              </w:rPr>
            </w:pPr>
          </w:p>
        </w:tc>
      </w:tr>
      <w:tr>
        <w:trPr>
          <w:trHeight w:val="218"/>
        </w:trPr>
        <w:tc>
          <w:tcPr>
            <w:tcW w:w="3180" w:type="dxa"/>
            <w:vAlign w:val="bottom"/>
          </w:tcPr>
          <w:p>
            <w:pPr>
              <w:ind w:left="20"/>
              <w:spacing w:after="0"/>
              <w:rPr>
                <w:sz w:val="20"/>
                <w:szCs w:val="20"/>
                <w:color w:val="auto"/>
              </w:rPr>
            </w:pPr>
            <w:r>
              <w:rPr>
                <w:rFonts w:ascii="Arial" w:cs="Arial" w:eastAsia="Arial" w:hAnsi="Arial"/>
                <w:sz w:val="17"/>
                <w:szCs w:val="17"/>
                <w:color w:val="auto"/>
              </w:rPr>
              <w:t>Investments in unconsolidated entities</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3,777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3,777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3,764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3,764</w:t>
            </w:r>
          </w:p>
        </w:tc>
        <w:tc>
          <w:tcPr>
            <w:tcW w:w="0" w:type="dxa"/>
            <w:vAlign w:val="bottom"/>
          </w:tcPr>
          <w:p>
            <w:pPr>
              <w:spacing w:after="0"/>
              <w:rPr>
                <w:sz w:val="1"/>
                <w:szCs w:val="1"/>
                <w:color w:val="auto"/>
              </w:rPr>
            </w:pPr>
          </w:p>
        </w:tc>
      </w:tr>
      <w:tr>
        <w:trPr>
          <w:trHeight w:val="220"/>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1,444</w:t>
            </w:r>
          </w:p>
        </w:tc>
        <w:tc>
          <w:tcPr>
            <w:tcW w:w="0" w:type="dxa"/>
            <w:vAlign w:val="bottom"/>
          </w:tcPr>
          <w:p>
            <w:pPr>
              <w:spacing w:after="0"/>
              <w:rPr>
                <w:sz w:val="1"/>
                <w:szCs w:val="1"/>
                <w:color w:val="auto"/>
              </w:rPr>
            </w:pPr>
          </w:p>
        </w:tc>
      </w:tr>
      <w:tr>
        <w:trPr>
          <w:trHeight w:val="218"/>
        </w:trPr>
        <w:tc>
          <w:tcPr>
            <w:tcW w:w="3180" w:type="dxa"/>
            <w:vAlign w:val="bottom"/>
          </w:tcPr>
          <w:p>
            <w:pPr>
              <w:ind w:left="20"/>
              <w:spacing w:after="0"/>
              <w:rPr>
                <w:sz w:val="20"/>
                <w:szCs w:val="20"/>
                <w:color w:val="auto"/>
              </w:rPr>
            </w:pPr>
            <w:r>
              <w:rPr>
                <w:rFonts w:ascii="Arial" w:cs="Arial" w:eastAsia="Arial" w:hAnsi="Arial"/>
                <w:sz w:val="17"/>
                <w:szCs w:val="17"/>
                <w:color w:val="auto"/>
              </w:rPr>
              <w:t>Linefill and base gas</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983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983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982</w:t>
            </w:r>
          </w:p>
        </w:tc>
        <w:tc>
          <w:tcPr>
            <w:tcW w:w="0" w:type="dxa"/>
            <w:vAlign w:val="bottom"/>
          </w:tcPr>
          <w:p>
            <w:pPr>
              <w:spacing w:after="0"/>
              <w:rPr>
                <w:sz w:val="1"/>
                <w:szCs w:val="1"/>
                <w:color w:val="auto"/>
              </w:rPr>
            </w:pPr>
          </w:p>
        </w:tc>
      </w:tr>
      <w:tr>
        <w:trPr>
          <w:trHeight w:val="169"/>
        </w:trPr>
        <w:tc>
          <w:tcPr>
            <w:tcW w:w="318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Long-term operating lease right-of-use</w:t>
            </w:r>
          </w:p>
        </w:tc>
        <w:tc>
          <w:tcPr>
            <w:tcW w:w="26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assets, net</w:t>
            </w:r>
          </w:p>
        </w:tc>
        <w:tc>
          <w:tcPr>
            <w:tcW w:w="26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180" w:type="dxa"/>
            <w:vAlign w:val="bottom"/>
          </w:tcPr>
          <w:p>
            <w:pPr>
              <w:ind w:left="20"/>
              <w:spacing w:after="0"/>
              <w:rPr>
                <w:sz w:val="20"/>
                <w:szCs w:val="20"/>
                <w:color w:val="auto"/>
              </w:rPr>
            </w:pPr>
            <w:r>
              <w:rPr>
                <w:rFonts w:ascii="Arial" w:cs="Arial" w:eastAsia="Arial" w:hAnsi="Arial"/>
                <w:sz w:val="17"/>
                <w:szCs w:val="17"/>
                <w:color w:val="auto"/>
              </w:rPr>
              <w:t>Long-term inventory</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178</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assets, net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965</w:t>
            </w:r>
          </w:p>
        </w:tc>
        <w:tc>
          <w:tcPr>
            <w:tcW w:w="0" w:type="dxa"/>
            <w:vAlign w:val="bottom"/>
          </w:tcPr>
          <w:p>
            <w:pPr>
              <w:spacing w:after="0"/>
              <w:rPr>
                <w:sz w:val="1"/>
                <w:szCs w:val="1"/>
                <w:color w:val="auto"/>
              </w:rPr>
            </w:pPr>
          </w:p>
        </w:tc>
      </w:tr>
      <w:tr>
        <w:trPr>
          <w:trHeight w:val="213"/>
        </w:trPr>
        <w:tc>
          <w:tcPr>
            <w:tcW w:w="3180" w:type="dxa"/>
            <w:vAlign w:val="bottom"/>
          </w:tcPr>
          <w:p>
            <w:pPr>
              <w:ind w:left="180"/>
              <w:spacing w:after="0"/>
              <w:rPr>
                <w:sz w:val="20"/>
                <w:szCs w:val="20"/>
                <w:color w:val="auto"/>
              </w:rPr>
            </w:pPr>
            <w:r>
              <w:rPr>
                <w:rFonts w:ascii="Arial" w:cs="Arial" w:eastAsia="Arial" w:hAnsi="Arial"/>
                <w:sz w:val="17"/>
                <w:szCs w:val="17"/>
                <w:color w:val="auto"/>
              </w:rPr>
              <w:t>Total assets</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25,331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26,747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24,497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25,951</w:t>
            </w: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80" w:type="dxa"/>
            <w:vAlign w:val="bottom"/>
          </w:tcPr>
          <w:p>
            <w:pPr>
              <w:ind w:left="20"/>
              <w:spacing w:after="0" w:line="167" w:lineRule="exact"/>
              <w:rPr>
                <w:sz w:val="20"/>
                <w:szCs w:val="20"/>
                <w:color w:val="auto"/>
              </w:rPr>
            </w:pPr>
            <w:r>
              <w:rPr>
                <w:rFonts w:ascii="Arial" w:cs="Arial" w:eastAsia="Arial" w:hAnsi="Arial"/>
                <w:sz w:val="17"/>
                <w:szCs w:val="17"/>
                <w:b w:val="1"/>
                <w:bCs w:val="1"/>
                <w:color w:val="auto"/>
              </w:rPr>
              <w:t>LIABILITIES AND PARTNERS’</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180" w:type="dxa"/>
            <w:vAlign w:val="bottom"/>
          </w:tcPr>
          <w:p>
            <w:pPr>
              <w:ind w:left="180"/>
              <w:spacing w:after="0"/>
              <w:rPr>
                <w:sz w:val="20"/>
                <w:szCs w:val="20"/>
                <w:color w:val="auto"/>
              </w:rPr>
            </w:pPr>
            <w:r>
              <w:rPr>
                <w:rFonts w:ascii="Arial" w:cs="Arial" w:eastAsia="Arial" w:hAnsi="Arial"/>
                <w:sz w:val="17"/>
                <w:szCs w:val="17"/>
                <w:b w:val="1"/>
                <w:bCs w:val="1"/>
                <w:color w:val="auto"/>
              </w:rPr>
              <w:t>CAPITAL</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4,255</w:t>
            </w:r>
          </w:p>
        </w:tc>
        <w:tc>
          <w:tcPr>
            <w:tcW w:w="0" w:type="dxa"/>
            <w:vAlign w:val="bottom"/>
          </w:tcPr>
          <w:p>
            <w:pPr>
              <w:spacing w:after="0"/>
              <w:rPr>
                <w:sz w:val="1"/>
                <w:szCs w:val="1"/>
                <w:color w:val="auto"/>
              </w:rPr>
            </w:pPr>
          </w:p>
        </w:tc>
      </w:tr>
      <w:tr>
        <w:trPr>
          <w:trHeight w:val="218"/>
        </w:trPr>
        <w:tc>
          <w:tcPr>
            <w:tcW w:w="3180" w:type="dxa"/>
            <w:vAlign w:val="bottom"/>
          </w:tcPr>
          <w:p>
            <w:pPr>
              <w:ind w:left="20"/>
              <w:spacing w:after="0"/>
              <w:rPr>
                <w:sz w:val="20"/>
                <w:szCs w:val="20"/>
                <w:color w:val="auto"/>
              </w:rPr>
            </w:pPr>
            <w:r>
              <w:rPr>
                <w:rFonts w:ascii="Arial" w:cs="Arial" w:eastAsia="Arial" w:hAnsi="Arial"/>
                <w:sz w:val="17"/>
                <w:szCs w:val="17"/>
                <w:color w:val="auto"/>
              </w:rPr>
              <w:t>Senior notes, net</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9,073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9,073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9,071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9,071</w:t>
            </w:r>
          </w:p>
        </w:tc>
        <w:tc>
          <w:tcPr>
            <w:tcW w:w="0" w:type="dxa"/>
            <w:vAlign w:val="bottom"/>
          </w:tcPr>
          <w:p>
            <w:pPr>
              <w:spacing w:after="0"/>
              <w:rPr>
                <w:sz w:val="1"/>
                <w:szCs w:val="1"/>
                <w:color w:val="auto"/>
              </w:rPr>
            </w:pPr>
          </w:p>
        </w:tc>
      </w:tr>
      <w:tr>
        <w:trPr>
          <w:trHeight w:val="220"/>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debt, net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18"/>
        </w:trPr>
        <w:tc>
          <w:tcPr>
            <w:tcW w:w="3180" w:type="dxa"/>
            <w:vAlign w:val="bottom"/>
          </w:tcPr>
          <w:p>
            <w:pPr>
              <w:ind w:left="20"/>
              <w:spacing w:after="0"/>
              <w:rPr>
                <w:sz w:val="20"/>
                <w:szCs w:val="20"/>
                <w:color w:val="auto"/>
              </w:rPr>
            </w:pPr>
            <w:r>
              <w:rPr>
                <w:rFonts w:ascii="Arial" w:cs="Arial" w:eastAsia="Arial" w:hAnsi="Arial"/>
                <w:sz w:val="17"/>
                <w:szCs w:val="17"/>
                <w:color w:val="auto"/>
              </w:rPr>
              <w:t>Long-term operating lease liabilities</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317</w:t>
            </w:r>
          </w:p>
        </w:tc>
        <w:tc>
          <w:tcPr>
            <w:tcW w:w="0" w:type="dxa"/>
            <w:vAlign w:val="bottom"/>
          </w:tcPr>
          <w:p>
            <w:pPr>
              <w:spacing w:after="0"/>
              <w:rPr>
                <w:sz w:val="1"/>
                <w:szCs w:val="1"/>
                <w:color w:val="auto"/>
              </w:rPr>
            </w:pPr>
          </w:p>
        </w:tc>
      </w:tr>
      <w:tr>
        <w:trPr>
          <w:trHeight w:val="169"/>
        </w:trPr>
        <w:tc>
          <w:tcPr>
            <w:tcW w:w="318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Other long-term liabilities and deferred</w:t>
            </w:r>
          </w:p>
        </w:tc>
        <w:tc>
          <w:tcPr>
            <w:tcW w:w="26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928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928</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807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807</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credits</w:t>
            </w:r>
          </w:p>
        </w:tc>
        <w:tc>
          <w:tcPr>
            <w:tcW w:w="26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180" w:type="dxa"/>
            <w:vAlign w:val="bottom"/>
          </w:tcPr>
          <w:p>
            <w:pPr>
              <w:ind w:left="180"/>
              <w:spacing w:after="0"/>
              <w:rPr>
                <w:sz w:val="20"/>
                <w:szCs w:val="20"/>
                <w:color w:val="auto"/>
              </w:rPr>
            </w:pPr>
            <w:r>
              <w:rPr>
                <w:rFonts w:ascii="Arial" w:cs="Arial" w:eastAsia="Arial" w:hAnsi="Arial"/>
                <w:sz w:val="17"/>
                <w:szCs w:val="17"/>
                <w:color w:val="auto"/>
              </w:rPr>
              <w:t>Total liabilities</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15,247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15,248</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14,759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14,761</w:t>
            </w:r>
          </w:p>
        </w:tc>
        <w:tc>
          <w:tcPr>
            <w:tcW w:w="0" w:type="dxa"/>
            <w:vAlign w:val="bottom"/>
          </w:tcPr>
          <w:p>
            <w:pPr>
              <w:spacing w:after="0"/>
              <w:rPr>
                <w:sz w:val="1"/>
                <w:szCs w:val="1"/>
                <w:color w:val="auto"/>
              </w:rPr>
            </w:pPr>
          </w:p>
        </w:tc>
      </w:tr>
      <w:tr>
        <w:trPr>
          <w:trHeight w:val="207"/>
        </w:trPr>
        <w:tc>
          <w:tcPr>
            <w:tcW w:w="3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180" w:type="dxa"/>
            <w:vAlign w:val="bottom"/>
          </w:tcPr>
          <w:p>
            <w:pPr>
              <w:ind w:left="20"/>
              <w:spacing w:after="0" w:line="168" w:lineRule="exact"/>
              <w:rPr>
                <w:sz w:val="20"/>
                <w:szCs w:val="20"/>
                <w:color w:val="auto"/>
              </w:rPr>
            </w:pPr>
            <w:r>
              <w:rPr>
                <w:rFonts w:ascii="Arial" w:cs="Arial" w:eastAsia="Arial" w:hAnsi="Arial"/>
                <w:sz w:val="17"/>
                <w:szCs w:val="17"/>
                <w:color w:val="auto"/>
              </w:rPr>
              <w:t>Partners’ capital excluding noncontrolling</w:t>
            </w:r>
          </w:p>
        </w:tc>
        <w:tc>
          <w:tcPr>
            <w:tcW w:w="26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7"/>
                <w:szCs w:val="17"/>
                <w:color w:val="auto"/>
              </w:rPr>
              <w:t>9,943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(8,420)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1,523</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9,593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(8,129)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1,464</w:t>
            </w:r>
          </w:p>
        </w:tc>
        <w:tc>
          <w:tcPr>
            <w:tcW w:w="0" w:type="dxa"/>
            <w:vAlign w:val="bottom"/>
          </w:tcPr>
          <w:p>
            <w:pPr>
              <w:spacing w:after="0"/>
              <w:rPr>
                <w:sz w:val="1"/>
                <w:szCs w:val="1"/>
                <w:color w:val="auto"/>
              </w:rPr>
            </w:pPr>
          </w:p>
        </w:tc>
      </w:tr>
      <w:tr>
        <w:trPr>
          <w:trHeight w:val="218"/>
        </w:trPr>
        <w:tc>
          <w:tcPr>
            <w:tcW w:w="3180" w:type="dxa"/>
            <w:vAlign w:val="bottom"/>
          </w:tcPr>
          <w:p>
            <w:pPr>
              <w:ind w:left="180"/>
              <w:spacing w:after="0"/>
              <w:rPr>
                <w:sz w:val="20"/>
                <w:szCs w:val="20"/>
                <w:color w:val="auto"/>
              </w:rPr>
            </w:pPr>
            <w:r>
              <w:rPr>
                <w:rFonts w:ascii="Arial" w:cs="Arial" w:eastAsia="Arial" w:hAnsi="Arial"/>
                <w:sz w:val="17"/>
                <w:szCs w:val="17"/>
                <w:color w:val="auto"/>
              </w:rPr>
              <w:t>interests</w:t>
            </w:r>
          </w:p>
        </w:tc>
        <w:tc>
          <w:tcPr>
            <w:tcW w:w="2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9,835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9,976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9,726</w:t>
            </w:r>
          </w:p>
        </w:tc>
        <w:tc>
          <w:tcPr>
            <w:tcW w:w="0" w:type="dxa"/>
            <w:vAlign w:val="bottom"/>
          </w:tcPr>
          <w:p>
            <w:pPr>
              <w:spacing w:after="0"/>
              <w:rPr>
                <w:sz w:val="1"/>
                <w:szCs w:val="1"/>
                <w:color w:val="auto"/>
              </w:rPr>
            </w:pPr>
          </w:p>
        </w:tc>
      </w:tr>
      <w:tr>
        <w:trPr>
          <w:trHeight w:val="211"/>
        </w:trPr>
        <w:tc>
          <w:tcPr>
            <w:tcW w:w="31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Total partners’ capital</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10,084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11,499</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9,738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11,190</w:t>
            </w:r>
          </w:p>
        </w:tc>
        <w:tc>
          <w:tcPr>
            <w:tcW w:w="0" w:type="dxa"/>
            <w:vAlign w:val="bottom"/>
          </w:tcPr>
          <w:p>
            <w:pPr>
              <w:spacing w:after="0"/>
              <w:rPr>
                <w:sz w:val="1"/>
                <w:szCs w:val="1"/>
                <w:color w:val="auto"/>
              </w:rPr>
            </w:pPr>
          </w:p>
        </w:tc>
      </w:tr>
      <w:tr>
        <w:trPr>
          <w:trHeight w:val="238"/>
        </w:trPr>
        <w:tc>
          <w:tcPr>
            <w:tcW w:w="3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liabilities and partners’ capital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25,331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26,747</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24,497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25,951</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00" w:hanging="297"/>
        <w:spacing w:after="0"/>
        <w:tabs>
          <w:tab w:leader="none" w:pos="300" w:val="left"/>
        </w:tabs>
        <w:numPr>
          <w:ilvl w:val="0"/>
          <w:numId w:val="24"/>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96520</wp:posOffset>
            </wp:positionV>
            <wp:extent cx="7122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auto"/>
        </w:rPr>
        <w:t>Page 23</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122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COMPUTATION OF BASIC AND DILUTED NET INCOME/(LOSS) PER CLASS A SHARE</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p>
      <w:pPr>
        <w:spacing w:after="0"/>
        <w:rPr>
          <w:sz w:val="20"/>
          <w:szCs w:val="20"/>
          <w:color w:val="auto"/>
        </w:rPr>
      </w:pPr>
      <w:r>
        <w:rPr>
          <w:rFonts w:ascii="Arial" w:cs="Arial" w:eastAsia="Arial" w:hAnsi="Arial"/>
          <w:sz w:val="17"/>
          <w:szCs w:val="17"/>
          <w:color w:val="auto"/>
        </w:rPr>
        <w:t>(in millions, except per share data)</w:t>
      </w:r>
    </w:p>
    <w:p>
      <w:pPr>
        <w:spacing w:after="0" w:line="9"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Borders>
              <w:bottom w:val="single" w:sz="8" w:color="CCEEFF"/>
            </w:tcBorders>
          </w:tcPr>
          <w:p>
            <w:pPr>
              <w:spacing w:after="0"/>
              <w:rPr>
                <w:sz w:val="15"/>
                <w:szCs w:val="15"/>
                <w:color w:val="auto"/>
              </w:rPr>
            </w:pPr>
          </w:p>
        </w:tc>
        <w:tc>
          <w:tcPr>
            <w:tcW w:w="474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r>
      <w:tr>
        <w:trPr>
          <w:trHeight w:val="200"/>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Net Income/(Loss) per Class A Share</w:t>
            </w: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8"/>
        </w:trPr>
        <w:tc>
          <w:tcPr>
            <w:tcW w:w="8620" w:type="dxa"/>
            <w:vAlign w:val="bottom"/>
            <w:gridSpan w:val="2"/>
          </w:tcPr>
          <w:p>
            <w:pPr>
              <w:ind w:left="140"/>
              <w:spacing w:after="0"/>
              <w:rPr>
                <w:sz w:val="20"/>
                <w:szCs w:val="20"/>
                <w:color w:val="auto"/>
              </w:rPr>
            </w:pPr>
            <w:r>
              <w:rPr>
                <w:rFonts w:ascii="Arial" w:cs="Arial" w:eastAsia="Arial" w:hAnsi="Arial"/>
                <w:sz w:val="17"/>
                <w:szCs w:val="17"/>
                <w:color w:val="auto"/>
              </w:rPr>
              <w:t>Net income/(loss) attributable to PAGP</w:t>
            </w:r>
          </w:p>
        </w:tc>
        <w:tc>
          <w:tcPr>
            <w:tcW w:w="820" w:type="dxa"/>
            <w:vAlign w:val="bottom"/>
          </w:tcPr>
          <w:p>
            <w:pPr>
              <w:jc w:val="right"/>
              <w:ind w:right="640"/>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(581)</w:t>
            </w:r>
          </w:p>
        </w:tc>
      </w:tr>
      <w:tr>
        <w:trPr>
          <w:trHeight w:val="220"/>
        </w:trPr>
        <w:tc>
          <w:tcPr>
            <w:tcW w:w="86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Basic and diluted weighted average Class A shares outstanding</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r>
      <w:tr>
        <w:trPr>
          <w:trHeight w:val="245"/>
        </w:trPr>
        <w:tc>
          <w:tcPr>
            <w:tcW w:w="388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8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Basic and diluted net income/(loss) per Class A share</w:t>
            </w:r>
          </w:p>
        </w:tc>
        <w:tc>
          <w:tcPr>
            <w:tcW w:w="820" w:type="dxa"/>
            <w:vAlign w:val="bottom"/>
            <w:tcBorders>
              <w:bottom w:val="single" w:sz="8" w:color="auto"/>
            </w:tcBorders>
            <w:shd w:val="clear" w:color="auto" w:fill="CCEEFF"/>
          </w:tcPr>
          <w:p>
            <w:pPr>
              <w:jc w:val="right"/>
              <w:ind w:right="640"/>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88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r>
    </w:tbl>
    <w:p>
      <w:pPr>
        <w:spacing w:after="0" w:line="73" w:lineRule="exact"/>
        <w:rPr>
          <w:sz w:val="20"/>
          <w:szCs w:val="20"/>
          <w:color w:val="auto"/>
        </w:rPr>
      </w:pPr>
    </w:p>
    <w:p>
      <w:pPr>
        <w:ind w:left="320" w:right="160" w:hanging="317"/>
        <w:spacing w:after="0" w:line="226" w:lineRule="auto"/>
        <w:tabs>
          <w:tab w:leader="none" w:pos="315"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March 31, 2021 and 2020, the possible exchange of AAP units and AAP Management units would not have had a dilutive effect on basic net income/(loss) per Class A share.</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Forward-Looking Statements</w:t>
      </w:r>
    </w:p>
    <w:p>
      <w:pPr>
        <w:spacing w:after="0" w:line="243"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40" w:lineRule="exact"/>
        <w:rPr>
          <w:sz w:val="20"/>
          <w:szCs w:val="20"/>
          <w:color w:val="auto"/>
        </w:rPr>
      </w:pPr>
    </w:p>
    <w:p>
      <w:pPr>
        <w:ind w:left="620" w:right="140" w:hanging="307"/>
        <w:spacing w:after="0" w:line="264" w:lineRule="auto"/>
        <w:tabs>
          <w:tab w:leader="none" w:pos="615" w:val="left"/>
        </w:tabs>
        <w:numPr>
          <w:ilvl w:val="0"/>
          <w:numId w:val="26"/>
        </w:numPr>
        <w:rPr>
          <w:rFonts w:ascii="Arial" w:cs="Arial" w:eastAsia="Arial" w:hAnsi="Arial"/>
          <w:sz w:val="20"/>
          <w:szCs w:val="20"/>
          <w:color w:val="auto"/>
        </w:rPr>
      </w:pPr>
      <w:r>
        <w:rPr>
          <w:rFonts w:ascii="Arial" w:cs="Arial" w:eastAsia="Arial" w:hAnsi="Arial"/>
          <w:sz w:val="16"/>
          <w:szCs w:val="16"/>
          <w:color w:val="auto"/>
        </w:rPr>
        <w:t>declines in global crude oil demand and crude oil prices (whether due to the COVID-19 pandemic, future pandemics or other factors) that correspondingly lead to a significant reduction of North American crude oil, natural gas liquids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114" w:lineRule="exact"/>
        <w:rPr>
          <w:rFonts w:ascii="Arial" w:cs="Arial" w:eastAsia="Arial" w:hAnsi="Arial"/>
          <w:sz w:val="20"/>
          <w:szCs w:val="20"/>
          <w:color w:val="auto"/>
        </w:rPr>
      </w:pPr>
    </w:p>
    <w:p>
      <w:pPr>
        <w:ind w:left="620" w:right="480" w:hanging="307"/>
        <w:spacing w:after="0" w:line="301" w:lineRule="auto"/>
        <w:tabs>
          <w:tab w:leader="none" w:pos="615" w:val="left"/>
        </w:tabs>
        <w:numPr>
          <w:ilvl w:val="0"/>
          <w:numId w:val="26"/>
        </w:numPr>
        <w:rPr>
          <w:rFonts w:ascii="Arial" w:cs="Arial" w:eastAsia="Arial" w:hAnsi="Arial"/>
          <w:sz w:val="18"/>
          <w:szCs w:val="18"/>
          <w:color w:val="auto"/>
        </w:rPr>
      </w:pPr>
      <w:r>
        <w:rPr>
          <w:rFonts w:ascii="Arial" w:cs="Arial" w:eastAsia="Arial" w:hAnsi="Arial"/>
          <w:sz w:val="15"/>
          <w:szCs w:val="15"/>
          <w:color w:val="auto"/>
        </w:rPr>
        <w:t>the effects of competition and capacity overbuild in areas where we operate, including contract renewal risk and the risk of loss of business to other midstream operators who are willing or under pressure to aggressively reduce transportation rates in order to capture or preserve customers;</w:t>
      </w:r>
    </w:p>
    <w:p>
      <w:pPr>
        <w:spacing w:after="0" w:line="78" w:lineRule="exact"/>
        <w:rPr>
          <w:rFonts w:ascii="Arial" w:cs="Arial" w:eastAsia="Arial" w:hAnsi="Arial"/>
          <w:sz w:val="18"/>
          <w:szCs w:val="18"/>
          <w:color w:val="auto"/>
        </w:rPr>
      </w:pPr>
    </w:p>
    <w:p>
      <w:pPr>
        <w:ind w:left="620" w:right="260" w:hanging="307"/>
        <w:spacing w:after="0" w:line="232" w:lineRule="auto"/>
        <w:tabs>
          <w:tab w:leader="none" w:pos="615" w:val="left"/>
        </w:tabs>
        <w:numPr>
          <w:ilvl w:val="0"/>
          <w:numId w:val="26"/>
        </w:numPr>
        <w:rPr>
          <w:rFonts w:ascii="Arial" w:cs="Arial" w:eastAsia="Arial" w:hAnsi="Arial"/>
          <w:sz w:val="21"/>
          <w:szCs w:val="21"/>
          <w:color w:val="auto"/>
        </w:rPr>
      </w:pPr>
      <w:r>
        <w:rPr>
          <w:rFonts w:ascii="Arial" w:cs="Arial" w:eastAsia="Arial" w:hAnsi="Arial"/>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6"/>
        </w:numPr>
        <w:rPr>
          <w:rFonts w:ascii="Arial" w:cs="Arial" w:eastAsia="Arial" w:hAnsi="Arial"/>
          <w:sz w:val="21"/>
          <w:szCs w:val="21"/>
          <w:color w:val="auto"/>
        </w:rPr>
      </w:pPr>
      <w:r>
        <w:rPr>
          <w:rFonts w:ascii="Arial" w:cs="Arial" w:eastAsia="Arial" w:hAnsi="Arial"/>
          <w:sz w:val="17"/>
          <w:szCs w:val="17"/>
          <w:color w:val="auto"/>
        </w:rPr>
        <w:t>unanticipated changes in crude oil and NGL market structure, grade differentials and volatility (or lack thereof);</w:t>
      </w:r>
    </w:p>
    <w:p>
      <w:pPr>
        <w:spacing w:after="0" w:line="106" w:lineRule="exact"/>
        <w:rPr>
          <w:rFonts w:ascii="Arial" w:cs="Arial" w:eastAsia="Arial" w:hAnsi="Arial"/>
          <w:sz w:val="21"/>
          <w:szCs w:val="21"/>
          <w:color w:val="auto"/>
        </w:rPr>
      </w:pPr>
    </w:p>
    <w:p>
      <w:pPr>
        <w:ind w:left="620" w:hanging="307"/>
        <w:spacing w:after="0"/>
        <w:tabs>
          <w:tab w:leader="none" w:pos="620" w:val="left"/>
        </w:tabs>
        <w:numPr>
          <w:ilvl w:val="0"/>
          <w:numId w:val="26"/>
        </w:numPr>
        <w:rPr>
          <w:rFonts w:ascii="Arial" w:cs="Arial" w:eastAsia="Arial" w:hAnsi="Arial"/>
          <w:sz w:val="21"/>
          <w:szCs w:val="21"/>
          <w:color w:val="auto"/>
        </w:rPr>
      </w:pPr>
      <w:r>
        <w:rPr>
          <w:rFonts w:ascii="Arial" w:cs="Arial" w:eastAsia="Arial" w:hAnsi="Arial"/>
          <w:sz w:val="17"/>
          <w:szCs w:val="17"/>
          <w:color w:val="auto"/>
        </w:rPr>
        <w:t>environmental liabilities or events that are not covered by an indemnity, insurance or existing reserves;</w:t>
      </w:r>
    </w:p>
    <w:p>
      <w:pPr>
        <w:spacing w:after="0" w:line="130" w:lineRule="exact"/>
        <w:rPr>
          <w:rFonts w:ascii="Arial" w:cs="Arial" w:eastAsia="Arial" w:hAnsi="Arial"/>
          <w:sz w:val="21"/>
          <w:szCs w:val="21"/>
          <w:color w:val="auto"/>
        </w:rPr>
      </w:pPr>
    </w:p>
    <w:p>
      <w:pPr>
        <w:ind w:left="620" w:right="240" w:hanging="307"/>
        <w:spacing w:after="0" w:line="232" w:lineRule="auto"/>
        <w:tabs>
          <w:tab w:leader="none" w:pos="615" w:val="left"/>
        </w:tabs>
        <w:numPr>
          <w:ilvl w:val="0"/>
          <w:numId w:val="26"/>
        </w:numPr>
        <w:rPr>
          <w:rFonts w:ascii="Arial" w:cs="Arial" w:eastAsia="Arial" w:hAnsi="Arial"/>
          <w:sz w:val="21"/>
          <w:szCs w:val="21"/>
          <w:color w:val="auto"/>
        </w:rPr>
      </w:pPr>
      <w:r>
        <w:rPr>
          <w:rFonts w:ascii="Arial" w:cs="Arial" w:eastAsia="Arial" w:hAnsi="Arial"/>
          <w:sz w:val="17"/>
          <w:szCs w:val="17"/>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6"/>
        </w:numPr>
        <w:rPr>
          <w:rFonts w:ascii="Arial" w:cs="Arial" w:eastAsia="Arial" w:hAnsi="Arial"/>
          <w:sz w:val="21"/>
          <w:szCs w:val="21"/>
          <w:color w:val="auto"/>
        </w:rPr>
      </w:pPr>
      <w:r>
        <w:rPr>
          <w:rFonts w:ascii="Arial" w:cs="Arial" w:eastAsia="Arial" w:hAnsi="Arial"/>
          <w:sz w:val="17"/>
          <w:szCs w:val="17"/>
          <w:color w:val="auto"/>
        </w:rPr>
        <w:t>maintenance of our credit rating and ability to receive open credit from our suppliers and trade counterparties;</w:t>
      </w:r>
    </w:p>
    <w:p>
      <w:pPr>
        <w:spacing w:after="0" w:line="130" w:lineRule="exact"/>
        <w:rPr>
          <w:rFonts w:ascii="Arial" w:cs="Arial" w:eastAsia="Arial" w:hAnsi="Arial"/>
          <w:sz w:val="21"/>
          <w:szCs w:val="21"/>
          <w:color w:val="auto"/>
        </w:rPr>
      </w:pPr>
    </w:p>
    <w:p>
      <w:pPr>
        <w:ind w:left="620" w:right="380" w:hanging="307"/>
        <w:spacing w:after="0" w:line="232" w:lineRule="auto"/>
        <w:tabs>
          <w:tab w:leader="none" w:pos="615" w:val="left"/>
        </w:tabs>
        <w:numPr>
          <w:ilvl w:val="0"/>
          <w:numId w:val="26"/>
        </w:numPr>
        <w:rPr>
          <w:rFonts w:ascii="Arial" w:cs="Arial" w:eastAsia="Arial" w:hAnsi="Arial"/>
          <w:sz w:val="21"/>
          <w:szCs w:val="21"/>
          <w:color w:val="auto"/>
        </w:rPr>
      </w:pPr>
      <w:r>
        <w:rPr>
          <w:rFonts w:ascii="Arial" w:cs="Arial" w:eastAsia="Arial" w:hAnsi="Arial"/>
          <w:sz w:val="17"/>
          <w:szCs w:val="17"/>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54" w:lineRule="exact"/>
        <w:rPr>
          <w:rFonts w:ascii="Arial" w:cs="Arial" w:eastAsia="Arial" w:hAnsi="Arial"/>
          <w:sz w:val="21"/>
          <w:szCs w:val="21"/>
          <w:color w:val="auto"/>
        </w:rPr>
      </w:pPr>
    </w:p>
    <w:p>
      <w:pPr>
        <w:ind w:left="5440" w:hanging="93"/>
        <w:spacing w:after="0"/>
        <w:tabs>
          <w:tab w:leader="none" w:pos="54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96520</wp:posOffset>
            </wp:positionV>
            <wp:extent cx="7122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9"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auto"/>
        </w:rPr>
        <w:t>Page 24</w:t>
      </w:r>
    </w:p>
    <w:p>
      <w:pPr>
        <w:spacing w:after="0" w:line="200" w:lineRule="exact"/>
        <w:rPr>
          <w:sz w:val="20"/>
          <w:szCs w:val="20"/>
          <w:color w:val="auto"/>
        </w:rPr>
      </w:pPr>
    </w:p>
    <w:p>
      <w:pPr>
        <w:spacing w:after="0" w:line="238" w:lineRule="exact"/>
        <w:rPr>
          <w:sz w:val="20"/>
          <w:szCs w:val="20"/>
          <w:color w:val="auto"/>
        </w:rPr>
      </w:pPr>
    </w:p>
    <w:p>
      <w:pPr>
        <w:ind w:left="620" w:hanging="307"/>
        <w:spacing w:after="0"/>
        <w:tabs>
          <w:tab w:leader="none" w:pos="620" w:val="left"/>
        </w:tabs>
        <w:numPr>
          <w:ilvl w:val="0"/>
          <w:numId w:val="27"/>
        </w:numPr>
        <w:rPr>
          <w:rFonts w:ascii="Arial" w:cs="Arial" w:eastAsia="Arial" w:hAnsi="Arial"/>
          <w:sz w:val="21"/>
          <w:szCs w:val="21"/>
          <w:color w:val="auto"/>
        </w:rPr>
      </w:pPr>
      <w:r>
        <w:rPr>
          <w:rFonts w:ascii="Arial" w:cs="Arial" w:eastAsia="Arial" w:hAnsi="Arial"/>
          <w:sz w:val="17"/>
          <w:szCs w:val="17"/>
          <w:color w:val="auto"/>
        </w:rPr>
        <w:t>the availability of, and our ability to consummate, divestitures, joint ventures, acquisitions or other strategic opportunities;</w:t>
      </w:r>
    </w:p>
    <w:p>
      <w:pPr>
        <w:spacing w:after="0" w:line="106" w:lineRule="exact"/>
        <w:rPr>
          <w:rFonts w:ascii="Arial" w:cs="Arial" w:eastAsia="Arial" w:hAnsi="Arial"/>
          <w:sz w:val="21"/>
          <w:szCs w:val="21"/>
          <w:color w:val="auto"/>
        </w:rPr>
      </w:pPr>
    </w:p>
    <w:p>
      <w:pPr>
        <w:ind w:left="620" w:hanging="307"/>
        <w:spacing w:after="0"/>
        <w:tabs>
          <w:tab w:leader="none" w:pos="620" w:val="left"/>
        </w:tabs>
        <w:numPr>
          <w:ilvl w:val="0"/>
          <w:numId w:val="27"/>
        </w:numPr>
        <w:rPr>
          <w:rFonts w:ascii="Arial" w:cs="Arial" w:eastAsia="Arial" w:hAnsi="Arial"/>
          <w:sz w:val="21"/>
          <w:szCs w:val="21"/>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30" w:lineRule="exact"/>
        <w:rPr>
          <w:rFonts w:ascii="Arial" w:cs="Arial" w:eastAsia="Arial" w:hAnsi="Arial"/>
          <w:sz w:val="21"/>
          <w:szCs w:val="21"/>
          <w:color w:val="auto"/>
        </w:rPr>
      </w:pPr>
    </w:p>
    <w:p>
      <w:pPr>
        <w:ind w:left="620" w:right="20" w:hanging="307"/>
        <w:spacing w:after="0" w:line="261" w:lineRule="auto"/>
        <w:tabs>
          <w:tab w:leader="none" w:pos="615" w:val="left"/>
        </w:tabs>
        <w:numPr>
          <w:ilvl w:val="0"/>
          <w:numId w:val="27"/>
        </w:numPr>
        <w:rPr>
          <w:rFonts w:ascii="Arial" w:cs="Arial" w:eastAsia="Arial" w:hAnsi="Arial"/>
          <w:sz w:val="20"/>
          <w:szCs w:val="20"/>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16" w:lineRule="exact"/>
        <w:rPr>
          <w:rFonts w:ascii="Arial" w:cs="Arial" w:eastAsia="Arial" w:hAnsi="Arial"/>
          <w:sz w:val="20"/>
          <w:szCs w:val="20"/>
          <w:color w:val="auto"/>
        </w:rPr>
      </w:pPr>
    </w:p>
    <w:p>
      <w:pPr>
        <w:ind w:left="620" w:right="100" w:hanging="307"/>
        <w:spacing w:after="0" w:line="232" w:lineRule="auto"/>
        <w:tabs>
          <w:tab w:leader="none" w:pos="615" w:val="left"/>
        </w:tabs>
        <w:numPr>
          <w:ilvl w:val="0"/>
          <w:numId w:val="27"/>
        </w:numPr>
        <w:rPr>
          <w:rFonts w:ascii="Arial" w:cs="Arial" w:eastAsia="Arial" w:hAnsi="Arial"/>
          <w:sz w:val="21"/>
          <w:szCs w:val="21"/>
          <w:color w:val="auto"/>
        </w:rPr>
      </w:pPr>
      <w:r>
        <w:rPr>
          <w:rFonts w:ascii="Arial" w:cs="Arial" w:eastAsia="Arial" w:hAnsi="Arial"/>
          <w:sz w:val="17"/>
          <w:szCs w:val="17"/>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7"/>
        </w:numPr>
        <w:rPr>
          <w:rFonts w:ascii="Arial" w:cs="Arial" w:eastAsia="Arial" w:hAnsi="Arial"/>
          <w:sz w:val="21"/>
          <w:szCs w:val="21"/>
          <w:color w:val="auto"/>
        </w:rPr>
      </w:pPr>
      <w:r>
        <w:rPr>
          <w:rFonts w:ascii="Arial" w:cs="Arial" w:eastAsia="Arial" w:hAnsi="Arial"/>
          <w:sz w:val="17"/>
          <w:szCs w:val="17"/>
          <w:color w:val="auto"/>
        </w:rPr>
        <w:t>the incurrence of costs and expenses related to unexpected or unplanned capital expenditures, third-party claims or other factors;</w:t>
      </w:r>
    </w:p>
    <w:p>
      <w:pPr>
        <w:spacing w:after="0" w:line="130" w:lineRule="exact"/>
        <w:rPr>
          <w:rFonts w:ascii="Arial" w:cs="Arial" w:eastAsia="Arial" w:hAnsi="Arial"/>
          <w:sz w:val="21"/>
          <w:szCs w:val="21"/>
          <w:color w:val="auto"/>
        </w:rPr>
      </w:pPr>
    </w:p>
    <w:p>
      <w:pPr>
        <w:ind w:left="620" w:hanging="307"/>
        <w:spacing w:after="0" w:line="232" w:lineRule="auto"/>
        <w:tabs>
          <w:tab w:leader="none" w:pos="615" w:val="left"/>
        </w:tabs>
        <w:numPr>
          <w:ilvl w:val="0"/>
          <w:numId w:val="27"/>
        </w:numPr>
        <w:rPr>
          <w:rFonts w:ascii="Arial" w:cs="Arial" w:eastAsia="Arial" w:hAnsi="Arial"/>
          <w:sz w:val="21"/>
          <w:szCs w:val="21"/>
          <w:color w:val="auto"/>
        </w:rPr>
      </w:pPr>
      <w:r>
        <w:rPr>
          <w:rFonts w:ascii="Arial" w:cs="Arial" w:eastAsia="Arial" w:hAnsi="Arial"/>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131" w:lineRule="exact"/>
        <w:rPr>
          <w:rFonts w:ascii="Arial" w:cs="Arial" w:eastAsia="Arial" w:hAnsi="Arial"/>
          <w:sz w:val="21"/>
          <w:szCs w:val="21"/>
          <w:color w:val="auto"/>
        </w:rPr>
      </w:pPr>
    </w:p>
    <w:p>
      <w:pPr>
        <w:ind w:left="620" w:right="80" w:hanging="307"/>
        <w:spacing w:after="0" w:line="232" w:lineRule="auto"/>
        <w:tabs>
          <w:tab w:leader="none" w:pos="615" w:val="left"/>
        </w:tabs>
        <w:numPr>
          <w:ilvl w:val="0"/>
          <w:numId w:val="27"/>
        </w:numPr>
        <w:rPr>
          <w:rFonts w:ascii="Arial" w:cs="Arial" w:eastAsia="Arial" w:hAnsi="Arial"/>
          <w:sz w:val="21"/>
          <w:szCs w:val="21"/>
          <w:color w:val="auto"/>
        </w:rPr>
      </w:pPr>
      <w:r>
        <w:rPr>
          <w:rFonts w:ascii="Arial" w:cs="Arial" w:eastAsia="Arial" w:hAnsi="Arial"/>
          <w:sz w:val="17"/>
          <w:szCs w:val="17"/>
          <w:color w:val="auto"/>
        </w:rPr>
        <w:t>failure to implement or capitalize, or delays in implementing or capitalizing, on investment capital projects, whether due to permitting delays, permitting withdrawals or other factors;</w:t>
      </w:r>
    </w:p>
    <w:p>
      <w:pPr>
        <w:spacing w:after="0" w:line="131" w:lineRule="exact"/>
        <w:rPr>
          <w:rFonts w:ascii="Arial" w:cs="Arial" w:eastAsia="Arial" w:hAnsi="Arial"/>
          <w:sz w:val="21"/>
          <w:szCs w:val="21"/>
          <w:color w:val="auto"/>
        </w:rPr>
      </w:pPr>
    </w:p>
    <w:p>
      <w:pPr>
        <w:ind w:left="620" w:right="400" w:hanging="307"/>
        <w:spacing w:after="0" w:line="232" w:lineRule="auto"/>
        <w:tabs>
          <w:tab w:leader="none" w:pos="615" w:val="left"/>
        </w:tabs>
        <w:numPr>
          <w:ilvl w:val="0"/>
          <w:numId w:val="27"/>
        </w:numPr>
        <w:rPr>
          <w:rFonts w:ascii="Arial" w:cs="Arial" w:eastAsia="Arial" w:hAnsi="Arial"/>
          <w:sz w:val="21"/>
          <w:szCs w:val="21"/>
          <w:color w:val="auto"/>
        </w:rPr>
      </w:pPr>
      <w:r>
        <w:rPr>
          <w:rFonts w:ascii="Arial" w:cs="Arial" w:eastAsia="Arial" w:hAnsi="Arial"/>
          <w:sz w:val="17"/>
          <w:szCs w:val="17"/>
          <w:color w:val="auto"/>
        </w:rPr>
        <w:t>disruptions to futures markets for crude oil, NGL and other petroleum products, which may impair our ability to execute our commercial or hedging strategies;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7"/>
        </w:numPr>
        <w:rPr>
          <w:rFonts w:ascii="Arial" w:cs="Arial" w:eastAsia="Arial" w:hAnsi="Arial"/>
          <w:sz w:val="21"/>
          <w:szCs w:val="21"/>
          <w:color w:val="auto"/>
        </w:rPr>
      </w:pPr>
      <w:r>
        <w:rPr>
          <w:rFonts w:ascii="Arial" w:cs="Arial" w:eastAsia="Arial" w:hAnsi="Arial"/>
          <w:sz w:val="17"/>
          <w:szCs w:val="17"/>
          <w:color w:val="auto"/>
        </w:rPr>
        <w:t>shortages or cost increases of supplies, materials or labor;</w:t>
      </w:r>
    </w:p>
    <w:p>
      <w:pPr>
        <w:spacing w:after="0" w:line="130" w:lineRule="exact"/>
        <w:rPr>
          <w:rFonts w:ascii="Arial" w:cs="Arial" w:eastAsia="Arial" w:hAnsi="Arial"/>
          <w:sz w:val="21"/>
          <w:szCs w:val="21"/>
          <w:color w:val="auto"/>
        </w:rPr>
      </w:pPr>
    </w:p>
    <w:p>
      <w:pPr>
        <w:ind w:left="620" w:right="120" w:hanging="307"/>
        <w:spacing w:after="0" w:line="259" w:lineRule="auto"/>
        <w:tabs>
          <w:tab w:leader="none" w:pos="615" w:val="left"/>
        </w:tabs>
        <w:numPr>
          <w:ilvl w:val="0"/>
          <w:numId w:val="27"/>
        </w:numPr>
        <w:rPr>
          <w:rFonts w:ascii="Arial" w:cs="Arial" w:eastAsia="Arial" w:hAnsi="Arial"/>
          <w:sz w:val="21"/>
          <w:szCs w:val="21"/>
          <w:color w:val="auto"/>
        </w:rPr>
      </w:pPr>
      <w:r>
        <w:rPr>
          <w:rFonts w:ascii="Arial" w:cs="Arial" w:eastAsia="Arial" w:hAnsi="Arial"/>
          <w:sz w:val="17"/>
          <w:szCs w:val="17"/>
          <w:color w:val="auto"/>
        </w:rPr>
        <w:t>the impact of current and future laws, rulings, governmental regulations, trade policies, accounting standards and statements, and related interpretations, including legislation or regulatory initiatives that prohibit, restrict or regulate hydraulic fracturing or that prohibit the development of oil and gas resources and the related infrastructure on lands dedicated to or served by our pipelines;</w:t>
      </w:r>
    </w:p>
    <w:p>
      <w:pPr>
        <w:spacing w:after="0" w:line="116" w:lineRule="exact"/>
        <w:rPr>
          <w:rFonts w:ascii="Arial" w:cs="Arial" w:eastAsia="Arial" w:hAnsi="Arial"/>
          <w:sz w:val="21"/>
          <w:szCs w:val="21"/>
          <w:color w:val="auto"/>
        </w:rPr>
      </w:pPr>
    </w:p>
    <w:p>
      <w:pPr>
        <w:ind w:left="620" w:right="280" w:hanging="307"/>
        <w:spacing w:after="0" w:line="252" w:lineRule="auto"/>
        <w:tabs>
          <w:tab w:leader="none" w:pos="615" w:val="left"/>
        </w:tabs>
        <w:numPr>
          <w:ilvl w:val="0"/>
          <w:numId w:val="27"/>
        </w:numPr>
        <w:rPr>
          <w:rFonts w:ascii="Arial" w:cs="Arial" w:eastAsia="Arial" w:hAnsi="Arial"/>
          <w:sz w:val="20"/>
          <w:szCs w:val="20"/>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95" w:lineRule="exact"/>
        <w:rPr>
          <w:rFonts w:ascii="Arial" w:cs="Arial" w:eastAsia="Arial" w:hAnsi="Arial"/>
          <w:sz w:val="20"/>
          <w:szCs w:val="20"/>
          <w:color w:val="auto"/>
        </w:rPr>
      </w:pPr>
    </w:p>
    <w:p>
      <w:pPr>
        <w:ind w:left="620" w:hanging="307"/>
        <w:spacing w:after="0"/>
        <w:tabs>
          <w:tab w:leader="none" w:pos="620" w:val="left"/>
        </w:tabs>
        <w:numPr>
          <w:ilvl w:val="0"/>
          <w:numId w:val="27"/>
        </w:numPr>
        <w:rPr>
          <w:rFonts w:ascii="Arial" w:cs="Arial" w:eastAsia="Arial" w:hAnsi="Arial"/>
          <w:sz w:val="21"/>
          <w:szCs w:val="21"/>
          <w:color w:val="auto"/>
        </w:rPr>
      </w:pPr>
      <w:r>
        <w:rPr>
          <w:rFonts w:ascii="Arial" w:cs="Arial" w:eastAsia="Arial" w:hAnsi="Arial"/>
          <w:sz w:val="17"/>
          <w:szCs w:val="17"/>
          <w:color w:val="auto"/>
        </w:rPr>
        <w:t>inability of producers, who have made commitments to our pipelines, to access capital to fund their drilling and completion activities;</w:t>
      </w:r>
    </w:p>
    <w:p>
      <w:pPr>
        <w:spacing w:after="0" w:line="130" w:lineRule="exact"/>
        <w:rPr>
          <w:rFonts w:ascii="Arial" w:cs="Arial" w:eastAsia="Arial" w:hAnsi="Arial"/>
          <w:sz w:val="21"/>
          <w:szCs w:val="21"/>
          <w:color w:val="auto"/>
        </w:rPr>
      </w:pPr>
    </w:p>
    <w:p>
      <w:pPr>
        <w:jc w:val="both"/>
        <w:ind w:left="620" w:right="200" w:hanging="307"/>
        <w:spacing w:after="0" w:line="238" w:lineRule="auto"/>
        <w:tabs>
          <w:tab w:leader="none" w:pos="615" w:val="left"/>
        </w:tabs>
        <w:numPr>
          <w:ilvl w:val="0"/>
          <w:numId w:val="27"/>
        </w:numPr>
        <w:rPr>
          <w:rFonts w:ascii="Arial" w:cs="Arial" w:eastAsia="Arial" w:hAnsi="Arial"/>
          <w:sz w:val="21"/>
          <w:szCs w:val="21"/>
          <w:color w:val="auto"/>
        </w:rPr>
      </w:pPr>
      <w:r>
        <w:rPr>
          <w:rFonts w:ascii="Arial" w:cs="Arial" w:eastAsia="Arial" w:hAnsi="Arial"/>
          <w:sz w:val="17"/>
          <w:szCs w:val="17"/>
          <w:color w:val="auto"/>
        </w:rPr>
        <w:t>general economic, market or business conditions in the United States and elsewhere (including the potential for a recession or significant slowdown in economic activity levels and the timing, pace and extent of economic recovery) that impact demand for crude oil, drilling and production activities and therefore the demand for the midstream services we provide and commercial opportunities available to us;</w:t>
      </w:r>
    </w:p>
    <w:p>
      <w:pPr>
        <w:spacing w:after="0" w:line="109" w:lineRule="exact"/>
        <w:rPr>
          <w:rFonts w:ascii="Arial" w:cs="Arial" w:eastAsia="Arial" w:hAnsi="Arial"/>
          <w:sz w:val="21"/>
          <w:szCs w:val="21"/>
          <w:color w:val="auto"/>
        </w:rPr>
      </w:pPr>
    </w:p>
    <w:p>
      <w:pPr>
        <w:ind w:left="620" w:hanging="307"/>
        <w:spacing w:after="0"/>
        <w:tabs>
          <w:tab w:leader="none" w:pos="620" w:val="left"/>
        </w:tabs>
        <w:numPr>
          <w:ilvl w:val="0"/>
          <w:numId w:val="27"/>
        </w:numPr>
        <w:rPr>
          <w:rFonts w:ascii="Arial" w:cs="Arial" w:eastAsia="Arial" w:hAnsi="Arial"/>
          <w:sz w:val="21"/>
          <w:szCs w:val="21"/>
          <w:color w:val="auto"/>
        </w:rPr>
      </w:pPr>
      <w:r>
        <w:rPr>
          <w:rFonts w:ascii="Arial" w:cs="Arial" w:eastAsia="Arial" w:hAnsi="Arial"/>
          <w:sz w:val="17"/>
          <w:szCs w:val="17"/>
          <w:color w:val="auto"/>
        </w:rPr>
        <w:t>the amplification of other risks caused by volatile financial markets, capital constraints, liquidity concerns and inflation;</w:t>
      </w:r>
    </w:p>
    <w:p>
      <w:pPr>
        <w:spacing w:after="0" w:line="106" w:lineRule="exact"/>
        <w:rPr>
          <w:rFonts w:ascii="Arial" w:cs="Arial" w:eastAsia="Arial" w:hAnsi="Arial"/>
          <w:sz w:val="21"/>
          <w:szCs w:val="21"/>
          <w:color w:val="auto"/>
        </w:rPr>
      </w:pPr>
    </w:p>
    <w:p>
      <w:pPr>
        <w:ind w:left="620" w:hanging="307"/>
        <w:spacing w:after="0"/>
        <w:tabs>
          <w:tab w:leader="none" w:pos="620" w:val="left"/>
        </w:tabs>
        <w:numPr>
          <w:ilvl w:val="0"/>
          <w:numId w:val="27"/>
        </w:numPr>
        <w:rPr>
          <w:rFonts w:ascii="Arial" w:cs="Arial" w:eastAsia="Arial" w:hAnsi="Arial"/>
          <w:sz w:val="21"/>
          <w:szCs w:val="21"/>
          <w:color w:val="auto"/>
        </w:rPr>
      </w:pPr>
      <w:r>
        <w:rPr>
          <w:rFonts w:ascii="Arial" w:cs="Arial" w:eastAsia="Arial" w:hAnsi="Arial"/>
          <w:sz w:val="17"/>
          <w:szCs w:val="17"/>
          <w:color w:val="auto"/>
        </w:rPr>
        <w:t>the use or availability of third-party assets upon which our operations depend and over which we have little or no control;</w:t>
      </w:r>
    </w:p>
    <w:p>
      <w:pPr>
        <w:spacing w:after="0" w:line="106" w:lineRule="exact"/>
        <w:rPr>
          <w:rFonts w:ascii="Arial" w:cs="Arial" w:eastAsia="Arial" w:hAnsi="Arial"/>
          <w:sz w:val="21"/>
          <w:szCs w:val="21"/>
          <w:color w:val="auto"/>
        </w:rPr>
      </w:pPr>
    </w:p>
    <w:p>
      <w:pPr>
        <w:ind w:left="620" w:hanging="307"/>
        <w:spacing w:after="0"/>
        <w:tabs>
          <w:tab w:leader="none" w:pos="620" w:val="left"/>
        </w:tabs>
        <w:numPr>
          <w:ilvl w:val="0"/>
          <w:numId w:val="27"/>
        </w:numPr>
        <w:rPr>
          <w:rFonts w:ascii="Arial" w:cs="Arial" w:eastAsia="Arial" w:hAnsi="Arial"/>
          <w:sz w:val="21"/>
          <w:szCs w:val="21"/>
          <w:color w:val="auto"/>
        </w:rPr>
      </w:pPr>
      <w:r>
        <w:rPr>
          <w:rFonts w:ascii="Arial" w:cs="Arial" w:eastAsia="Arial" w:hAnsi="Arial"/>
          <w:sz w:val="17"/>
          <w:szCs w:val="17"/>
          <w:color w:val="auto"/>
        </w:rPr>
        <w:t>the currency exchange rate of the Canadian dollar to the United States dollar;</w:t>
      </w:r>
    </w:p>
    <w:p>
      <w:pPr>
        <w:spacing w:after="0" w:line="53" w:lineRule="exact"/>
        <w:rPr>
          <w:rFonts w:ascii="Arial" w:cs="Arial" w:eastAsia="Arial" w:hAnsi="Arial"/>
          <w:sz w:val="21"/>
          <w:szCs w:val="21"/>
          <w:color w:val="auto"/>
        </w:rPr>
      </w:pPr>
    </w:p>
    <w:p>
      <w:pPr>
        <w:ind w:left="5440" w:hanging="93"/>
        <w:spacing w:after="0"/>
        <w:tabs>
          <w:tab w:leader="none" w:pos="54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96520</wp:posOffset>
            </wp:positionV>
            <wp:extent cx="7122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00"/>
          </w:cols>
          <w:pgMar w:left="320" w:top="359" w:right="37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auto"/>
        </w:rPr>
        <w:t>Page 25</w:t>
      </w:r>
    </w:p>
    <w:p>
      <w:pPr>
        <w:spacing w:after="0" w:line="200" w:lineRule="exact"/>
        <w:rPr>
          <w:sz w:val="20"/>
          <w:szCs w:val="20"/>
          <w:color w:val="auto"/>
        </w:rPr>
      </w:pPr>
    </w:p>
    <w:p>
      <w:pPr>
        <w:spacing w:after="0" w:line="262" w:lineRule="exact"/>
        <w:rPr>
          <w:sz w:val="20"/>
          <w:szCs w:val="20"/>
          <w:color w:val="auto"/>
        </w:rPr>
      </w:pPr>
    </w:p>
    <w:p>
      <w:pPr>
        <w:ind w:left="620" w:right="640" w:hanging="307"/>
        <w:spacing w:after="0" w:line="232" w:lineRule="auto"/>
        <w:tabs>
          <w:tab w:leader="none" w:pos="615" w:val="left"/>
        </w:tabs>
        <w:numPr>
          <w:ilvl w:val="0"/>
          <w:numId w:val="28"/>
        </w:numPr>
        <w:rPr>
          <w:rFonts w:ascii="Arial" w:cs="Arial" w:eastAsia="Arial" w:hAnsi="Arial"/>
          <w:sz w:val="21"/>
          <w:szCs w:val="21"/>
          <w:color w:val="auto"/>
        </w:rPr>
      </w:pPr>
      <w:r>
        <w:rPr>
          <w:rFonts w:ascii="Arial" w:cs="Arial" w:eastAsia="Arial" w:hAnsi="Arial"/>
          <w:sz w:val="17"/>
          <w:szCs w:val="17"/>
          <w:color w:val="auto"/>
        </w:rPr>
        <w:t>inability to recognize current revenue attributable to deficiency payments received from customers who fail to ship or move more than minimum contracted volumes until the related credits expire or are used;</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8"/>
        </w:numPr>
        <w:rPr>
          <w:rFonts w:ascii="Arial" w:cs="Arial" w:eastAsia="Arial" w:hAnsi="Arial"/>
          <w:sz w:val="21"/>
          <w:szCs w:val="21"/>
          <w:color w:val="auto"/>
        </w:rPr>
      </w:pPr>
      <w:r>
        <w:rPr>
          <w:rFonts w:ascii="Arial" w:cs="Arial" w:eastAsia="Arial" w:hAnsi="Arial"/>
          <w:sz w:val="17"/>
          <w:szCs w:val="17"/>
          <w:color w:val="auto"/>
        </w:rPr>
        <w:t>significant under-utilization of our assets and facilities;</w:t>
      </w:r>
    </w:p>
    <w:p>
      <w:pPr>
        <w:spacing w:after="0" w:line="106" w:lineRule="exact"/>
        <w:rPr>
          <w:rFonts w:ascii="Arial" w:cs="Arial" w:eastAsia="Arial" w:hAnsi="Arial"/>
          <w:sz w:val="21"/>
          <w:szCs w:val="21"/>
          <w:color w:val="auto"/>
        </w:rPr>
      </w:pPr>
    </w:p>
    <w:p>
      <w:pPr>
        <w:ind w:left="620" w:hanging="307"/>
        <w:spacing w:after="0"/>
        <w:tabs>
          <w:tab w:leader="none" w:pos="620" w:val="left"/>
        </w:tabs>
        <w:numPr>
          <w:ilvl w:val="0"/>
          <w:numId w:val="28"/>
        </w:numPr>
        <w:rPr>
          <w:rFonts w:ascii="Arial" w:cs="Arial" w:eastAsia="Arial" w:hAnsi="Arial"/>
          <w:sz w:val="21"/>
          <w:szCs w:val="21"/>
          <w:color w:val="auto"/>
        </w:rPr>
      </w:pPr>
      <w:r>
        <w:rPr>
          <w:rFonts w:ascii="Arial" w:cs="Arial" w:eastAsia="Arial" w:hAnsi="Arial"/>
          <w:sz w:val="17"/>
          <w:szCs w:val="17"/>
          <w:color w:val="auto"/>
        </w:rPr>
        <w:t>increased costs, or lack of availability, of insurance;</w:t>
      </w:r>
    </w:p>
    <w:p>
      <w:pPr>
        <w:spacing w:after="0" w:line="106" w:lineRule="exact"/>
        <w:rPr>
          <w:rFonts w:ascii="Arial" w:cs="Arial" w:eastAsia="Arial" w:hAnsi="Arial"/>
          <w:sz w:val="21"/>
          <w:szCs w:val="21"/>
          <w:color w:val="auto"/>
        </w:rPr>
      </w:pPr>
    </w:p>
    <w:p>
      <w:pPr>
        <w:ind w:left="620" w:hanging="307"/>
        <w:spacing w:after="0"/>
        <w:tabs>
          <w:tab w:leader="none" w:pos="620" w:val="left"/>
        </w:tabs>
        <w:numPr>
          <w:ilvl w:val="0"/>
          <w:numId w:val="28"/>
        </w:numPr>
        <w:rPr>
          <w:rFonts w:ascii="Arial" w:cs="Arial" w:eastAsia="Arial" w:hAnsi="Arial"/>
          <w:sz w:val="21"/>
          <w:szCs w:val="21"/>
          <w:color w:val="auto"/>
        </w:rPr>
      </w:pPr>
      <w:r>
        <w:rPr>
          <w:rFonts w:ascii="Arial" w:cs="Arial" w:eastAsia="Arial" w:hAnsi="Arial"/>
          <w:sz w:val="17"/>
          <w:szCs w:val="17"/>
          <w:color w:val="auto"/>
        </w:rPr>
        <w:t>the effectiveness of our risk management activities;</w:t>
      </w:r>
    </w:p>
    <w:p>
      <w:pPr>
        <w:spacing w:after="0" w:line="106" w:lineRule="exact"/>
        <w:rPr>
          <w:rFonts w:ascii="Arial" w:cs="Arial" w:eastAsia="Arial" w:hAnsi="Arial"/>
          <w:sz w:val="21"/>
          <w:szCs w:val="21"/>
          <w:color w:val="auto"/>
        </w:rPr>
      </w:pPr>
    </w:p>
    <w:p>
      <w:pPr>
        <w:ind w:left="620" w:hanging="307"/>
        <w:spacing w:after="0"/>
        <w:tabs>
          <w:tab w:leader="none" w:pos="620" w:val="left"/>
        </w:tabs>
        <w:numPr>
          <w:ilvl w:val="0"/>
          <w:numId w:val="28"/>
        </w:numPr>
        <w:rPr>
          <w:rFonts w:ascii="Arial" w:cs="Arial" w:eastAsia="Arial" w:hAnsi="Arial"/>
          <w:sz w:val="21"/>
          <w:szCs w:val="21"/>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06" w:lineRule="exact"/>
        <w:rPr>
          <w:rFonts w:ascii="Arial" w:cs="Arial" w:eastAsia="Arial" w:hAnsi="Arial"/>
          <w:sz w:val="21"/>
          <w:szCs w:val="21"/>
          <w:color w:val="auto"/>
        </w:rPr>
      </w:pPr>
    </w:p>
    <w:p>
      <w:pPr>
        <w:ind w:left="620" w:hanging="307"/>
        <w:spacing w:after="0"/>
        <w:tabs>
          <w:tab w:leader="none" w:pos="620" w:val="left"/>
        </w:tabs>
        <w:numPr>
          <w:ilvl w:val="0"/>
          <w:numId w:val="28"/>
        </w:numPr>
        <w:rPr>
          <w:rFonts w:ascii="Arial" w:cs="Arial" w:eastAsia="Arial" w:hAnsi="Arial"/>
          <w:sz w:val="21"/>
          <w:szCs w:val="21"/>
          <w:color w:val="auto"/>
        </w:rPr>
      </w:pPr>
      <w:r>
        <w:rPr>
          <w:rFonts w:ascii="Arial" w:cs="Arial" w:eastAsia="Arial" w:hAnsi="Arial"/>
          <w:sz w:val="17"/>
          <w:szCs w:val="17"/>
          <w:color w:val="auto"/>
        </w:rPr>
        <w:t>risks related to the development and operation of our assets; and</w:t>
      </w:r>
    </w:p>
    <w:p>
      <w:pPr>
        <w:spacing w:after="0" w:line="130" w:lineRule="exact"/>
        <w:rPr>
          <w:rFonts w:ascii="Arial" w:cs="Arial" w:eastAsia="Arial" w:hAnsi="Arial"/>
          <w:sz w:val="21"/>
          <w:szCs w:val="21"/>
          <w:color w:val="auto"/>
        </w:rPr>
      </w:pPr>
    </w:p>
    <w:p>
      <w:pPr>
        <w:ind w:left="620" w:right="120" w:hanging="307"/>
        <w:spacing w:after="0" w:line="238" w:lineRule="auto"/>
        <w:tabs>
          <w:tab w:leader="none" w:pos="615" w:val="left"/>
        </w:tabs>
        <w:numPr>
          <w:ilvl w:val="0"/>
          <w:numId w:val="28"/>
        </w:numPr>
        <w:rPr>
          <w:rFonts w:ascii="Arial" w:cs="Arial" w:eastAsia="Arial" w:hAnsi="Arial"/>
          <w:sz w:val="21"/>
          <w:szCs w:val="21"/>
          <w:color w:val="auto"/>
        </w:rPr>
      </w:pPr>
      <w:r>
        <w:rPr>
          <w:rFonts w:ascii="Arial" w:cs="Arial" w:eastAsia="Arial" w:hAnsi="Arial"/>
          <w:sz w:val="17"/>
          <w:szCs w:val="17"/>
          <w:color w:val="auto"/>
        </w:rPr>
        <w:t>other factors and uncertainties inherent in the transportation, storage, terminalling and marketing of crude oil, as well as in the storage of natural gas and the processing, transportation, fractionation, storage and marketing of NGL as discussed in the Partnerships’ filings with the Securities and Exchange Commission.</w:t>
      </w:r>
    </w:p>
    <w:p>
      <w:pPr>
        <w:spacing w:after="0" w:line="249" w:lineRule="exact"/>
        <w:rPr>
          <w:sz w:val="20"/>
          <w:szCs w:val="20"/>
          <w:color w:val="auto"/>
        </w:rPr>
      </w:pPr>
    </w:p>
    <w:p>
      <w:pPr>
        <w:ind w:right="120" w:firstLine="619"/>
        <w:spacing w:after="0" w:line="307" w:lineRule="auto"/>
        <w:rPr>
          <w:sz w:val="20"/>
          <w:szCs w:val="20"/>
          <w:color w:val="auto"/>
        </w:rPr>
      </w:pPr>
      <w:r>
        <w:rPr>
          <w:rFonts w:ascii="Arial" w:cs="Arial" w:eastAsia="Arial" w:hAnsi="Arial"/>
          <w:sz w:val="15"/>
          <w:szCs w:val="15"/>
          <w:color w:val="auto"/>
        </w:rPr>
        <w:t>PAA is a publicly traded master limited partnership that owns and operates midstream energy infrastructure and provides logistics services for crude oil, NGL and natural gas. PAA owns an extensive network of pipeline transportation, terminalling, storage and gathering assets in key crude oil and NGL producing basins and transportation corridors and at major market hubs in the United States and Canada. On average, PAA handles more than 5 million barrels per day of crude oil and NGL in its Transportation segment. PAA is headquartered in Houston, Texas. More information is available at www.plainsallamerican.com.</w:t>
      </w:r>
    </w:p>
    <w:p>
      <w:pPr>
        <w:spacing w:after="0" w:line="175"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PAGP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Contacts</w:t>
      </w:r>
      <w:r>
        <w:rPr>
          <w:rFonts w:ascii="Arial" w:cs="Arial" w:eastAsia="Arial" w:hAnsi="Arial"/>
          <w:sz w:val="17"/>
          <w:szCs w:val="17"/>
          <w:color w:val="auto"/>
        </w:rPr>
        <w:t>:</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7"/>
          <w:szCs w:val="17"/>
          <w:color w:val="auto"/>
        </w:rPr>
        <w:t>Roy Lamoreaux</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 President, Investor Relations, Communications and Government Relations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(866) 809-1291</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7"/>
          <w:szCs w:val="17"/>
          <w:color w:val="auto"/>
        </w:rPr>
        <w:t>Brett Magill</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Director, Investor Relations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(866) 809-1291</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96520</wp:posOffset>
            </wp:positionV>
            <wp:extent cx="7122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3" w:lineRule="exact"/>
        <w:rPr>
          <w:sz w:val="20"/>
          <w:szCs w:val="20"/>
          <w:color w:val="auto"/>
        </w:rPr>
      </w:pPr>
    </w:p>
    <w:p>
      <w:pPr>
        <w:ind w:left="176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sectPr>
      <w:pgSz w:w="11900" w:h="16838" w:orient="portrait"/>
      <w:cols w:equalWidth="0" w:num="1">
        <w:col w:w="11200"/>
      </w:cols>
      <w:pgMar w:left="320" w:top="35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lvl w:ilvl="1">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lowerRoman"/>
      <w:start w:val="4"/>
    </w:lvl>
  </w:abstractNum>
  <w:abstractNum w:abstractNumId="8">
    <w:nsid w:val="3F2DBA31"/>
    <w:multiLevelType w:val="hybridMultilevel"/>
    <w:lvl w:ilvl="0">
      <w:lvlJc w:val="left"/>
      <w:lvlText w:val="(%1)"/>
      <w:numFmt w:val="decimal"/>
      <w:start w:val="1"/>
    </w:lvl>
    <w:lvl w:ilvl="1">
      <w:lvlJc w:val="left"/>
      <w:lvlText w:val="-"/>
      <w:numFmt w:val="bullet"/>
      <w:start w:val="1"/>
    </w:lvl>
  </w:abstractNum>
  <w:abstractNum w:abstractNumId="9">
    <w:nsid w:val="7C83E458"/>
    <w:multiLevelType w:val="hybridMultilevel"/>
    <w:lvl w:ilvl="0">
      <w:lvlJc w:val="left"/>
      <w:lvlText w:val="(%1)"/>
      <w:numFmt w:val="decimal"/>
      <w:start w:val="1"/>
    </w:lvl>
    <w:lvl w:ilvl="1">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lvl w:ilvl="1">
      <w:lvlJc w:val="left"/>
      <w:lvlText w:val="-"/>
      <w:numFmt w:val="bullet"/>
      <w:start w:val="1"/>
    </w:lvl>
  </w:abstractNum>
  <w:abstractNum w:abstractNumId="13">
    <w:nsid w:val="628C895D"/>
    <w:multiLevelType w:val="hybridMultilevel"/>
    <w:lvl w:ilvl="0">
      <w:lvlJc w:val="left"/>
      <w:lvlText w:val="(%1)"/>
      <w:numFmt w:val="decimal"/>
      <w:start w:val="1"/>
    </w:lvl>
    <w:lvl w:ilvl="1">
      <w:lvlJc w:val="left"/>
      <w:lvlText w:val="-"/>
      <w:numFmt w:val="bullet"/>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lvl w:ilvl="1">
      <w:lvlJc w:val="left"/>
      <w:lvlText w:val="-"/>
      <w:numFmt w:val="bullet"/>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lvl w:ilvl="1">
      <w:lvlJc w:val="left"/>
      <w:lvlText w:val="-"/>
      <w:numFmt w:val="bullet"/>
      <w:start w:val="1"/>
    </w:lvl>
  </w:abstractNum>
  <w:abstractNum w:abstractNumId="18">
    <w:nsid w:val="6763845E"/>
    <w:multiLevelType w:val="hybridMultilevel"/>
    <w:lvl w:ilvl="0">
      <w:lvlJc w:val="left"/>
      <w:lvlText w:val="(%1)"/>
      <w:numFmt w:val="decimal"/>
      <w:start w:val="3"/>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lvl w:ilvl="1">
      <w:lvlJc w:val="left"/>
      <w:lvlText w:val="-"/>
      <w:numFmt w:val="bullet"/>
      <w:start w:val="1"/>
    </w:lvl>
  </w:abstractNum>
  <w:abstractNum w:abstractNumId="22">
    <w:nsid w:val="4353D0CD"/>
    <w:multiLevelType w:val="hybridMultilevel"/>
    <w:lvl w:ilvl="0">
      <w:lvlJc w:val="left"/>
      <w:lvlText w:val="(%1)"/>
      <w:numFmt w:val="decimal"/>
      <w:start w:val="1"/>
    </w:lvl>
    <w:lvl w:ilvl="1">
      <w:lvlJc w:val="left"/>
      <w:lvlText w:val="-"/>
      <w:numFmt w:val="bullet"/>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
      <w:numFmt w:val="bullet"/>
      <w:start w:val="1"/>
    </w:lvl>
    <w:lvl w:ilvl="1">
      <w:lvlJc w:val="left"/>
      <w:lvlText w:val="-"/>
      <w:numFmt w:val="bullet"/>
      <w:start w:val="1"/>
    </w:lvl>
  </w:abstractNum>
  <w:abstractNum w:abstractNumId="26">
    <w:nsid w:val="71F32454"/>
    <w:multiLevelType w:val="hybridMultilevel"/>
    <w:lvl w:ilvl="0">
      <w:lvlJc w:val="left"/>
      <w:lvlText w:val="•"/>
      <w:numFmt w:val="bullet"/>
      <w:start w:val="1"/>
    </w:lvl>
    <w:lvl w:ilvl="1">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2021-05-04T15:37:57Z</dcterms:created>
  <dcterms:modified xsi:type="dcterms:W3CDTF">2021-05-04T15:37:57Z</dcterms:modified>
</cp:coreProperties>
</file>