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Oxy Holding Co (Pipeline),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10/21/2013</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10889 WILSHIRE BOULEVARD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LOS</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90024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ANGELES</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PLAINS GP HOLDINGS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PAGP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81"/>
        </w:trPr>
        <w:tc>
          <w:tcPr>
            <w:tcW w:w="2100" w:type="dxa"/>
            <w:vAlign w:val="bottom"/>
            <w:gridSpan w:val="2"/>
            <w:vMerge w:val="restart"/>
          </w:tcPr>
          <w:p>
            <w:pPr>
              <w:ind w:left="1200"/>
              <w:spacing w:after="0"/>
              <w:rPr>
                <w:sz w:val="20"/>
                <w:szCs w:val="20"/>
                <w:color w:val="auto"/>
              </w:rPr>
            </w:pPr>
            <w:r>
              <w:rPr>
                <w:rFonts w:ascii="Arial" w:cs="Arial" w:eastAsia="Arial" w:hAnsi="Arial"/>
                <w:sz w:val="18"/>
                <w:szCs w:val="18"/>
                <w:color w:val="0000FF"/>
                <w:w w:val="86"/>
              </w:rPr>
              <w:t>See remarks</w:t>
            </w:r>
          </w:p>
        </w:tc>
        <w:tc>
          <w:tcPr>
            <w:tcW w:w="1220" w:type="dxa"/>
            <w:vAlign w:val="bottom"/>
          </w:tcPr>
          <w:p>
            <w:pPr>
              <w:spacing w:after="0"/>
              <w:rPr>
                <w:sz w:val="7"/>
                <w:szCs w:val="7"/>
                <w:color w:val="auto"/>
              </w:rPr>
            </w:pPr>
          </w:p>
        </w:tc>
        <w:tc>
          <w:tcPr>
            <w:tcW w:w="2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10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bl>
    <w:p>
      <w:pPr>
        <w:spacing w:after="0" w:line="28" w:lineRule="exact"/>
        <w:rPr>
          <w:sz w:val="24"/>
          <w:szCs w:val="24"/>
          <w:color w:val="auto"/>
        </w:rPr>
      </w:pPr>
    </w:p>
    <w:tbl>
      <w:tblPr>
        <w:tblLayout w:type="fixed"/>
        <w:tblInd w:w="356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800" w:type="dxa"/>
            <w:vAlign w:val="bottom"/>
          </w:tcPr>
          <w:p>
            <w:pPr>
              <w:ind w:left="100"/>
              <w:spacing w:after="0"/>
              <w:rPr>
                <w:sz w:val="20"/>
                <w:szCs w:val="20"/>
                <w:color w:val="auto"/>
              </w:rPr>
            </w:pPr>
            <w:r>
              <w:rPr>
                <w:rFonts w:ascii="Arial" w:cs="Arial" w:eastAsia="Arial" w:hAnsi="Arial"/>
                <w:sz w:val="14"/>
                <w:szCs w:val="14"/>
                <w:color w:val="auto"/>
                <w:w w:val="94"/>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80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4"/>
                <w:szCs w:val="14"/>
                <w:color w:val="auto"/>
              </w:rPr>
            </w:pPr>
          </w:p>
        </w:tc>
        <w:tc>
          <w:tcPr>
            <w:tcW w:w="1680" w:type="dxa"/>
            <w:vAlign w:val="bottom"/>
            <w:gridSpan w:val="6"/>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80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gridSpan w:val="4"/>
          </w:tcPr>
          <w:p>
            <w:pPr>
              <w:jc w:val="right"/>
              <w:ind w:right="320"/>
              <w:spacing w:after="0"/>
              <w:rPr>
                <w:sz w:val="20"/>
                <w:szCs w:val="20"/>
                <w:color w:val="auto"/>
              </w:rPr>
            </w:pPr>
            <w:r>
              <w:rPr>
                <w:rFonts w:ascii="Arial" w:cs="Arial" w:eastAsia="Arial" w:hAnsi="Arial"/>
                <w:sz w:val="11"/>
                <w:szCs w:val="11"/>
                <w:color w:val="008000"/>
              </w:rPr>
              <w:t>(1)</w:t>
            </w:r>
          </w:p>
        </w:tc>
        <w:tc>
          <w:tcPr>
            <w:tcW w:w="17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Class A Shares</w:t>
            </w:r>
          </w:p>
        </w:tc>
        <w:tc>
          <w:tcPr>
            <w:tcW w:w="12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1"/>
              </w:rPr>
              <w:t>153,212,255</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6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4"/>
              </w:rPr>
            </w:pPr>
            <w:hyperlink r:id="rId11">
              <w:r>
                <w:rPr>
                  <w:rFonts w:ascii="Arial" w:cs="Arial" w:eastAsia="Arial" w:hAnsi="Arial"/>
                  <w:sz w:val="22"/>
                  <w:szCs w:val="22"/>
                  <w:color w:val="0000EE"/>
                  <w:w w:val="94"/>
                </w:rPr>
                <w:t>Oxy Holding Co (Pipeline), Inc.</w:t>
              </w:r>
            </w:hyperlink>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10889 WILSHIRE BOULEVARD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54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660" w:type="dxa"/>
            <w:vAlign w:val="bottom"/>
            <w:gridSpan w:val="2"/>
          </w:tcPr>
          <w:p>
            <w:pPr>
              <w:ind w:left="60"/>
              <w:spacing w:after="0"/>
              <w:rPr>
                <w:sz w:val="20"/>
                <w:szCs w:val="20"/>
                <w:color w:val="auto"/>
              </w:rPr>
            </w:pPr>
            <w:r>
              <w:rPr>
                <w:rFonts w:ascii="Arial" w:cs="Arial" w:eastAsia="Arial" w:hAnsi="Arial"/>
                <w:sz w:val="18"/>
                <w:szCs w:val="18"/>
                <w:color w:val="0000FF"/>
              </w:rPr>
              <w:t>90024</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Occidental Transportation Holding Corp</w:t>
              </w:r>
            </w:hyperlink>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10889 WILSHIRE BOULEVARD</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540" w:type="dxa"/>
            <w:vAlign w:val="bottom"/>
            <w:gridSpan w:val="2"/>
          </w:tcPr>
          <w:p>
            <w:pPr>
              <w:ind w:left="140"/>
              <w:spacing w:after="0"/>
              <w:rPr>
                <w:sz w:val="20"/>
                <w:szCs w:val="20"/>
                <w:color w:val="auto"/>
              </w:rPr>
            </w:pPr>
            <w:r>
              <w:rPr>
                <w:rFonts w:ascii="Arial" w:cs="Arial" w:eastAsia="Arial" w:hAnsi="Arial"/>
                <w:sz w:val="18"/>
                <w:szCs w:val="18"/>
                <w:color w:val="0000FF"/>
              </w:rPr>
              <w:t>CA</w:t>
            </w:r>
          </w:p>
        </w:tc>
        <w:tc>
          <w:tcPr>
            <w:tcW w:w="660" w:type="dxa"/>
            <w:vAlign w:val="bottom"/>
            <w:gridSpan w:val="2"/>
          </w:tcPr>
          <w:p>
            <w:pPr>
              <w:ind w:left="60"/>
              <w:spacing w:after="0"/>
              <w:rPr>
                <w:sz w:val="20"/>
                <w:szCs w:val="20"/>
                <w:color w:val="auto"/>
              </w:rPr>
            </w:pPr>
            <w:r>
              <w:rPr>
                <w:rFonts w:ascii="Arial" w:cs="Arial" w:eastAsia="Arial" w:hAnsi="Arial"/>
                <w:sz w:val="18"/>
                <w:szCs w:val="18"/>
                <w:color w:val="0000FF"/>
              </w:rPr>
              <w:t>90024</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OCCIDENTAL PETROLEUM INVESTMENT</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CORP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140"/>
              <w:spacing w:after="0"/>
              <w:rPr>
                <w:sz w:val="20"/>
                <w:szCs w:val="20"/>
                <w:color w:val="auto"/>
              </w:rPr>
            </w:pPr>
            <w:r>
              <w:rPr>
                <w:rFonts w:ascii="Arial" w:cs="Arial" w:eastAsia="Arial" w:hAnsi="Arial"/>
                <w:sz w:val="14"/>
                <w:szCs w:val="14"/>
                <w:color w:val="auto"/>
              </w:rPr>
              <w:t>(First)</w:t>
            </w:r>
          </w:p>
        </w:tc>
        <w:tc>
          <w:tcPr>
            <w:tcW w:w="16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0000FF"/>
              </w:rPr>
              <w:t>10889 WILSHIRE BOULEVARD</w:t>
            </w:r>
          </w:p>
        </w:tc>
        <w:tc>
          <w:tcPr>
            <w:tcW w:w="16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360" w:type="dxa"/>
            <w:vAlign w:val="bottom"/>
          </w:tcPr>
          <w:p>
            <w:pPr>
              <w:ind w:left="140"/>
              <w:spacing w:after="0"/>
              <w:rPr>
                <w:sz w:val="20"/>
                <w:szCs w:val="20"/>
                <w:color w:val="auto"/>
              </w:rPr>
            </w:pPr>
            <w:r>
              <w:rPr>
                <w:rFonts w:ascii="Arial" w:cs="Arial" w:eastAsia="Arial" w:hAnsi="Arial"/>
                <w:sz w:val="18"/>
                <w:szCs w:val="18"/>
                <w:color w:val="0000FF"/>
              </w:rPr>
              <w:t>CA</w:t>
            </w:r>
          </w:p>
        </w:tc>
        <w:tc>
          <w:tcPr>
            <w:tcW w:w="1660" w:type="dxa"/>
            <w:vAlign w:val="bottom"/>
          </w:tcPr>
          <w:p>
            <w:pPr>
              <w:ind w:left="240"/>
              <w:spacing w:after="0"/>
              <w:rPr>
                <w:sz w:val="20"/>
                <w:szCs w:val="20"/>
                <w:color w:val="auto"/>
              </w:rPr>
            </w:pPr>
            <w:r>
              <w:rPr>
                <w:rFonts w:ascii="Arial" w:cs="Arial" w:eastAsia="Arial" w:hAnsi="Arial"/>
                <w:sz w:val="18"/>
                <w:szCs w:val="18"/>
                <w:color w:val="0000FF"/>
              </w:rPr>
              <w:t>90024</w:t>
            </w: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65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165036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OCCIDENTAL PETROLEUM CORP /DE/</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140"/>
              <w:spacing w:after="0"/>
              <w:rPr>
                <w:sz w:val="20"/>
                <w:szCs w:val="20"/>
                <w:color w:val="auto"/>
              </w:rPr>
            </w:pPr>
            <w:r>
              <w:rPr>
                <w:rFonts w:ascii="Arial" w:cs="Arial" w:eastAsia="Arial" w:hAnsi="Arial"/>
                <w:sz w:val="14"/>
                <w:szCs w:val="14"/>
                <w:color w:val="auto"/>
              </w:rPr>
              <w:t>(First)</w:t>
            </w:r>
          </w:p>
        </w:tc>
        <w:tc>
          <w:tcPr>
            <w:tcW w:w="16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0000FF"/>
              </w:rPr>
              <w:t>10889 WILSHIRE BOULEVARD</w:t>
            </w:r>
          </w:p>
        </w:tc>
        <w:tc>
          <w:tcPr>
            <w:tcW w:w="166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360" w:type="dxa"/>
            <w:vAlign w:val="bottom"/>
          </w:tcPr>
          <w:p>
            <w:pPr>
              <w:ind w:left="140"/>
              <w:spacing w:after="0"/>
              <w:rPr>
                <w:sz w:val="20"/>
                <w:szCs w:val="20"/>
                <w:color w:val="auto"/>
              </w:rPr>
            </w:pPr>
            <w:r>
              <w:rPr>
                <w:rFonts w:ascii="Arial" w:cs="Arial" w:eastAsia="Arial" w:hAnsi="Arial"/>
                <w:sz w:val="18"/>
                <w:szCs w:val="18"/>
                <w:color w:val="0000FF"/>
              </w:rPr>
              <w:t>CA</w:t>
            </w:r>
          </w:p>
        </w:tc>
        <w:tc>
          <w:tcPr>
            <w:tcW w:w="1660" w:type="dxa"/>
            <w:vAlign w:val="bottom"/>
          </w:tcPr>
          <w:p>
            <w:pPr>
              <w:ind w:left="240"/>
              <w:spacing w:after="0"/>
              <w:rPr>
                <w:sz w:val="20"/>
                <w:szCs w:val="20"/>
                <w:color w:val="auto"/>
              </w:rPr>
            </w:pPr>
            <w:r>
              <w:rPr>
                <w:rFonts w:ascii="Arial" w:cs="Arial" w:eastAsia="Arial" w:hAnsi="Arial"/>
                <w:sz w:val="18"/>
                <w:szCs w:val="18"/>
                <w:color w:val="0000FF"/>
              </w:rPr>
              <w:t>90024</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140"/>
              <w:spacing w:after="0"/>
              <w:rPr>
                <w:sz w:val="20"/>
                <w:szCs w:val="20"/>
                <w:color w:val="auto"/>
              </w:rPr>
            </w:pPr>
            <w:r>
              <w:rPr>
                <w:rFonts w:ascii="Arial" w:cs="Arial" w:eastAsia="Arial" w:hAnsi="Arial"/>
                <w:sz w:val="14"/>
                <w:szCs w:val="14"/>
                <w:color w:val="auto"/>
              </w:rPr>
              <w:t>(State)</w:t>
            </w:r>
          </w:p>
        </w:tc>
        <w:tc>
          <w:tcPr>
            <w:tcW w:w="16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Oxy Holding Company (Pipeline), Inc. ("OHC") owns directly 153,212,255 Class B shares representing limited partner interests of the Issuer (the "Class B Shares"), 153,212,255 units representing limited liability company interests of the Issuer's general partner (the "GP Units") and 153,212,255 Class A units representing limited partner interests ("AAP Class A Units") in Plains AAP, L.P. ("AAP"). The limited partnership agreement of AAP provides, among other things, that each limited partner of AAP, including OHC, will have the right, at any time and from time to time, to immediately exchange its AAP Class A Units, together with a like number of Class B Shares and GP Units, for Class A shares of the Issuer (the "Class A Shares") on a one-for-one basis or, at the election of AAP, the cash value thereof.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30" w:lineRule="auto"/>
        <w:rPr>
          <w:sz w:val="20"/>
          <w:szCs w:val="20"/>
          <w:color w:val="auto"/>
        </w:rPr>
      </w:pPr>
      <w:r>
        <w:rPr>
          <w:rFonts w:ascii="Arial" w:cs="Arial" w:eastAsia="Arial" w:hAnsi="Arial"/>
          <w:sz w:val="14"/>
          <w:szCs w:val="14"/>
          <w:color w:val="008000"/>
        </w:rPr>
        <w:t>Vicky Sutil is a director of the general partner of the Issuer. Based on the relationship of Ms. Sutil and the Reporting Persons, the Reporting Persons may be deemed directors by deputization of the Issuer. Oxy Holding Company (Pipeline), Inc. ("OHC"), Occidental Transportation Holding Corporation ("OTHC") and Occidental Petroleum Investment Co. ("OPIC") are wholly owned subsidiaries of Occidental Petroleum Corporation ("Occidental" and, together with OHC, OTHC, and OPIC,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260"/>
          </w:cols>
          <w:pgMar w:left="280" w:top="113" w:right="359" w:bottom="1440" w:gutter="0" w:footer="0" w:header="0"/>
        </w:sectPr>
      </w:pPr>
    </w:p>
    <w:p>
      <w:pPr>
        <w:spacing w:after="0" w:line="6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LINDA S.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72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9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LINDA S.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9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LINDA S.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1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39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397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ROY PINECI,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15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President, Controller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7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176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Principcal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7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0000FF"/>
        </w:rPr>
        <w:t>10/28/2013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10/28/2013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10/28/2013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10/28/2013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60" w:space="160"/>
            <w:col w:w="2140"/>
          </w:cols>
          <w:pgMar w:left="280" w:top="113" w:right="35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1" Type="http://schemas.openxmlformats.org/officeDocument/2006/relationships/hyperlink" Target="http://www.sec.gov/cgi-bin/browse-edgar?action=getcompany&amp;CIK=0001590092" TargetMode="External"/><Relationship Id="rId12" Type="http://schemas.openxmlformats.org/officeDocument/2006/relationships/hyperlink" Target="http://www.sec.gov/cgi-bin/browse-edgar?action=getcompany&amp;CIK=0001581990" TargetMode="External"/><Relationship Id="rId13" Type="http://schemas.openxmlformats.org/officeDocument/2006/relationships/hyperlink" Target="http://www.sec.gov/cgi-bin/browse-edgar?action=getcompany&amp;CIK=0001590160" TargetMode="External"/><Relationship Id="rId14" Type="http://schemas.openxmlformats.org/officeDocument/2006/relationships/hyperlink" Target="http://www.sec.gov/cgi-bin/browse-edgar?action=getcompany&amp;CIK=0001259248" TargetMode="External"/><Relationship Id="rId16"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2019-12-16T04:50:47Z</dcterms:created>
  <dcterms:modified xsi:type="dcterms:W3CDTF">2019-12-16T04:50:47Z</dcterms:modified>
</cp:coreProperties>
</file>