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44"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02"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9"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6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39"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PLAINS ALL AMERICAN PIPELINE, L.P.</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197485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24"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3665220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329565</wp:posOffset>
            </wp:positionV>
            <wp:extent cx="2194560" cy="36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April 11, 2025​</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6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sincerely appreciate your continued support and investment in Plains. Your trust and partnership play a vital role in our success, and we are pleased to invite you to join us for our May 21, 2025 Annual Meeting.</w:t>
      </w:r>
    </w:p>
    <w:p>
      <w:pPr>
        <w:spacing w:after="0" w:line="2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 xml:space="preserve">2024 was a year of solid execution for Plains, with tangible progress on the three primary objectives of our financial strategy: </w:t>
      </w:r>
      <w:r>
        <w:rPr>
          <w:rFonts w:ascii="Arial" w:cs="Arial" w:eastAsia="Arial" w:hAnsi="Arial"/>
          <w:sz w:val="17"/>
          <w:szCs w:val="17"/>
          <w:i w:val="1"/>
          <w:iCs w:val="1"/>
          <w:color w:val="auto"/>
        </w:rPr>
        <w:t>generating significant multi-year free cash flow, maintaining capital discipline,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and returning capital to investors while preserving financial flexibility</w:t>
      </w:r>
      <w:r>
        <w:rPr>
          <w:rFonts w:ascii="Arial" w:cs="Arial" w:eastAsia="Arial" w:hAnsi="Arial"/>
          <w:sz w:val="18"/>
          <w:szCs w:val="18"/>
          <w:color w:val="auto"/>
        </w:rPr>
        <w:t>.</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past year we were able to deliver on nearly all our key initiatives, including:</w:t>
      </w:r>
    </w:p>
    <w:p>
      <w:pPr>
        <w:spacing w:after="0" w:line="90" w:lineRule="exact"/>
        <w:rPr>
          <w:sz w:val="20"/>
          <w:szCs w:val="20"/>
          <w:color w:val="auto"/>
        </w:rPr>
      </w:pPr>
    </w:p>
    <w:p>
      <w:pPr>
        <w:ind w:left="1800" w:right="43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Delivered strong financial results, with 2024 Adjusted EBITDA attributable to PAA of $2.78 billion (~$105 million / ~4% above guidance) and Implied Distributable Cash Flow per Common Unit and Common Unit Equivalent of $2.49/unit ($0.05/unit / ~2% above guidance);</w:t>
      </w:r>
    </w:p>
    <w:p>
      <w:pPr>
        <w:spacing w:after="0" w:line="62" w:lineRule="exact"/>
        <w:rPr>
          <w:rFonts w:ascii="Arial" w:cs="Arial" w:eastAsia="Arial" w:hAnsi="Arial"/>
          <w:sz w:val="18"/>
          <w:szCs w:val="18"/>
          <w:color w:val="auto"/>
        </w:rPr>
      </w:pPr>
    </w:p>
    <w:p>
      <w:pPr>
        <w:ind w:left="1800" w:right="459" w:hanging="180"/>
        <w:spacing w:after="0" w:line="262"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$1.17 billion in Adjusted Free Cash Flow (excluding changes in Assets and Liabilities), returned approximately $1.15 billion to our common and preferred equity holders via distributions, and invested approximately $571 million of investment and maintenance capital (net to our interest);</w:t>
      </w:r>
    </w:p>
    <w:p>
      <w:pPr>
        <w:spacing w:after="0" w:line="68" w:lineRule="exact"/>
        <w:rPr>
          <w:rFonts w:ascii="Arial" w:cs="Arial" w:eastAsia="Arial" w:hAnsi="Arial"/>
          <w:sz w:val="18"/>
          <w:szCs w:val="18"/>
          <w:color w:val="auto"/>
        </w:rPr>
      </w:pPr>
    </w:p>
    <w:p>
      <w:pPr>
        <w:ind w:left="1800" w:right="73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Progressed our efficient growth strategy and executed seven accretive bolt-on acquisitions in 2024 and early 2025 for an aggregate of approximately $800 million (net to our interest), while maintaining capital discipline and generating strong returns;</w:t>
      </w:r>
    </w:p>
    <w:p>
      <w:pPr>
        <w:spacing w:after="0" w:line="62" w:lineRule="exact"/>
        <w:rPr>
          <w:rFonts w:ascii="Arial" w:cs="Arial" w:eastAsia="Arial" w:hAnsi="Arial"/>
          <w:sz w:val="18"/>
          <w:szCs w:val="18"/>
          <w:color w:val="auto"/>
        </w:rPr>
      </w:pPr>
    </w:p>
    <w:p>
      <w:pPr>
        <w:jc w:val="both"/>
        <w:ind w:left="1800" w:right="43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Extended contract terms and increased contracted volumes in Plains’ Permian long-haul portfolio, providing greater cash flow stability while maintaining the flexibility to capture higher margins over time;</w:t>
      </w:r>
    </w:p>
    <w:p>
      <w:pPr>
        <w:spacing w:after="0" w:line="62" w:lineRule="exact"/>
        <w:rPr>
          <w:rFonts w:ascii="Arial" w:cs="Arial" w:eastAsia="Arial" w:hAnsi="Arial"/>
          <w:sz w:val="18"/>
          <w:szCs w:val="18"/>
          <w:color w:val="auto"/>
        </w:rPr>
      </w:pPr>
    </w:p>
    <w:p>
      <w:pPr>
        <w:jc w:val="both"/>
        <w:ind w:left="1800" w:right="559" w:hanging="180"/>
        <w:spacing w:after="0" w:line="291"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Exited 2024 with a leverage ratio of ~3.0x (below our leverage ratio target range) and received a credit rating upgrade from Moody’s to Baa2 with a stable outlook, achieving our long-term target of mid-BBB or equivalent investment grade ratings from all three credit rating agencies; and</w:t>
      </w:r>
    </w:p>
    <w:p>
      <w:pPr>
        <w:spacing w:after="0" w:line="44" w:lineRule="exact"/>
        <w:rPr>
          <w:rFonts w:ascii="Arial" w:cs="Arial" w:eastAsia="Arial" w:hAnsi="Arial"/>
          <w:sz w:val="17"/>
          <w:szCs w:val="17"/>
          <w:color w:val="auto"/>
        </w:rPr>
      </w:pPr>
    </w:p>
    <w:p>
      <w:pPr>
        <w:jc w:val="both"/>
        <w:ind w:left="1800" w:right="47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our annual distribution by $0.20/unit (19%) in 2024, and by another $0.25/unit (20%) in February 2025, and delivered strong total unitholder and shareholder returns in 2024 of 21% and 24% for PAA and PAGP, respectively.</w:t>
      </w:r>
    </w:p>
    <w:p>
      <w:pPr>
        <w:spacing w:after="0" w:line="2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Overall, Plains’ 2024 performance was strong, enabling us to enter 2025 with momentum. We are well-positioned to play offense and enhance equity holder value amidst what we expect to be a generally</w:t>
      </w:r>
    </w:p>
    <w:p>
      <w:pPr>
        <w:ind w:left="1260"/>
        <w:spacing w:after="0" w:line="235" w:lineRule="auto"/>
        <w:rPr>
          <w:sz w:val="20"/>
          <w:szCs w:val="20"/>
          <w:color w:val="auto"/>
        </w:rPr>
      </w:pPr>
      <w:r>
        <w:rPr>
          <w:rFonts w:ascii="Arial" w:cs="Arial" w:eastAsia="Arial" w:hAnsi="Arial"/>
          <w:sz w:val="18"/>
          <w:szCs w:val="18"/>
          <w:color w:val="auto"/>
        </w:rPr>
        <w:t>constructive, yet volatile, environment. While overall U.S. crude production growth is projected to</w:t>
      </w:r>
    </w:p>
    <w:p>
      <w:pPr>
        <w:ind w:left="1260" w:right="579"/>
        <w:spacing w:after="0"/>
        <w:rPr>
          <w:sz w:val="20"/>
          <w:szCs w:val="20"/>
          <w:color w:val="auto"/>
        </w:rPr>
      </w:pPr>
      <w:r>
        <w:rPr>
          <w:rFonts w:ascii="Arial" w:cs="Arial" w:eastAsia="Arial" w:hAnsi="Arial"/>
          <w:sz w:val="17"/>
          <w:szCs w:val="17"/>
          <w:color w:val="auto"/>
        </w:rPr>
        <w:t>continue at a modest pace, the majority of the growth is expected to come from the Permian, where we have a sizable footprint. We are optimistic about the future of the U.S. energy industry as it remains</w:t>
      </w:r>
    </w:p>
    <w:p>
      <w:pPr>
        <w:spacing w:after="0" w:line="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essential to global energy reliability, affordability and security, and in the near-term we anticipate benefits from improvements to energy policy and regulatory frameworks.</w:t>
      </w:r>
    </w:p>
    <w:p>
      <w:pPr>
        <w:spacing w:after="0" w:line="2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With our network of strategically located North American midstream assets and our focus on the long-term optimization of our business, we believe we are very well positioned to play a critical role in the</w:t>
      </w:r>
    </w:p>
    <w:p>
      <w:pPr>
        <w:ind w:left="1260"/>
        <w:spacing w:after="0" w:line="235" w:lineRule="auto"/>
        <w:rPr>
          <w:sz w:val="20"/>
          <w:szCs w:val="20"/>
          <w:color w:val="auto"/>
        </w:rPr>
      </w:pPr>
      <w:r>
        <w:rPr>
          <w:rFonts w:ascii="Arial" w:cs="Arial" w:eastAsia="Arial" w:hAnsi="Arial"/>
          <w:sz w:val="18"/>
          <w:szCs w:val="18"/>
          <w:color w:val="auto"/>
        </w:rPr>
        <w:t>delivery of energy across North America and globally. As we do so, we will remain focused on our key</w:t>
      </w:r>
    </w:p>
    <w:p>
      <w:pPr>
        <w:ind w:left="1260" w:right="719"/>
        <w:spacing w:after="0"/>
        <w:rPr>
          <w:sz w:val="20"/>
          <w:szCs w:val="20"/>
          <w:color w:val="auto"/>
        </w:rPr>
      </w:pPr>
      <w:r>
        <w:rPr>
          <w:rFonts w:ascii="Arial" w:cs="Arial" w:eastAsia="Arial" w:hAnsi="Arial"/>
          <w:sz w:val="17"/>
          <w:szCs w:val="17"/>
          <w:color w:val="auto"/>
        </w:rPr>
        <w:t>objectives of being a safe, reliable and responsible operator, generating strong cash flow, exercising capital discipline, increasing returns of capital to our investors, and maintaining financial flexibility. We</w:t>
      </w:r>
    </w:p>
    <w:p>
      <w:pPr>
        <w:spacing w:after="0" w:line="1" w:lineRule="exact"/>
        <w:rPr>
          <w:sz w:val="20"/>
          <w:szCs w:val="20"/>
          <w:color w:val="auto"/>
        </w:rPr>
      </w:pPr>
    </w:p>
    <w:p>
      <w:pPr>
        <w:ind w:left="1260" w:right="659"/>
        <w:spacing w:after="0" w:line="250" w:lineRule="auto"/>
        <w:rPr>
          <w:sz w:val="20"/>
          <w:szCs w:val="20"/>
          <w:color w:val="auto"/>
        </w:rPr>
      </w:pPr>
      <w:r>
        <w:rPr>
          <w:rFonts w:ascii="Arial" w:cs="Arial" w:eastAsia="Arial" w:hAnsi="Arial"/>
          <w:sz w:val="18"/>
          <w:szCs w:val="18"/>
          <w:color w:val="auto"/>
        </w:rPr>
        <w:t>believe the execution of our plan will deliver strong performance and enhanced value for our investors over the long term.</w:t>
      </w:r>
    </w:p>
    <w:p>
      <w:pPr>
        <w:spacing w:after="0" w:line="10" w:lineRule="exact"/>
        <w:rPr>
          <w:sz w:val="20"/>
          <w:szCs w:val="20"/>
          <w:color w:val="auto"/>
        </w:rPr>
      </w:pPr>
    </w:p>
    <w:p>
      <w:pPr>
        <w:ind w:left="1260" w:right="619" w:firstLine="360"/>
        <w:spacing w:after="0" w:line="271"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2025 annual meeting in May.</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69215</wp:posOffset>
            </wp:positionV>
            <wp:extent cx="105410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Willie Chiang</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Chairman of the Board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509905</wp:posOffset>
            </wp:positionV>
            <wp:extent cx="219456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Plains All American Pipeline, L.P.</w:t>
      </w:r>
    </w:p>
    <w:p>
      <w:pPr>
        <w:spacing w:after="0" w:line="5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ind w:left="442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203200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UNITHOLDERS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To Be Held On May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203200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60" w:right="1479"/>
        <w:spacing w:after="0" w:line="271" w:lineRule="auto"/>
        <w:rPr>
          <w:sz w:val="20"/>
          <w:szCs w:val="20"/>
          <w:color w:val="auto"/>
        </w:rPr>
      </w:pPr>
      <w:r>
        <w:rPr>
          <w:rFonts w:ascii="Arial" w:cs="Arial" w:eastAsia="Arial" w:hAnsi="Arial"/>
          <w:sz w:val="18"/>
          <w:szCs w:val="18"/>
          <w:color w:val="auto"/>
        </w:rPr>
        <w:t>To holders of common units and Series A Convertible Preferred units of Plains All American Pipeline, L.P.:</w:t>
      </w:r>
    </w:p>
    <w:p>
      <w:pPr>
        <w:spacing w:after="0" w:line="73" w:lineRule="exact"/>
        <w:rPr>
          <w:sz w:val="20"/>
          <w:szCs w:val="20"/>
          <w:color w:val="auto"/>
        </w:rPr>
      </w:pPr>
    </w:p>
    <w:p>
      <w:pPr>
        <w:ind w:left="1260" w:right="679" w:firstLine="360"/>
        <w:spacing w:after="0" w:line="234" w:lineRule="auto"/>
        <w:rPr>
          <w:sz w:val="20"/>
          <w:szCs w:val="20"/>
          <w:color w:val="auto"/>
        </w:rPr>
      </w:pPr>
      <w:r>
        <w:rPr>
          <w:rFonts w:ascii="Arial" w:cs="Arial" w:eastAsia="Arial" w:hAnsi="Arial"/>
          <w:sz w:val="17"/>
          <w:szCs w:val="17"/>
          <w:color w:val="auto"/>
        </w:rPr>
        <w:t>The 2025 Annual Meeting (the “PAA Annual Meeting”) of the common unitholders and Series A Convertible Preferred unitholders (collectively, our “Unitholders”) of Plains All American Pipeline, L.P. (“PAA”) will be held on May 21, 2025, at 10:00 a.m. Central Time, in the Texas Room located on the 19</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of Three Allen Center, 333 Clay Street, Houston, Texas 77002. At the PAA Annual Meeting,</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Unitholders (excluding Plains AAP, L.P.) will consider and vote on the following matters:</w:t>
      </w:r>
    </w:p>
    <w:p>
      <w:pPr>
        <w:spacing w:after="0" w:line="99" w:lineRule="exact"/>
        <w:rPr>
          <w:sz w:val="20"/>
          <w:szCs w:val="20"/>
          <w:color w:val="auto"/>
        </w:rPr>
      </w:pPr>
    </w:p>
    <w:p>
      <w:pPr>
        <w:ind w:left="1980" w:right="43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II directors to serve on the board of directors (the “Board”) of PAA GP Holdings LLC until the 2028 annual meeting;</w:t>
      </w:r>
    </w:p>
    <w:p>
      <w:pPr>
        <w:spacing w:after="0" w:line="58" w:lineRule="exact"/>
        <w:rPr>
          <w:rFonts w:ascii="Arial" w:cs="Arial" w:eastAsia="Arial" w:hAnsi="Arial"/>
          <w:sz w:val="18"/>
          <w:szCs w:val="18"/>
          <w:color w:val="auto"/>
        </w:rPr>
      </w:pPr>
    </w:p>
    <w:p>
      <w:pPr>
        <w:ind w:left="1980" w:right="1059" w:hanging="360"/>
        <w:spacing w:after="0" w:line="318"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our independent registered public accounting firm for the fiscal year ending December 31, 2025;</w:t>
      </w:r>
    </w:p>
    <w:p>
      <w:pPr>
        <w:spacing w:after="0" w:line="35" w:lineRule="exact"/>
        <w:rPr>
          <w:rFonts w:ascii="Arial" w:cs="Arial" w:eastAsia="Arial" w:hAnsi="Arial"/>
          <w:sz w:val="17"/>
          <w:szCs w:val="17"/>
          <w:color w:val="auto"/>
        </w:rPr>
      </w:pPr>
    </w:p>
    <w:p>
      <w:pPr>
        <w:ind w:left="1980" w:right="137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2024 named executive officer compensation; and</w:t>
      </w:r>
    </w:p>
    <w:p>
      <w:pPr>
        <w:spacing w:after="0" w:line="58" w:lineRule="exact"/>
        <w:rPr>
          <w:rFonts w:ascii="Arial" w:cs="Arial" w:eastAsia="Arial" w:hAnsi="Arial"/>
          <w:sz w:val="18"/>
          <w:szCs w:val="18"/>
          <w:color w:val="auto"/>
        </w:rPr>
      </w:pPr>
    </w:p>
    <w:p>
      <w:pPr>
        <w:ind w:left="1980" w:right="739" w:hanging="360"/>
        <w:spacing w:after="0" w:line="27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PAA Annual Meeting and any adjournment or postponement thereof.</w:t>
      </w:r>
    </w:p>
    <w:p>
      <w:pPr>
        <w:spacing w:after="0" w:line="86"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b w:val="1"/>
          <w:bCs w:val="1"/>
          <w:color w:val="auto"/>
        </w:rPr>
        <w:t>The Board unanimously recommends that our Unitholders vote “FOR” the election of each director listed in proposal 1 and “FOR” proposals 2 and 3. Additional information regarding these proposals is included in the attached proxy statement. Votes received on proposals 1, 2 and 3 will be “passed through” as voting instructions to PAA, the owner of all of the Class C shares of Plains GP Holdings, L.P. (“PAGP”), who will in turn vote such shares at PAGP’s annual meeting on behalf of our Unitholders pursuant to such instructions. See “Information About the PAGP and PAA Annual Meetings” below for more information.</w:t>
      </w:r>
    </w:p>
    <w:p>
      <w:pPr>
        <w:spacing w:after="0" w:line="8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Unitholders as of the close of business on March 24, 2025 (the “Record Date”) are entitled to receive notice of and to vote at the PAA Annual Meeting and any postponements or adjournments thereof. A list of Unitholders entitled to vote is on file at our principal offices, 333 Clay Street, Suite 1600, Houston, TX 77002.</w:t>
      </w:r>
    </w:p>
    <w:p>
      <w:pPr>
        <w:spacing w:after="0" w:line="89"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PAA Annual Meeting, please</w:t>
      </w:r>
      <w:r>
        <w:rPr>
          <w:rFonts w:ascii="Arial" w:cs="Arial" w:eastAsia="Arial" w:hAnsi="Arial"/>
          <w:sz w:val="17"/>
          <w:szCs w:val="17"/>
          <w:b w:val="1"/>
          <w:bCs w:val="1"/>
          <w:color w:val="auto"/>
        </w:rPr>
        <w:t xml:space="preserve"> </w:t>
      </w:r>
      <w:r>
        <w:rPr>
          <w:rFonts w:ascii="Arial" w:cs="Arial" w:eastAsia="Arial" w:hAnsi="Arial"/>
          <w:sz w:val="17"/>
          <w:szCs w:val="17"/>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for the matters to be acted upon at the PAA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1018540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Holdings LLC, general partner of</w:t>
      </w:r>
    </w:p>
    <w:p>
      <w:pPr>
        <w:ind w:left="4860"/>
        <w:spacing w:after="0" w:line="234" w:lineRule="auto"/>
        <w:rPr>
          <w:sz w:val="20"/>
          <w:szCs w:val="20"/>
          <w:color w:val="auto"/>
        </w:rPr>
      </w:pPr>
      <w:r>
        <w:rPr>
          <w:rFonts w:ascii="Arial" w:cs="Arial" w:eastAsia="Arial" w:hAnsi="Arial"/>
          <w:sz w:val="18"/>
          <w:szCs w:val="18"/>
          <w:color w:val="auto"/>
        </w:rPr>
        <w:t>Plains GP Holdings, L.P., sole member of</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GP LLC, general partner of</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AAP, L.P., sole member of</w:t>
      </w:r>
    </w:p>
    <w:p>
      <w:pPr>
        <w:ind w:left="4860"/>
        <w:spacing w:after="0" w:line="234" w:lineRule="auto"/>
        <w:rPr>
          <w:sz w:val="20"/>
          <w:szCs w:val="20"/>
          <w:color w:val="auto"/>
        </w:rPr>
      </w:pPr>
      <w:r>
        <w:rPr>
          <w:rFonts w:ascii="Arial" w:cs="Arial" w:eastAsia="Arial" w:hAnsi="Arial"/>
          <w:sz w:val="18"/>
          <w:szCs w:val="18"/>
          <w:color w:val="auto"/>
        </w:rPr>
        <w:t>PAA GP LLC, general partner of</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100330</wp:posOffset>
            </wp:positionV>
            <wp:extent cx="185166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McGee</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Executive Vice President, General Counsel and Secretary</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left="1620" w:right="40"/>
        <w:spacing w:after="0" w:line="27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UNITHOLDERS TO BE HELD ON MAY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-495935</wp:posOffset>
            </wp:positionV>
            <wp:extent cx="5212080" cy="882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882650"/>
                    </a:xfrm>
                    <a:prstGeom prst="rect">
                      <a:avLst/>
                    </a:prstGeom>
                    <a:noFill/>
                  </pic:spPr>
                </pic:pic>
              </a:graphicData>
            </a:graphic>
          </wp:anchor>
        </w:drawing>
      </w:r>
    </w:p>
    <w:p>
      <w:pPr>
        <w:spacing w:after="0" w:line="3" w:lineRule="exact"/>
        <w:rPr>
          <w:sz w:val="20"/>
          <w:szCs w:val="20"/>
          <w:color w:val="auto"/>
        </w:rPr>
      </w:pPr>
    </w:p>
    <w:p>
      <w:pPr>
        <w:jc w:val="center"/>
        <w:ind w:left="1620"/>
        <w:spacing w:after="0"/>
        <w:rPr>
          <w:sz w:val="20"/>
          <w:szCs w:val="20"/>
          <w:color w:val="auto"/>
        </w:rPr>
      </w:pPr>
      <w:r>
        <w:rPr>
          <w:rFonts w:ascii="Arial" w:cs="Arial" w:eastAsia="Arial" w:hAnsi="Arial"/>
          <w:sz w:val="17"/>
          <w:szCs w:val="17"/>
          <w:b w:val="1"/>
          <w:bCs w:val="1"/>
          <w:color w:val="auto"/>
        </w:rPr>
        <w:t>The Notice of Annual Meeting, the proxy statement for the Annual Meeting and our 2024</w:t>
      </w:r>
    </w:p>
    <w:p>
      <w:pPr>
        <w:spacing w:after="0" w:line="39"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4888230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2">
            <w:col w:w="9080" w:space="320"/>
            <w:col w:w="4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4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8"/>
                <w:szCs w:val="18"/>
                <w:color w:val="0000EE"/>
                <w:w w:val="97"/>
              </w:rPr>
              <w:t>GENERAL INFORMATION ABOUT THE PLAINS ALL AMERICAN PIPELINE, L.P. ANNUAL</w:t>
            </w:r>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7"/>
              </w:rPr>
              <w:t>MEETING</w:t>
            </w:r>
          </w:p>
        </w:tc>
        <w:tc>
          <w:tcPr>
            <w:tcW w:w="6700" w:type="dxa"/>
            <w:vAlign w:val="bottom"/>
            <w:tcBorders>
              <w:bottom w:val="single" w:sz="8" w:color="CCEEFF"/>
            </w:tcBorders>
            <w:gridSpan w:val="19"/>
            <w:shd w:val="clear" w:color="auto" w:fill="CCEEFF"/>
          </w:tcPr>
          <w:p>
            <w:pPr>
              <w:spacing w:after="0"/>
              <w:rPr>
                <w:sz w:val="18"/>
                <w:szCs w:val="18"/>
                <w:color w:val="auto"/>
              </w:rPr>
            </w:pPr>
          </w:p>
        </w:tc>
        <w:tc>
          <w:tcPr>
            <w:tcW w:w="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0000EE"/>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7"/>
              </w:rPr>
              <w:t>INFORMATION ABOUT THE PAGP AND PAA ANNUAL MEETINGS</w:t>
            </w:r>
          </w:p>
        </w:tc>
        <w:tc>
          <w:tcPr>
            <w:tcW w:w="100" w:type="dxa"/>
            <w:vAlign w:val="bottom"/>
            <w:vMerge w:val="restart"/>
          </w:tcPr>
          <w:p>
            <w:pPr>
              <w:spacing w:after="0"/>
              <w:rPr>
                <w:sz w:val="21"/>
                <w:szCs w:val="21"/>
                <w:color w:val="auto"/>
              </w:rPr>
            </w:pPr>
          </w:p>
        </w:tc>
        <w:tc>
          <w:tcPr>
            <w:tcW w:w="134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360" w:type="dxa"/>
            <w:vAlign w:val="bottom"/>
            <w:gridSpan w:val="2"/>
            <w:vMerge w:val="restart"/>
          </w:tcPr>
          <w:p>
            <w:pPr>
              <w:spacing w:after="0"/>
              <w:rPr>
                <w:sz w:val="21"/>
                <w:szCs w:val="21"/>
                <w:color w:val="auto"/>
              </w:rPr>
            </w:pPr>
          </w:p>
        </w:tc>
        <w:tc>
          <w:tcPr>
            <w:tcW w:w="300" w:type="dxa"/>
            <w:vAlign w:val="bottom"/>
            <w:vMerge w:val="restart"/>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8"/>
              </w:rPr>
              <w:t>QUESTIONS AND ANSWERS ABOUT THE PAA ANNUAL MEETING</w:t>
            </w:r>
          </w:p>
        </w:tc>
        <w:tc>
          <w:tcPr>
            <w:tcW w:w="1340" w:type="dxa"/>
            <w:vAlign w:val="bottom"/>
            <w:tcBorders>
              <w:bottom w:val="single" w:sz="8" w:color="CCEEFF"/>
            </w:tcBorders>
            <w:vMerge w:val="restart"/>
            <w:shd w:val="clear" w:color="auto" w:fill="CCEEFF"/>
          </w:tcPr>
          <w:p>
            <w:pPr>
              <w:spacing w:after="0"/>
              <w:rPr>
                <w:sz w:val="21"/>
                <w:szCs w:val="21"/>
                <w:color w:val="auto"/>
              </w:rPr>
            </w:pPr>
          </w:p>
        </w:tc>
        <w:tc>
          <w:tcPr>
            <w:tcW w:w="200" w:type="dxa"/>
            <w:vAlign w:val="bottom"/>
            <w:tcBorders>
              <w:bottom w:val="single" w:sz="8" w:color="CCEEFF"/>
            </w:tcBorders>
            <w:vMerge w:val="restart"/>
            <w:shd w:val="clear" w:color="auto" w:fill="CCEEFF"/>
          </w:tcPr>
          <w:p>
            <w:pPr>
              <w:spacing w:after="0"/>
              <w:rPr>
                <w:sz w:val="21"/>
                <w:szCs w:val="21"/>
                <w:color w:val="auto"/>
              </w:rPr>
            </w:pPr>
          </w:p>
        </w:tc>
        <w:tc>
          <w:tcPr>
            <w:tcW w:w="360" w:type="dxa"/>
            <w:vAlign w:val="bottom"/>
            <w:tcBorders>
              <w:bottom w:val="single" w:sz="8" w:color="CCEEFF"/>
            </w:tcBorders>
            <w:gridSpan w:val="2"/>
            <w:vMerge w:val="restart"/>
            <w:shd w:val="clear" w:color="auto" w:fill="CCEEFF"/>
          </w:tcPr>
          <w:p>
            <w:pPr>
              <w:spacing w:after="0"/>
              <w:rPr>
                <w:sz w:val="21"/>
                <w:szCs w:val="21"/>
                <w:color w:val="auto"/>
              </w:rPr>
            </w:pPr>
          </w:p>
        </w:tc>
        <w:tc>
          <w:tcPr>
            <w:tcW w:w="300" w:type="dxa"/>
            <w:vAlign w:val="bottom"/>
            <w:tcBorders>
              <w:bottom w:val="single" w:sz="8" w:color="CCEEFF"/>
            </w:tcBorders>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gridSpan w:val="2"/>
            <w:shd w:val="clear" w:color="auto" w:fill="CCEEFF"/>
          </w:tcPr>
          <w:p>
            <w:pPr>
              <w:spacing w:after="0"/>
              <w:rPr>
                <w:sz w:val="4"/>
                <w:szCs w:val="4"/>
                <w:color w:val="auto"/>
              </w:rPr>
            </w:pPr>
          </w:p>
        </w:tc>
        <w:tc>
          <w:tcPr>
            <w:tcW w:w="134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CORPORATE GOVERNANCE AND RELATED MATTERS</w:t>
            </w:r>
          </w:p>
        </w:tc>
        <w:tc>
          <w:tcPr>
            <w:tcW w:w="340" w:type="dxa"/>
            <w:vAlign w:val="bottom"/>
            <w:vMerge w:val="restart"/>
          </w:tcPr>
          <w:p>
            <w:pPr>
              <w:spacing w:after="0"/>
              <w:rPr>
                <w:sz w:val="20"/>
                <w:szCs w:val="20"/>
                <w:color w:val="auto"/>
              </w:rPr>
            </w:pPr>
          </w:p>
        </w:tc>
        <w:tc>
          <w:tcPr>
            <w:tcW w:w="1900" w:type="dxa"/>
            <w:vAlign w:val="bottom"/>
            <w:gridSpan w:val="3"/>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36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8</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7"/>
              </w:rPr>
              <w:t>PROPOSAL 1 – ELECTION OF CLASS II DIRECTORS</w:t>
            </w:r>
          </w:p>
        </w:tc>
        <w:tc>
          <w:tcPr>
            <w:tcW w:w="20" w:type="dxa"/>
            <w:vAlign w:val="bottom"/>
            <w:tcBorders>
              <w:bottom w:val="single" w:sz="8" w:color="CCEEFF"/>
            </w:tcBorders>
            <w:vMerge w:val="restart"/>
            <w:shd w:val="clear" w:color="auto" w:fill="CCEEFF"/>
          </w:tcPr>
          <w:p>
            <w:pPr>
              <w:spacing w:after="0"/>
              <w:rPr>
                <w:sz w:val="22"/>
                <w:szCs w:val="22"/>
                <w:color w:val="auto"/>
              </w:rPr>
            </w:pPr>
          </w:p>
        </w:tc>
        <w:tc>
          <w:tcPr>
            <w:tcW w:w="180" w:type="dxa"/>
            <w:vAlign w:val="bottom"/>
            <w:tcBorders>
              <w:bottom w:val="single" w:sz="8" w:color="CCEEFF"/>
            </w:tcBorders>
            <w:vMerge w:val="restart"/>
            <w:shd w:val="clear" w:color="auto" w:fill="CCEEFF"/>
          </w:tcPr>
          <w:p>
            <w:pPr>
              <w:spacing w:after="0"/>
              <w:rPr>
                <w:sz w:val="22"/>
                <w:szCs w:val="22"/>
                <w:color w:val="auto"/>
              </w:rPr>
            </w:pPr>
          </w:p>
        </w:tc>
        <w:tc>
          <w:tcPr>
            <w:tcW w:w="400" w:type="dxa"/>
            <w:vAlign w:val="bottom"/>
            <w:tcBorders>
              <w:bottom w:val="single" w:sz="8" w:color="CCEEFF"/>
            </w:tcBorders>
            <w:gridSpan w:val="2"/>
            <w:vMerge w:val="restart"/>
            <w:shd w:val="clear" w:color="auto" w:fill="CCEEFF"/>
          </w:tcPr>
          <w:p>
            <w:pPr>
              <w:spacing w:after="0"/>
              <w:rPr>
                <w:sz w:val="22"/>
                <w:szCs w:val="22"/>
                <w:color w:val="auto"/>
              </w:rPr>
            </w:pPr>
          </w:p>
        </w:tc>
        <w:tc>
          <w:tcPr>
            <w:tcW w:w="1900" w:type="dxa"/>
            <w:vAlign w:val="bottom"/>
            <w:tcBorders>
              <w:bottom w:val="single" w:sz="8" w:color="CCEEFF"/>
            </w:tcBorders>
            <w:gridSpan w:val="3"/>
            <w:vMerge w:val="restart"/>
            <w:shd w:val="clear" w:color="auto" w:fill="CCEEFF"/>
          </w:tcPr>
          <w:p>
            <w:pPr>
              <w:spacing w:after="0"/>
              <w:rPr>
                <w:sz w:val="22"/>
                <w:szCs w:val="22"/>
                <w:color w:val="auto"/>
              </w:rPr>
            </w:pPr>
          </w:p>
        </w:tc>
        <w:tc>
          <w:tcPr>
            <w:tcW w:w="200" w:type="dxa"/>
            <w:vAlign w:val="bottom"/>
            <w:tcBorders>
              <w:bottom w:val="single" w:sz="8" w:color="CCEEFF"/>
            </w:tcBorders>
            <w:vMerge w:val="restart"/>
            <w:shd w:val="clear" w:color="auto" w:fill="CCEEFF"/>
          </w:tcPr>
          <w:p>
            <w:pPr>
              <w:spacing w:after="0"/>
              <w:rPr>
                <w:sz w:val="22"/>
                <w:szCs w:val="22"/>
                <w:color w:val="auto"/>
              </w:rPr>
            </w:pPr>
          </w:p>
        </w:tc>
        <w:tc>
          <w:tcPr>
            <w:tcW w:w="36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400" w:type="dxa"/>
            <w:vAlign w:val="bottom"/>
            <w:tcBorders>
              <w:bottom w:val="single" w:sz="8" w:color="CCEEFF"/>
            </w:tcBorders>
            <w:gridSpan w:val="2"/>
            <w:vMerge w:val="continue"/>
            <w:shd w:val="clear" w:color="auto" w:fill="CCEEFF"/>
          </w:tcPr>
          <w:p>
            <w:pPr>
              <w:spacing w:after="0"/>
              <w:rPr>
                <w:sz w:val="4"/>
                <w:szCs w:val="4"/>
                <w:color w:val="auto"/>
              </w:rPr>
            </w:pPr>
          </w:p>
        </w:tc>
        <w:tc>
          <w:tcPr>
            <w:tcW w:w="1900" w:type="dxa"/>
            <w:vAlign w:val="bottom"/>
            <w:tcBorders>
              <w:bottom w:val="single" w:sz="8" w:color="CCEEFF"/>
            </w:tcBorders>
            <w:gridSpan w:val="3"/>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EXECUTIVE OFFICERS</w:t>
            </w:r>
          </w:p>
        </w:tc>
        <w:tc>
          <w:tcPr>
            <w:tcW w:w="3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vMerge w:val="restart"/>
          </w:tcPr>
          <w:p>
            <w:pPr>
              <w:spacing w:after="0"/>
              <w:rPr>
                <w:sz w:val="20"/>
                <w:szCs w:val="20"/>
                <w:color w:val="auto"/>
              </w:rPr>
            </w:pPr>
          </w:p>
        </w:tc>
        <w:tc>
          <w:tcPr>
            <w:tcW w:w="94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180" w:type="dxa"/>
            <w:vAlign w:val="bottom"/>
            <w:vMerge w:val="restart"/>
          </w:tcPr>
          <w:p>
            <w:pPr>
              <w:spacing w:after="0"/>
              <w:rPr>
                <w:sz w:val="20"/>
                <w:szCs w:val="20"/>
                <w:color w:val="auto"/>
              </w:rPr>
            </w:pPr>
          </w:p>
        </w:tc>
        <w:tc>
          <w:tcPr>
            <w:tcW w:w="400" w:type="dxa"/>
            <w:vAlign w:val="bottom"/>
            <w:gridSpan w:val="2"/>
            <w:vMerge w:val="restart"/>
          </w:tcPr>
          <w:p>
            <w:pPr>
              <w:spacing w:after="0"/>
              <w:rPr>
                <w:sz w:val="20"/>
                <w:szCs w:val="20"/>
                <w:color w:val="auto"/>
              </w:rPr>
            </w:pPr>
          </w:p>
        </w:tc>
        <w:tc>
          <w:tcPr>
            <w:tcW w:w="1900" w:type="dxa"/>
            <w:vAlign w:val="bottom"/>
            <w:gridSpan w:val="3"/>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36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24</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8"/>
                <w:szCs w:val="18"/>
                <w:color w:val="0000EE"/>
                <w:w w:val="97"/>
              </w:rPr>
              <w:t>EXECUTIVE COMPENSATION</w:t>
            </w:r>
          </w:p>
        </w:tc>
        <w:tc>
          <w:tcPr>
            <w:tcW w:w="660" w:type="dxa"/>
            <w:vAlign w:val="bottom"/>
            <w:tcBorders>
              <w:bottom w:val="single" w:sz="8" w:color="CCEEFF"/>
            </w:tcBorders>
            <w:vMerge w:val="restart"/>
            <w:shd w:val="clear" w:color="auto" w:fill="CCEEFF"/>
          </w:tcPr>
          <w:p>
            <w:pPr>
              <w:spacing w:after="0"/>
              <w:rPr>
                <w:sz w:val="22"/>
                <w:szCs w:val="22"/>
                <w:color w:val="auto"/>
              </w:rPr>
            </w:pPr>
          </w:p>
        </w:tc>
        <w:tc>
          <w:tcPr>
            <w:tcW w:w="940" w:type="dxa"/>
            <w:vAlign w:val="bottom"/>
            <w:tcBorders>
              <w:bottom w:val="single" w:sz="8" w:color="CCEEFF"/>
            </w:tcBorders>
            <w:vMerge w:val="restart"/>
            <w:shd w:val="clear" w:color="auto" w:fill="CCEEFF"/>
          </w:tcPr>
          <w:p>
            <w:pPr>
              <w:spacing w:after="0"/>
              <w:rPr>
                <w:sz w:val="22"/>
                <w:szCs w:val="22"/>
                <w:color w:val="auto"/>
              </w:rPr>
            </w:pPr>
          </w:p>
        </w:tc>
        <w:tc>
          <w:tcPr>
            <w:tcW w:w="280" w:type="dxa"/>
            <w:vAlign w:val="bottom"/>
            <w:tcBorders>
              <w:bottom w:val="single" w:sz="8" w:color="CCEEFF"/>
            </w:tcBorders>
            <w:gridSpan w:val="2"/>
            <w:vMerge w:val="restart"/>
            <w:shd w:val="clear" w:color="auto" w:fill="CCEEFF"/>
          </w:tcPr>
          <w:p>
            <w:pPr>
              <w:spacing w:after="0"/>
              <w:rPr>
                <w:sz w:val="22"/>
                <w:szCs w:val="22"/>
                <w:color w:val="auto"/>
              </w:rPr>
            </w:pPr>
          </w:p>
        </w:tc>
        <w:tc>
          <w:tcPr>
            <w:tcW w:w="180" w:type="dxa"/>
            <w:vAlign w:val="bottom"/>
            <w:tcBorders>
              <w:bottom w:val="single" w:sz="8" w:color="CCEEFF"/>
            </w:tcBorders>
            <w:vMerge w:val="restart"/>
            <w:shd w:val="clear" w:color="auto" w:fill="CCEEFF"/>
          </w:tcPr>
          <w:p>
            <w:pPr>
              <w:spacing w:after="0"/>
              <w:rPr>
                <w:sz w:val="22"/>
                <w:szCs w:val="22"/>
                <w:color w:val="auto"/>
              </w:rPr>
            </w:pPr>
          </w:p>
        </w:tc>
        <w:tc>
          <w:tcPr>
            <w:tcW w:w="400" w:type="dxa"/>
            <w:vAlign w:val="bottom"/>
            <w:tcBorders>
              <w:bottom w:val="single" w:sz="8" w:color="CCEEFF"/>
            </w:tcBorders>
            <w:gridSpan w:val="2"/>
            <w:vMerge w:val="restart"/>
            <w:shd w:val="clear" w:color="auto" w:fill="CCEEFF"/>
          </w:tcPr>
          <w:p>
            <w:pPr>
              <w:spacing w:after="0"/>
              <w:rPr>
                <w:sz w:val="22"/>
                <w:szCs w:val="22"/>
                <w:color w:val="auto"/>
              </w:rPr>
            </w:pPr>
          </w:p>
        </w:tc>
        <w:tc>
          <w:tcPr>
            <w:tcW w:w="1900" w:type="dxa"/>
            <w:vAlign w:val="bottom"/>
            <w:tcBorders>
              <w:bottom w:val="single" w:sz="8" w:color="CCEEFF"/>
            </w:tcBorders>
            <w:gridSpan w:val="3"/>
            <w:vMerge w:val="restart"/>
            <w:shd w:val="clear" w:color="auto" w:fill="CCEEFF"/>
          </w:tcPr>
          <w:p>
            <w:pPr>
              <w:spacing w:after="0"/>
              <w:rPr>
                <w:sz w:val="22"/>
                <w:szCs w:val="22"/>
                <w:color w:val="auto"/>
              </w:rPr>
            </w:pPr>
          </w:p>
        </w:tc>
        <w:tc>
          <w:tcPr>
            <w:tcW w:w="200" w:type="dxa"/>
            <w:vAlign w:val="bottom"/>
            <w:tcBorders>
              <w:bottom w:val="single" w:sz="8" w:color="CCEEFF"/>
            </w:tcBorders>
            <w:vMerge w:val="restart"/>
            <w:shd w:val="clear" w:color="auto" w:fill="CCEEFF"/>
          </w:tcPr>
          <w:p>
            <w:pPr>
              <w:spacing w:after="0"/>
              <w:rPr>
                <w:sz w:val="22"/>
                <w:szCs w:val="22"/>
                <w:color w:val="auto"/>
              </w:rPr>
            </w:pPr>
          </w:p>
        </w:tc>
        <w:tc>
          <w:tcPr>
            <w:tcW w:w="36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vMerge w:val="continue"/>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400" w:type="dxa"/>
            <w:vAlign w:val="bottom"/>
            <w:tcBorders>
              <w:bottom w:val="single" w:sz="8" w:color="CCEEFF"/>
            </w:tcBorders>
            <w:gridSpan w:val="2"/>
            <w:vMerge w:val="continue"/>
            <w:shd w:val="clear" w:color="auto" w:fill="CCEEFF"/>
          </w:tcPr>
          <w:p>
            <w:pPr>
              <w:spacing w:after="0"/>
              <w:rPr>
                <w:sz w:val="4"/>
                <w:szCs w:val="4"/>
                <w:color w:val="auto"/>
              </w:rPr>
            </w:pPr>
          </w:p>
        </w:tc>
        <w:tc>
          <w:tcPr>
            <w:tcW w:w="1900" w:type="dxa"/>
            <w:vAlign w:val="bottom"/>
            <w:tcBorders>
              <w:bottom w:val="single" w:sz="8" w:color="CCEEFF"/>
            </w:tcBorders>
            <w:gridSpan w:val="3"/>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8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SECURITY OWNERSHIP OF CERTAIN BENEFICIAL OWNERS AND MANAGEMENT</w:t>
            </w:r>
          </w:p>
        </w:tc>
        <w:tc>
          <w:tcPr>
            <w:tcW w:w="200" w:type="dxa"/>
            <w:vAlign w:val="bottom"/>
            <w:vMerge w:val="restart"/>
          </w:tcPr>
          <w:p>
            <w:pPr>
              <w:spacing w:after="0"/>
              <w:rPr>
                <w:sz w:val="20"/>
                <w:szCs w:val="20"/>
                <w:color w:val="auto"/>
              </w:rPr>
            </w:pPr>
          </w:p>
        </w:tc>
        <w:tc>
          <w:tcPr>
            <w:tcW w:w="36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60</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1900" w:type="dxa"/>
            <w:vAlign w:val="bottom"/>
            <w:gridSpan w:val="3"/>
          </w:tcPr>
          <w:p>
            <w:pPr>
              <w:spacing w:after="0"/>
              <w:rPr>
                <w:sz w:val="4"/>
                <w:szCs w:val="4"/>
                <w:color w:val="auto"/>
              </w:rPr>
            </w:pPr>
          </w:p>
        </w:tc>
        <w:tc>
          <w:tcPr>
            <w:tcW w:w="20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8"/>
                <w:szCs w:val="18"/>
                <w:color w:val="0000EE"/>
                <w:w w:val="97"/>
              </w:rPr>
              <w:t>EQUITY COMPENSATION PLAN INFORMATION TABLE</w:t>
            </w:r>
          </w:p>
        </w:tc>
        <w:tc>
          <w:tcPr>
            <w:tcW w:w="400" w:type="dxa"/>
            <w:vAlign w:val="bottom"/>
            <w:tcBorders>
              <w:bottom w:val="single" w:sz="8" w:color="CCEEFF"/>
            </w:tcBorders>
            <w:gridSpan w:val="2"/>
            <w:vMerge w:val="restart"/>
            <w:shd w:val="clear" w:color="auto" w:fill="CCEEFF"/>
          </w:tcPr>
          <w:p>
            <w:pPr>
              <w:spacing w:after="0"/>
              <w:rPr>
                <w:sz w:val="22"/>
                <w:szCs w:val="22"/>
                <w:color w:val="auto"/>
              </w:rPr>
            </w:pPr>
          </w:p>
        </w:tc>
        <w:tc>
          <w:tcPr>
            <w:tcW w:w="2100" w:type="dxa"/>
            <w:vAlign w:val="bottom"/>
            <w:tcBorders>
              <w:bottom w:val="single" w:sz="8" w:color="CCEEFF"/>
            </w:tcBorders>
            <w:gridSpan w:val="4"/>
            <w:vMerge w:val="restart"/>
            <w:shd w:val="clear" w:color="auto" w:fill="CCEEFF"/>
          </w:tcPr>
          <w:p>
            <w:pPr>
              <w:spacing w:after="0"/>
              <w:rPr>
                <w:sz w:val="22"/>
                <w:szCs w:val="22"/>
                <w:color w:val="auto"/>
              </w:rPr>
            </w:pPr>
          </w:p>
        </w:tc>
        <w:tc>
          <w:tcPr>
            <w:tcW w:w="36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820" w:type="dxa"/>
            <w:vAlign w:val="bottom"/>
            <w:tcBorders>
              <w:bottom w:val="single" w:sz="8" w:color="CCEEFF"/>
            </w:tcBorders>
            <w:gridSpan w:val="2"/>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gridSpan w:val="2"/>
            <w:vMerge w:val="continue"/>
            <w:shd w:val="clear" w:color="auto" w:fill="CCEEFF"/>
          </w:tcPr>
          <w:p>
            <w:pPr>
              <w:spacing w:after="0"/>
              <w:rPr>
                <w:sz w:val="4"/>
                <w:szCs w:val="4"/>
                <w:color w:val="auto"/>
              </w:rPr>
            </w:pPr>
          </w:p>
        </w:tc>
        <w:tc>
          <w:tcPr>
            <w:tcW w:w="2100" w:type="dxa"/>
            <w:vAlign w:val="bottom"/>
            <w:tcBorders>
              <w:bottom w:val="single" w:sz="8" w:color="CCEEFF"/>
            </w:tcBorders>
            <w:gridSpan w:val="4"/>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CERTAIN RELATIONSHIPS AND RELATED TRANSACTIONS</w:t>
            </w:r>
          </w:p>
        </w:tc>
        <w:tc>
          <w:tcPr>
            <w:tcW w:w="2100" w:type="dxa"/>
            <w:vAlign w:val="bottom"/>
            <w:gridSpan w:val="4"/>
            <w:vMerge w:val="restart"/>
          </w:tcPr>
          <w:p>
            <w:pPr>
              <w:spacing w:after="0"/>
              <w:rPr>
                <w:sz w:val="20"/>
                <w:szCs w:val="20"/>
                <w:color w:val="auto"/>
              </w:rPr>
            </w:pPr>
          </w:p>
        </w:tc>
        <w:tc>
          <w:tcPr>
            <w:tcW w:w="36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65</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580" w:type="dxa"/>
            <w:vAlign w:val="bottom"/>
            <w:gridSpan w:val="3"/>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8"/>
                <w:szCs w:val="18"/>
                <w:color w:val="0000EE"/>
                <w:w w:val="98"/>
              </w:rPr>
              <w:t>REPORT OF THE AUDIT COMMITTEE</w:t>
            </w:r>
          </w:p>
        </w:tc>
        <w:tc>
          <w:tcPr>
            <w:tcW w:w="940" w:type="dxa"/>
            <w:vAlign w:val="bottom"/>
            <w:tcBorders>
              <w:bottom w:val="single" w:sz="8" w:color="CCEEFF"/>
            </w:tcBorders>
            <w:vMerge w:val="restart"/>
            <w:shd w:val="clear" w:color="auto" w:fill="CCEEFF"/>
          </w:tcPr>
          <w:p>
            <w:pPr>
              <w:spacing w:after="0"/>
              <w:rPr>
                <w:sz w:val="22"/>
                <w:szCs w:val="22"/>
                <w:color w:val="auto"/>
              </w:rPr>
            </w:pPr>
          </w:p>
        </w:tc>
        <w:tc>
          <w:tcPr>
            <w:tcW w:w="280" w:type="dxa"/>
            <w:vAlign w:val="bottom"/>
            <w:tcBorders>
              <w:bottom w:val="single" w:sz="8" w:color="CCEEFF"/>
            </w:tcBorders>
            <w:gridSpan w:val="2"/>
            <w:vMerge w:val="restart"/>
            <w:shd w:val="clear" w:color="auto" w:fill="CCEEFF"/>
          </w:tcPr>
          <w:p>
            <w:pPr>
              <w:spacing w:after="0"/>
              <w:rPr>
                <w:sz w:val="22"/>
                <w:szCs w:val="22"/>
                <w:color w:val="auto"/>
              </w:rPr>
            </w:pPr>
          </w:p>
        </w:tc>
        <w:tc>
          <w:tcPr>
            <w:tcW w:w="2680" w:type="dxa"/>
            <w:vAlign w:val="bottom"/>
            <w:tcBorders>
              <w:bottom w:val="single" w:sz="8" w:color="CCEEFF"/>
            </w:tcBorders>
            <w:gridSpan w:val="7"/>
            <w:vMerge w:val="restart"/>
            <w:shd w:val="clear" w:color="auto" w:fill="CCEEFF"/>
          </w:tcPr>
          <w:p>
            <w:pPr>
              <w:spacing w:after="0"/>
              <w:rPr>
                <w:sz w:val="22"/>
                <w:szCs w:val="22"/>
                <w:color w:val="auto"/>
              </w:rPr>
            </w:pPr>
          </w:p>
        </w:tc>
        <w:tc>
          <w:tcPr>
            <w:tcW w:w="36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820" w:type="dxa"/>
            <w:vAlign w:val="bottom"/>
            <w:tcBorders>
              <w:bottom w:val="single" w:sz="8" w:color="CCEEFF"/>
            </w:tcBorders>
            <w:gridSpan w:val="2"/>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2680" w:type="dxa"/>
            <w:vAlign w:val="bottom"/>
            <w:tcBorders>
              <w:bottom w:val="single" w:sz="8" w:color="CCEEFF"/>
            </w:tcBorders>
            <w:gridSpan w:val="7"/>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7"/>
              </w:rPr>
              <w:t>PRINCIPAL ACCOUNTANT FEES AND SERVICES</w:t>
            </w:r>
          </w:p>
        </w:tc>
        <w:tc>
          <w:tcPr>
            <w:tcW w:w="280" w:type="dxa"/>
            <w:vAlign w:val="bottom"/>
            <w:gridSpan w:val="2"/>
            <w:vMerge w:val="restart"/>
          </w:tcPr>
          <w:p>
            <w:pPr>
              <w:spacing w:after="0"/>
              <w:rPr>
                <w:sz w:val="20"/>
                <w:szCs w:val="20"/>
                <w:color w:val="auto"/>
              </w:rPr>
            </w:pPr>
          </w:p>
        </w:tc>
        <w:tc>
          <w:tcPr>
            <w:tcW w:w="2680" w:type="dxa"/>
            <w:vAlign w:val="bottom"/>
            <w:gridSpan w:val="7"/>
            <w:vMerge w:val="restart"/>
          </w:tcPr>
          <w:p>
            <w:pPr>
              <w:spacing w:after="0"/>
              <w:rPr>
                <w:sz w:val="20"/>
                <w:szCs w:val="20"/>
                <w:color w:val="auto"/>
              </w:rPr>
            </w:pPr>
          </w:p>
        </w:tc>
        <w:tc>
          <w:tcPr>
            <w:tcW w:w="36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70</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1760" w:type="dxa"/>
            <w:vAlign w:val="bottom"/>
            <w:gridSpan w:val="3"/>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680" w:type="dxa"/>
            <w:vAlign w:val="bottom"/>
            <w:gridSpan w:val="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8"/>
              </w:rPr>
              <w:t>PROPOSAL 2 – RATIFICATION OF APPOINTMENT OF INDEPENDENT REGISTERED PUBLIC</w:t>
            </w: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3"/>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460" w:type="dxa"/>
            <w:vAlign w:val="bottom"/>
            <w:tcBorders>
              <w:bottom w:val="single" w:sz="8" w:color="CCEEFF"/>
            </w:tcBorders>
            <w:gridSpan w:val="2"/>
            <w:vMerge w:val="restart"/>
            <w:shd w:val="clear" w:color="auto" w:fill="CCEEFF"/>
          </w:tcPr>
          <w:p>
            <w:pPr>
              <w:spacing w:after="0"/>
              <w:rPr>
                <w:sz w:val="17"/>
                <w:szCs w:val="17"/>
                <w:color w:val="auto"/>
              </w:rPr>
            </w:pPr>
          </w:p>
        </w:tc>
        <w:tc>
          <w:tcPr>
            <w:tcW w:w="2040" w:type="dxa"/>
            <w:vAlign w:val="bottom"/>
            <w:tcBorders>
              <w:bottom w:val="single" w:sz="8" w:color="CCEEFF"/>
            </w:tcBorders>
            <w:gridSpan w:val="5"/>
            <w:vMerge w:val="restart"/>
            <w:shd w:val="clear" w:color="auto" w:fill="CCEEFF"/>
          </w:tcPr>
          <w:p>
            <w:pPr>
              <w:spacing w:after="0"/>
              <w:rPr>
                <w:sz w:val="17"/>
                <w:szCs w:val="17"/>
                <w:color w:val="auto"/>
              </w:rPr>
            </w:pPr>
          </w:p>
        </w:tc>
        <w:tc>
          <w:tcPr>
            <w:tcW w:w="2680" w:type="dxa"/>
            <w:vAlign w:val="bottom"/>
            <w:tcBorders>
              <w:bottom w:val="single" w:sz="8" w:color="CCEEFF"/>
            </w:tcBorders>
            <w:gridSpan w:val="7"/>
            <w:vMerge w:val="restart"/>
            <w:shd w:val="clear" w:color="auto" w:fill="CCEEFF"/>
          </w:tcPr>
          <w:p>
            <w:pPr>
              <w:spacing w:after="0"/>
              <w:rPr>
                <w:sz w:val="17"/>
                <w:szCs w:val="17"/>
                <w:color w:val="auto"/>
              </w:rPr>
            </w:pPr>
          </w:p>
        </w:tc>
        <w:tc>
          <w:tcPr>
            <w:tcW w:w="360" w:type="dxa"/>
            <w:vAlign w:val="bottom"/>
            <w:tcBorders>
              <w:bottom w:val="single" w:sz="8" w:color="CCEEFF"/>
            </w:tcBorders>
            <w:gridSpan w:val="2"/>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420" w:type="dxa"/>
            <w:vAlign w:val="bottom"/>
            <w:gridSpan w:val="2"/>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2040" w:type="dxa"/>
            <w:vAlign w:val="bottom"/>
            <w:gridSpan w:val="5"/>
            <w:vMerge w:val="continue"/>
            <w:shd w:val="clear" w:color="auto" w:fill="CCEEFF"/>
          </w:tcPr>
          <w:p>
            <w:pPr>
              <w:spacing w:after="0"/>
              <w:rPr>
                <w:sz w:val="5"/>
                <w:szCs w:val="5"/>
                <w:color w:val="auto"/>
              </w:rPr>
            </w:pPr>
          </w:p>
        </w:tc>
        <w:tc>
          <w:tcPr>
            <w:tcW w:w="2680" w:type="dxa"/>
            <w:vAlign w:val="bottom"/>
            <w:gridSpan w:val="7"/>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700" w:type="dxa"/>
            <w:vAlign w:val="bottom"/>
            <w:gridSpan w:val="21"/>
          </w:tcPr>
          <w:p>
            <w:pPr>
              <w:spacing w:after="0"/>
              <w:rPr>
                <w:sz w:val="20"/>
                <w:szCs w:val="20"/>
                <w:color w:val="auto"/>
              </w:rPr>
            </w:pPr>
            <w:r>
              <w:rPr>
                <w:rFonts w:ascii="Arial" w:cs="Arial" w:eastAsia="Arial" w:hAnsi="Arial"/>
                <w:sz w:val="18"/>
                <w:szCs w:val="18"/>
                <w:color w:val="0000EE"/>
              </w:rPr>
              <w:t>PROPOSAL 3 – ADVISORY VOTE TO APPROVE OUR 2024 NAMED EXECUTIVE OFFICER</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COMPENSATION</w:t>
            </w:r>
          </w:p>
        </w:tc>
        <w:tc>
          <w:tcPr>
            <w:tcW w:w="720" w:type="dxa"/>
            <w:vAlign w:val="bottom"/>
            <w:tcBorders>
              <w:top w:val="single" w:sz="8" w:color="0000EE"/>
              <w:bottom w:val="single" w:sz="8" w:color="0000EE"/>
            </w:tcBorders>
            <w:gridSpan w:val="3"/>
            <w:vMerge w:val="restart"/>
          </w:tcPr>
          <w:p>
            <w:pPr>
              <w:spacing w:after="0"/>
              <w:rPr>
                <w:sz w:val="17"/>
                <w:szCs w:val="17"/>
                <w:color w:val="auto"/>
              </w:rPr>
            </w:pPr>
          </w:p>
        </w:tc>
        <w:tc>
          <w:tcPr>
            <w:tcW w:w="2040" w:type="dxa"/>
            <w:vAlign w:val="bottom"/>
            <w:tcBorders>
              <w:top w:val="single" w:sz="8" w:color="0000EE"/>
              <w:bottom w:val="single" w:sz="8" w:color="0000EE"/>
            </w:tcBorders>
            <w:gridSpan w:val="5"/>
            <w:vMerge w:val="restart"/>
          </w:tcPr>
          <w:p>
            <w:pPr>
              <w:spacing w:after="0"/>
              <w:rPr>
                <w:sz w:val="17"/>
                <w:szCs w:val="17"/>
                <w:color w:val="auto"/>
              </w:rPr>
            </w:pPr>
          </w:p>
        </w:tc>
        <w:tc>
          <w:tcPr>
            <w:tcW w:w="2680" w:type="dxa"/>
            <w:vAlign w:val="bottom"/>
            <w:tcBorders>
              <w:top w:val="single" w:sz="8" w:color="0000EE"/>
              <w:bottom w:val="single" w:sz="8" w:color="0000EE"/>
            </w:tcBorders>
            <w:gridSpan w:val="7"/>
            <w:vMerge w:val="restart"/>
          </w:tcPr>
          <w:p>
            <w:pPr>
              <w:spacing w:after="0"/>
              <w:rPr>
                <w:sz w:val="17"/>
                <w:szCs w:val="17"/>
                <w:color w:val="auto"/>
              </w:rPr>
            </w:pPr>
          </w:p>
        </w:tc>
        <w:tc>
          <w:tcPr>
            <w:tcW w:w="360" w:type="dxa"/>
            <w:vAlign w:val="bottom"/>
            <w:tcBorders>
              <w:top w:val="single" w:sz="8" w:color="0000EE"/>
              <w:bottom w:val="single" w:sz="8" w:color="0000EE"/>
            </w:tcBorders>
            <w:gridSpan w:val="2"/>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79"/>
              </w:rPr>
              <w:t>72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420" w:type="dxa"/>
            <w:vAlign w:val="bottom"/>
            <w:gridSpan w:val="2"/>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26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7"/>
              </w:rPr>
              <w:t>OTHER MATTERS FOR THE PAA ANNUAL MEETING</w:t>
            </w:r>
          </w:p>
        </w:tc>
        <w:tc>
          <w:tcPr>
            <w:tcW w:w="2680" w:type="dxa"/>
            <w:vAlign w:val="bottom"/>
            <w:tcBorders>
              <w:bottom w:val="single" w:sz="8" w:color="CCEEFF"/>
            </w:tcBorders>
            <w:gridSpan w:val="7"/>
            <w:vMerge w:val="restart"/>
            <w:shd w:val="clear" w:color="auto" w:fill="CCEEFF"/>
          </w:tcPr>
          <w:p>
            <w:pPr>
              <w:spacing w:after="0"/>
              <w:rPr>
                <w:sz w:val="22"/>
                <w:szCs w:val="22"/>
                <w:color w:val="auto"/>
              </w:rPr>
            </w:pPr>
          </w:p>
        </w:tc>
        <w:tc>
          <w:tcPr>
            <w:tcW w:w="660" w:type="dxa"/>
            <w:vAlign w:val="bottom"/>
            <w:tcBorders>
              <w:bottom w:val="single" w:sz="8" w:color="CCEEFF"/>
            </w:tcBorders>
            <w:gridSpan w:val="3"/>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CCEEFF"/>
            </w:tcBorders>
            <w:gridSpan w:val="6"/>
            <w:shd w:val="clear" w:color="auto" w:fill="CCEEFF"/>
          </w:tcPr>
          <w:p>
            <w:pPr>
              <w:spacing w:after="0"/>
              <w:rPr>
                <w:sz w:val="4"/>
                <w:szCs w:val="4"/>
                <w:color w:val="auto"/>
              </w:rPr>
            </w:pPr>
          </w:p>
        </w:tc>
        <w:tc>
          <w:tcPr>
            <w:tcW w:w="2040" w:type="dxa"/>
            <w:vAlign w:val="bottom"/>
            <w:tcBorders>
              <w:bottom w:val="single" w:sz="8" w:color="CCEEFF"/>
            </w:tcBorders>
            <w:gridSpan w:val="5"/>
            <w:shd w:val="clear" w:color="auto" w:fill="CCEEFF"/>
          </w:tcPr>
          <w:p>
            <w:pPr>
              <w:spacing w:after="0"/>
              <w:rPr>
                <w:sz w:val="4"/>
                <w:szCs w:val="4"/>
                <w:color w:val="auto"/>
              </w:rPr>
            </w:pPr>
          </w:p>
        </w:tc>
        <w:tc>
          <w:tcPr>
            <w:tcW w:w="2680" w:type="dxa"/>
            <w:vAlign w:val="bottom"/>
            <w:tcBorders>
              <w:bottom w:val="single" w:sz="8" w:color="CCEEFF"/>
            </w:tcBorders>
            <w:gridSpan w:val="7"/>
            <w:vMerge w:val="continue"/>
            <w:shd w:val="clear" w:color="auto" w:fill="CCEEFF"/>
          </w:tcPr>
          <w:p>
            <w:pPr>
              <w:spacing w:after="0"/>
              <w:rPr>
                <w:sz w:val="4"/>
                <w:szCs w:val="4"/>
                <w:color w:val="auto"/>
              </w:rPr>
            </w:pPr>
          </w:p>
        </w:tc>
        <w:tc>
          <w:tcPr>
            <w:tcW w:w="660" w:type="dxa"/>
            <w:vAlign w:val="bottom"/>
            <w:tcBorders>
              <w:bottom w:val="single" w:sz="8" w:color="CCEEFF"/>
            </w:tcBorders>
            <w:gridSpan w:val="3"/>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8"/>
              </w:rPr>
              <w:t>DIRECTOR NOMINATIONS AND UNITHOLDER PROPOSALS FOR THE 2026 ANNUAL</w:t>
            </w:r>
          </w:p>
        </w:tc>
        <w:tc>
          <w:tcPr>
            <w:tcW w:w="66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MEETING</w:t>
            </w:r>
          </w:p>
        </w:tc>
        <w:tc>
          <w:tcPr>
            <w:tcW w:w="1320" w:type="dxa"/>
            <w:vAlign w:val="bottom"/>
            <w:gridSpan w:val="4"/>
            <w:vMerge w:val="restart"/>
          </w:tcPr>
          <w:p>
            <w:pPr>
              <w:spacing w:after="0"/>
              <w:rPr>
                <w:sz w:val="17"/>
                <w:szCs w:val="17"/>
                <w:color w:val="auto"/>
              </w:rPr>
            </w:pPr>
          </w:p>
        </w:tc>
        <w:tc>
          <w:tcPr>
            <w:tcW w:w="5380" w:type="dxa"/>
            <w:vAlign w:val="bottom"/>
            <w:gridSpan w:val="15"/>
            <w:vMerge w:val="restart"/>
          </w:tcPr>
          <w:p>
            <w:pPr>
              <w:spacing w:after="0"/>
              <w:rPr>
                <w:sz w:val="17"/>
                <w:szCs w:val="17"/>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79"/>
              </w:rPr>
              <w:t>73</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5380" w:type="dxa"/>
            <w:vAlign w:val="bottom"/>
            <w:gridSpan w:val="15"/>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8"/>
                <w:szCs w:val="18"/>
                <w:color w:val="0000EE"/>
                <w:w w:val="97"/>
              </w:rPr>
              <w:t>HOUSEHOLDING MATTERS</w:t>
            </w:r>
          </w:p>
        </w:tc>
        <w:tc>
          <w:tcPr>
            <w:tcW w:w="5380" w:type="dxa"/>
            <w:vAlign w:val="bottom"/>
            <w:tcBorders>
              <w:bottom w:val="single" w:sz="8" w:color="CCEEFF"/>
            </w:tcBorders>
            <w:gridSpan w:val="15"/>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320" w:type="dxa"/>
            <w:vAlign w:val="bottom"/>
            <w:gridSpan w:val="6"/>
            <w:shd w:val="clear" w:color="auto" w:fill="CCEEFF"/>
          </w:tcPr>
          <w:p>
            <w:pPr>
              <w:spacing w:after="0"/>
              <w:rPr>
                <w:sz w:val="2"/>
                <w:szCs w:val="2"/>
                <w:color w:val="auto"/>
              </w:rPr>
            </w:pPr>
          </w:p>
        </w:tc>
        <w:tc>
          <w:tcPr>
            <w:tcW w:w="5380" w:type="dxa"/>
            <w:vAlign w:val="bottom"/>
            <w:gridSpan w:val="15"/>
            <w:vMerge w:val="continue"/>
            <w:shd w:val="clear" w:color="auto" w:fill="CCEEFF"/>
          </w:tcPr>
          <w:p>
            <w:pPr>
              <w:spacing w:after="0"/>
              <w:rPr>
                <w:sz w:val="2"/>
                <w:szCs w:val="2"/>
                <w:color w:val="auto"/>
              </w:rPr>
            </w:pPr>
          </w:p>
        </w:tc>
        <w:tc>
          <w:tcPr>
            <w:tcW w:w="320" w:type="dxa"/>
            <w:vAlign w:val="bottom"/>
            <w:vMerge w:val="continue"/>
            <w:shd w:val="clear" w:color="auto" w:fill="CCEEFF"/>
          </w:tcPr>
          <w:p>
            <w:pPr>
              <w:spacing w:after="0"/>
              <w:rPr>
                <w:sz w:val="2"/>
                <w:szCs w:val="2"/>
                <w:color w:val="auto"/>
              </w:rPr>
            </w:pPr>
          </w:p>
        </w:tc>
        <w:tc>
          <w:tcPr>
            <w:tcW w:w="180" w:type="dxa"/>
            <w:vAlign w:val="bottom"/>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PLAINS ALL AMERICAN PIPELINE, L.P.</w:t>
      </w:r>
    </w:p>
    <w:p>
      <w:pPr>
        <w:spacing w:after="0" w:line="22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2025 Annual Meeting of Unitholders To Be Held On May 21, 2025</w:t>
      </w:r>
    </w:p>
    <w:p>
      <w:pPr>
        <w:spacing w:after="0" w:line="19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ALL AMERICAN PIPELINE, L.P.</w:t>
      </w:r>
    </w:p>
    <w:p>
      <w:pPr>
        <w:spacing w:after="0" w:line="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26"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The board of directors (the “Board”) of PAA GP Holdings LLC (“PAGP GP” or our “general partner”), the general partner of Plains GP Holdings, L.P. (“PAGP”), the sole member of Plains All American GP LLC (“GP LLC”), the general partner of Plains AAP, L.P. (“Plains AAP”), the sole member of PAA GP LLC, the general partner of Plains All American Pipeline, L.P. (“PAA”), is soliciting proxies to be voted on behalf of holders of our common units and holders of our Series A Convertible Preferred Units (“Series A preferred units”) (holders of our common units and our Series A preferred units are collectively referred to as our “Unitholders”) at the 2025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21, 2025,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“PAA,” “we,” “us,” “our,” “ours” and similar terms refer to Plains All American Pipeline, L.P.</w:t>
      </w:r>
    </w:p>
    <w:p>
      <w:pPr>
        <w:spacing w:after="0" w:line="124" w:lineRule="exact"/>
        <w:rPr>
          <w:sz w:val="20"/>
          <w:szCs w:val="20"/>
          <w:color w:val="auto"/>
        </w:rPr>
      </w:pPr>
    </w:p>
    <w:p>
      <w:pPr>
        <w:ind w:left="1260" w:right="579" w:firstLine="360"/>
        <w:spacing w:after="0" w:line="244" w:lineRule="auto"/>
        <w:rPr>
          <w:sz w:val="20"/>
          <w:szCs w:val="20"/>
          <w:color w:val="auto"/>
        </w:rPr>
      </w:pPr>
      <w:r>
        <w:rPr>
          <w:rFonts w:ascii="Arial" w:cs="Arial" w:eastAsia="Arial" w:hAnsi="Arial"/>
          <w:sz w:val="18"/>
          <w:szCs w:val="18"/>
          <w:color w:val="auto"/>
        </w:rPr>
        <w:t>As permitted under the rules of the Securities and Exchange Commission (the “SEC”), we are making this proxy statement and our Annual Report on Form 10-K for the year ended December 31, 2024 (our “2024 Annual Report”, and collectively with our proxy statement, the “proxy materials”) available to Unitholders electronically via the Internet. Commencing on or about April 11, 2025, we sent the proxy materials or a Notice of Internet Availability of Proxy Materials (the “Notice”) to Unitholders of record as of the close of business on March 24, 2025 (the “Record Date”). The Notice includes, among other things, instructions on how to access the Company’s proxy materials electronically and how to request a printed copy of the proxy materials.</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b w:val="1"/>
          <w:bCs w:val="1"/>
          <w:color w:val="auto"/>
        </w:rPr>
        <w:t>We will furnish additional copies of our 2024 Annual Report without charge upon the written request of any record or beneficial owner of our common units or Series A preferred units whose proxy we are soliciting in connection with the PAA Annual Meeting. Please address requests for additional copies of the 2024 Annual Report to the Investor Relations Department, Plains All American, 333 Clay Street, Suite 1600, Houston, Texas 77002, or email your request to plainsIR@plains.com.</w:t>
      </w:r>
    </w:p>
    <w:p>
      <w:pPr>
        <w:spacing w:after="0" w:line="16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ABOUT THE PAGP AND PAA ANNUAL MEETINGS</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PAGP will hold an annual meeting of its Class A, Class B and Class C shareholders (the “PAGP Annual Meeting”) immediately following the PAA Annual Meeting. At the PAGP Annual Meeting, PAGP shareholders will be asked to consider and vote upon proposals 1, 2 and 3 described below. Each PAGP shareholder will be entitled to one vote for each Class A, Class B and Class C share owned for Proposals 1, 2 and 3. On March 24, 2025, 197,743,624 Class A shares, 35,112,306 Class B shares and 529,331,928 Class C shares were issued and outstanding. PAA owns all of the issued and outstanding Class C shares, which serve as a pass-through voting mechanism allowing eligible PAA Unitholders to vote indirectly at the PAGP Annual Meeting by instructing PAA how to vote the Class C shares on their behalf.</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Arial" w:cs="Arial" w:eastAsia="Arial" w:hAnsi="Arial"/>
          <w:sz w:val="18"/>
          <w:szCs w:val="18"/>
          <w:color w:val="auto"/>
        </w:rPr>
        <w:t>At the PAA Annual Meeting, PAA Unitholders (other than Plains AAP) will vote on a pass-through basis on proposals 1, 2 and 3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and 3.</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pages 9-11 for additional information with respect to our ownership and voting structure.</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QUESTIONS AND ANSWERS ABOUT THE PAA ANNUAL MEETING</w:t>
      </w:r>
    </w:p>
    <w:p>
      <w:pPr>
        <w:spacing w:after="0" w:line="158" w:lineRule="exact"/>
        <w:rPr>
          <w:sz w:val="20"/>
          <w:szCs w:val="20"/>
          <w:color w:val="auto"/>
        </w:rPr>
      </w:pPr>
    </w:p>
    <w:p>
      <w:pPr>
        <w:ind w:left="1260" w:right="879" w:firstLine="360"/>
        <w:spacing w:after="0" w:line="282" w:lineRule="auto"/>
        <w:rPr>
          <w:sz w:val="20"/>
          <w:szCs w:val="20"/>
          <w:color w:val="auto"/>
        </w:rPr>
      </w:pPr>
      <w:r>
        <w:rPr>
          <w:rFonts w:ascii="Arial" w:cs="Arial" w:eastAsia="Arial" w:hAnsi="Arial"/>
          <w:sz w:val="17"/>
          <w:szCs w:val="17"/>
          <w:color w:val="auto"/>
        </w:rPr>
        <w:t>The following questions and answers are intended to briefly address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9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44" w:lineRule="exact"/>
        <w:rPr>
          <w:sz w:val="20"/>
          <w:szCs w:val="20"/>
          <w:color w:val="auto"/>
        </w:rPr>
      </w:pPr>
    </w:p>
    <w:p>
      <w:pPr>
        <w:ind w:left="1620" w:right="419" w:hanging="360"/>
        <w:spacing w:after="0" w:line="255"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PAA Annual Meeting because you were a Unitholder at the close of business on the Record Date for the PAA Annual Meeting, and you are therefore entitled to receive notice regarding the PAA Annual Meeting, and to attend and vote at the PAA Annual Meeting. This proxy statement summarizes the information that you need to know in order to cast your vote at the PAA Annual Meeting. Your vote is very important and the Board strongly encourages you to exercise your right to vote. You do not need to attend the PAA Annual Meeting to vote your units, and we encourage you to vote even if you are unable to attend the PAA Annual Meeting in person. You may vote by Internet, by telephone or by signing and returning the attached proxy card in the envelope provided. See “How do I vote?” below.</w:t>
      </w:r>
    </w:p>
    <w:p>
      <w:pPr>
        <w:spacing w:after="0" w:line="11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58"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7" w:lineRule="exact"/>
        <w:rPr>
          <w:rFonts w:ascii="Arial" w:cs="Arial" w:eastAsia="Arial" w:hAnsi="Arial"/>
          <w:sz w:val="18"/>
          <w:szCs w:val="18"/>
          <w:color w:val="auto"/>
        </w:rPr>
      </w:pPr>
    </w:p>
    <w:p>
      <w:pPr>
        <w:ind w:left="1800" w:right="59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Victor Burk, Kevin McCarthy, Harry Pefanis and Gary Petersen as a</w:t>
      </w:r>
      <w:r>
        <w:rPr>
          <w:rFonts w:ascii="Arial" w:cs="Arial" w:eastAsia="Arial" w:hAnsi="Arial"/>
          <w:sz w:val="18"/>
          <w:szCs w:val="18"/>
          <w:b w:val="1"/>
          <w:bCs w:val="1"/>
          <w:color w:val="auto"/>
        </w:rPr>
        <w:t xml:space="preserve"> </w:t>
      </w:r>
      <w:r>
        <w:rPr>
          <w:rFonts w:ascii="Arial" w:cs="Arial" w:eastAsia="Arial" w:hAnsi="Arial"/>
          <w:sz w:val="18"/>
          <w:szCs w:val="18"/>
          <w:color w:val="auto"/>
        </w:rPr>
        <w:t>Class II director of the Board to serve until the 2028 annual meeting;</w:t>
      </w:r>
    </w:p>
    <w:p>
      <w:pPr>
        <w:spacing w:after="0" w:line="44" w:lineRule="exact"/>
        <w:rPr>
          <w:rFonts w:ascii="Arial" w:cs="Arial" w:eastAsia="Arial" w:hAnsi="Arial"/>
          <w:sz w:val="18"/>
          <w:szCs w:val="18"/>
          <w:color w:val="auto"/>
        </w:rPr>
      </w:pPr>
    </w:p>
    <w:p>
      <w:pPr>
        <w:ind w:left="1800" w:right="879" w:hanging="180"/>
        <w:spacing w:after="0" w:line="318"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the fiscal year ending December 31, 2025; and</w:t>
      </w:r>
    </w:p>
    <w:p>
      <w:pPr>
        <w:spacing w:after="0" w:line="21" w:lineRule="exact"/>
        <w:rPr>
          <w:rFonts w:ascii="Arial" w:cs="Arial" w:eastAsia="Arial" w:hAnsi="Arial"/>
          <w:sz w:val="17"/>
          <w:szCs w:val="17"/>
          <w:color w:val="auto"/>
        </w:rPr>
      </w:pPr>
    </w:p>
    <w:p>
      <w:pPr>
        <w:ind w:left="1800" w:right="117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2024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PAA Annual Meeting?</w:t>
      </w:r>
    </w:p>
    <w:p>
      <w:pPr>
        <w:spacing w:after="0" w:line="158" w:lineRule="exact"/>
        <w:rPr>
          <w:sz w:val="20"/>
          <w:szCs w:val="20"/>
          <w:color w:val="auto"/>
        </w:rPr>
      </w:pPr>
    </w:p>
    <w:p>
      <w:pPr>
        <w:ind w:left="1620" w:right="419" w:hanging="360"/>
        <w:spacing w:after="0" w:line="244"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PAA Annual Meeting will be held on May 21, 2025,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Unitholders of record as of the close of business on March 24, 2025 are entitled to vote and ask questions at the PAA Annual Meeting. If you are not a Unitholder of record but hold units in “street name” through a brokerage firm, bank, dealer or other similar organization, trustee, or nominee (generally referred to in this proxy statement as a “broker”), you may attend the PAA Annual Meeting as a guest. Please note that if you hold units in “street name” through a broker and desire to vote your units or ask questions during the PAA Annual Meeting, you must request and obtain a valid “legal proxy” from your broker and register with Equiniti Trust Company, LLC (“EQ”) to attend the PAA Annual Meeting as a Unitholder.</w:t>
      </w:r>
    </w:p>
    <w:p>
      <w:pPr>
        <w:spacing w:after="0" w:line="124" w:lineRule="exact"/>
        <w:rPr>
          <w:sz w:val="20"/>
          <w:szCs w:val="20"/>
          <w:color w:val="auto"/>
        </w:rPr>
      </w:pPr>
    </w:p>
    <w:p>
      <w:pPr>
        <w:ind w:left="1620" w:right="1039"/>
        <w:spacing w:after="0" w:line="287" w:lineRule="auto"/>
        <w:rPr>
          <w:sz w:val="20"/>
          <w:szCs w:val="20"/>
          <w:color w:val="auto"/>
        </w:rPr>
      </w:pPr>
      <w:r>
        <w:rPr>
          <w:rFonts w:ascii="Arial" w:cs="Arial" w:eastAsia="Arial" w:hAnsi="Arial"/>
          <w:sz w:val="18"/>
          <w:szCs w:val="18"/>
          <w:color w:val="auto"/>
        </w:rPr>
        <w:t>Information on who can vote and ask questions during the PAA Annual Meeting is discussed immediately below.</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PAA Annual Meeting?</w:t>
      </w:r>
    </w:p>
    <w:p>
      <w:pPr>
        <w:spacing w:after="0" w:line="158" w:lineRule="exact"/>
        <w:rPr>
          <w:sz w:val="20"/>
          <w:szCs w:val="20"/>
          <w:color w:val="auto"/>
        </w:rPr>
      </w:pPr>
    </w:p>
    <w:p>
      <w:pPr>
        <w:ind w:left="1620" w:right="71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PAA Annual Meeting if you were a Unitholder of record as of the close of business on the Record Date for the PAA Annual Meeting.</w:t>
      </w:r>
    </w:p>
    <w:p>
      <w:pPr>
        <w:spacing w:after="0" w:line="85" w:lineRule="exact"/>
        <w:rPr>
          <w:rFonts w:ascii="Arial" w:cs="Arial" w:eastAsia="Arial" w:hAnsi="Arial"/>
          <w:sz w:val="18"/>
          <w:szCs w:val="18"/>
          <w:color w:val="auto"/>
        </w:rPr>
      </w:pPr>
    </w:p>
    <w:p>
      <w:pPr>
        <w:ind w:left="1620" w:right="479"/>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Unitholder of Record: Units Registered in Your Name. </w:t>
      </w:r>
      <w:r>
        <w:rPr>
          <w:rFonts w:ascii="Arial" w:cs="Arial" w:eastAsia="Arial" w:hAnsi="Arial"/>
          <w:sz w:val="18"/>
          <w:szCs w:val="18"/>
          <w:color w:val="auto"/>
        </w:rPr>
        <w:t>You are a Unitholder of record if your units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were registered directly in your name with our transfer agent, EQ, at the close of business on the Record Date. As a Unitholder of record, you may vote and ask questions during the PAA Annual Meeting. Whether or not you plan to attend the PAA Annual Meeting, we urge you to submit a proxy to ensure your vote is counted. </w:t>
      </w:r>
      <w:r>
        <w:rPr>
          <w:rFonts w:ascii="Arial" w:cs="Arial" w:eastAsia="Arial" w:hAnsi="Arial"/>
          <w:sz w:val="18"/>
          <w:szCs w:val="18"/>
          <w:b w:val="1"/>
          <w:bCs w:val="1"/>
          <w:i w:val="1"/>
          <w:iCs w:val="1"/>
          <w:color w:val="auto"/>
        </w:rPr>
        <w:t>See “How do I vote?” below for detailed instructions on how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to vote your units.</w:t>
      </w: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64" w:lineRule="auto"/>
        <w:rPr>
          <w:sz w:val="20"/>
          <w:szCs w:val="20"/>
          <w:color w:val="auto"/>
        </w:rPr>
      </w:pPr>
      <w:r>
        <w:rPr>
          <w:rFonts w:ascii="Arial" w:cs="Arial" w:eastAsia="Arial" w:hAnsi="Arial"/>
          <w:sz w:val="18"/>
          <w:szCs w:val="18"/>
          <w:i w:val="1"/>
          <w:iCs w:val="1"/>
          <w:color w:val="auto"/>
        </w:rPr>
        <w:t xml:space="preserve">Beneficial Owner: Units Registered in the Name of Broker. </w:t>
      </w:r>
      <w:r>
        <w:rPr>
          <w:rFonts w:ascii="Arial" w:cs="Arial" w:eastAsia="Arial" w:hAnsi="Arial"/>
          <w:sz w:val="18"/>
          <w:szCs w:val="18"/>
          <w:color w:val="auto"/>
        </w:rPr>
        <w:t>If your units were held in an account at</w:t>
      </w:r>
      <w:r>
        <w:rPr>
          <w:rFonts w:ascii="Arial" w:cs="Arial" w:eastAsia="Arial" w:hAnsi="Arial"/>
          <w:sz w:val="18"/>
          <w:szCs w:val="18"/>
          <w:i w:val="1"/>
          <w:iCs w:val="1"/>
          <w:color w:val="auto"/>
        </w:rPr>
        <w:t xml:space="preserve"> </w:t>
      </w:r>
      <w:r>
        <w:rPr>
          <w:rFonts w:ascii="Arial" w:cs="Arial" w:eastAsia="Arial" w:hAnsi="Arial"/>
          <w:sz w:val="18"/>
          <w:szCs w:val="18"/>
          <w:color w:val="auto"/>
        </w:rPr>
        <w:t>a broker at the close of business on the Record Date, then you are the beneficial owner of units held in “street name” and the broker holding your account is considered to be the Unitholder of record for purposes of voting at the PAA Annual Meeting. As a beneficial owner, you have the right to direct your broker regarding how to vote the units in your account. You are also invited to attend the PAA Annual Meeting as a guest. However, because you are not the Unitholder of record, you may not vote your units or ask questions at the PAA Annual Meeting unless you request and obtain a valid legal proxy from the organization that holds your units giving you the right to vote the units and ask questions at the PAA Annual Meeting. Follow the instructions provided by your broker or bank, or contact your broker or bank to request a legal proxy form.</w:t>
      </w:r>
    </w:p>
    <w:p>
      <w:pPr>
        <w:spacing w:after="0" w:line="180" w:lineRule="exact"/>
        <w:rPr>
          <w:sz w:val="20"/>
          <w:szCs w:val="20"/>
          <w:color w:val="auto"/>
        </w:rPr>
      </w:pPr>
    </w:p>
    <w:p>
      <w:pPr>
        <w:ind w:left="1620" w:right="699"/>
        <w:spacing w:after="0" w:line="267" w:lineRule="auto"/>
        <w:rPr>
          <w:sz w:val="20"/>
          <w:szCs w:val="20"/>
          <w:color w:val="auto"/>
        </w:rPr>
      </w:pPr>
      <w:r>
        <w:rPr>
          <w:rFonts w:ascii="Arial" w:cs="Arial" w:eastAsia="Arial" w:hAnsi="Arial"/>
          <w:sz w:val="18"/>
          <w:szCs w:val="18"/>
          <w:color w:val="auto"/>
        </w:rPr>
        <w:t>After obtaining a valid legal proxy from your broker, bank or other agent, in order to vote and ask questions at the PAA Annual Meeting, you must register to attend the PAA Annual Meeting as a Unitholder by submitting to EQ proof of your legal proxy reflecting the number of your units along with your name and email address. Requests for registration should be directed to proxy@equiniti.com or to facsimile number 718-765-8730. Written requests can be mailed to:</w:t>
      </w:r>
    </w:p>
    <w:p>
      <w:pPr>
        <w:spacing w:after="0" w:line="1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Equiniti Trust Company, LLC</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Proxy Tabulation Department</w:t>
      </w:r>
    </w:p>
    <w:p>
      <w:pPr>
        <w:spacing w:after="0" w:line="1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55 Challenger Road, Suite 200B | Ridgefield Park, NJ 07660</w:t>
      </w:r>
    </w:p>
    <w:p>
      <w:pPr>
        <w:spacing w:after="0" w:line="207" w:lineRule="exact"/>
        <w:rPr>
          <w:sz w:val="20"/>
          <w:szCs w:val="20"/>
          <w:color w:val="auto"/>
        </w:rPr>
      </w:pPr>
    </w:p>
    <w:p>
      <w:pPr>
        <w:ind w:left="1620" w:right="519"/>
        <w:spacing w:after="0" w:line="287"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14, 2025.</w:t>
      </w:r>
    </w:p>
    <w:p>
      <w:pPr>
        <w:spacing w:after="0" w:line="139" w:lineRule="exact"/>
        <w:rPr>
          <w:sz w:val="20"/>
          <w:szCs w:val="20"/>
          <w:color w:val="auto"/>
        </w:rPr>
      </w:pPr>
    </w:p>
    <w:p>
      <w:pPr>
        <w:ind w:left="1620" w:right="759"/>
        <w:spacing w:after="0" w:line="276"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PAA Annual Meeting, submit questions and vote your units during the meeting.</w:t>
      </w:r>
    </w:p>
    <w:p>
      <w:pPr>
        <w:spacing w:after="0" w:line="12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71" w:lineRule="exact"/>
        <w:rPr>
          <w:sz w:val="20"/>
          <w:szCs w:val="20"/>
          <w:color w:val="auto"/>
        </w:rPr>
      </w:pPr>
    </w:p>
    <w:p>
      <w:pPr>
        <w:ind w:left="1620" w:right="579" w:hanging="360"/>
        <w:spacing w:after="0" w:line="28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PAA Annual Meeting.</w:t>
      </w:r>
    </w:p>
    <w:p>
      <w:pPr>
        <w:spacing w:after="0" w:line="112" w:lineRule="exact"/>
        <w:rPr>
          <w:sz w:val="20"/>
          <w:szCs w:val="20"/>
          <w:color w:val="auto"/>
        </w:rPr>
      </w:pPr>
    </w:p>
    <w:p>
      <w:pPr>
        <w:ind w:left="1620" w:right="459" w:hanging="360"/>
        <w:spacing w:after="0" w:line="296" w:lineRule="auto"/>
        <w:tabs>
          <w:tab w:leader="none" w:pos="1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will I have, and what is the total number of units entitled to vote at the PAA Annual Meeting?</w:t>
      </w:r>
    </w:p>
    <w:p>
      <w:pPr>
        <w:spacing w:after="0" w:line="83" w:lineRule="exact"/>
        <w:rPr>
          <w:sz w:val="20"/>
          <w:szCs w:val="20"/>
          <w:color w:val="auto"/>
        </w:rPr>
      </w:pPr>
    </w:p>
    <w:p>
      <w:pPr>
        <w:ind w:left="1620" w:right="499" w:hanging="360"/>
        <w:spacing w:after="0" w:line="255"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common unitholder (other than Plains AAP)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As of March 24, 2025, 703,775,950 common units and 58,411,908 Series A preferred units were issued and outstanding. As of March 24, 2025, Plains AAP owned 232,855,930 common units; however, as noted above, Plains AAP is not entitled to vote such common units on proposals 1, 2 or 3. The following table provides the number of common units entitled to vote on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Common Units Entitled to Vote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(including Series A Preferred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ind w:left="440"/>
              <w:spacing w:after="0"/>
              <w:rPr>
                <w:sz w:val="20"/>
                <w:szCs w:val="20"/>
                <w:color w:val="auto"/>
              </w:rPr>
            </w:pPr>
            <w:r>
              <w:rPr>
                <w:rFonts w:ascii="Arial" w:cs="Arial" w:eastAsia="Arial" w:hAnsi="Arial"/>
                <w:sz w:val="14"/>
                <w:szCs w:val="14"/>
                <w:b w:val="1"/>
                <w:bCs w:val="1"/>
                <w:color w:val="auto"/>
              </w:rPr>
              <w:t>Proposal</w:t>
            </w:r>
          </w:p>
        </w:tc>
        <w:tc>
          <w:tcPr>
            <w:tcW w:w="2600" w:type="dxa"/>
            <w:vAlign w:val="bottom"/>
            <w:gridSpan w:val="2"/>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Units on an as-converted basis)</w:t>
            </w:r>
          </w:p>
        </w:tc>
        <w:tc>
          <w:tcPr>
            <w:tcW w:w="80" w:type="dxa"/>
            <w:vAlign w:val="bottom"/>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7"/>
                <w:szCs w:val="17"/>
                <w:color w:val="auto"/>
              </w:rPr>
            </w:pPr>
          </w:p>
        </w:tc>
        <w:tc>
          <w:tcPr>
            <w:tcW w:w="2460" w:type="dxa"/>
            <w:vAlign w:val="bottom"/>
          </w:tcPr>
          <w:p>
            <w:pPr>
              <w:ind w:left="820"/>
              <w:spacing w:after="0"/>
              <w:rPr>
                <w:sz w:val="20"/>
                <w:szCs w:val="20"/>
                <w:color w:val="auto"/>
              </w:rPr>
            </w:pPr>
            <w:r>
              <w:rPr>
                <w:rFonts w:ascii="Arial" w:cs="Arial" w:eastAsia="Arial" w:hAnsi="Arial"/>
                <w:sz w:val="14"/>
                <w:szCs w:val="14"/>
                <w:b w:val="1"/>
                <w:bCs w:val="1"/>
                <w:color w:val="auto"/>
              </w:rPr>
              <w:t>Explanation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176" w:lineRule="exact"/>
              <w:rPr>
                <w:sz w:val="20"/>
                <w:szCs w:val="20"/>
                <w:color w:val="auto"/>
              </w:rPr>
            </w:pPr>
            <w:r>
              <w:rPr>
                <w:rFonts w:ascii="Arial" w:cs="Arial" w:eastAsia="Arial" w:hAnsi="Arial"/>
                <w:sz w:val="18"/>
                <w:szCs w:val="18"/>
                <w:color w:val="auto"/>
              </w:rPr>
              <w:t>​ ​</w:t>
            </w: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176" w:lineRule="exact"/>
              <w:rPr>
                <w:sz w:val="20"/>
                <w:szCs w:val="20"/>
                <w:color w:val="auto"/>
              </w:rPr>
            </w:pPr>
            <w:r>
              <w:rPr>
                <w:rFonts w:ascii="Arial" w:cs="Arial" w:eastAsia="Arial" w:hAnsi="Arial"/>
                <w:sz w:val="18"/>
                <w:szCs w:val="18"/>
                <w:color w:val="auto"/>
              </w:rPr>
              <w:t>​ ​</w:t>
            </w:r>
          </w:p>
        </w:tc>
        <w:tc>
          <w:tcPr>
            <w:tcW w:w="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0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529,331,928</w:t>
            </w: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Excludes common units held</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480" w:type="dxa"/>
            <w:vAlign w:val="bottom"/>
            <w:gridSpan w:val="3"/>
          </w:tcPr>
          <w:p>
            <w:pPr>
              <w:spacing w:after="0" w:line="80" w:lineRule="exact"/>
              <w:rPr>
                <w:sz w:val="20"/>
                <w:szCs w:val="20"/>
                <w:color w:val="auto"/>
              </w:rPr>
            </w:pPr>
            <w:r>
              <w:rPr>
                <w:rFonts w:ascii="Arial" w:cs="Arial" w:eastAsia="Arial" w:hAnsi="Arial"/>
                <w:sz w:val="9"/>
                <w:szCs w:val="9"/>
                <w:color w:val="auto"/>
              </w:rPr>
              <w:t>Proposals 1, 2 and 3</w:t>
            </w:r>
          </w:p>
        </w:tc>
        <w:tc>
          <w:tcPr>
            <w:tcW w:w="22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00"/>
        <w:spacing w:after="0"/>
        <w:rPr>
          <w:sz w:val="20"/>
          <w:szCs w:val="20"/>
          <w:color w:val="auto"/>
        </w:rPr>
      </w:pPr>
      <w:r>
        <w:rPr>
          <w:rFonts w:ascii="Arial" w:cs="Arial" w:eastAsia="Arial" w:hAnsi="Arial"/>
          <w:sz w:val="18"/>
          <w:szCs w:val="18"/>
          <w:color w:val="auto"/>
        </w:rPr>
        <w:t>by Plains AAP as of the Record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The number of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common units owned by Plains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AAP is, by design, equivalent</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 the number of outstanding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PAGP Class A and Class B</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shares. PAGP Class A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Class B shareholders will vote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on proposals 1, 2 and 3 directly</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at the PAGP Annual Meeting.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Therefore, excluding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common units held by Plains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AAP from the “pass-through”</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vote prevents double voting on</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these proposals within the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overall capital structure of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PAGP, Plains AAP and PAA.</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See pages 9-11 for additional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information regarding our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ownership and voting structure.</w:t>
      </w:r>
    </w:p>
    <w:p>
      <w:pPr>
        <w:spacing w:after="0" w:line="2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44" w:lineRule="exact"/>
        <w:rPr>
          <w:sz w:val="20"/>
          <w:szCs w:val="20"/>
          <w:color w:val="auto"/>
        </w:rPr>
      </w:pPr>
    </w:p>
    <w:p>
      <w:pPr>
        <w:ind w:left="1620" w:right="113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vote your units by any of the following methods:</w:t>
      </w:r>
    </w:p>
    <w:p>
      <w:pPr>
        <w:spacing w:after="0" w:line="44" w:lineRule="exact"/>
        <w:rPr>
          <w:rFonts w:ascii="Arial" w:cs="Arial" w:eastAsia="Arial" w:hAnsi="Arial"/>
          <w:sz w:val="18"/>
          <w:szCs w:val="18"/>
          <w:color w:val="auto"/>
        </w:rPr>
      </w:pPr>
    </w:p>
    <w:p>
      <w:pPr>
        <w:ind w:left="1800" w:right="4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68" w:lineRule="exact"/>
        <w:rPr>
          <w:rFonts w:ascii="Arial" w:cs="Arial" w:eastAsia="Arial" w:hAnsi="Arial"/>
          <w:sz w:val="18"/>
          <w:szCs w:val="18"/>
          <w:color w:val="auto"/>
        </w:rPr>
      </w:pPr>
    </w:p>
    <w:p>
      <w:pPr>
        <w:ind w:left="1800" w:right="47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before the meeting. </w:t>
      </w:r>
      <w:r>
        <w:rPr>
          <w:rFonts w:ascii="Arial" w:cs="Arial" w:eastAsia="Arial" w:hAnsi="Arial"/>
          <w:sz w:val="18"/>
          <w:szCs w:val="18"/>
          <w:color w:val="auto"/>
        </w:rPr>
        <w:t>You may vote by telephone by calling the toll-free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your proxy card. Telephone voting procedures have been established to verify your identity, to allow you to provide proxy voting instructions and to confirm that your instructions were accurately recorded. Please have your proxy card available when you call.</w:t>
      </w:r>
    </w:p>
    <w:p>
      <w:pPr>
        <w:spacing w:after="0" w:line="68" w:lineRule="exact"/>
        <w:rPr>
          <w:rFonts w:ascii="Arial" w:cs="Arial" w:eastAsia="Arial" w:hAnsi="Arial"/>
          <w:sz w:val="18"/>
          <w:szCs w:val="18"/>
          <w:color w:val="auto"/>
        </w:rPr>
      </w:pPr>
    </w:p>
    <w:p>
      <w:pPr>
        <w:ind w:left="1800" w:right="41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 and</w:t>
      </w:r>
      <w:r>
        <w:rPr>
          <w:rFonts w:ascii="Arial" w:cs="Arial" w:eastAsia="Arial" w:hAnsi="Arial"/>
          <w:sz w:val="18"/>
          <w:szCs w:val="18"/>
          <w:i w:val="1"/>
          <w:iCs w:val="1"/>
          <w:color w:val="auto"/>
        </w:rPr>
        <w:t xml:space="preserve"> </w:t>
      </w:r>
      <w:r>
        <w:rPr>
          <w:rFonts w:ascii="Arial" w:cs="Arial" w:eastAsia="Arial" w:hAnsi="Arial"/>
          <w:sz w:val="18"/>
          <w:szCs w:val="18"/>
          <w:color w:val="auto"/>
        </w:rPr>
        <w:t>dated proxy card in the enclosed postage-paid return envelope. However, in order to ensure that your vote is received in a timely manner, we recommend that you vote online or by telephone as described above.</w:t>
      </w:r>
    </w:p>
    <w:p>
      <w:pPr>
        <w:spacing w:after="0" w:line="68" w:lineRule="exact"/>
        <w:rPr>
          <w:rFonts w:ascii="Arial" w:cs="Arial" w:eastAsia="Arial" w:hAnsi="Arial"/>
          <w:sz w:val="18"/>
          <w:szCs w:val="18"/>
          <w:color w:val="auto"/>
        </w:rPr>
      </w:pPr>
    </w:p>
    <w:p>
      <w:pPr>
        <w:ind w:left="1800" w:right="459" w:hanging="180"/>
        <w:spacing w:after="0" w:line="255"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were a Unitholder of record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 may attend the PAA Annual Meeting, ask questions and vote during the meeting. If you are a beneficial owner of units held in street name, you must be registered to attend the PAA Annual Meeting as a Unitholder and must have a valid legal proxy in order to ask questions and vote during the meeting. Please read the “Beneficial Owner: Units Registered in the Name of Broker” answer under the question “Who can vote and ask questions at the PAA Annual Meeting?” above for instructions on how to register to attend the PAA Annual Meeting and obtain a legal proxy.</w:t>
      </w: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79"/>
        <w:spacing w:after="0" w:line="259" w:lineRule="auto"/>
        <w:rPr>
          <w:sz w:val="20"/>
          <w:szCs w:val="20"/>
          <w:color w:val="auto"/>
        </w:rPr>
      </w:pPr>
      <w:r>
        <w:rPr>
          <w:rFonts w:ascii="Arial" w:cs="Arial" w:eastAsia="Arial" w:hAnsi="Arial"/>
          <w:sz w:val="18"/>
          <w:szCs w:val="18"/>
          <w:color w:val="auto"/>
        </w:rPr>
        <w:t>Internet and telephone voting will be available to eligible Unitholders 24 hours a day until 11:59 p.m. Eastern Time on May 20, 2025, the night before the PAA Annual Meeting. If you use the Internet or the toll-free telephone number to provide your proxy voting instructions, you do not need to mail in your proxy card. If you mail in your proxy card, it must be received by PAA before the voting polls close at the PAA Annual Meeting.</w:t>
      </w:r>
    </w:p>
    <w:p>
      <w:pPr>
        <w:spacing w:after="0" w:line="112" w:lineRule="exact"/>
        <w:rPr>
          <w:sz w:val="20"/>
          <w:szCs w:val="20"/>
          <w:color w:val="auto"/>
        </w:rPr>
      </w:pPr>
    </w:p>
    <w:p>
      <w:pPr>
        <w:ind w:left="1620" w:right="559"/>
        <w:spacing w:after="0" w:line="262" w:lineRule="auto"/>
        <w:rPr>
          <w:sz w:val="20"/>
          <w:szCs w:val="20"/>
          <w:color w:val="auto"/>
        </w:rPr>
      </w:pPr>
      <w:r>
        <w:rPr>
          <w:rFonts w:ascii="Arial" w:cs="Arial" w:eastAsia="Arial" w:hAnsi="Arial"/>
          <w:sz w:val="18"/>
          <w:szCs w:val="18"/>
          <w:color w:val="auto"/>
        </w:rPr>
        <w:t>Even if you plan to attend the PAA Annual Meeting, please vote your units by proxy in advance of the PAA Annual Meeting (either online, by telephone or by mail as described above) as soon as possible so that your units will be represented at the PAA Annual Meeting if for any reason you are unable to attend.</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44" w:lineRule="exact"/>
        <w:rPr>
          <w:sz w:val="20"/>
          <w:szCs w:val="20"/>
          <w:color w:val="auto"/>
        </w:rPr>
      </w:pPr>
    </w:p>
    <w:p>
      <w:pPr>
        <w:ind w:left="1620" w:right="519" w:hanging="360"/>
        <w:spacing w:after="0" w:line="28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were a Unitholder of record as of the close of business on the Record Date, you may change your vote at any time before the voting polls close at the PAA Annual Meeting by:</w:t>
      </w:r>
    </w:p>
    <w:p>
      <w:pPr>
        <w:spacing w:after="0" w:line="44" w:lineRule="exact"/>
        <w:rPr>
          <w:rFonts w:ascii="Arial" w:cs="Arial" w:eastAsia="Arial" w:hAnsi="Arial"/>
          <w:sz w:val="18"/>
          <w:szCs w:val="18"/>
          <w:color w:val="auto"/>
        </w:rPr>
      </w:pPr>
    </w:p>
    <w:p>
      <w:pPr>
        <w:ind w:left="1800" w:right="79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20, 2025);</w:t>
      </w:r>
    </w:p>
    <w:p>
      <w:pPr>
        <w:spacing w:after="0" w:line="62" w:lineRule="exact"/>
        <w:rPr>
          <w:rFonts w:ascii="Arial" w:cs="Arial" w:eastAsia="Arial" w:hAnsi="Arial"/>
          <w:sz w:val="18"/>
          <w:szCs w:val="18"/>
          <w:color w:val="auto"/>
        </w:rPr>
      </w:pPr>
    </w:p>
    <w:p>
      <w:pPr>
        <w:ind w:left="1800" w:right="79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delivering a later-dated, executed proxy card or written notice of revocation of your proxy to Equiniti Trust Company, LLC, 55 Challenger Road, Suite 200B, Ridgefield Park, NJ 07660 no later than 5:00 p.m. Eastern Time on May 20, 2025; or</w:t>
      </w:r>
    </w:p>
    <w:p>
      <w:pPr>
        <w:spacing w:after="0" w:line="62" w:lineRule="exact"/>
        <w:rPr>
          <w:rFonts w:ascii="Arial" w:cs="Arial" w:eastAsia="Arial" w:hAnsi="Arial"/>
          <w:sz w:val="18"/>
          <w:szCs w:val="18"/>
          <w:color w:val="auto"/>
        </w:rPr>
      </w:pPr>
    </w:p>
    <w:p>
      <w:pPr>
        <w:ind w:left="1800" w:right="55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attending the PAA Annual Meeting and voting during the PAA Annual Meeting pursuant to the instructions above. Please note that attendance at the PAA Annual Meeting will not by itself (i.e., without also voting) revoke a previously granted proxy.</w:t>
      </w:r>
    </w:p>
    <w:p>
      <w:pPr>
        <w:spacing w:after="0" w:line="103" w:lineRule="exact"/>
        <w:rPr>
          <w:sz w:val="20"/>
          <w:szCs w:val="20"/>
          <w:color w:val="auto"/>
        </w:rPr>
      </w:pPr>
    </w:p>
    <w:p>
      <w:pPr>
        <w:ind w:left="1620" w:right="499"/>
        <w:spacing w:after="0" w:line="278" w:lineRule="auto"/>
        <w:rPr>
          <w:sz w:val="20"/>
          <w:szCs w:val="20"/>
          <w:color w:val="auto"/>
        </w:rPr>
      </w:pPr>
      <w:r>
        <w:rPr>
          <w:rFonts w:ascii="Arial" w:cs="Arial" w:eastAsia="Arial" w:hAnsi="Arial"/>
          <w:sz w:val="17"/>
          <w:szCs w:val="17"/>
          <w:color w:val="auto"/>
        </w:rPr>
        <w:t>If you were a beneficial owner of common units held in street name as of the close of business on the Record Date and you have instructed your broker or other nominee to vote your units, you must follow the procedures provided by your broker or other nominee to change those instructions. You may also vote during the PAA Annual Meeting if you obtain a legal proxy from your broker or other nominee and register to attend the PAA Annual Meeting pursuant to the instructions above.</w:t>
      </w:r>
    </w:p>
    <w:p>
      <w:pPr>
        <w:spacing w:after="0" w:line="9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44" w:lineRule="exact"/>
        <w:rPr>
          <w:sz w:val="20"/>
          <w:szCs w:val="20"/>
          <w:color w:val="auto"/>
        </w:rPr>
      </w:pPr>
    </w:p>
    <w:p>
      <w:pPr>
        <w:ind w:left="1620" w:right="439" w:hanging="360"/>
        <w:spacing w:after="0" w:line="253"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2024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with respect to Proposals 1 and 3.</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58" w:lineRule="exact"/>
        <w:rPr>
          <w:sz w:val="20"/>
          <w:szCs w:val="20"/>
          <w:color w:val="auto"/>
        </w:rPr>
      </w:pPr>
    </w:p>
    <w:p>
      <w:pPr>
        <w:ind w:left="1620" w:right="499" w:hanging="360"/>
        <w:spacing w:after="0" w:line="262"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 majority of the outstanding common units and Series A preferred units (on an as-converted basis), considered together, entitled to vote and present in person or by proxy at the PAA Annual Meeting shall constitute a quorum. Your units will be counted as present at the PAA Annual Meeting if:</w:t>
      </w: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117" w:lineRule="exact"/>
        <w:rPr>
          <w:rFonts w:ascii="Arial" w:cs="Arial" w:eastAsia="Arial" w:hAnsi="Arial"/>
          <w:sz w:val="18"/>
          <w:szCs w:val="18"/>
          <w:color w:val="auto"/>
        </w:rPr>
      </w:pPr>
    </w:p>
    <w:p>
      <w:pPr>
        <w:ind w:left="1800" w:right="719" w:hanging="180"/>
        <w:spacing w:after="0" w:line="28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units held in street name, have submitted a properly executed proxy.</w:t>
      </w:r>
    </w:p>
    <w:p>
      <w:pPr>
        <w:spacing w:after="0" w:line="85" w:lineRule="exact"/>
        <w:rPr>
          <w:sz w:val="20"/>
          <w:szCs w:val="20"/>
          <w:color w:val="auto"/>
        </w:rPr>
      </w:pPr>
    </w:p>
    <w:p>
      <w:pPr>
        <w:ind w:left="1620" w:right="879"/>
        <w:spacing w:after="0" w:line="28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85" w:lineRule="exact"/>
        <w:rPr>
          <w:sz w:val="20"/>
          <w:szCs w:val="20"/>
          <w:color w:val="auto"/>
        </w:rPr>
      </w:pPr>
    </w:p>
    <w:p>
      <w:pPr>
        <w:ind w:left="1620" w:right="739" w:hanging="360"/>
        <w:spacing w:after="0" w:line="296" w:lineRule="auto"/>
        <w:tabs>
          <w:tab w:leader="none" w:pos="1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be voting on and what vote is required to approve the proposals discussed in this proxy statement?</w:t>
      </w:r>
    </w:p>
    <w:p>
      <w:pPr>
        <w:spacing w:after="0" w:line="56" w:lineRule="exact"/>
        <w:rPr>
          <w:sz w:val="20"/>
          <w:szCs w:val="20"/>
          <w:color w:val="auto"/>
        </w:rPr>
      </w:pPr>
    </w:p>
    <w:p>
      <w:pPr>
        <w:ind w:left="1620" w:right="439" w:hanging="360"/>
        <w:spacing w:after="0" w:line="25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Unitholders (other than Plains AAP) will be casting a “pass-through” vote on Proposals 1, 2 and 3 by instructing PAA how to vote its PAGP Class C shares on such proposals at PAGP’s annual meeting. PAA will vote (or refrain from voting) its Class C shares on each matter submitted to PAGP’s shareholders in the same proportion as the votes received from or withheld by the Unitholders with respect to such matter. The proposals that will be voted upon and the required vote for approval of such proposals is set forth in the following table:</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288"/>
        </w:trPr>
        <w:tc>
          <w:tcPr>
            <w:tcW w:w="1600" w:type="dxa"/>
            <w:vAlign w:val="bottom"/>
            <w:shd w:val="clear" w:color="auto" w:fill="424E6A"/>
          </w:tcPr>
          <w:p>
            <w:pPr>
              <w:spacing w:after="0"/>
              <w:rPr>
                <w:sz w:val="24"/>
                <w:szCs w:val="24"/>
                <w:color w:val="auto"/>
              </w:rPr>
            </w:pPr>
          </w:p>
        </w:tc>
        <w:tc>
          <w:tcPr>
            <w:tcW w:w="1340" w:type="dxa"/>
            <w:vAlign w:val="bottom"/>
            <w:shd w:val="clear" w:color="auto" w:fill="424E6A"/>
          </w:tcPr>
          <w:p>
            <w:pPr>
              <w:spacing w:after="0"/>
              <w:rPr>
                <w:sz w:val="24"/>
                <w:szCs w:val="24"/>
                <w:color w:val="auto"/>
              </w:rPr>
            </w:pPr>
          </w:p>
        </w:tc>
        <w:tc>
          <w:tcPr>
            <w:tcW w:w="1700" w:type="dxa"/>
            <w:vAlign w:val="bottom"/>
            <w:shd w:val="clear" w:color="auto" w:fill="424E6A"/>
          </w:tcPr>
          <w:p>
            <w:pPr>
              <w:spacing w:after="0"/>
              <w:rPr>
                <w:sz w:val="24"/>
                <w:szCs w:val="24"/>
                <w:color w:val="auto"/>
              </w:rPr>
            </w:pPr>
          </w:p>
        </w:tc>
        <w:tc>
          <w:tcPr>
            <w:tcW w:w="3200" w:type="dxa"/>
            <w:vAlign w:val="bottom"/>
            <w:shd w:val="clear" w:color="auto" w:fill="424E6A"/>
          </w:tcPr>
          <w:p>
            <w:pPr>
              <w:jc w:val="center"/>
              <w:ind w:left="233"/>
              <w:spacing w:after="0"/>
              <w:rPr>
                <w:sz w:val="20"/>
                <w:szCs w:val="20"/>
                <w:color w:val="auto"/>
              </w:rPr>
            </w:pPr>
            <w:r>
              <w:rPr>
                <w:rFonts w:ascii="Arial" w:cs="Arial" w:eastAsia="Arial" w:hAnsi="Arial"/>
                <w:sz w:val="14"/>
                <w:szCs w:val="14"/>
                <w:b w:val="1"/>
                <w:bCs w:val="1"/>
                <w:color w:val="FFFFFF"/>
              </w:rPr>
              <w:t>Vote Required for Approval of</w:t>
            </w:r>
          </w:p>
        </w:tc>
      </w:tr>
      <w:tr>
        <w:trPr>
          <w:trHeight w:val="198"/>
        </w:trPr>
        <w:tc>
          <w:tcPr>
            <w:tcW w:w="1600" w:type="dxa"/>
            <w:vAlign w:val="bottom"/>
            <w:tcBorders>
              <w:bottom w:val="single" w:sz="8" w:color="auto"/>
            </w:tcBorders>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Proposal</w:t>
            </w:r>
          </w:p>
        </w:tc>
        <w:tc>
          <w:tcPr>
            <w:tcW w:w="1340" w:type="dxa"/>
            <w:vAlign w:val="bottom"/>
            <w:tcBorders>
              <w:bottom w:val="single" w:sz="8" w:color="auto"/>
            </w:tcBorders>
            <w:shd w:val="clear" w:color="auto" w:fill="424E6A"/>
          </w:tcPr>
          <w:p>
            <w:pPr>
              <w:ind w:left="880"/>
              <w:spacing w:after="0"/>
              <w:rPr>
                <w:sz w:val="20"/>
                <w:szCs w:val="20"/>
                <w:color w:val="auto"/>
              </w:rPr>
            </w:pPr>
            <w:r>
              <w:rPr>
                <w:rFonts w:ascii="Arial" w:cs="Arial" w:eastAsia="Arial" w:hAnsi="Arial"/>
                <w:sz w:val="14"/>
                <w:szCs w:val="14"/>
                <w:b w:val="1"/>
                <w:bCs w:val="1"/>
                <w:color w:val="FFFFFF"/>
              </w:rPr>
              <w:t>​ ​</w:t>
            </w:r>
          </w:p>
        </w:tc>
        <w:tc>
          <w:tcPr>
            <w:tcW w:w="1700" w:type="dxa"/>
            <w:vAlign w:val="bottom"/>
            <w:tcBorders>
              <w:bottom w:val="single" w:sz="8" w:color="auto"/>
            </w:tcBorders>
            <w:shd w:val="clear" w:color="auto" w:fill="424E6A"/>
          </w:tcPr>
          <w:p>
            <w:pPr>
              <w:ind w:left="320"/>
              <w:spacing w:after="0"/>
              <w:rPr>
                <w:sz w:val="20"/>
                <w:szCs w:val="20"/>
                <w:color w:val="auto"/>
              </w:rPr>
            </w:pPr>
            <w:r>
              <w:rPr>
                <w:rFonts w:ascii="Arial" w:cs="Arial" w:eastAsia="Arial" w:hAnsi="Arial"/>
                <w:sz w:val="14"/>
                <w:szCs w:val="14"/>
                <w:b w:val="1"/>
                <w:bCs w:val="1"/>
                <w:color w:val="FFFFFF"/>
              </w:rPr>
              <w:t>Voting Options</w:t>
            </w:r>
          </w:p>
        </w:tc>
        <w:tc>
          <w:tcPr>
            <w:tcW w:w="3200" w:type="dxa"/>
            <w:vAlign w:val="bottom"/>
            <w:tcBorders>
              <w:bottom w:val="single" w:sz="8" w:color="auto"/>
            </w:tcBorders>
            <w:shd w:val="clear" w:color="auto" w:fill="424E6A"/>
          </w:tcPr>
          <w:p>
            <w:pPr>
              <w:jc w:val="center"/>
              <w:ind w:left="253"/>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Proposal at the PAGP Annual Meeting </w:t>
            </w:r>
            <w:r>
              <w:rPr>
                <w:rFonts w:ascii="Arial" w:cs="Arial" w:eastAsia="Arial" w:hAnsi="Arial"/>
                <w:sz w:val="22"/>
                <w:szCs w:val="22"/>
                <w:b w:val="1"/>
                <w:bCs w:val="1"/>
                <w:color w:val="FFFFFF"/>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980305" cy="1208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0305" cy="12084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3" w:lineRule="exact"/>
        <w:rPr>
          <w:sz w:val="20"/>
          <w:szCs w:val="20"/>
          <w:color w:val="auto"/>
        </w:rPr>
      </w:pPr>
    </w:p>
    <w:p>
      <w:pPr>
        <w:ind w:left="1720" w:hanging="100"/>
        <w:spacing w:after="0" w:line="274" w:lineRule="auto"/>
        <w:tabs>
          <w:tab w:leader="none" w:pos="1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 The election of four Class II directors to serve on the Board until the 2028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 You may vote “FOR”, or you may​ ​ Directors will be elected by a plurality​</w:t>
      </w:r>
    </w:p>
    <w:p>
      <w:pPr>
        <w:spacing w:after="0" w:line="34" w:lineRule="exact"/>
        <w:rPr>
          <w:sz w:val="20"/>
          <w:szCs w:val="20"/>
          <w:color w:val="auto"/>
        </w:rPr>
      </w:pPr>
    </w:p>
    <w:p>
      <w:pPr>
        <w:ind w:left="160"/>
        <w:spacing w:after="0"/>
        <w:tabs>
          <w:tab w:leader="none" w:pos="2640" w:val="left"/>
        </w:tabs>
        <w:rPr>
          <w:sz w:val="20"/>
          <w:szCs w:val="20"/>
          <w:color w:val="auto"/>
        </w:rPr>
      </w:pPr>
      <w:r>
        <w:rPr>
          <w:rFonts w:ascii="Arial" w:cs="Arial" w:eastAsia="Arial" w:hAnsi="Arial"/>
          <w:sz w:val="16"/>
          <w:szCs w:val="16"/>
          <w:color w:val="auto"/>
        </w:rPr>
        <w:t>“WITHHOLD” authority to vote</w:t>
      </w:r>
      <w:r>
        <w:rPr>
          <w:sz w:val="20"/>
          <w:szCs w:val="20"/>
          <w:color w:val="auto"/>
        </w:rPr>
        <w:tab/>
      </w:r>
      <w:r>
        <w:rPr>
          <w:rFonts w:ascii="Arial" w:cs="Arial" w:eastAsia="Arial" w:hAnsi="Arial"/>
          <w:sz w:val="15"/>
          <w:szCs w:val="15"/>
          <w:color w:val="auto"/>
        </w:rPr>
        <w:t>of the votes cast by the holders of</w:t>
      </w:r>
    </w:p>
    <w:p>
      <w:pPr>
        <w:spacing w:after="0" w:line="5" w:lineRule="exact"/>
        <w:rPr>
          <w:sz w:val="20"/>
          <w:szCs w:val="20"/>
          <w:color w:val="auto"/>
        </w:rPr>
      </w:pPr>
    </w:p>
    <w:p>
      <w:pPr>
        <w:ind w:left="160"/>
        <w:spacing w:after="0"/>
        <w:tabs>
          <w:tab w:leader="none" w:pos="2640" w:val="left"/>
        </w:tabs>
        <w:rPr>
          <w:sz w:val="20"/>
          <w:szCs w:val="20"/>
          <w:color w:val="auto"/>
        </w:rPr>
      </w:pPr>
      <w:r>
        <w:rPr>
          <w:rFonts w:ascii="Arial" w:cs="Arial" w:eastAsia="Arial" w:hAnsi="Arial"/>
          <w:sz w:val="16"/>
          <w:szCs w:val="16"/>
          <w:color w:val="auto"/>
        </w:rPr>
        <w:t>for, all, some or none of the</w:t>
      </w:r>
      <w:r>
        <w:rPr>
          <w:sz w:val="20"/>
          <w:szCs w:val="20"/>
          <w:color w:val="auto"/>
        </w:rPr>
        <w:tab/>
      </w:r>
      <w:r>
        <w:rPr>
          <w:rFonts w:ascii="Arial" w:cs="Arial" w:eastAsia="Arial" w:hAnsi="Arial"/>
          <w:sz w:val="15"/>
          <w:szCs w:val="15"/>
          <w:color w:val="auto"/>
        </w:rPr>
        <w:t>the Class A, Class B and Class C</w:t>
      </w:r>
    </w:p>
    <w:p>
      <w:pPr>
        <w:spacing w:after="0" w:line="14" w:lineRule="exact"/>
        <w:rPr>
          <w:sz w:val="20"/>
          <w:szCs w:val="20"/>
          <w:color w:val="auto"/>
        </w:rPr>
      </w:pPr>
    </w:p>
    <w:p>
      <w:pPr>
        <w:sectPr>
          <w:pgSz w:w="11900" w:h="16838" w:orient="portrait"/>
          <w:cols w:equalWidth="0" w:num="2">
            <w:col w:w="3900" w:space="160"/>
            <w:col w:w="5819"/>
          </w:cols>
          <w:pgMar w:left="580" w:top="97" w:right="1440" w:bottom="1440" w:gutter="0" w:footer="0" w:header="0"/>
          <w:type w:val="continuous"/>
        </w:sectPr>
      </w:pPr>
    </w:p>
    <w:p>
      <w:pPr>
        <w:ind w:left="4220"/>
        <w:spacing w:after="0"/>
        <w:rPr>
          <w:sz w:val="20"/>
          <w:szCs w:val="20"/>
          <w:color w:val="auto"/>
        </w:rPr>
      </w:pPr>
      <w:r>
        <w:rPr>
          <w:rFonts w:ascii="Arial" w:cs="Arial" w:eastAsia="Arial" w:hAnsi="Arial"/>
          <w:sz w:val="15"/>
          <w:szCs w:val="15"/>
          <w:color w:val="auto"/>
        </w:rPr>
        <w:t>nominees for director.</w:t>
      </w:r>
    </w:p>
    <w:p>
      <w:pPr>
        <w:spacing w:after="0" w:line="20" w:lineRule="exact"/>
        <w:rPr>
          <w:sz w:val="20"/>
          <w:szCs w:val="20"/>
          <w:color w:val="auto"/>
        </w:rPr>
      </w:pPr>
      <w:r>
        <w:rPr>
          <w:sz w:val="20"/>
          <w:szCs w:val="20"/>
          <w:color w:val="auto"/>
        </w:rPr>
        <w:br w:type="column"/>
      </w:r>
    </w:p>
    <w:p>
      <w:pPr>
        <w:ind w:right="539"/>
        <w:spacing w:after="0" w:line="275" w:lineRule="auto"/>
        <w:rPr>
          <w:sz w:val="20"/>
          <w:szCs w:val="20"/>
          <w:color w:val="auto"/>
        </w:rPr>
      </w:pPr>
      <w:r>
        <w:rPr>
          <w:rFonts w:ascii="Arial" w:cs="Arial" w:eastAsia="Arial" w:hAnsi="Arial"/>
          <w:sz w:val="15"/>
          <w:szCs w:val="15"/>
          <w:color w:val="auto"/>
        </w:rPr>
        <w:t>shares (voting as a single class) entitled to vote and present in person or by proxy at the meeting. Withheld votes and broker non-votes are not considered votes cast and will have no effect on the election of directors.</w:t>
      </w:r>
    </w:p>
    <w:p>
      <w:pPr>
        <w:spacing w:after="0" w:line="1" w:lineRule="exact"/>
        <w:rPr>
          <w:sz w:val="20"/>
          <w:szCs w:val="20"/>
          <w:color w:val="auto"/>
        </w:rPr>
      </w:pPr>
    </w:p>
    <w:p>
      <w:pPr>
        <w:sectPr>
          <w:pgSz w:w="11900" w:h="16838" w:orient="portrait"/>
          <w:cols w:equalWidth="0" w:num="2">
            <w:col w:w="6000" w:space="720"/>
            <w:col w:w="3159"/>
          </w:cols>
          <w:pgMar w:left="580" w:top="97" w:right="1440" w:bottom="1440" w:gutter="0" w:footer="0" w:header="0"/>
          <w:type w:val="continuous"/>
        </w:sectPr>
      </w:pPr>
    </w:p>
    <w:p>
      <w:pPr>
        <w:spacing w:after="0" w:line="124" w:lineRule="exact"/>
        <w:rPr>
          <w:sz w:val="20"/>
          <w:szCs w:val="20"/>
          <w:color w:val="auto"/>
        </w:rPr>
      </w:pPr>
    </w:p>
    <w:p>
      <w:pPr>
        <w:ind w:left="1720" w:hanging="100"/>
        <w:spacing w:after="0" w:line="224" w:lineRule="auto"/>
        <w:tabs>
          <w:tab w:leader="none" w:pos="1720" w:val="left"/>
        </w:tabs>
        <w:numPr>
          <w:ilvl w:val="0"/>
          <w:numId w:val="21"/>
        </w:numPr>
        <w:rPr>
          <w:rFonts w:ascii="Arial" w:cs="Arial" w:eastAsia="Arial" w:hAnsi="Arial"/>
          <w:sz w:val="32"/>
          <w:szCs w:val="32"/>
          <w:color w:val="auto"/>
          <w:vertAlign w:val="superscript"/>
        </w:rPr>
      </w:pPr>
      <w:r>
        <w:rPr>
          <w:rFonts w:ascii="Arial" w:cs="Arial" w:eastAsia="Arial" w:hAnsi="Arial"/>
          <w:sz w:val="16"/>
          <w:szCs w:val="16"/>
          <w:color w:val="auto"/>
        </w:rPr>
        <w:t>2. The ratification of the appointment of PricewaterhouseCoopers LLP as PAGP’s and PAA’s independent registered public accounting firm for the fiscal year ending December 31, 2025.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57" w:hanging="157"/>
        <w:spacing w:after="0" w:line="223" w:lineRule="auto"/>
        <w:tabs>
          <w:tab w:leader="none" w:pos="76" w:val="left"/>
        </w:tabs>
        <w:numPr>
          <w:ilvl w:val="0"/>
          <w:numId w:val="22"/>
        </w:numPr>
        <w:rPr>
          <w:rFonts w:ascii="Arial" w:cs="Arial" w:eastAsia="Arial" w:hAnsi="Arial"/>
          <w:sz w:val="29"/>
          <w:szCs w:val="29"/>
          <w:color w:val="auto"/>
          <w:vertAlign w:val="superscript"/>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4"/>
        </w:trPr>
        <w:tc>
          <w:tcPr>
            <w:tcW w:w="2680" w:type="dxa"/>
            <w:vAlign w:val="bottom"/>
          </w:tcPr>
          <w:p>
            <w:pPr>
              <w:spacing w:after="0" w:line="31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In order for this proposal to be</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89"/>
        </w:trPr>
        <w:tc>
          <w:tcPr>
            <w:tcW w:w="2680" w:type="dxa"/>
            <w:vAlign w:val="bottom"/>
          </w:tcPr>
          <w:p>
            <w:pPr>
              <w:ind w:left="160"/>
              <w:spacing w:after="0"/>
              <w:rPr>
                <w:sz w:val="20"/>
                <w:szCs w:val="20"/>
                <w:color w:val="auto"/>
              </w:rPr>
            </w:pPr>
            <w:r>
              <w:rPr>
                <w:rFonts w:ascii="Arial" w:cs="Arial" w:eastAsia="Arial" w:hAnsi="Arial"/>
                <w:sz w:val="16"/>
                <w:szCs w:val="16"/>
                <w:color w:val="auto"/>
              </w:rPr>
              <w:t>approved, it must receive the</w:t>
            </w:r>
          </w:p>
        </w:tc>
        <w:tc>
          <w:tcPr>
            <w:tcW w:w="140" w:type="dxa"/>
            <w:vAlign w:val="bottom"/>
          </w:tcPr>
          <w:p>
            <w:pPr>
              <w:spacing w:after="0"/>
              <w:rPr>
                <w:sz w:val="16"/>
                <w:szCs w:val="16"/>
                <w:color w:val="auto"/>
              </w:rPr>
            </w:pPr>
          </w:p>
        </w:tc>
      </w:tr>
      <w:tr>
        <w:trPr>
          <w:trHeight w:val="215"/>
        </w:trPr>
        <w:tc>
          <w:tcPr>
            <w:tcW w:w="2680" w:type="dxa"/>
            <w:vAlign w:val="bottom"/>
          </w:tcPr>
          <w:p>
            <w:pPr>
              <w:ind w:left="160"/>
              <w:spacing w:after="0"/>
              <w:rPr>
                <w:sz w:val="20"/>
                <w:szCs w:val="20"/>
                <w:color w:val="auto"/>
              </w:rPr>
            </w:pPr>
            <w:r>
              <w:rPr>
                <w:rFonts w:ascii="Arial" w:cs="Arial" w:eastAsia="Arial" w:hAnsi="Arial"/>
                <w:sz w:val="16"/>
                <w:szCs w:val="16"/>
                <w:color w:val="auto"/>
              </w:rPr>
              <w:t>affirmative vote of a majority of the</w:t>
            </w:r>
          </w:p>
        </w:tc>
        <w:tc>
          <w:tcPr>
            <w:tcW w:w="140" w:type="dxa"/>
            <w:vAlign w:val="bottom"/>
          </w:tcPr>
          <w:p>
            <w:pPr>
              <w:spacing w:after="0"/>
              <w:rPr>
                <w:sz w:val="18"/>
                <w:szCs w:val="18"/>
                <w:color w:val="auto"/>
              </w:rPr>
            </w:pPr>
          </w:p>
        </w:tc>
      </w:tr>
    </w:tbl>
    <w:p>
      <w:pPr>
        <w:ind w:left="160" w:right="539"/>
        <w:spacing w:after="0" w:line="255" w:lineRule="auto"/>
        <w:rPr>
          <w:sz w:val="20"/>
          <w:szCs w:val="20"/>
          <w:color w:val="auto"/>
        </w:rPr>
      </w:pPr>
      <w:r>
        <w:rPr>
          <w:rFonts w:ascii="Arial" w:cs="Arial" w:eastAsia="Arial" w:hAnsi="Arial"/>
          <w:sz w:val="16"/>
          <w:szCs w:val="16"/>
          <w:color w:val="auto"/>
        </w:rPr>
        <w:t>Class A, Class B and Class C shares (voting as a single class) entitled to vote and present in person or by proxy at the meeting. Abstentions will be counted as votes present and entitled to vote and will have the same effect as votes “AGAINST” this proposal. We do not expect there to be any broker non-votes with respect to this proposal.</w:t>
      </w:r>
    </w:p>
    <w:p>
      <w:pPr>
        <w:spacing w:after="0" w:line="1" w:lineRule="exact"/>
        <w:rPr>
          <w:sz w:val="20"/>
          <w:szCs w:val="20"/>
          <w:color w:val="auto"/>
        </w:rPr>
      </w:pPr>
    </w:p>
    <w:p>
      <w:pPr>
        <w:sectPr>
          <w:pgSz w:w="11900" w:h="16838" w:orient="portrait"/>
          <w:cols w:equalWidth="0" w:num="3">
            <w:col w:w="4060" w:space="3"/>
            <w:col w:w="2417" w:space="80"/>
            <w:col w:w="3319"/>
          </w:cols>
          <w:pgMar w:left="580" w:top="97" w:right="1440" w:bottom="1440" w:gutter="0" w:footer="0" w:header="0"/>
          <w:type w:val="continuous"/>
        </w:sectPr>
      </w:pPr>
    </w:p>
    <w:p>
      <w:pPr>
        <w:ind w:left="1620"/>
        <w:spacing w:after="0"/>
        <w:tabs>
          <w:tab w:leader="none" w:pos="4040" w:val="left"/>
        </w:tabs>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3. The approval, on a non-</w:t>
      </w:r>
      <w:r>
        <w:rPr>
          <w:sz w:val="20"/>
          <w:szCs w:val="20"/>
          <w:color w:val="auto"/>
        </w:rPr>
        <w:tab/>
      </w:r>
      <w:r>
        <w:rPr>
          <w:rFonts w:ascii="Arial" w:cs="Arial" w:eastAsia="Arial" w:hAnsi="Arial"/>
          <w:sz w:val="16"/>
          <w:szCs w:val="16"/>
          <w:color w:val="auto"/>
          <w:vertAlign w:val="superscript"/>
        </w:rPr>
        <w:t xml:space="preserve">​ ​ </w:t>
      </w:r>
      <w:r>
        <w:rPr>
          <w:rFonts w:ascii="Arial" w:cs="Arial" w:eastAsia="Arial" w:hAnsi="Arial"/>
          <w:sz w:val="16"/>
          <w:szCs w:val="16"/>
          <w:color w:val="auto"/>
        </w:rPr>
        <w:t>You may vote “FOR”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-146050</wp:posOffset>
            </wp:positionV>
            <wp:extent cx="4980305" cy="1851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0305" cy="1851660"/>
                    </a:xfrm>
                    <a:prstGeom prst="rect">
                      <a:avLst/>
                    </a:prstGeom>
                    <a:noFill/>
                  </pic:spPr>
                </pic:pic>
              </a:graphicData>
            </a:graphic>
          </wp:anchor>
        </w:drawing>
      </w:r>
    </w:p>
    <w:p>
      <w:pPr>
        <w:ind w:left="1720"/>
        <w:spacing w:after="0"/>
        <w:tabs>
          <w:tab w:leader="none" w:pos="4200" w:val="left"/>
        </w:tabs>
        <w:rPr>
          <w:sz w:val="20"/>
          <w:szCs w:val="20"/>
          <w:color w:val="auto"/>
        </w:rPr>
      </w:pPr>
      <w:r>
        <w:rPr>
          <w:rFonts w:ascii="Arial" w:cs="Arial" w:eastAsia="Arial" w:hAnsi="Arial"/>
          <w:sz w:val="16"/>
          <w:szCs w:val="16"/>
          <w:color w:val="auto"/>
        </w:rPr>
        <w:t>binding advisory basis, of our</w:t>
      </w:r>
      <w:r>
        <w:rPr>
          <w:sz w:val="20"/>
          <w:szCs w:val="20"/>
          <w:color w:val="auto"/>
        </w:rPr>
        <w:tab/>
      </w:r>
      <w:r>
        <w:rPr>
          <w:rFonts w:ascii="Arial" w:cs="Arial" w:eastAsia="Arial" w:hAnsi="Arial"/>
          <w:sz w:val="15"/>
          <w:szCs w:val="15"/>
          <w:color w:val="auto"/>
        </w:rPr>
        <w:t>“AGAINST” the proposal, or you</w:t>
      </w:r>
    </w:p>
    <w:p>
      <w:pPr>
        <w:spacing w:after="0" w:line="5" w:lineRule="exact"/>
        <w:rPr>
          <w:sz w:val="20"/>
          <w:szCs w:val="20"/>
          <w:color w:val="auto"/>
        </w:rPr>
      </w:pPr>
    </w:p>
    <w:p>
      <w:pPr>
        <w:ind w:left="1720"/>
        <w:spacing w:after="0"/>
        <w:tabs>
          <w:tab w:leader="none" w:pos="4200" w:val="left"/>
        </w:tabs>
        <w:rPr>
          <w:sz w:val="20"/>
          <w:szCs w:val="20"/>
          <w:color w:val="auto"/>
        </w:rPr>
      </w:pPr>
      <w:r>
        <w:rPr>
          <w:rFonts w:ascii="Arial" w:cs="Arial" w:eastAsia="Arial" w:hAnsi="Arial"/>
          <w:sz w:val="16"/>
          <w:szCs w:val="16"/>
          <w:color w:val="auto"/>
        </w:rPr>
        <w:t>2024 named executive officer</w:t>
      </w:r>
      <w:r>
        <w:rPr>
          <w:sz w:val="20"/>
          <w:szCs w:val="20"/>
          <w:color w:val="auto"/>
        </w:rPr>
        <w:tab/>
      </w:r>
      <w:r>
        <w:rPr>
          <w:rFonts w:ascii="Arial" w:cs="Arial" w:eastAsia="Arial" w:hAnsi="Arial"/>
          <w:sz w:val="15"/>
          <w:szCs w:val="15"/>
          <w:color w:val="auto"/>
        </w:rPr>
        <w:t>may “ABSTAIN” from voting.</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499" w:hanging="161"/>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In order for this non-binding proposal</w:t>
      </w:r>
      <w:r>
        <w:rPr>
          <w:rFonts w:ascii="Arial" w:cs="Arial" w:eastAsia="Arial" w:hAnsi="Arial"/>
          <w:sz w:val="32"/>
          <w:szCs w:val="32"/>
          <w:color w:val="auto"/>
          <w:vertAlign w:val="superscript"/>
        </w:rPr>
        <w:t>​</w:t>
      </w:r>
      <w:r>
        <w:rPr>
          <w:rFonts w:ascii="Arial" w:cs="Arial" w:eastAsia="Arial" w:hAnsi="Arial"/>
          <w:sz w:val="16"/>
          <w:szCs w:val="16"/>
          <w:color w:val="auto"/>
        </w:rPr>
        <w:t xml:space="preserve"> to be approved, it must receive the affirmative vote of a majority of the Class A, Class B and Class C shares (voting as a single class) entitled to vote and present in person or by proxy at the meeting. Abstentions will be counted as votes present and entitled to vote and will have the same effect as votes “AGAINST” this proposal. Broker non-votes are not considered votes cast and will have no effect on the outcome of this proposal.</w:t>
      </w:r>
    </w:p>
    <w:p>
      <w:pPr>
        <w:spacing w:after="0" w:line="200" w:lineRule="exact"/>
        <w:rPr>
          <w:sz w:val="20"/>
          <w:szCs w:val="20"/>
          <w:color w:val="auto"/>
        </w:rPr>
      </w:pPr>
    </w:p>
    <w:p>
      <w:pPr>
        <w:sectPr>
          <w:pgSz w:w="11900" w:h="16838" w:orient="portrait"/>
          <w:cols w:equalWidth="0" w:num="2">
            <w:col w:w="6480" w:space="240"/>
            <w:col w:w="3159"/>
          </w:cols>
          <w:pgMar w:left="580" w:top="97" w:right="1440" w:bottom="1440" w:gutter="0" w:footer="0" w:header="0"/>
          <w:type w:val="continuous"/>
        </w:sect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58" w:lineRule="exact"/>
        <w:rPr>
          <w:sz w:val="20"/>
          <w:szCs w:val="20"/>
          <w:color w:val="auto"/>
        </w:rPr>
      </w:pPr>
    </w:p>
    <w:p>
      <w:pPr>
        <w:ind w:left="1620" w:right="419" w:hanging="360"/>
        <w:spacing w:after="0" w:line="25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close of business on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$10,500 plus reasonable expenses for additional services.</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44" w:lineRule="exact"/>
        <w:rPr>
          <w:sz w:val="20"/>
          <w:szCs w:val="20"/>
          <w:color w:val="auto"/>
        </w:rPr>
      </w:pPr>
    </w:p>
    <w:p>
      <w:pPr>
        <w:ind w:left="1620" w:right="779" w:hanging="360"/>
        <w:spacing w:after="0" w:line="268"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units will be voted in accordance with the Board’s recommendation for each proposal with respect to which a voting choice is not indicated.</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58" w:lineRule="exact"/>
        <w:rPr>
          <w:sz w:val="20"/>
          <w:szCs w:val="20"/>
          <w:color w:val="auto"/>
        </w:rPr>
      </w:pPr>
    </w:p>
    <w:p>
      <w:pPr>
        <w:ind w:left="1620" w:right="1139" w:hanging="360"/>
        <w:spacing w:after="0" w:line="28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 will tabulate and certify the vote, and a representative of EQ will act as the independent inspector of elections for the PAA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left="1260" w:right="579" w:firstLine="360"/>
        <w:spacing w:after="0" w:line="252" w:lineRule="auto"/>
        <w:rPr>
          <w:sz w:val="20"/>
          <w:szCs w:val="20"/>
          <w:color w:val="auto"/>
        </w:rPr>
      </w:pPr>
      <w:r>
        <w:rPr>
          <w:rFonts w:ascii="Arial" w:cs="Arial" w:eastAsia="Arial" w:hAnsi="Arial"/>
          <w:sz w:val="18"/>
          <w:szCs w:val="18"/>
          <w:color w:val="auto"/>
        </w:rPr>
        <w:t>Investors have voiced a preference for certain governance practices, and since our simplification transaction in 2016 (the “Simplification Transaction”), our board and governance structure has evolved and changed in ways that we believe are meaningfully beneficial to investors. Highlights of some of the key changes are as follows: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Unified Governance Structure and Enfranchisement of Unitholders</w:t>
      </w:r>
    </w:p>
    <w:p>
      <w:pPr>
        <w:spacing w:after="0" w:line="117" w:lineRule="exact"/>
        <w:rPr>
          <w:sz w:val="20"/>
          <w:szCs w:val="20"/>
          <w:color w:val="auto"/>
        </w:rPr>
      </w:pPr>
    </w:p>
    <w:p>
      <w:pPr>
        <w:ind w:left="1800" w:right="739" w:hanging="180"/>
        <w:spacing w:after="0" w:line="262"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Replaced our dual board structure for PAA and PAGP with a unified governance structure that resulted in the Board being solely responsible for the governance of PAA and PAGP.</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ind w:left="1800" w:right="919" w:hanging="180"/>
        <w:spacing w:after="0" w:line="272"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three-year rolling basis).</w:t>
      </w:r>
      <w:r>
        <w:rPr>
          <w:rFonts w:ascii="Arial" w:cs="Arial" w:eastAsia="Arial" w:hAnsi="Arial"/>
          <w:sz w:val="25"/>
          <w:szCs w:val="25"/>
          <w:color w:val="auto"/>
          <w:vertAlign w:val="superscript"/>
        </w:rPr>
        <w:t>1</w:t>
      </w: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 in 2018.</w:t>
      </w:r>
    </w:p>
    <w:p>
      <w:pPr>
        <w:spacing w:after="0" w:line="103"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w:t>
      </w:r>
    </w:p>
    <w:p>
      <w:pPr>
        <w:spacing w:after="0" w:line="44" w:lineRule="exact"/>
        <w:rPr>
          <w:rFonts w:ascii="Arial" w:cs="Arial" w:eastAsia="Arial" w:hAnsi="Arial"/>
          <w:sz w:val="18"/>
          <w:szCs w:val="18"/>
          <w:color w:val="auto"/>
        </w:rPr>
      </w:pPr>
    </w:p>
    <w:p>
      <w:pPr>
        <w:ind w:left="1800" w:right="659" w:hanging="180"/>
        <w:spacing w:after="0" w:line="291"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Refreshment</w:t>
      </w:r>
    </w:p>
    <w:p>
      <w:pPr>
        <w:spacing w:after="0" w:line="117" w:lineRule="exact"/>
        <w:rPr>
          <w:sz w:val="20"/>
          <w:szCs w:val="20"/>
          <w:color w:val="auto"/>
        </w:rPr>
      </w:pPr>
    </w:p>
    <w:p>
      <w:pPr>
        <w:ind w:left="1800" w:right="779" w:hanging="180"/>
        <w:spacing w:after="0" w:line="28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Since January 2017, six new directors have been added to the Board, and five directors have departed the Board.</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Director Independence</w:t>
      </w:r>
    </w:p>
    <w:p>
      <w:pPr>
        <w:spacing w:after="0" w:line="117" w:lineRule="exact"/>
        <w:rPr>
          <w:sz w:val="20"/>
          <w:szCs w:val="20"/>
          <w:color w:val="auto"/>
        </w:rPr>
      </w:pPr>
    </w:p>
    <w:p>
      <w:pPr>
        <w:ind w:left="1800" w:right="439" w:hanging="180"/>
        <w:spacing w:after="0" w:line="262"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(eight out of 11 (~73%) of our current Board members have been assessed by the Board and determined to be independent).</w:t>
      </w:r>
    </w:p>
    <w:p>
      <w:pPr>
        <w:spacing w:after="0" w:line="68"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 The Board believes that rotation of the Lead Director role after five years is a good governance practice and has determined that John Raymond will replace Bobby Shackouls as Lead Director effective June 1, 2025.</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right="719" w:hanging="180"/>
        <w:spacing w:after="0" w:line="268"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Mandated that the members of all standing Board committees be independent despite the fact that as a limited partnership, we are exempt from applicable stock exchange committee independence requirements.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Oversight and Process</w:t>
      </w:r>
    </w:p>
    <w:p>
      <w:pPr>
        <w:spacing w:after="0" w:line="117" w:lineRule="exact"/>
        <w:rPr>
          <w:sz w:val="20"/>
          <w:szCs w:val="20"/>
          <w:color w:val="auto"/>
        </w:rPr>
      </w:pPr>
    </w:p>
    <w:p>
      <w:pPr>
        <w:ind w:left="1800" w:right="479" w:hanging="180"/>
        <w:spacing w:after="0" w:line="262" w:lineRule="auto"/>
        <w:tabs>
          <w:tab w:leader="none" w:pos="1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individual director performance evaluations.</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Adopted Equity Ownership Guidelines and a Clawback Policy.</w:t>
      </w:r>
    </w:p>
    <w:p>
      <w:pPr>
        <w:spacing w:after="0" w:line="339" w:lineRule="exact"/>
        <w:rPr>
          <w:rFonts w:ascii="Arial" w:cs="Arial" w:eastAsia="Arial" w:hAnsi="Arial"/>
          <w:sz w:val="18"/>
          <w:szCs w:val="18"/>
          <w:color w:val="auto"/>
        </w:rPr>
      </w:pPr>
    </w:p>
    <w:p>
      <w:pPr>
        <w:ind w:left="1620" w:right="719" w:hanging="360"/>
        <w:spacing w:after="0" w:line="228"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These fundamental changes to our governance structure were overwhelmingly approved by our shareholders at a special meeting of PAGP’s shareholders held in November 2016 in connection with our Simplification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-558800</wp:posOffset>
            </wp:positionV>
            <wp:extent cx="123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679" w:hanging="180"/>
        <w:spacing w:after="0" w:line="268"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Established the Health, Safety, Environmental and Sustainability (“HSES”) Committee to assist the Board in its oversight of various HSES matters and facilitate the efforts of management to further strengthen our focus on sustainability and certain ESG matters.</w:t>
      </w:r>
    </w:p>
    <w:p>
      <w:pPr>
        <w:spacing w:after="0" w:line="103"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features described above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described above, is consistent with the desires and expectations of investors in PAA and PAGP.</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4"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Our operations and activities are managed by GP LLC, which employs our management and operational personnel (other than our Canadian personnel, who are employed by Plains Midstream Canada ULC). GP LLC is the general partner of Plains AAP, which is the sole member of our general partner. PAGP is the sole member of GP LLC, and PAGP GP is the general partner of PAGP. PAGP does not directly own any operating assets or have any operating activities apart from those conducted by PAA. The Board of PAGP GP has responsibility for managing the business and affairs of PAGP and PAA.</w:t>
      </w:r>
    </w:p>
    <w:p>
      <w:pPr>
        <w:spacing w:after="0" w:line="115"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 completed in November 2016, we expanded the voting rights of our Unitholders to include the election of directors and, in 2018, we began holding annual meetings for this purpose.</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Ownership and Voting Structure</w:t>
      </w:r>
    </w:p>
    <w:p>
      <w:pPr>
        <w:spacing w:after="0" w:line="144"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8"/>
          <w:szCs w:val="18"/>
          <w:color w:val="auto"/>
        </w:rPr>
        <w:t>The Simplification Transaction completed in November 2016 resulted in a structure that includes two public companies (PAA and PAGP) governed by a single Board. The Board is located at PAGP’s general partner, PAGP GP. The Simplification Transaction also provided that the equity holders of both PAA and PAGP would be afforded the right to vote in the election of directors.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PAGP has three classes of voting equity, as follows:</w:t>
      </w:r>
    </w:p>
    <w:p>
      <w:pPr>
        <w:spacing w:after="0" w:line="117"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PAGP Class A shares, which are listed on Nasdaq;</w:t>
      </w:r>
    </w:p>
    <w:p>
      <w:pPr>
        <w:spacing w:after="0" w:line="117"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PAGP Class B shares, which represent non-economic limited partner voting interests and are privately held by certain legacy investors and management; and</w:t>
      </w:r>
    </w:p>
    <w:p>
      <w:pPr>
        <w:spacing w:after="0" w:line="44" w:lineRule="exact"/>
        <w:rPr>
          <w:rFonts w:ascii="Arial" w:cs="Arial" w:eastAsia="Arial" w:hAnsi="Arial"/>
          <w:sz w:val="18"/>
          <w:szCs w:val="18"/>
          <w:color w:val="auto"/>
        </w:rPr>
      </w:pPr>
    </w:p>
    <w:p>
      <w:pPr>
        <w:ind w:left="1800" w:right="619" w:hanging="180"/>
        <w:spacing w:after="0" w:line="262"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PAGP Class C shares, which are also non-economic limited partner voting interests. The PAGP Class C shares are held by PAA solely for the purpose of creating a mechanism through which PAA equity holders (other than Plains AAP) can participate in the election of directors of PAGP GP.</w:t>
      </w:r>
    </w:p>
    <w:p>
      <w:pPr>
        <w:spacing w:after="0" w:line="109"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With respect to the election of directors, the PAGP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firstLine="360"/>
        <w:spacing w:after="0" w:line="287" w:lineRule="auto"/>
        <w:rPr>
          <w:sz w:val="20"/>
          <w:szCs w:val="20"/>
          <w:color w:val="auto"/>
        </w:rPr>
      </w:pPr>
      <w:r>
        <w:rPr>
          <w:rFonts w:ascii="Arial" w:cs="Arial" w:eastAsia="Arial" w:hAnsi="Arial"/>
          <w:sz w:val="18"/>
          <w:szCs w:val="18"/>
          <w:color w:val="auto"/>
        </w:rPr>
        <w:t>On a combined basis, as of the Record Date, the voting rights of PAGP and PAA equity holders in connection with the election of directors were allocated as follows:</w:t>
      </w:r>
    </w:p>
    <w:p>
      <w:pPr>
        <w:spacing w:after="0" w:line="145"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4960" w:type="dxa"/>
            <w:vAlign w:val="bottom"/>
            <w:tcBorders>
              <w:left w:val="single" w:sz="8" w:color="424E6A"/>
            </w:tcBorders>
            <w:shd w:val="clear" w:color="auto" w:fill="424E6A"/>
          </w:tcPr>
          <w:p>
            <w:pPr>
              <w:spacing w:after="0"/>
              <w:rPr>
                <w:sz w:val="21"/>
                <w:szCs w:val="21"/>
                <w:color w:val="auto"/>
              </w:rPr>
            </w:pPr>
          </w:p>
        </w:tc>
        <w:tc>
          <w:tcPr>
            <w:tcW w:w="1100" w:type="dxa"/>
            <w:vAlign w:val="bottom"/>
            <w:shd w:val="clear" w:color="auto" w:fill="424E6A"/>
          </w:tcPr>
          <w:p>
            <w:pPr>
              <w:spacing w:after="0"/>
              <w:rPr>
                <w:sz w:val="21"/>
                <w:szCs w:val="21"/>
                <w:color w:val="auto"/>
              </w:rPr>
            </w:pPr>
          </w:p>
        </w:tc>
        <w:tc>
          <w:tcPr>
            <w:tcW w:w="10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 of</w:t>
            </w:r>
          </w:p>
        </w:tc>
        <w:tc>
          <w:tcPr>
            <w:tcW w:w="60" w:type="dxa"/>
            <w:vAlign w:val="bottom"/>
            <w:shd w:val="clear" w:color="auto" w:fill="424E6A"/>
          </w:tcPr>
          <w:p>
            <w:pPr>
              <w:spacing w:after="0"/>
              <w:rPr>
                <w:sz w:val="21"/>
                <w:szCs w:val="21"/>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80" w:type="dxa"/>
            <w:vAlign w:val="bottom"/>
            <w:tcBorders>
              <w:right w:val="single" w:sz="8" w:color="424E6A"/>
            </w:tcBorders>
            <w:shd w:val="clear" w:color="auto" w:fill="424E6A"/>
          </w:tcPr>
          <w:p>
            <w:pPr>
              <w:spacing w:after="0"/>
              <w:rPr>
                <w:sz w:val="21"/>
                <w:szCs w:val="21"/>
                <w:color w:val="auto"/>
              </w:rPr>
            </w:pPr>
          </w:p>
        </w:tc>
      </w:tr>
      <w:tr>
        <w:trPr>
          <w:trHeight w:val="162"/>
        </w:trPr>
        <w:tc>
          <w:tcPr>
            <w:tcW w:w="4960" w:type="dxa"/>
            <w:vAlign w:val="bottom"/>
            <w:tcBorders>
              <w:left w:val="single" w:sz="8" w:color="424E6A"/>
            </w:tcBorders>
            <w:shd w:val="clear" w:color="auto" w:fill="424E6A"/>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10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 Voting</w:t>
            </w:r>
          </w:p>
        </w:tc>
        <w:tc>
          <w:tcPr>
            <w:tcW w:w="60" w:type="dxa"/>
            <w:vAlign w:val="bottom"/>
            <w:shd w:val="clear" w:color="auto" w:fill="424E6A"/>
          </w:tcPr>
          <w:p>
            <w:pPr>
              <w:spacing w:after="0"/>
              <w:rPr>
                <w:sz w:val="14"/>
                <w:szCs w:val="14"/>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80" w:type="dxa"/>
            <w:vAlign w:val="bottom"/>
            <w:tcBorders>
              <w:right w:val="single" w:sz="8" w:color="424E6A"/>
            </w:tcBorders>
            <w:shd w:val="clear" w:color="auto" w:fill="424E6A"/>
          </w:tcPr>
          <w:p>
            <w:pPr>
              <w:spacing w:after="0"/>
              <w:rPr>
                <w:sz w:val="14"/>
                <w:szCs w:val="14"/>
                <w:color w:val="auto"/>
              </w:rPr>
            </w:pPr>
          </w:p>
        </w:tc>
      </w:tr>
      <w:tr>
        <w:trPr>
          <w:trHeight w:val="212"/>
        </w:trPr>
        <w:tc>
          <w:tcPr>
            <w:tcW w:w="49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Voting Class</w:t>
            </w:r>
          </w:p>
        </w:tc>
        <w:tc>
          <w:tcPr>
            <w:tcW w:w="1300" w:type="dxa"/>
            <w:vAlign w:val="bottom"/>
            <w:gridSpan w:val="2"/>
            <w:shd w:val="clear" w:color="auto" w:fill="424E6A"/>
          </w:tcPr>
          <w:p>
            <w:pPr>
              <w:jc w:val="right"/>
              <w:ind w:right="45"/>
              <w:spacing w:after="0"/>
              <w:rPr>
                <w:sz w:val="20"/>
                <w:szCs w:val="20"/>
                <w:color w:val="auto"/>
              </w:rPr>
            </w:pPr>
            <w:r>
              <w:rPr>
                <w:rFonts w:ascii="Arial" w:cs="Arial" w:eastAsia="Arial" w:hAnsi="Arial"/>
                <w:sz w:val="14"/>
                <w:szCs w:val="14"/>
                <w:b w:val="1"/>
                <w:bCs w:val="1"/>
                <w:color w:val="FFFFFF"/>
              </w:rPr>
              <w:t>​​</w:t>
            </w:r>
          </w:p>
        </w:tc>
        <w:tc>
          <w:tcPr>
            <w:tcW w:w="840" w:type="dxa"/>
            <w:vAlign w:val="bottom"/>
            <w:gridSpan w:val="2"/>
            <w:shd w:val="clear" w:color="auto" w:fill="424E6A"/>
          </w:tcPr>
          <w:p>
            <w:pPr>
              <w:jc w:val="center"/>
              <w:ind w:right="39"/>
              <w:spacing w:after="0"/>
              <w:rPr>
                <w:sz w:val="20"/>
                <w:szCs w:val="20"/>
                <w:color w:val="auto"/>
              </w:rPr>
            </w:pPr>
            <w:r>
              <w:rPr>
                <w:rFonts w:ascii="Arial" w:cs="Arial" w:eastAsia="Arial" w:hAnsi="Arial"/>
                <w:sz w:val="14"/>
                <w:szCs w:val="14"/>
                <w:b w:val="1"/>
                <w:bCs w:val="1"/>
                <w:color w:val="FFFFFF"/>
              </w:rPr>
              <w:t>Rights</w:t>
            </w:r>
          </w:p>
        </w:tc>
        <w:tc>
          <w:tcPr>
            <w:tcW w:w="1040" w:type="dxa"/>
            <w:vAlign w:val="bottom"/>
            <w:gridSpan w:val="2"/>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Shares/Units</w:t>
            </w:r>
          </w:p>
        </w:tc>
        <w:tc>
          <w:tcPr>
            <w:tcW w:w="80" w:type="dxa"/>
            <w:vAlign w:val="bottom"/>
            <w:tcBorders>
              <w:right w:val="single" w:sz="8" w:color="424E6A"/>
            </w:tcBorders>
            <w:shd w:val="clear" w:color="auto" w:fill="424E6A"/>
          </w:tcPr>
          <w:p>
            <w:pPr>
              <w:spacing w:after="0"/>
              <w:rPr>
                <w:sz w:val="18"/>
                <w:szCs w:val="18"/>
                <w:color w:val="auto"/>
              </w:rPr>
            </w:pPr>
          </w:p>
        </w:tc>
      </w:tr>
      <w:tr>
        <w:trPr>
          <w:trHeight w:val="243"/>
        </w:trPr>
        <w:tc>
          <w:tcPr>
            <w:tcW w:w="49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PAGP Class A Shares (Nasdaq: PAGP)</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840" w:type="dxa"/>
            <w:vAlign w:val="bottom"/>
            <w:tcBorders>
              <w:bottom w:val="single" w:sz="8" w:color="424E6A"/>
            </w:tcBorders>
            <w:gridSpan w:val="2"/>
          </w:tcPr>
          <w:p>
            <w:pPr>
              <w:ind w:left="140"/>
              <w:spacing w:after="0" w:line="243" w:lineRule="exact"/>
              <w:rPr>
                <w:sz w:val="20"/>
                <w:szCs w:val="20"/>
                <w:color w:val="auto"/>
              </w:rPr>
            </w:pPr>
            <w:r>
              <w:rPr>
                <w:rFonts w:ascii="Arial" w:cs="Arial" w:eastAsia="Arial" w:hAnsi="Arial"/>
                <w:sz w:val="28"/>
                <w:szCs w:val="28"/>
                <w:color w:val="auto"/>
                <w:highlight w:val="lightGray"/>
                <w:vertAlign w:val="subscript"/>
              </w:rPr>
              <w:t>​</w:t>
            </w:r>
            <w:r>
              <w:rPr>
                <w:rFonts w:ascii="Arial" w:cs="Arial" w:eastAsia="Arial" w:hAnsi="Arial"/>
                <w:sz w:val="15"/>
                <w:szCs w:val="15"/>
                <w:color w:val="auto"/>
                <w:highlight w:val="lightGray"/>
              </w:rPr>
              <w:t xml:space="preserve"> 25.9%</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highlight w:val="lightGray"/>
              </w:rPr>
              <w:t>​</w:t>
            </w:r>
          </w:p>
        </w:tc>
        <w:tc>
          <w:tcPr>
            <w:tcW w:w="980" w:type="dxa"/>
            <w:vAlign w:val="bottom"/>
            <w:tcBorders>
              <w:bottom w:val="single" w:sz="8" w:color="424E6A"/>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197.7 million</w:t>
            </w:r>
          </w:p>
        </w:tc>
        <w:tc>
          <w:tcPr>
            <w:tcW w:w="80" w:type="dxa"/>
            <w:vAlign w:val="bottom"/>
            <w:tcBorders>
              <w:bottom w:val="single" w:sz="8" w:color="424E6A"/>
              <w:right w:val="single" w:sz="8" w:color="424E6A"/>
            </w:tcBorders>
          </w:tcPr>
          <w:p>
            <w:pPr>
              <w:spacing w:after="0"/>
              <w:rPr>
                <w:sz w:val="21"/>
                <w:szCs w:val="21"/>
                <w:color w:val="auto"/>
              </w:rPr>
            </w:pPr>
          </w:p>
        </w:tc>
      </w:tr>
      <w:tr>
        <w:trPr>
          <w:trHeight w:val="236"/>
        </w:trPr>
        <w:tc>
          <w:tcPr>
            <w:tcW w:w="49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PAGP Class B Shares</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jc w:val="right"/>
              <w:ind w:right="39"/>
              <w:spacing w:after="0"/>
              <w:rPr>
                <w:sz w:val="20"/>
                <w:szCs w:val="20"/>
                <w:color w:val="auto"/>
              </w:rPr>
            </w:pPr>
            <w:r>
              <w:rPr>
                <w:rFonts w:ascii="Arial" w:cs="Arial" w:eastAsia="Arial" w:hAnsi="Arial"/>
                <w:sz w:val="16"/>
                <w:szCs w:val="16"/>
                <w:color w:val="auto"/>
              </w:rPr>
              <w:t>4.6%</w:t>
            </w:r>
          </w:p>
        </w:tc>
        <w:tc>
          <w:tcPr>
            <w:tcW w:w="1040" w:type="dxa"/>
            <w:vAlign w:val="bottom"/>
            <w:tcBorders>
              <w:bottom w:val="single" w:sz="8" w:color="424E6A"/>
            </w:tcBorders>
            <w:gridSpan w:val="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35.1 million</w:t>
            </w:r>
          </w:p>
        </w:tc>
        <w:tc>
          <w:tcPr>
            <w:tcW w:w="80" w:type="dxa"/>
            <w:vAlign w:val="bottom"/>
            <w:tcBorders>
              <w:bottom w:val="single" w:sz="8" w:color="424E6A"/>
              <w:right w:val="single" w:sz="8" w:color="424E6A"/>
            </w:tcBorders>
          </w:tcPr>
          <w:p>
            <w:pPr>
              <w:spacing w:after="0"/>
              <w:rPr>
                <w:sz w:val="20"/>
                <w:szCs w:val="20"/>
                <w:color w:val="auto"/>
              </w:rPr>
            </w:pPr>
          </w:p>
        </w:tc>
      </w:tr>
      <w:tr>
        <w:trPr>
          <w:trHeight w:val="237"/>
        </w:trPr>
        <w:tc>
          <w:tcPr>
            <w:tcW w:w="496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PAGP Class C Shares</w:t>
            </w:r>
          </w:p>
        </w:tc>
        <w:tc>
          <w:tcPr>
            <w:tcW w:w="1100" w:type="dxa"/>
            <w:vAlign w:val="bottom"/>
            <w:tcBorders>
              <w:bottom w:val="single" w:sz="8" w:color="424E6A"/>
            </w:tcBorders>
            <w:shd w:val="clear" w:color="auto" w:fill="D9DCE1"/>
          </w:tcPr>
          <w:p>
            <w:pPr>
              <w:spacing w:after="0"/>
              <w:rPr>
                <w:sz w:val="20"/>
                <w:szCs w:val="20"/>
                <w:color w:val="auto"/>
              </w:rPr>
            </w:pPr>
          </w:p>
        </w:tc>
        <w:tc>
          <w:tcPr>
            <w:tcW w:w="200" w:type="dxa"/>
            <w:vAlign w:val="bottom"/>
            <w:tcBorders>
              <w:bottom w:val="single" w:sz="8" w:color="424E6A"/>
            </w:tcBorders>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040" w:type="dxa"/>
            <w:vAlign w:val="bottom"/>
            <w:tcBorders>
              <w:bottom w:val="single" w:sz="8" w:color="424E6A"/>
            </w:tcBorders>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r>
        <w:trPr>
          <w:trHeight w:val="223"/>
        </w:trPr>
        <w:tc>
          <w:tcPr>
            <w:tcW w:w="6260" w:type="dxa"/>
            <w:vAlign w:val="bottom"/>
            <w:tcBorders>
              <w:left w:val="single" w:sz="8" w:color="424E6A"/>
              <w:bottom w:val="single" w:sz="8" w:color="424E6A"/>
            </w:tcBorders>
            <w:gridSpan w:val="3"/>
          </w:tcPr>
          <w:p>
            <w:pPr>
              <w:ind w:left="220"/>
              <w:spacing w:after="0"/>
              <w:rPr>
                <w:sz w:val="20"/>
                <w:szCs w:val="20"/>
                <w:color w:val="auto"/>
              </w:rPr>
            </w:pPr>
            <w:r>
              <w:rPr>
                <w:rFonts w:ascii="Arial" w:cs="Arial" w:eastAsia="Arial" w:hAnsi="Arial"/>
                <w:sz w:val="16"/>
                <w:szCs w:val="16"/>
                <w:color w:val="auto"/>
              </w:rPr>
              <w:t>•  On Behalf of PAA Common Unitholders (excluding Plains AAP) (Nasdaq: PAA) ​​</w:t>
            </w:r>
          </w:p>
        </w:tc>
        <w:tc>
          <w:tcPr>
            <w:tcW w:w="840" w:type="dxa"/>
            <w:vAlign w:val="bottom"/>
            <w:tcBorders>
              <w:bottom w:val="single" w:sz="8" w:color="424E6A"/>
            </w:tcBorders>
            <w:gridSpan w:val="2"/>
          </w:tcPr>
          <w:p>
            <w:pPr>
              <w:ind w:left="140"/>
              <w:spacing w:after="0"/>
              <w:rPr>
                <w:sz w:val="20"/>
                <w:szCs w:val="20"/>
                <w:color w:val="auto"/>
              </w:rPr>
            </w:pPr>
            <w:r>
              <w:rPr>
                <w:rFonts w:ascii="Arial" w:cs="Arial" w:eastAsia="Arial" w:hAnsi="Arial"/>
                <w:sz w:val="16"/>
                <w:szCs w:val="16"/>
                <w:color w:val="auto"/>
              </w:rPr>
              <w:t>​ 61.8%</w:t>
            </w:r>
          </w:p>
        </w:tc>
        <w:tc>
          <w:tcPr>
            <w:tcW w:w="1040" w:type="dxa"/>
            <w:vAlign w:val="bottom"/>
            <w:tcBorders>
              <w:bottom w:val="single" w:sz="8" w:color="424E6A"/>
            </w:tcBorders>
            <w:gridSpan w:val="2"/>
          </w:tcPr>
          <w:p>
            <w:pPr>
              <w:jc w:val="center"/>
              <w:spacing w:after="0"/>
              <w:rPr>
                <w:sz w:val="20"/>
                <w:szCs w:val="20"/>
                <w:color w:val="auto"/>
              </w:rPr>
            </w:pPr>
            <w:r>
              <w:rPr>
                <w:rFonts w:ascii="Arial" w:cs="Arial" w:eastAsia="Arial" w:hAnsi="Arial"/>
                <w:sz w:val="16"/>
                <w:szCs w:val="16"/>
                <w:color w:val="auto"/>
              </w:rPr>
              <w:t>​​​471.0 million</w:t>
            </w:r>
          </w:p>
        </w:tc>
        <w:tc>
          <w:tcPr>
            <w:tcW w:w="80" w:type="dxa"/>
            <w:vAlign w:val="bottom"/>
            <w:tcBorders>
              <w:bottom w:val="single" w:sz="8" w:color="424E6A"/>
              <w:right w:val="single" w:sz="8" w:color="424E6A"/>
            </w:tcBorders>
          </w:tcPr>
          <w:p>
            <w:pPr>
              <w:spacing w:after="0"/>
              <w:rPr>
                <w:sz w:val="19"/>
                <w:szCs w:val="19"/>
                <w:color w:val="auto"/>
              </w:rPr>
            </w:pPr>
          </w:p>
        </w:tc>
      </w:tr>
      <w:tr>
        <w:trPr>
          <w:trHeight w:val="237"/>
        </w:trPr>
        <w:tc>
          <w:tcPr>
            <w:tcW w:w="496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  On Behalf of PAA Series A Preferred Unitholders</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highlight w:val="lightGray"/>
              </w:rPr>
              <w:t>​</w:t>
            </w:r>
          </w:p>
        </w:tc>
        <w:tc>
          <w:tcPr>
            <w:tcW w:w="580" w:type="dxa"/>
            <w:vAlign w:val="bottom"/>
            <w:tcBorders>
              <w:bottom w:val="single" w:sz="8" w:color="424E6A"/>
            </w:tcBorders>
          </w:tcPr>
          <w:p>
            <w:pPr>
              <w:jc w:val="right"/>
              <w:ind w:right="39"/>
              <w:spacing w:after="0"/>
              <w:rPr>
                <w:sz w:val="20"/>
                <w:szCs w:val="20"/>
                <w:color w:val="auto"/>
              </w:rPr>
            </w:pPr>
            <w:r>
              <w:rPr>
                <w:rFonts w:ascii="Arial" w:cs="Arial" w:eastAsia="Arial" w:hAnsi="Arial"/>
                <w:sz w:val="16"/>
                <w:szCs w:val="16"/>
                <w:color w:val="auto"/>
                <w:highlight w:val="lightGray"/>
              </w:rPr>
              <w:t>7.7%</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highlight w:val="lightGray"/>
              </w:rPr>
              <w:t>​</w:t>
            </w:r>
          </w:p>
        </w:tc>
        <w:tc>
          <w:tcPr>
            <w:tcW w:w="980" w:type="dxa"/>
            <w:vAlign w:val="bottom"/>
            <w:tcBorders>
              <w:bottom w:val="single" w:sz="8" w:color="424E6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highlight w:val="lightGray"/>
              </w:rPr>
              <w:t xml:space="preserve"> 58.4 million</w:t>
            </w:r>
          </w:p>
        </w:tc>
        <w:tc>
          <w:tcPr>
            <w:tcW w:w="80" w:type="dxa"/>
            <w:vAlign w:val="bottom"/>
            <w:tcBorders>
              <w:bottom w:val="single" w:sz="8" w:color="424E6A"/>
              <w:right w:val="single" w:sz="8" w:color="424E6A"/>
            </w:tcBorders>
          </w:tcPr>
          <w:p>
            <w:pPr>
              <w:spacing w:after="0"/>
              <w:rPr>
                <w:sz w:val="20"/>
                <w:szCs w:val="20"/>
                <w:color w:val="auto"/>
              </w:rPr>
            </w:pPr>
          </w:p>
        </w:tc>
      </w:tr>
      <w:tr>
        <w:trPr>
          <w:trHeight w:val="236"/>
        </w:trPr>
        <w:tc>
          <w:tcPr>
            <w:tcW w:w="496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100.0%</w:t>
            </w:r>
          </w:p>
        </w:tc>
        <w:tc>
          <w:tcPr>
            <w:tcW w:w="1040" w:type="dxa"/>
            <w:vAlign w:val="bottom"/>
            <w:tcBorders>
              <w:bottom w:val="single" w:sz="8" w:color="424E6A"/>
            </w:tcBorders>
            <w:gridSpan w:val="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762.2 million</w:t>
            </w:r>
          </w:p>
        </w:tc>
        <w:tc>
          <w:tcPr>
            <w:tcW w:w="80" w:type="dxa"/>
            <w:vAlign w:val="bottom"/>
            <w:tcBorders>
              <w:bottom w:val="single" w:sz="8" w:color="424E6A"/>
              <w:right w:val="single" w:sz="8" w:color="424E6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-976630</wp:posOffset>
            </wp:positionV>
            <wp:extent cx="5194935" cy="977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94935" cy="977265"/>
                    </a:xfrm>
                    <a:prstGeom prst="rect">
                      <a:avLst/>
                    </a:prstGeom>
                    <a:noFill/>
                  </pic:spPr>
                </pic:pic>
              </a:graphicData>
            </a:graphic>
          </wp:anchor>
        </w:drawing>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chart further illustrates our ownership structure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128905</wp:posOffset>
            </wp:positionV>
            <wp:extent cx="5031740" cy="4534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3174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Considering the overall consolidated ownership and voting structure of PAGP and PAA, the following table lists who we believe are the top 10 holders of our voting securities based on combined holdings of PAGP Class A Shares, PAGP Class B Shares, PAA Common Units (excluding Plains AAP) and PAA Series A Preferred Units. Unless otherwise noted, the reported holdings are based on Schedule 13F filings as of December 31, 2024 and other publicly available information; the table below does not take into account the holdings of investors who are not required to file a Schedule 13F or who do not otherwise publicly disclose their holdings. It should be noted that Schedule 13F requires certain institutional investment managers to report holdings over which they exercise investment discretion (i.e., the power to buy or sell securities); such institutional investment managers may or may not also have voting discretion with respect to such holdings. (Holdings in 000s)</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3020" w:type="dxa"/>
            <w:vAlign w:val="bottom"/>
            <w:tcBorders>
              <w:left w:val="single" w:sz="8" w:color="424E6A"/>
            </w:tcBorders>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520" w:type="dxa"/>
            <w:vAlign w:val="bottom"/>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520" w:type="dxa"/>
            <w:vAlign w:val="bottom"/>
            <w:shd w:val="clear" w:color="auto" w:fill="424E6A"/>
          </w:tcPr>
          <w:p>
            <w:pPr>
              <w:jc w:val="center"/>
              <w:ind w:right="81"/>
              <w:spacing w:after="0"/>
              <w:rPr>
                <w:sz w:val="20"/>
                <w:szCs w:val="20"/>
                <w:color w:val="auto"/>
              </w:rPr>
            </w:pPr>
            <w:r>
              <w:rPr>
                <w:rFonts w:ascii="Arial" w:cs="Arial" w:eastAsia="Arial" w:hAnsi="Arial"/>
                <w:sz w:val="14"/>
                <w:szCs w:val="14"/>
                <w:b w:val="1"/>
                <w:bCs w:val="1"/>
                <w:color w:val="FFFFFF"/>
                <w:w w:val="94"/>
              </w:rPr>
              <w:t>PAA</w:t>
            </w:r>
          </w:p>
        </w:tc>
        <w:tc>
          <w:tcPr>
            <w:tcW w:w="60" w:type="dxa"/>
            <w:vAlign w:val="bottom"/>
            <w:shd w:val="clear" w:color="auto" w:fill="424E6A"/>
          </w:tcPr>
          <w:p>
            <w:pPr>
              <w:spacing w:after="0"/>
              <w:rPr>
                <w:sz w:val="21"/>
                <w:szCs w:val="21"/>
                <w:color w:val="auto"/>
              </w:rPr>
            </w:pPr>
          </w:p>
        </w:tc>
        <w:tc>
          <w:tcPr>
            <w:tcW w:w="660" w:type="dxa"/>
            <w:vAlign w:val="bottom"/>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 of</w:t>
            </w:r>
          </w:p>
        </w:tc>
        <w:tc>
          <w:tcPr>
            <w:tcW w:w="120" w:type="dxa"/>
            <w:vAlign w:val="bottom"/>
            <w:tcBorders>
              <w:right w:val="single" w:sz="8" w:color="424E6A"/>
            </w:tcBorders>
            <w:shd w:val="clear" w:color="auto" w:fill="424E6A"/>
          </w:tcPr>
          <w:p>
            <w:pPr>
              <w:spacing w:after="0"/>
              <w:rPr>
                <w:sz w:val="21"/>
                <w:szCs w:val="21"/>
                <w:color w:val="auto"/>
              </w:rPr>
            </w:pPr>
          </w:p>
        </w:tc>
      </w:tr>
      <w:tr>
        <w:trPr>
          <w:trHeight w:val="162"/>
        </w:trPr>
        <w:tc>
          <w:tcPr>
            <w:tcW w:w="3020" w:type="dxa"/>
            <w:vAlign w:val="bottom"/>
            <w:tcBorders>
              <w:left w:val="single" w:sz="8" w:color="424E6A"/>
            </w:tcBorders>
            <w:shd w:val="clear" w:color="auto" w:fill="424E6A"/>
          </w:tcPr>
          <w:p>
            <w:pPr>
              <w:spacing w:after="0"/>
              <w:rPr>
                <w:sz w:val="14"/>
                <w:szCs w:val="14"/>
                <w:color w:val="auto"/>
              </w:rPr>
            </w:pPr>
          </w:p>
        </w:tc>
        <w:tc>
          <w:tcPr>
            <w:tcW w:w="640" w:type="dxa"/>
            <w:vAlign w:val="bottom"/>
            <w:shd w:val="clear" w:color="auto" w:fill="424E6A"/>
          </w:tcPr>
          <w:p>
            <w:pPr>
              <w:spacing w:after="0"/>
              <w:rPr>
                <w:sz w:val="14"/>
                <w:szCs w:val="14"/>
                <w:color w:val="auto"/>
              </w:rPr>
            </w:pPr>
          </w:p>
        </w:tc>
        <w:tc>
          <w:tcPr>
            <w:tcW w:w="480" w:type="dxa"/>
            <w:vAlign w:val="bottom"/>
            <w:shd w:val="clear" w:color="auto" w:fill="424E6A"/>
          </w:tcPr>
          <w:p>
            <w:pPr>
              <w:jc w:val="right"/>
              <w:ind w:right="1"/>
              <w:spacing w:after="0"/>
              <w:rPr>
                <w:sz w:val="20"/>
                <w:szCs w:val="20"/>
                <w:color w:val="auto"/>
              </w:rPr>
            </w:pPr>
            <w:r>
              <w:rPr>
                <w:rFonts w:ascii="Arial" w:cs="Arial" w:eastAsia="Arial" w:hAnsi="Arial"/>
                <w:sz w:val="14"/>
                <w:szCs w:val="14"/>
                <w:b w:val="1"/>
                <w:bCs w:val="1"/>
                <w:color w:val="FFFFFF"/>
                <w:w w:val="95"/>
              </w:rPr>
              <w:t>PAGP</w:t>
            </w:r>
          </w:p>
        </w:tc>
        <w:tc>
          <w:tcPr>
            <w:tcW w:w="180" w:type="dxa"/>
            <w:vAlign w:val="bottom"/>
            <w:shd w:val="clear" w:color="auto" w:fill="424E6A"/>
          </w:tcPr>
          <w:p>
            <w:pPr>
              <w:spacing w:after="0"/>
              <w:rPr>
                <w:sz w:val="14"/>
                <w:szCs w:val="14"/>
                <w:color w:val="auto"/>
              </w:rPr>
            </w:pPr>
          </w:p>
        </w:tc>
        <w:tc>
          <w:tcPr>
            <w:tcW w:w="48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w w:val="95"/>
              </w:rPr>
              <w:t>PAGP</w:t>
            </w:r>
          </w:p>
        </w:tc>
        <w:tc>
          <w:tcPr>
            <w:tcW w:w="240" w:type="dxa"/>
            <w:vAlign w:val="bottom"/>
            <w:shd w:val="clear" w:color="auto" w:fill="424E6A"/>
          </w:tcPr>
          <w:p>
            <w:pPr>
              <w:spacing w:after="0"/>
              <w:rPr>
                <w:sz w:val="14"/>
                <w:szCs w:val="14"/>
                <w:color w:val="auto"/>
              </w:rPr>
            </w:pPr>
          </w:p>
        </w:tc>
        <w:tc>
          <w:tcPr>
            <w:tcW w:w="520" w:type="dxa"/>
            <w:vAlign w:val="bottom"/>
            <w:shd w:val="clear" w:color="auto" w:fill="424E6A"/>
          </w:tcPr>
          <w:p>
            <w:pPr>
              <w:jc w:val="center"/>
              <w:ind w:right="65"/>
              <w:spacing w:after="0"/>
              <w:rPr>
                <w:sz w:val="20"/>
                <w:szCs w:val="20"/>
                <w:color w:val="auto"/>
              </w:rPr>
            </w:pPr>
            <w:r>
              <w:rPr>
                <w:rFonts w:ascii="Arial" w:cs="Arial" w:eastAsia="Arial" w:hAnsi="Arial"/>
                <w:sz w:val="14"/>
                <w:szCs w:val="14"/>
                <w:b w:val="1"/>
                <w:bCs w:val="1"/>
                <w:color w:val="FFFFFF"/>
              </w:rPr>
              <w:t>PAA</w:t>
            </w:r>
          </w:p>
        </w:tc>
        <w:tc>
          <w:tcPr>
            <w:tcW w:w="60" w:type="dxa"/>
            <w:vAlign w:val="bottom"/>
            <w:shd w:val="clear" w:color="auto" w:fill="424E6A"/>
          </w:tcPr>
          <w:p>
            <w:pPr>
              <w:spacing w:after="0"/>
              <w:rPr>
                <w:sz w:val="14"/>
                <w:szCs w:val="14"/>
                <w:color w:val="auto"/>
              </w:rPr>
            </w:pPr>
          </w:p>
        </w:tc>
        <w:tc>
          <w:tcPr>
            <w:tcW w:w="7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6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6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Consolidated</w:t>
            </w:r>
          </w:p>
        </w:tc>
        <w:tc>
          <w:tcPr>
            <w:tcW w:w="120" w:type="dxa"/>
            <w:vAlign w:val="bottom"/>
            <w:tcBorders>
              <w:right w:val="single" w:sz="8" w:color="424E6A"/>
            </w:tcBorders>
            <w:shd w:val="clear" w:color="auto" w:fill="424E6A"/>
          </w:tcPr>
          <w:p>
            <w:pPr>
              <w:spacing w:after="0"/>
              <w:rPr>
                <w:sz w:val="14"/>
                <w:szCs w:val="14"/>
                <w:color w:val="auto"/>
              </w:rPr>
            </w:pPr>
          </w:p>
        </w:tc>
      </w:tr>
      <w:tr>
        <w:trPr>
          <w:trHeight w:val="162"/>
        </w:trPr>
        <w:tc>
          <w:tcPr>
            <w:tcW w:w="3020" w:type="dxa"/>
            <w:vAlign w:val="bottom"/>
            <w:tcBorders>
              <w:lef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A</w:t>
            </w:r>
          </w:p>
        </w:tc>
        <w:tc>
          <w:tcPr>
            <w:tcW w:w="6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B</w:t>
            </w:r>
          </w:p>
        </w:tc>
        <w:tc>
          <w:tcPr>
            <w:tcW w:w="760" w:type="dxa"/>
            <w:vAlign w:val="bottom"/>
            <w:gridSpan w:val="2"/>
            <w:shd w:val="clear" w:color="auto" w:fill="424E6A"/>
          </w:tcPr>
          <w:p>
            <w:pPr>
              <w:jc w:val="center"/>
              <w:ind w:left="20"/>
              <w:spacing w:after="0"/>
              <w:rPr>
                <w:sz w:val="20"/>
                <w:szCs w:val="20"/>
                <w:color w:val="auto"/>
              </w:rPr>
            </w:pPr>
            <w:r>
              <w:rPr>
                <w:rFonts w:ascii="Arial" w:cs="Arial" w:eastAsia="Arial" w:hAnsi="Arial"/>
                <w:sz w:val="14"/>
                <w:szCs w:val="14"/>
                <w:b w:val="1"/>
                <w:bCs w:val="1"/>
                <w:color w:val="FFFFFF"/>
              </w:rPr>
              <w:t>Common</w:t>
            </w:r>
          </w:p>
        </w:tc>
        <w:tc>
          <w:tcPr>
            <w:tcW w:w="60" w:type="dxa"/>
            <w:vAlign w:val="bottom"/>
            <w:shd w:val="clear" w:color="auto" w:fill="424E6A"/>
          </w:tcPr>
          <w:p>
            <w:pPr>
              <w:spacing w:after="0"/>
              <w:rPr>
                <w:sz w:val="14"/>
                <w:szCs w:val="14"/>
                <w:color w:val="auto"/>
              </w:rPr>
            </w:pPr>
          </w:p>
        </w:tc>
        <w:tc>
          <w:tcPr>
            <w:tcW w:w="7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60" w:type="dxa"/>
            <w:vAlign w:val="bottom"/>
            <w:shd w:val="clear" w:color="auto" w:fill="424E6A"/>
          </w:tcPr>
          <w:p>
            <w:pPr>
              <w:spacing w:after="0"/>
              <w:rPr>
                <w:sz w:val="14"/>
                <w:szCs w:val="14"/>
                <w:color w:val="auto"/>
              </w:rPr>
            </w:pPr>
          </w:p>
        </w:tc>
        <w:tc>
          <w:tcPr>
            <w:tcW w:w="660" w:type="dxa"/>
            <w:vAlign w:val="bottom"/>
            <w:shd w:val="clear" w:color="auto" w:fill="424E6A"/>
          </w:tcPr>
          <w:p>
            <w:pPr>
              <w:ind w:left="180"/>
              <w:spacing w:after="0"/>
              <w:rPr>
                <w:sz w:val="20"/>
                <w:szCs w:val="20"/>
                <w:color w:val="auto"/>
              </w:rPr>
            </w:pPr>
            <w:r>
              <w:rPr>
                <w:rFonts w:ascii="Arial" w:cs="Arial" w:eastAsia="Arial" w:hAnsi="Arial"/>
                <w:sz w:val="14"/>
                <w:szCs w:val="14"/>
                <w:b w:val="1"/>
                <w:bCs w:val="1"/>
                <w:color w:val="FFFFFF"/>
              </w:rPr>
              <w:t>Total</w:t>
            </w:r>
          </w:p>
        </w:tc>
        <w:tc>
          <w:tcPr>
            <w:tcW w:w="6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120" w:type="dxa"/>
            <w:vAlign w:val="bottom"/>
            <w:tcBorders>
              <w:right w:val="single" w:sz="8" w:color="424E6A"/>
            </w:tcBorders>
            <w:shd w:val="clear" w:color="auto" w:fill="424E6A"/>
          </w:tcPr>
          <w:p>
            <w:pPr>
              <w:spacing w:after="0"/>
              <w:rPr>
                <w:sz w:val="14"/>
                <w:szCs w:val="14"/>
                <w:color w:val="auto"/>
              </w:rPr>
            </w:pPr>
          </w:p>
        </w:tc>
      </w:tr>
      <w:tr>
        <w:trPr>
          <w:trHeight w:val="185"/>
        </w:trPr>
        <w:tc>
          <w:tcPr>
            <w:tcW w:w="30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2020" w:type="dxa"/>
            <w:vAlign w:val="bottom"/>
            <w:gridSpan w:val="5"/>
            <w:shd w:val="clear" w:color="auto" w:fill="424E6A"/>
          </w:tcPr>
          <w:p>
            <w:pPr>
              <w:ind w:left="500"/>
              <w:spacing w:after="0"/>
              <w:rPr>
                <w:sz w:val="20"/>
                <w:szCs w:val="20"/>
                <w:color w:val="auto"/>
              </w:rPr>
            </w:pPr>
            <w:r>
              <w:rPr>
                <w:rFonts w:ascii="Arial" w:cs="Arial" w:eastAsia="Arial" w:hAnsi="Arial"/>
                <w:sz w:val="14"/>
                <w:szCs w:val="14"/>
                <w:b w:val="1"/>
                <w:bCs w:val="1"/>
                <w:color w:val="FFFFFF"/>
              </w:rPr>
              <w:t>​​ Shares ​​ Shares ​​</w:t>
            </w:r>
          </w:p>
        </w:tc>
        <w:tc>
          <w:tcPr>
            <w:tcW w:w="520" w:type="dxa"/>
            <w:vAlign w:val="bottom"/>
            <w:shd w:val="clear" w:color="auto" w:fill="424E6A"/>
          </w:tcPr>
          <w:p>
            <w:pPr>
              <w:jc w:val="center"/>
              <w:ind w:right="45"/>
              <w:spacing w:after="0"/>
              <w:rPr>
                <w:sz w:val="20"/>
                <w:szCs w:val="20"/>
                <w:color w:val="auto"/>
              </w:rPr>
            </w:pPr>
            <w:r>
              <w:rPr>
                <w:rFonts w:ascii="Arial" w:cs="Arial" w:eastAsia="Arial" w:hAnsi="Arial"/>
                <w:sz w:val="14"/>
                <w:szCs w:val="14"/>
                <w:b w:val="1"/>
                <w:bCs w:val="1"/>
                <w:color w:val="FFFFFF"/>
              </w:rPr>
              <w:t>Units</w:t>
            </w:r>
          </w:p>
        </w:tc>
        <w:tc>
          <w:tcPr>
            <w:tcW w:w="260" w:type="dxa"/>
            <w:vAlign w:val="bottom"/>
            <w:gridSpan w:val="2"/>
            <w:shd w:val="clear" w:color="auto" w:fill="424E6A"/>
          </w:tcPr>
          <w:p>
            <w:pPr>
              <w:jc w:val="right"/>
              <w:ind w:right="62"/>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Units</w:t>
            </w:r>
          </w:p>
        </w:tc>
        <w:tc>
          <w:tcPr>
            <w:tcW w:w="900" w:type="dxa"/>
            <w:vAlign w:val="bottom"/>
            <w:gridSpan w:val="4"/>
            <w:shd w:val="clear" w:color="auto" w:fill="424E6A"/>
          </w:tcPr>
          <w:p>
            <w:pPr>
              <w:jc w:val="right"/>
              <w:spacing w:after="0"/>
              <w:rPr>
                <w:sz w:val="20"/>
                <w:szCs w:val="20"/>
                <w:color w:val="auto"/>
              </w:rPr>
            </w:pPr>
            <w:r>
              <w:rPr>
                <w:rFonts w:ascii="Arial" w:cs="Arial" w:eastAsia="Arial" w:hAnsi="Arial"/>
                <w:sz w:val="14"/>
                <w:szCs w:val="14"/>
                <w:b w:val="1"/>
                <w:bCs w:val="1"/>
                <w:color w:val="FFFFFF"/>
              </w:rPr>
              <w:t>​​Holdings ​​</w:t>
            </w: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Structure</w:t>
            </w:r>
          </w:p>
        </w:tc>
        <w:tc>
          <w:tcPr>
            <w:tcW w:w="120" w:type="dxa"/>
            <w:vAlign w:val="bottom"/>
            <w:tcBorders>
              <w:right w:val="single" w:sz="8" w:color="424E6A"/>
            </w:tcBorders>
            <w:shd w:val="clear" w:color="auto" w:fill="424E6A"/>
          </w:tcPr>
          <w:p>
            <w:pPr>
              <w:spacing w:after="0"/>
              <w:rPr>
                <w:sz w:val="16"/>
                <w:szCs w:val="16"/>
                <w:color w:val="auto"/>
              </w:rPr>
            </w:pPr>
          </w:p>
        </w:tc>
      </w:tr>
      <w:tr>
        <w:trPr>
          <w:trHeight w:val="189"/>
        </w:trPr>
        <w:tc>
          <w:tcPr>
            <w:tcW w:w="3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ALPS Advisors</w:t>
            </w:r>
          </w:p>
        </w:tc>
        <w:tc>
          <w:tcPr>
            <w:tcW w:w="640" w:type="dxa"/>
            <w:vAlign w:val="bottom"/>
            <w:tcBorders>
              <w:bottom w:val="single" w:sz="8" w:color="424E6A"/>
            </w:tcBorders>
          </w:tcPr>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highlight w:val="lightGray"/>
              </w:rPr>
              <w:t>964</w:t>
            </w:r>
          </w:p>
        </w:tc>
        <w:tc>
          <w:tcPr>
            <w:tcW w:w="1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1240" w:type="dxa"/>
            <w:vAlign w:val="bottom"/>
            <w:tcBorders>
              <w:bottom w:val="single" w:sz="8" w:color="424E6A"/>
            </w:tcBorders>
            <w:gridSpan w:val="3"/>
          </w:tcPr>
          <w:p>
            <w:pPr>
              <w:jc w:val="right"/>
              <w:spacing w:after="0"/>
              <w:rPr>
                <w:sz w:val="20"/>
                <w:szCs w:val="20"/>
                <w:color w:val="auto"/>
              </w:rPr>
            </w:pPr>
            <w:r>
              <w:rPr>
                <w:rFonts w:ascii="Arial" w:cs="Arial" w:eastAsia="Arial" w:hAnsi="Arial"/>
                <w:sz w:val="16"/>
                <w:szCs w:val="16"/>
                <w:color w:val="auto"/>
                <w:highlight w:val="lightGray"/>
              </w:rPr>
              <w:t>— ​</w:t>
            </w:r>
            <w:r>
              <w:rPr>
                <w:rFonts w:ascii="Arial" w:cs="Arial" w:eastAsia="Arial" w:hAnsi="Arial"/>
                <w:sz w:val="16"/>
                <w:szCs w:val="16"/>
                <w:color w:val="auto"/>
              </w:rPr>
              <w:t>​</w:t>
            </w:r>
            <w:r>
              <w:rPr>
                <w:rFonts w:ascii="Arial" w:cs="Arial" w:eastAsia="Arial" w:hAnsi="Arial"/>
                <w:sz w:val="16"/>
                <w:szCs w:val="16"/>
                <w:color w:val="auto"/>
                <w:highlight w:val="lightGray"/>
              </w:rPr>
              <w:t>​ ​69,040</w:t>
            </w:r>
          </w:p>
        </w:tc>
        <w:tc>
          <w:tcPr>
            <w:tcW w:w="6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highlight w:val="lightGray"/>
              </w:rPr>
              <w:t>​​ ​70,004 ​</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EMG Investments/John Raymond*</w:t>
            </w:r>
          </w:p>
        </w:tc>
        <w:tc>
          <w:tcPr>
            <w:tcW w:w="640" w:type="dxa"/>
            <w:vAlign w:val="bottom"/>
            <w:tcBorders>
              <w:bottom w:val="single" w:sz="8" w:color="424E6A"/>
            </w:tcBorders>
          </w:tcPr>
          <w:p>
            <w:pPr>
              <w:ind w:left="500"/>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296</w:t>
            </w:r>
          </w:p>
        </w:tc>
        <w:tc>
          <w:tcPr>
            <w:tcW w:w="66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​​​​11,459</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1,603</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rPr>
              <w:t>​​​ ​20,376</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​33,734 ​​​</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​4.4%</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Invesco Advisors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2,916</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​27,776</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​30,692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​4.0%</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Tortoise Capital Advisors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​​​12,513</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​13,322</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​25,835 ​​​</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​3.4%</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Goldman Sachs Asset Mgmt</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4,802</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​16,110</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​20,912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​2.7%</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Mirae Asset Global Investments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2,171</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​15,298</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​17,469 ​​​</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​2.3%</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Harvest Fund Advisors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2,138</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​14,433</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​16,571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​2.2%</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UBS Financial Services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3,341</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​11,158</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 ​14,499</w:t>
            </w:r>
          </w:p>
        </w:tc>
        <w:tc>
          <w:tcPr>
            <w:tcW w:w="18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​1.9%</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EnCap Investments*</w:t>
            </w:r>
          </w:p>
        </w:tc>
        <w:tc>
          <w:tcPr>
            <w:tcW w:w="640" w:type="dxa"/>
            <w:vAlign w:val="bottom"/>
            <w:tcBorders>
              <w:bottom w:val="single" w:sz="8" w:color="424E6A"/>
            </w:tcBorders>
          </w:tcPr>
          <w:p>
            <w:pPr>
              <w:ind w:left="500"/>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24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w:t>
            </w:r>
          </w:p>
        </w:tc>
        <w:tc>
          <w:tcPr>
            <w:tcW w:w="5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​12,679</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​12,679</w:t>
            </w:r>
          </w:p>
        </w:tc>
        <w:tc>
          <w:tcPr>
            <w:tcW w:w="6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​1.7%</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Morgan Stanley Investment Mgmt</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1,871</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9,484</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 ​11,355</w:t>
            </w:r>
          </w:p>
        </w:tc>
        <w:tc>
          <w:tcPr>
            <w:tcW w:w="18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​1.5%</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-1294130</wp:posOffset>
            </wp:positionV>
            <wp:extent cx="5194935" cy="129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4935" cy="1294765"/>
                    </a:xfrm>
                    <a:prstGeom prst="rect">
                      <a:avLst/>
                    </a:prstGeom>
                    <a:noFill/>
                  </pic:spPr>
                </pic:pic>
              </a:graphicData>
            </a:graphic>
          </wp:anchor>
        </w:drawing>
      </w:r>
    </w:p>
    <w:p>
      <w:pPr>
        <w:spacing w:after="0" w:line="2" w:lineRule="exact"/>
        <w:rPr>
          <w:sz w:val="20"/>
          <w:szCs w:val="20"/>
          <w:color w:val="auto"/>
        </w:rPr>
      </w:pPr>
    </w:p>
    <w:p>
      <w:pPr>
        <w:ind w:left="1620" w:right="999" w:hanging="360"/>
        <w:spacing w:after="0" w:line="28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in the table for these holders are as of the Record Date. All other amounts are as of December 31, 2024.</w:t>
      </w:r>
    </w:p>
    <w:p>
      <w:pPr>
        <w:spacing w:after="0" w:line="7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 xml:space="preserve">See “Security Ownership of Certain Beneficial Owners and Management” beginning on page </w:t>
      </w:r>
      <w:r>
        <w:rPr>
          <w:rFonts w:ascii="Arial" w:cs="Arial" w:eastAsia="Arial" w:hAnsi="Arial"/>
          <w:sz w:val="18"/>
          <w:szCs w:val="18"/>
          <w:u w:val="single" w:color="auto"/>
          <w:color w:val="0000EE"/>
        </w:rPr>
        <w:t>60</w:t>
      </w:r>
      <w:r>
        <w:rPr>
          <w:rFonts w:ascii="Arial" w:cs="Arial" w:eastAsia="Arial" w:hAnsi="Arial"/>
          <w:sz w:val="18"/>
          <w:szCs w:val="18"/>
          <w:color w:val="auto"/>
        </w:rPr>
        <w:t xml:space="preserve"> for additional information regarding beneficial ownership of our securities, including ownership by our Directors and executive officers.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Mr. Chiang serves as Chairman of the Board and as CEO, and Mr. Shackouls currently serves as Lead Director. Consistent with the Board’s belief that rotation of the Lead Director role after five years is a good governance practice, Mr. Shackouls will step down from the Lead Director role and Mr. Raymond will assume the Lead Director role effective June 1, 2025.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58" w:lineRule="exact"/>
        <w:rPr>
          <w:sz w:val="20"/>
          <w:szCs w:val="20"/>
          <w:color w:val="auto"/>
        </w:rPr>
      </w:pPr>
    </w:p>
    <w:p>
      <w:pPr>
        <w:ind w:left="1260" w:right="519" w:firstLine="360"/>
        <w:spacing w:after="0" w:line="301" w:lineRule="auto"/>
        <w:rPr>
          <w:sz w:val="20"/>
          <w:szCs w:val="20"/>
          <w:color w:val="auto"/>
        </w:rPr>
      </w:pPr>
      <w:r>
        <w:rPr>
          <w:rFonts w:ascii="Arial" w:cs="Arial" w:eastAsia="Arial" w:hAnsi="Arial"/>
          <w:sz w:val="17"/>
          <w:szCs w:val="17"/>
          <w:color w:val="auto"/>
        </w:rPr>
        <w:t>With respect to the management of enterprise-level risk (“ELR”), which is the process of identifying, managing and monitoring events that present opportunities and risks with respect to the operation of</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82" w:lineRule="auto"/>
        <w:rPr>
          <w:sz w:val="20"/>
          <w:szCs w:val="20"/>
          <w:color w:val="auto"/>
        </w:rPr>
      </w:pPr>
      <w:r>
        <w:rPr>
          <w:rFonts w:ascii="Arial" w:cs="Arial" w:eastAsia="Arial" w:hAnsi="Arial"/>
          <w:sz w:val="17"/>
          <w:szCs w:val="17"/>
          <w:color w:val="auto"/>
        </w:rPr>
        <w:t>our business and the creation of value for our unitholders, the Board has delegated primary responsibility to management while retaining oversight responsibility. Management evaluates short-, medium- and long-term risks on an ongoing basis and provides a formal ELR assessment to the Board at least once every year and provides updates on other areas of potential risk on at least a quarterly basis.</w:t>
      </w:r>
    </w:p>
    <w:p>
      <w:pPr>
        <w:spacing w:after="0" w:line="9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 and their impact on PAA’s business. The Board’s standing committees (Audit, Governance, Compensation and HSES) assist the Board with respect to its oversight of risks related to the specific areas of focus for each committee.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58" w:lineRule="exact"/>
        <w:rPr>
          <w:sz w:val="20"/>
          <w:szCs w:val="20"/>
          <w:color w:val="auto"/>
        </w:rPr>
      </w:pPr>
    </w:p>
    <w:p>
      <w:pPr>
        <w:jc w:val="both"/>
        <w:ind w:left="1260" w:right="1019" w:firstLine="360"/>
        <w:spacing w:after="0" w:line="291"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72"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color w:val="auto"/>
        </w:rPr>
        <w:t>Interested Unitholders can communicate with non-management directors regarding PAA’s business and affairs by mail in care of the General Counsel and Secretary or in care of the Vice President of Internal Audit at Plains All American Pipeline, L.P., 333 Clay Street, Suite 1600, Houston, Texas 77002. Commercial solicitations or communications will be disregarded.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eight directors who are not current or former members of management (Messrs. Burk, McCarthy, Petersen, Raymond, Shackouls and Ziemba, Ms. DeSanctis and Ms. Pruner) and has concluded that all of such directors are independent under applicable Nasdaq and SEC standards.</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Mr. Raymond is associated with The Energy &amp; Minerals Group (“EMG”) and Mr. Petersen is associated with EnCap Investments LP (“EnCap”). From time to time, we have engaged in business transactions with companies affiliated with EMG and EnCap, primarily involving the purchase of petroleum products from such companies. In January 2025, we also closed three transactions with companies related to EMG and EnCap involving the purchase of assets and securities. See “Certain Relationships and Related Transactions — Other” for additional information. The Board considered these transactions in connection with its assessment of director independence and has determined that these transactions do not impact Mr. Raymond’s or Mr. Petersen’s independence.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44"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Our Audit Committee reviews our external financial reporting, engages our independent auditors, reviews the adequacy of our internal accounting controls and discusses with management our major financial risk exposures and steps management has taken to monitor and control such exposures. The charter of our Audit Committee is available on our website. See “— Meetings and Other Information” for information on how to access or obtain copies of this charter. The Board has determined that each member of our Audit Committee (Messrs. Burk (chair) and Ziemba, Ms. DeSanctis and Ms. Pruner) is (i) independent under applicable Nasdaq and SEC rules, and (ii) financially literate. The Board has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also determined that each of Mr. Burk and Ms. Pruner qualifies as an Audit Committee Financial Expert as that term is defined in Item 407 of Regulation S-K.</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Shackouls. As part of our ongoing board succession planning process, the Board has determined that, effective June 1, 2025, Mr. Shackouls will become chair of the Compensation Committee, replacing Mr. Raymond who will step down as committee chair. In order to ensure a smooth and seamless transition, Mr. Raymond will remain on the committee.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to conduct independent annual reviews and peer comparison studies with respect to our executive compensation program and practices.</w:t>
      </w:r>
    </w:p>
    <w:p>
      <w:pPr>
        <w:spacing w:after="0" w:line="112" w:lineRule="exact"/>
        <w:rPr>
          <w:sz w:val="20"/>
          <w:szCs w:val="20"/>
          <w:color w:val="auto"/>
        </w:rPr>
      </w:pPr>
    </w:p>
    <w:p>
      <w:pPr>
        <w:jc w:val="both"/>
        <w:ind w:left="1260" w:right="519" w:firstLine="360"/>
        <w:spacing w:after="0" w:line="252" w:lineRule="auto"/>
        <w:rPr>
          <w:sz w:val="20"/>
          <w:szCs w:val="20"/>
          <w:color w:val="auto"/>
        </w:rPr>
      </w:pPr>
      <w:r>
        <w:rPr>
          <w:rFonts w:ascii="Arial" w:cs="Arial" w:eastAsia="Arial" w:hAnsi="Arial"/>
          <w:sz w:val="18"/>
          <w:szCs w:val="18"/>
          <w:color w:val="auto"/>
        </w:rPr>
        <w:t>During 2024,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officers of ours or any of our subsidiaries.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44"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Although not required by Nasdaq listing standards, we also have a Governance Committee that periodically reviews our governance structure, policies and principles, oversees the Board’s annual self-assessment and committee and individual director evaluation processes, and assists with succession planning and other governance-related activities, including identifying and assessing director nominees. See “Proposal 1 — Election of Class II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McCarthy and Petersen and Ms. Pruner. As part of our ongoing board succession planning process, the Board has determined that, effective June 1, 2025,</w:t>
      </w:r>
    </w:p>
    <w:p>
      <w:pPr>
        <w:spacing w:after="0" w:line="3"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color w:val="auto"/>
        </w:rPr>
        <w:t>Mr. Raymond will join the Governance Committee as Chair, replacing Mr. Shackouls who will step down as committee chair. In order to ensure a smooth and seamless transition, Mr. Shackouls will remain on the committee.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58" w:lineRule="exact"/>
        <w:rPr>
          <w:sz w:val="20"/>
          <w:szCs w:val="20"/>
          <w:color w:val="auto"/>
        </w:rPr>
      </w:pPr>
    </w:p>
    <w:p>
      <w:pPr>
        <w:ind w:left="1260" w:right="579" w:firstLine="360"/>
        <w:spacing w:after="0" w:line="278" w:lineRule="auto"/>
        <w:rPr>
          <w:sz w:val="20"/>
          <w:szCs w:val="20"/>
          <w:color w:val="auto"/>
        </w:rPr>
      </w:pPr>
      <w:r>
        <w:rPr>
          <w:rFonts w:ascii="Arial" w:cs="Arial" w:eastAsia="Arial" w:hAnsi="Arial"/>
          <w:sz w:val="17"/>
          <w:szCs w:val="17"/>
          <w:color w:val="auto"/>
        </w:rPr>
        <w:t>The HSES Committee assists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Through the discharge of its oversight responsibilities, the HSES Committee facilitates the efforts of management to further strengthen our focus on sustainability and certain ESG matters. The charter of our HSES Committee is available on our website. See “— Meetings and Other Information” for information on how to access or obtain copies of this charter. The HSES Committee currently consists of Messrs. Ziemba (chair) and McCarthy and Ms. DeSanctis. The Board has determined that all of the current members of the HSES Committee are independent under applicable Nasdaq and SEC standards.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During 2024, our Board had five meetings, our Audit Committee had eight meetings, our Compensation Committee had two meetings, our Governance Committee had one meeting and our HSES Committee had four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2024, all of our directors attended all meetings of the Board and applicable committees of the Board on which the director served. Board members are encouraged, but not required, to attend our annual meetings; eight Board members attended our annual meeting in 2024.</w:t>
      </w:r>
    </w:p>
    <w:p>
      <w:pPr>
        <w:spacing w:after="0" w:line="11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Governance tab in the Investor Center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44"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 — Review, Approval or Ratification of Transactions with Related Persons.”</w:t>
      </w:r>
    </w:p>
    <w:p>
      <w:pPr>
        <w:spacing w:after="0" w:line="115"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II DIRECTORS</w:t>
      </w:r>
    </w:p>
    <w:p>
      <w:pPr>
        <w:spacing w:after="0" w:line="225" w:lineRule="exact"/>
        <w:rPr>
          <w:sz w:val="20"/>
          <w:szCs w:val="20"/>
          <w:color w:val="auto"/>
        </w:rPr>
      </w:pPr>
    </w:p>
    <w:p>
      <w:pPr>
        <w:jc w:val="center"/>
        <w:ind w:left="1860" w:right="18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VICTOR BURK, KEVIN MCCARTHY, HARRY PEFANIS AND GARY PETERSEN TO SERVE AS A CLASS II DIRECTOR ON OUR GENERAL PARTNER’S BOARD OF DIRECTORS UNTIL THE 2028 ANNUAL MEETING.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58"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i w:val="1"/>
          <w:iCs w:val="1"/>
          <w:color w:val="auto"/>
        </w:rPr>
        <w:t xml:space="preserve">General Overview and Board Makeup. </w:t>
      </w:r>
      <w:r>
        <w:rPr>
          <w:rFonts w:ascii="Arial" w:cs="Arial" w:eastAsia="Arial" w:hAnsi="Arial"/>
          <w:sz w:val="17"/>
          <w:szCs w:val="17"/>
          <w:color w:val="auto"/>
        </w:rPr>
        <w:t>Our Board has responsibility for managing the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affairs of PAGP and PAA. The Board currently has 11 members, including the CEO, who serves as Chairman of the Board. As contemplated by our governing documents, because the roles of CEO and Board Chair are held by the same person, the Board has designated one of our independent directors (Bobby Shackouls) to serve as Lead Director. Consistent with the Board’s belief that rotation of the Lead Director role after five years is a good governance practice, Mr. Shackouls will step down from the Lead Director role and Mr. Raymond will assume the Lead Director role effective June 1, 2025. Our governing documents also require that at least a majority of directors must meet the independence requirements of the national securities exchange on which the securities of PAA and PAGP are listed (currently Nasdaq).</w:t>
      </w:r>
    </w:p>
    <w:p>
      <w:pPr>
        <w:spacing w:after="0" w:line="10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common units or Series A preferred units have the right to nominate individuals to stand for election at an annual meeting. For a description of such ownership and notice requirements, see “Director Nominations and Unitholder Proposals for the 2026 Annual Meeting” on page 73.</w:t>
      </w:r>
    </w:p>
    <w:p>
      <w:pPr>
        <w:spacing w:after="0" w:line="101"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2025 PAA and PAGP Annual Meetings were nominated by the Board (excluding the vote of the directors whose terms are expiring); no other nominations were received.</w:t>
      </w:r>
    </w:p>
    <w:p>
      <w:pPr>
        <w:spacing w:after="0" w:line="171"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860" w:type="dxa"/>
            <w:vAlign w:val="bottom"/>
            <w:tcBorders>
              <w:left w:val="single" w:sz="8" w:color="424E6A"/>
              <w:right w:val="single" w:sz="8" w:color="424E6A"/>
            </w:tcBorders>
            <w:shd w:val="clear" w:color="auto" w:fill="424E6A"/>
          </w:tcPr>
          <w:p>
            <w:pPr>
              <w:spacing w:after="0"/>
              <w:rPr>
                <w:sz w:val="21"/>
                <w:szCs w:val="21"/>
                <w:color w:val="auto"/>
              </w:rPr>
            </w:pPr>
          </w:p>
        </w:tc>
        <w:tc>
          <w:tcPr>
            <w:tcW w:w="960" w:type="dxa"/>
            <w:vAlign w:val="bottom"/>
            <w:tcBorders>
              <w:righ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Governance</w:t>
            </w:r>
          </w:p>
        </w:tc>
        <w:tc>
          <w:tcPr>
            <w:tcW w:w="140" w:type="dxa"/>
            <w:vAlign w:val="bottom"/>
            <w:shd w:val="clear" w:color="auto" w:fill="424E6A"/>
          </w:tcPr>
          <w:p>
            <w:pPr>
              <w:spacing w:after="0"/>
              <w:rPr>
                <w:sz w:val="21"/>
                <w:szCs w:val="21"/>
                <w:color w:val="auto"/>
              </w:rPr>
            </w:pPr>
          </w:p>
        </w:tc>
        <w:tc>
          <w:tcPr>
            <w:tcW w:w="58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HSES</w:t>
            </w:r>
          </w:p>
        </w:tc>
        <w:tc>
          <w:tcPr>
            <w:tcW w:w="140" w:type="dxa"/>
            <w:vAlign w:val="bottom"/>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6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85"/>
        </w:trPr>
        <w:tc>
          <w:tcPr>
            <w:tcW w:w="1860" w:type="dxa"/>
            <w:vAlign w:val="bottom"/>
            <w:tcBorders>
              <w:left w:val="single" w:sz="8" w:color="424E6A"/>
              <w:right w:val="single" w:sz="8" w:color="424E6A"/>
            </w:tcBorders>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Committee</w:t>
            </w:r>
          </w:p>
        </w:tc>
        <w:tc>
          <w:tcPr>
            <w:tcW w:w="1100" w:type="dxa"/>
            <w:vAlign w:val="bottom"/>
            <w:tcBorders>
              <w:right w:val="single" w:sz="8" w:color="424E6A"/>
            </w:tcBorders>
            <w:shd w:val="clear" w:color="auto" w:fill="424E6A"/>
          </w:tcPr>
          <w:p>
            <w:pPr>
              <w:ind w:left="160"/>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Committee</w:t>
            </w:r>
          </w:p>
        </w:tc>
        <w:tc>
          <w:tcPr>
            <w:tcW w:w="2520" w:type="dxa"/>
            <w:vAlign w:val="bottom"/>
            <w:tcBorders>
              <w:right w:val="single" w:sz="8" w:color="424E6A"/>
            </w:tcBorders>
            <w:gridSpan w:val="8"/>
            <w:shd w:val="clear" w:color="auto" w:fill="424E6A"/>
          </w:tcPr>
          <w:p>
            <w:pPr>
              <w:spacing w:after="0"/>
              <w:rPr>
                <w:sz w:val="20"/>
                <w:szCs w:val="20"/>
                <w:color w:val="auto"/>
              </w:rPr>
            </w:pPr>
            <w:r>
              <w:rPr>
                <w:rFonts w:ascii="Arial" w:cs="Arial" w:eastAsia="Arial" w:hAnsi="Arial"/>
                <w:sz w:val="14"/>
                <w:szCs w:val="14"/>
                <w:b w:val="1"/>
                <w:bCs w:val="1"/>
                <w:color w:val="FFFFFF"/>
              </w:rPr>
              <w:t>​​Committee ​​Board Chair ​​Director</w:t>
            </w:r>
          </w:p>
        </w:tc>
        <w:tc>
          <w:tcPr>
            <w:tcW w:w="0" w:type="dxa"/>
            <w:vAlign w:val="bottom"/>
          </w:tcPr>
          <w:p>
            <w:pPr>
              <w:spacing w:after="0"/>
              <w:rPr>
                <w:sz w:val="1"/>
                <w:szCs w:val="1"/>
                <w:color w:val="auto"/>
              </w:rPr>
            </w:pPr>
          </w:p>
        </w:tc>
      </w:tr>
      <w:tr>
        <w:trPr>
          <w:trHeight w:val="188"/>
        </w:trPr>
        <w:tc>
          <w:tcPr>
            <w:tcW w:w="1860" w:type="dxa"/>
            <w:vAlign w:val="bottom"/>
            <w:tcBorders>
              <w:left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Class I Directors</w:t>
            </w:r>
          </w:p>
        </w:tc>
        <w:tc>
          <w:tcPr>
            <w:tcW w:w="960" w:type="dxa"/>
            <w:vAlign w:val="bottom"/>
            <w:tcBorders>
              <w:right w:val="single" w:sz="8" w:color="424E6A"/>
            </w:tcBorders>
            <w:shd w:val="clear" w:color="auto" w:fill="D9DCE1"/>
          </w:tcPr>
          <w:p>
            <w:pPr>
              <w:spacing w:after="0"/>
              <w:rPr>
                <w:sz w:val="16"/>
                <w:szCs w:val="16"/>
                <w:color w:val="auto"/>
              </w:rPr>
            </w:pP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D9DCE1"/>
            </w:tcBorders>
            <w:vMerge w:val="restart"/>
            <w:shd w:val="clear" w:color="auto" w:fill="D9DCE1"/>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1860" w:type="dxa"/>
            <w:vAlign w:val="bottom"/>
            <w:tcBorders>
              <w:left w:val="single" w:sz="8" w:color="424E6A"/>
              <w:right w:val="single" w:sz="8" w:color="424E6A"/>
            </w:tcBorders>
            <w:vMerge w:val="restart"/>
            <w:shd w:val="clear" w:color="auto" w:fill="D9DCE1"/>
          </w:tcPr>
          <w:p>
            <w:pPr>
              <w:ind w:left="220"/>
              <w:spacing w:after="0"/>
              <w:rPr>
                <w:sz w:val="20"/>
                <w:szCs w:val="20"/>
                <w:color w:val="auto"/>
              </w:rPr>
            </w:pPr>
            <w:r>
              <w:rPr>
                <w:rFonts w:ascii="Arial" w:cs="Arial" w:eastAsia="Arial" w:hAnsi="Arial"/>
                <w:sz w:val="16"/>
                <w:szCs w:val="16"/>
                <w:color w:val="auto"/>
              </w:rPr>
              <w:t>(Term expires 2026)</w:t>
            </w:r>
          </w:p>
        </w:tc>
        <w:tc>
          <w:tcPr>
            <w:tcW w:w="960" w:type="dxa"/>
            <w:vAlign w:val="bottom"/>
            <w:tcBorders>
              <w:right w:val="single" w:sz="8" w:color="424E6A"/>
            </w:tcBorders>
            <w:shd w:val="clear" w:color="auto" w:fill="D9DCE1"/>
          </w:tcPr>
          <w:p>
            <w:pPr>
              <w:spacing w:after="0"/>
              <w:rPr>
                <w:sz w:val="10"/>
                <w:szCs w:val="10"/>
                <w:color w:val="auto"/>
              </w:rPr>
            </w:pPr>
          </w:p>
        </w:tc>
        <w:tc>
          <w:tcPr>
            <w:tcW w:w="840" w:type="dxa"/>
            <w:vAlign w:val="bottom"/>
            <w:tcBorders>
              <w:right w:val="single" w:sz="8" w:color="424E6A"/>
            </w:tcBorders>
            <w:vMerge w:val="continue"/>
            <w:shd w:val="clear" w:color="auto" w:fill="D9DCE1"/>
          </w:tcPr>
          <w:p>
            <w:pPr>
              <w:spacing w:after="0"/>
              <w:rPr>
                <w:sz w:val="10"/>
                <w:szCs w:val="10"/>
                <w:color w:val="auto"/>
              </w:rPr>
            </w:pPr>
          </w:p>
        </w:tc>
        <w:tc>
          <w:tcPr>
            <w:tcW w:w="1100" w:type="dxa"/>
            <w:vAlign w:val="bottom"/>
            <w:tcBorders>
              <w:right w:val="single" w:sz="8" w:color="424E6A"/>
            </w:tcBorders>
            <w:vMerge w:val="continue"/>
            <w:shd w:val="clear" w:color="auto" w:fill="D9DCE1"/>
          </w:tcPr>
          <w:p>
            <w:pPr>
              <w:spacing w:after="0"/>
              <w:rPr>
                <w:sz w:val="10"/>
                <w:szCs w:val="10"/>
                <w:color w:val="auto"/>
              </w:rPr>
            </w:pPr>
          </w:p>
        </w:tc>
        <w:tc>
          <w:tcPr>
            <w:tcW w:w="940" w:type="dxa"/>
            <w:vAlign w:val="bottom"/>
            <w:tcBorders>
              <w:right w:val="single" w:sz="8" w:color="D9DCE1"/>
            </w:tcBorders>
            <w:vMerge w:val="continue"/>
            <w:shd w:val="clear" w:color="auto" w:fill="D9DCE1"/>
          </w:tcPr>
          <w:p>
            <w:pPr>
              <w:spacing w:after="0"/>
              <w:rPr>
                <w:sz w:val="10"/>
                <w:szCs w:val="10"/>
                <w:color w:val="auto"/>
              </w:rPr>
            </w:pPr>
          </w:p>
        </w:tc>
        <w:tc>
          <w:tcPr>
            <w:tcW w:w="1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0" w:type="dxa"/>
            <w:vAlign w:val="bottom"/>
            <w:tcBorders>
              <w:right w:val="single" w:sz="8" w:color="424E6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424E6A"/>
              <w:bottom w:val="single" w:sz="8" w:color="424E6A"/>
              <w:right w:val="single" w:sz="8" w:color="424E6A"/>
            </w:tcBorders>
            <w:vMerge w:val="continue"/>
            <w:shd w:val="clear" w:color="auto" w:fill="D9DCE1"/>
          </w:tcPr>
          <w:p>
            <w:pPr>
              <w:spacing w:after="0"/>
              <w:rPr>
                <w:sz w:val="8"/>
                <w:szCs w:val="8"/>
                <w:color w:val="auto"/>
              </w:rPr>
            </w:pPr>
          </w:p>
        </w:tc>
        <w:tc>
          <w:tcPr>
            <w:tcW w:w="960" w:type="dxa"/>
            <w:vAlign w:val="bottom"/>
            <w:tcBorders>
              <w:bottom w:val="single" w:sz="8" w:color="424E6A"/>
              <w:right w:val="single" w:sz="8" w:color="424E6A"/>
            </w:tcBorders>
            <w:shd w:val="clear" w:color="auto" w:fill="D9DCE1"/>
          </w:tcPr>
          <w:p>
            <w:pPr>
              <w:spacing w:after="0"/>
              <w:rPr>
                <w:sz w:val="8"/>
                <w:szCs w:val="8"/>
                <w:color w:val="auto"/>
              </w:rPr>
            </w:pPr>
          </w:p>
        </w:tc>
        <w:tc>
          <w:tcPr>
            <w:tcW w:w="840" w:type="dxa"/>
            <w:vAlign w:val="bottom"/>
            <w:tcBorders>
              <w:bottom w:val="single" w:sz="8" w:color="424E6A"/>
              <w:right w:val="single" w:sz="8" w:color="424E6A"/>
            </w:tcBorders>
            <w:shd w:val="clear" w:color="auto" w:fill="D9DCE1"/>
          </w:tcPr>
          <w:p>
            <w:pPr>
              <w:spacing w:after="0"/>
              <w:rPr>
                <w:sz w:val="8"/>
                <w:szCs w:val="8"/>
                <w:color w:val="auto"/>
              </w:rPr>
            </w:pPr>
          </w:p>
        </w:tc>
        <w:tc>
          <w:tcPr>
            <w:tcW w:w="1100" w:type="dxa"/>
            <w:vAlign w:val="bottom"/>
            <w:tcBorders>
              <w:bottom w:val="single" w:sz="8" w:color="424E6A"/>
              <w:right w:val="single" w:sz="8" w:color="424E6A"/>
            </w:tcBorders>
            <w:shd w:val="clear" w:color="auto" w:fill="D9DCE1"/>
          </w:tcPr>
          <w:p>
            <w:pPr>
              <w:spacing w:after="0"/>
              <w:rPr>
                <w:sz w:val="8"/>
                <w:szCs w:val="8"/>
                <w:color w:val="auto"/>
              </w:rPr>
            </w:pPr>
          </w:p>
        </w:tc>
        <w:tc>
          <w:tcPr>
            <w:tcW w:w="940" w:type="dxa"/>
            <w:vAlign w:val="bottom"/>
            <w:tcBorders>
              <w:bottom w:val="single" w:sz="8" w:color="424E6A"/>
              <w:right w:val="single" w:sz="8" w:color="D9DCE1"/>
            </w:tcBorders>
            <w:shd w:val="clear" w:color="auto" w:fill="D9DCE1"/>
          </w:tcPr>
          <w:p>
            <w:pPr>
              <w:spacing w:after="0"/>
              <w:rPr>
                <w:sz w:val="8"/>
                <w:szCs w:val="8"/>
                <w:color w:val="auto"/>
              </w:rPr>
            </w:pPr>
          </w:p>
        </w:tc>
        <w:tc>
          <w:tcPr>
            <w:tcW w:w="140" w:type="dxa"/>
            <w:vAlign w:val="bottom"/>
            <w:tcBorders>
              <w:bottom w:val="single" w:sz="8" w:color="424E6A"/>
            </w:tcBorders>
          </w:tcPr>
          <w:p>
            <w:pPr>
              <w:spacing w:after="0"/>
              <w:rPr>
                <w:sz w:val="8"/>
                <w:szCs w:val="8"/>
                <w:color w:val="auto"/>
              </w:rPr>
            </w:pPr>
          </w:p>
        </w:tc>
        <w:tc>
          <w:tcPr>
            <w:tcW w:w="580" w:type="dxa"/>
            <w:vAlign w:val="bottom"/>
            <w:tcBorders>
              <w:bottom w:val="single" w:sz="8" w:color="424E6A"/>
            </w:tcBorders>
          </w:tcPr>
          <w:p>
            <w:pPr>
              <w:spacing w:after="0"/>
              <w:rPr>
                <w:sz w:val="8"/>
                <w:szCs w:val="8"/>
                <w:color w:val="auto"/>
              </w:rPr>
            </w:pPr>
          </w:p>
        </w:tc>
        <w:tc>
          <w:tcPr>
            <w:tcW w:w="140" w:type="dxa"/>
            <w:vAlign w:val="bottom"/>
            <w:tcBorders>
              <w:bottom w:val="single" w:sz="8" w:color="424E6A"/>
            </w:tcBorders>
          </w:tcPr>
          <w:p>
            <w:pPr>
              <w:spacing w:after="0"/>
              <w:rPr>
                <w:sz w:val="8"/>
                <w:szCs w:val="8"/>
                <w:color w:val="auto"/>
              </w:rPr>
            </w:pPr>
          </w:p>
        </w:tc>
        <w:tc>
          <w:tcPr>
            <w:tcW w:w="280" w:type="dxa"/>
            <w:vAlign w:val="bottom"/>
            <w:tcBorders>
              <w:bottom w:val="single" w:sz="8" w:color="424E6A"/>
            </w:tcBorders>
          </w:tcPr>
          <w:p>
            <w:pPr>
              <w:spacing w:after="0"/>
              <w:rPr>
                <w:sz w:val="8"/>
                <w:szCs w:val="8"/>
                <w:color w:val="auto"/>
              </w:rPr>
            </w:pPr>
          </w:p>
        </w:tc>
        <w:tc>
          <w:tcPr>
            <w:tcW w:w="440" w:type="dxa"/>
            <w:vAlign w:val="bottom"/>
            <w:tcBorders>
              <w:bottom w:val="single" w:sz="8" w:color="424E6A"/>
            </w:tcBorders>
          </w:tcPr>
          <w:p>
            <w:pPr>
              <w:spacing w:after="0"/>
              <w:rPr>
                <w:sz w:val="8"/>
                <w:szCs w:val="8"/>
                <w:color w:val="auto"/>
              </w:rPr>
            </w:pPr>
          </w:p>
        </w:tc>
        <w:tc>
          <w:tcPr>
            <w:tcW w:w="220" w:type="dxa"/>
            <w:vAlign w:val="bottom"/>
            <w:tcBorders>
              <w:bottom w:val="single" w:sz="8" w:color="424E6A"/>
            </w:tcBorders>
          </w:tcPr>
          <w:p>
            <w:pPr>
              <w:spacing w:after="0"/>
              <w:rPr>
                <w:sz w:val="8"/>
                <w:szCs w:val="8"/>
                <w:color w:val="auto"/>
              </w:rPr>
            </w:pPr>
          </w:p>
        </w:tc>
        <w:tc>
          <w:tcPr>
            <w:tcW w:w="120" w:type="dxa"/>
            <w:vAlign w:val="bottom"/>
            <w:tcBorders>
              <w:bottom w:val="single" w:sz="8" w:color="424E6A"/>
            </w:tcBorders>
          </w:tcPr>
          <w:p>
            <w:pPr>
              <w:spacing w:after="0"/>
              <w:rPr>
                <w:sz w:val="8"/>
                <w:szCs w:val="8"/>
                <w:color w:val="auto"/>
              </w:rPr>
            </w:pPr>
          </w:p>
        </w:tc>
        <w:tc>
          <w:tcPr>
            <w:tcW w:w="600" w:type="dxa"/>
            <w:vAlign w:val="bottom"/>
            <w:tcBorders>
              <w:bottom w:val="single" w:sz="8" w:color="424E6A"/>
              <w:right w:val="single" w:sz="8" w:color="424E6A"/>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6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Willie Chiang,</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6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Chairman of the</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continue"/>
          </w:tcPr>
          <w:p>
            <w:pPr>
              <w:spacing w:after="0"/>
              <w:rPr>
                <w:sz w:val="16"/>
                <w:szCs w:val="16"/>
                <w:color w:val="auto"/>
              </w:rPr>
            </w:pPr>
          </w:p>
        </w:tc>
        <w:tc>
          <w:tcPr>
            <w:tcW w:w="1100" w:type="dxa"/>
            <w:vAlign w:val="bottom"/>
            <w:tcBorders>
              <w:right w:val="single" w:sz="8" w:color="424E6A"/>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tcBorders>
              <w:right w:val="single" w:sz="8" w:color="424E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424E6A"/>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Board and CEO</w:t>
            </w:r>
          </w:p>
        </w:tc>
        <w:tc>
          <w:tcPr>
            <w:tcW w:w="96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1100" w:type="dxa"/>
            <w:vAlign w:val="bottom"/>
            <w:tcBorders>
              <w:bottom w:val="single" w:sz="8" w:color="424E6A"/>
              <w:right w:val="single" w:sz="8" w:color="424E6A"/>
            </w:tcBorders>
          </w:tcPr>
          <w:p>
            <w:pPr>
              <w:spacing w:after="0"/>
              <w:rPr>
                <w:sz w:val="18"/>
                <w:szCs w:val="18"/>
                <w:color w:val="auto"/>
              </w:rPr>
            </w:pPr>
          </w:p>
        </w:tc>
        <w:tc>
          <w:tcPr>
            <w:tcW w:w="940" w:type="dxa"/>
            <w:vAlign w:val="bottom"/>
            <w:tcBorders>
              <w:bottom w:val="single" w:sz="8" w:color="424E6A"/>
            </w:tcBorders>
          </w:tcPr>
          <w:p>
            <w:pPr>
              <w:spacing w:after="0"/>
              <w:rPr>
                <w:sz w:val="18"/>
                <w:szCs w:val="18"/>
                <w:color w:val="auto"/>
              </w:rPr>
            </w:pPr>
          </w:p>
        </w:tc>
        <w:tc>
          <w:tcPr>
            <w:tcW w:w="140" w:type="dxa"/>
            <w:vAlign w:val="bottom"/>
            <w:tcBorders>
              <w:bottom w:val="single" w:sz="8" w:color="424E6A"/>
            </w:tcBorders>
          </w:tcPr>
          <w:p>
            <w:pPr>
              <w:spacing w:after="0"/>
              <w:rPr>
                <w:sz w:val="18"/>
                <w:szCs w:val="18"/>
                <w:color w:val="auto"/>
              </w:rPr>
            </w:pPr>
          </w:p>
        </w:tc>
        <w:tc>
          <w:tcPr>
            <w:tcW w:w="580" w:type="dxa"/>
            <w:vAlign w:val="bottom"/>
            <w:tcBorders>
              <w:bottom w:val="single" w:sz="8" w:color="424E6A"/>
            </w:tcBorders>
          </w:tcPr>
          <w:p>
            <w:pPr>
              <w:spacing w:after="0"/>
              <w:rPr>
                <w:sz w:val="18"/>
                <w:szCs w:val="18"/>
                <w:color w:val="auto"/>
              </w:rPr>
            </w:pPr>
          </w:p>
        </w:tc>
        <w:tc>
          <w:tcPr>
            <w:tcW w:w="140" w:type="dxa"/>
            <w:vAlign w:val="bottom"/>
            <w:tcBorders>
              <w:bottom w:val="single" w:sz="8" w:color="424E6A"/>
            </w:tcBorders>
          </w:tcPr>
          <w:p>
            <w:pPr>
              <w:spacing w:after="0"/>
              <w:rPr>
                <w:sz w:val="18"/>
                <w:szCs w:val="18"/>
                <w:color w:val="auto"/>
              </w:rPr>
            </w:pPr>
          </w:p>
        </w:tc>
        <w:tc>
          <w:tcPr>
            <w:tcW w:w="280" w:type="dxa"/>
            <w:vAlign w:val="bottom"/>
            <w:tcBorders>
              <w:bottom w:val="single" w:sz="8" w:color="424E6A"/>
            </w:tcBorders>
          </w:tcPr>
          <w:p>
            <w:pPr>
              <w:spacing w:after="0"/>
              <w:rPr>
                <w:sz w:val="18"/>
                <w:szCs w:val="18"/>
                <w:color w:val="auto"/>
              </w:rPr>
            </w:pPr>
          </w:p>
        </w:tc>
        <w:tc>
          <w:tcPr>
            <w:tcW w:w="440" w:type="dxa"/>
            <w:vAlign w:val="bottom"/>
            <w:tcBorders>
              <w:bottom w:val="single" w:sz="8" w:color="424E6A"/>
            </w:tcBorders>
          </w:tcPr>
          <w:p>
            <w:pPr>
              <w:spacing w:after="0"/>
              <w:rPr>
                <w:sz w:val="18"/>
                <w:szCs w:val="18"/>
                <w:color w:val="auto"/>
              </w:rPr>
            </w:pPr>
          </w:p>
        </w:tc>
        <w:tc>
          <w:tcPr>
            <w:tcW w:w="220" w:type="dxa"/>
            <w:vAlign w:val="bottom"/>
            <w:tcBorders>
              <w:bottom w:val="single" w:sz="8" w:color="424E6A"/>
            </w:tcBorders>
          </w:tcPr>
          <w:p>
            <w:pPr>
              <w:spacing w:after="0"/>
              <w:rPr>
                <w:sz w:val="18"/>
                <w:szCs w:val="18"/>
                <w:color w:val="auto"/>
              </w:rPr>
            </w:pPr>
          </w:p>
        </w:tc>
        <w:tc>
          <w:tcPr>
            <w:tcW w:w="120" w:type="dxa"/>
            <w:vAlign w:val="bottom"/>
            <w:tcBorders>
              <w:bottom w:val="single" w:sz="8" w:color="424E6A"/>
            </w:tcBorders>
          </w:tcPr>
          <w:p>
            <w:pPr>
              <w:spacing w:after="0"/>
              <w:rPr>
                <w:sz w:val="18"/>
                <w:szCs w:val="18"/>
                <w:color w:val="auto"/>
              </w:rPr>
            </w:pPr>
          </w:p>
        </w:tc>
        <w:tc>
          <w:tcPr>
            <w:tcW w:w="600" w:type="dxa"/>
            <w:vAlign w:val="bottom"/>
            <w:tcBorders>
              <w:bottom w:val="single" w:sz="8" w:color="424E6A"/>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Ellen DeSanctis</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Alexandra D. Pruner</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Lawrence M. Ziemba</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60" w:type="dxa"/>
            <w:vAlign w:val="bottom"/>
            <w:tcBorders>
              <w:left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Class II Directors</w:t>
            </w:r>
          </w:p>
        </w:tc>
        <w:tc>
          <w:tcPr>
            <w:tcW w:w="960" w:type="dxa"/>
            <w:vAlign w:val="bottom"/>
            <w:tcBorders>
              <w:right w:val="single" w:sz="8" w:color="424E6A"/>
            </w:tcBorders>
            <w:shd w:val="clear" w:color="auto" w:fill="D9DCE1"/>
          </w:tcPr>
          <w:p>
            <w:pPr>
              <w:spacing w:after="0"/>
              <w:rPr>
                <w:sz w:val="17"/>
                <w:szCs w:val="17"/>
                <w:color w:val="auto"/>
              </w:rPr>
            </w:pP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D9DCE1"/>
            </w:tcBorders>
            <w:vMerge w:val="restart"/>
            <w:shd w:val="clear" w:color="auto" w:fill="D9DCE1"/>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860" w:type="dxa"/>
            <w:vAlign w:val="bottom"/>
            <w:tcBorders>
              <w:left w:val="single" w:sz="8" w:color="424E6A"/>
              <w:right w:val="single" w:sz="8" w:color="424E6A"/>
            </w:tcBorders>
            <w:vMerge w:val="restart"/>
            <w:shd w:val="clear" w:color="auto" w:fill="D9DCE1"/>
          </w:tcPr>
          <w:p>
            <w:pPr>
              <w:ind w:left="220"/>
              <w:spacing w:after="0"/>
              <w:rPr>
                <w:sz w:val="20"/>
                <w:szCs w:val="20"/>
                <w:color w:val="auto"/>
              </w:rPr>
            </w:pPr>
            <w:r>
              <w:rPr>
                <w:rFonts w:ascii="Arial" w:cs="Arial" w:eastAsia="Arial" w:hAnsi="Arial"/>
                <w:sz w:val="16"/>
                <w:szCs w:val="16"/>
                <w:color w:val="auto"/>
              </w:rPr>
              <w:t>(Term expires 2025)</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0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D9DCE1"/>
            </w:tcBorders>
            <w:vMerge w:val="continue"/>
            <w:shd w:val="clear" w:color="auto" w:fill="D9DCE1"/>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424E6A"/>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0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D9DCE1"/>
            </w:tcBorders>
            <w:shd w:val="clear" w:color="auto" w:fill="D9DCE1"/>
          </w:tcPr>
          <w:p>
            <w:pPr>
              <w:spacing w:after="0"/>
              <w:rPr>
                <w:sz w:val="9"/>
                <w:szCs w:val="9"/>
                <w:color w:val="auto"/>
              </w:rPr>
            </w:pPr>
          </w:p>
        </w:tc>
        <w:tc>
          <w:tcPr>
            <w:tcW w:w="140" w:type="dxa"/>
            <w:vAlign w:val="bottom"/>
            <w:tcBorders>
              <w:bottom w:val="single" w:sz="8" w:color="424E6A"/>
            </w:tcBorders>
          </w:tcPr>
          <w:p>
            <w:pPr>
              <w:spacing w:after="0"/>
              <w:rPr>
                <w:sz w:val="9"/>
                <w:szCs w:val="9"/>
                <w:color w:val="auto"/>
              </w:rPr>
            </w:pPr>
          </w:p>
        </w:tc>
        <w:tc>
          <w:tcPr>
            <w:tcW w:w="580" w:type="dxa"/>
            <w:vAlign w:val="bottom"/>
            <w:tcBorders>
              <w:bottom w:val="single" w:sz="8" w:color="424E6A"/>
            </w:tcBorders>
          </w:tcPr>
          <w:p>
            <w:pPr>
              <w:spacing w:after="0"/>
              <w:rPr>
                <w:sz w:val="9"/>
                <w:szCs w:val="9"/>
                <w:color w:val="auto"/>
              </w:rPr>
            </w:pPr>
          </w:p>
        </w:tc>
        <w:tc>
          <w:tcPr>
            <w:tcW w:w="140" w:type="dxa"/>
            <w:vAlign w:val="bottom"/>
            <w:tcBorders>
              <w:bottom w:val="single" w:sz="8" w:color="424E6A"/>
            </w:tcBorders>
          </w:tcPr>
          <w:p>
            <w:pPr>
              <w:spacing w:after="0"/>
              <w:rPr>
                <w:sz w:val="9"/>
                <w:szCs w:val="9"/>
                <w:color w:val="auto"/>
              </w:rPr>
            </w:pPr>
          </w:p>
        </w:tc>
        <w:tc>
          <w:tcPr>
            <w:tcW w:w="280" w:type="dxa"/>
            <w:vAlign w:val="bottom"/>
            <w:tcBorders>
              <w:bottom w:val="single" w:sz="8" w:color="424E6A"/>
            </w:tcBorders>
          </w:tcPr>
          <w:p>
            <w:pPr>
              <w:spacing w:after="0"/>
              <w:rPr>
                <w:sz w:val="9"/>
                <w:szCs w:val="9"/>
                <w:color w:val="auto"/>
              </w:rPr>
            </w:pPr>
          </w:p>
        </w:tc>
        <w:tc>
          <w:tcPr>
            <w:tcW w:w="440" w:type="dxa"/>
            <w:vAlign w:val="bottom"/>
            <w:tcBorders>
              <w:bottom w:val="single" w:sz="8" w:color="424E6A"/>
            </w:tcBorders>
          </w:tcPr>
          <w:p>
            <w:pPr>
              <w:spacing w:after="0"/>
              <w:rPr>
                <w:sz w:val="9"/>
                <w:szCs w:val="9"/>
                <w:color w:val="auto"/>
              </w:rPr>
            </w:pPr>
          </w:p>
        </w:tc>
        <w:tc>
          <w:tcPr>
            <w:tcW w:w="220" w:type="dxa"/>
            <w:vAlign w:val="bottom"/>
            <w:tcBorders>
              <w:bottom w:val="single" w:sz="8" w:color="424E6A"/>
            </w:tcBorders>
          </w:tcPr>
          <w:p>
            <w:pPr>
              <w:spacing w:after="0"/>
              <w:rPr>
                <w:sz w:val="9"/>
                <w:szCs w:val="9"/>
                <w:color w:val="auto"/>
              </w:rPr>
            </w:pPr>
          </w:p>
        </w:tc>
        <w:tc>
          <w:tcPr>
            <w:tcW w:w="120" w:type="dxa"/>
            <w:vAlign w:val="bottom"/>
            <w:tcBorders>
              <w:bottom w:val="single" w:sz="8" w:color="424E6A"/>
            </w:tcBorders>
          </w:tcPr>
          <w:p>
            <w:pPr>
              <w:spacing w:after="0"/>
              <w:rPr>
                <w:sz w:val="9"/>
                <w:szCs w:val="9"/>
                <w:color w:val="auto"/>
              </w:rPr>
            </w:pPr>
          </w:p>
        </w:tc>
        <w:tc>
          <w:tcPr>
            <w:tcW w:w="600" w:type="dxa"/>
            <w:vAlign w:val="bottom"/>
            <w:tcBorders>
              <w:bottom w:val="single" w:sz="8" w:color="424E6A"/>
              <w:right w:val="single" w:sz="8" w:color="424E6A"/>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Victor Burk*</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Kevin S. McCarthy*</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86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Harry N. Pefanis,</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1860" w:type="dxa"/>
            <w:vAlign w:val="bottom"/>
            <w:tcBorders>
              <w:left w:val="single" w:sz="8" w:color="424E6A"/>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President*</w:t>
            </w:r>
            <w:r>
              <w:rPr>
                <w:rFonts w:ascii="Arial" w:cs="Arial" w:eastAsia="Arial" w:hAnsi="Arial"/>
                <w:sz w:val="19"/>
                <w:szCs w:val="19"/>
                <w:color w:val="auto"/>
                <w:vertAlign w:val="superscript"/>
              </w:rPr>
              <w:t>(1)</w:t>
            </w:r>
          </w:p>
        </w:tc>
        <w:tc>
          <w:tcPr>
            <w:tcW w:w="960" w:type="dxa"/>
            <w:vAlign w:val="bottom"/>
            <w:tcBorders>
              <w:bottom w:val="single" w:sz="8" w:color="424E6A"/>
              <w:right w:val="single" w:sz="8" w:color="424E6A"/>
            </w:tcBorders>
          </w:tcPr>
          <w:p>
            <w:pPr>
              <w:spacing w:after="0"/>
              <w:rPr>
                <w:sz w:val="21"/>
                <w:szCs w:val="21"/>
                <w:color w:val="auto"/>
              </w:rPr>
            </w:pPr>
          </w:p>
        </w:tc>
        <w:tc>
          <w:tcPr>
            <w:tcW w:w="840" w:type="dxa"/>
            <w:vAlign w:val="bottom"/>
            <w:tcBorders>
              <w:bottom w:val="single" w:sz="8" w:color="424E6A"/>
              <w:right w:val="single" w:sz="8" w:color="424E6A"/>
            </w:tcBorders>
            <w:vMerge w:val="continue"/>
          </w:tcPr>
          <w:p>
            <w:pPr>
              <w:spacing w:after="0"/>
              <w:rPr>
                <w:sz w:val="21"/>
                <w:szCs w:val="21"/>
                <w:color w:val="auto"/>
              </w:rPr>
            </w:pPr>
          </w:p>
        </w:tc>
        <w:tc>
          <w:tcPr>
            <w:tcW w:w="1100" w:type="dxa"/>
            <w:vAlign w:val="bottom"/>
            <w:tcBorders>
              <w:bottom w:val="single" w:sz="8" w:color="424E6A"/>
              <w:right w:val="single" w:sz="8" w:color="424E6A"/>
            </w:tcBorders>
            <w:vMerge w:val="continue"/>
          </w:tcPr>
          <w:p>
            <w:pPr>
              <w:spacing w:after="0"/>
              <w:rPr>
                <w:sz w:val="21"/>
                <w:szCs w:val="21"/>
                <w:color w:val="auto"/>
              </w:rPr>
            </w:pPr>
          </w:p>
        </w:tc>
        <w:tc>
          <w:tcPr>
            <w:tcW w:w="940" w:type="dxa"/>
            <w:vAlign w:val="bottom"/>
            <w:tcBorders>
              <w:bottom w:val="single" w:sz="8" w:color="424E6A"/>
            </w:tcBorders>
            <w:vMerge w:val="continue"/>
          </w:tcPr>
          <w:p>
            <w:pPr>
              <w:spacing w:after="0"/>
              <w:rPr>
                <w:sz w:val="21"/>
                <w:szCs w:val="21"/>
                <w:color w:val="auto"/>
              </w:rPr>
            </w:pPr>
          </w:p>
        </w:tc>
        <w:tc>
          <w:tcPr>
            <w:tcW w:w="140" w:type="dxa"/>
            <w:vAlign w:val="bottom"/>
            <w:tcBorders>
              <w:bottom w:val="single" w:sz="8" w:color="424E6A"/>
            </w:tcBorders>
            <w:vMerge w:val="continue"/>
          </w:tcPr>
          <w:p>
            <w:pPr>
              <w:spacing w:after="0"/>
              <w:rPr>
                <w:sz w:val="21"/>
                <w:szCs w:val="21"/>
                <w:color w:val="auto"/>
              </w:rPr>
            </w:pPr>
          </w:p>
        </w:tc>
        <w:tc>
          <w:tcPr>
            <w:tcW w:w="580" w:type="dxa"/>
            <w:vAlign w:val="bottom"/>
            <w:tcBorders>
              <w:bottom w:val="single" w:sz="8" w:color="424E6A"/>
            </w:tcBorders>
            <w:vMerge w:val="continue"/>
          </w:tcPr>
          <w:p>
            <w:pPr>
              <w:spacing w:after="0"/>
              <w:rPr>
                <w:sz w:val="21"/>
                <w:szCs w:val="21"/>
                <w:color w:val="auto"/>
              </w:rPr>
            </w:pPr>
          </w:p>
        </w:tc>
        <w:tc>
          <w:tcPr>
            <w:tcW w:w="14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tcBorders>
            <w:vMerge w:val="continue"/>
          </w:tcPr>
          <w:p>
            <w:pPr>
              <w:spacing w:after="0"/>
              <w:rPr>
                <w:sz w:val="21"/>
                <w:szCs w:val="21"/>
                <w:color w:val="auto"/>
              </w:rPr>
            </w:pPr>
          </w:p>
        </w:tc>
        <w:tc>
          <w:tcPr>
            <w:tcW w:w="440" w:type="dxa"/>
            <w:vAlign w:val="bottom"/>
            <w:tcBorders>
              <w:bottom w:val="single" w:sz="8" w:color="424E6A"/>
            </w:tcBorders>
            <w:vMerge w:val="continue"/>
          </w:tcPr>
          <w:p>
            <w:pPr>
              <w:spacing w:after="0"/>
              <w:rPr>
                <w:sz w:val="21"/>
                <w:szCs w:val="21"/>
                <w:color w:val="auto"/>
              </w:rPr>
            </w:pPr>
          </w:p>
        </w:tc>
        <w:tc>
          <w:tcPr>
            <w:tcW w:w="220" w:type="dxa"/>
            <w:vAlign w:val="bottom"/>
            <w:tcBorders>
              <w:bottom w:val="single" w:sz="8" w:color="424E6A"/>
            </w:tcBorders>
          </w:tcPr>
          <w:p>
            <w:pPr>
              <w:spacing w:after="0"/>
              <w:rPr>
                <w:sz w:val="21"/>
                <w:szCs w:val="21"/>
                <w:color w:val="auto"/>
              </w:rPr>
            </w:pPr>
          </w:p>
        </w:tc>
        <w:tc>
          <w:tcPr>
            <w:tcW w:w="120" w:type="dxa"/>
            <w:vAlign w:val="bottom"/>
            <w:tcBorders>
              <w:bottom w:val="single" w:sz="8" w:color="424E6A"/>
            </w:tcBorders>
            <w:vMerge w:val="continue"/>
          </w:tcPr>
          <w:p>
            <w:pPr>
              <w:spacing w:after="0"/>
              <w:rPr>
                <w:sz w:val="21"/>
                <w:szCs w:val="21"/>
                <w:color w:val="auto"/>
              </w:rPr>
            </w:pPr>
          </w:p>
        </w:tc>
        <w:tc>
          <w:tcPr>
            <w:tcW w:w="600" w:type="dxa"/>
            <w:vAlign w:val="bottom"/>
            <w:tcBorders>
              <w:bottom w:val="single" w:sz="8" w:color="424E6A"/>
              <w:right w:val="single" w:sz="8" w:color="424E6A"/>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86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Gary R. Petersen*</w:t>
            </w:r>
          </w:p>
        </w:tc>
        <w:tc>
          <w:tcPr>
            <w:tcW w:w="960" w:type="dxa"/>
            <w:vAlign w:val="bottom"/>
            <w:tcBorders>
              <w:right w:val="single" w:sz="8" w:color="424E6A"/>
            </w:tcBorders>
          </w:tcPr>
          <w:p>
            <w:pPr>
              <w:spacing w:after="0"/>
              <w:rPr>
                <w:sz w:val="20"/>
                <w:szCs w:val="20"/>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1860" w:type="dxa"/>
            <w:vAlign w:val="bottom"/>
            <w:tcBorders>
              <w:left w:val="single" w:sz="8" w:color="424E6A"/>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00" w:type="dxa"/>
            <w:vAlign w:val="bottom"/>
            <w:tcBorders>
              <w:bottom w:val="single" w:sz="8" w:color="424E6A"/>
              <w:right w:val="single" w:sz="8" w:color="424E6A"/>
            </w:tcBorders>
          </w:tcPr>
          <w:p>
            <w:pPr>
              <w:spacing w:after="0"/>
              <w:rPr>
                <w:sz w:val="3"/>
                <w:szCs w:val="3"/>
                <w:color w:val="auto"/>
              </w:rPr>
            </w:pPr>
          </w:p>
        </w:tc>
        <w:tc>
          <w:tcPr>
            <w:tcW w:w="94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58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280" w:type="dxa"/>
            <w:vAlign w:val="bottom"/>
            <w:tcBorders>
              <w:bottom w:val="single" w:sz="8" w:color="424E6A"/>
            </w:tcBorders>
          </w:tcPr>
          <w:p>
            <w:pPr>
              <w:spacing w:after="0"/>
              <w:rPr>
                <w:sz w:val="3"/>
                <w:szCs w:val="3"/>
                <w:color w:val="auto"/>
              </w:rPr>
            </w:pPr>
          </w:p>
        </w:tc>
        <w:tc>
          <w:tcPr>
            <w:tcW w:w="440" w:type="dxa"/>
            <w:vAlign w:val="bottom"/>
            <w:tcBorders>
              <w:bottom w:val="single" w:sz="8" w:color="424E6A"/>
            </w:tcBorders>
          </w:tcPr>
          <w:p>
            <w:pPr>
              <w:spacing w:after="0"/>
              <w:rPr>
                <w:sz w:val="3"/>
                <w:szCs w:val="3"/>
                <w:color w:val="auto"/>
              </w:rPr>
            </w:pPr>
          </w:p>
        </w:tc>
        <w:tc>
          <w:tcPr>
            <w:tcW w:w="220" w:type="dxa"/>
            <w:vAlign w:val="bottom"/>
            <w:tcBorders>
              <w:bottom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6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-2236470</wp:posOffset>
            </wp:positionV>
            <wp:extent cx="3771900" cy="2237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719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820" w:type="dxa"/>
            <w:vAlign w:val="bottom"/>
            <w:tcBorders>
              <w:left w:val="single" w:sz="8" w:color="424E6A"/>
              <w:right w:val="single" w:sz="8" w:color="424E6A"/>
            </w:tcBorders>
            <w:shd w:val="clear" w:color="auto" w:fill="424E6A"/>
          </w:tcPr>
          <w:p>
            <w:pPr>
              <w:spacing w:after="0"/>
              <w:rPr>
                <w:sz w:val="21"/>
                <w:szCs w:val="21"/>
                <w:color w:val="auto"/>
              </w:rPr>
            </w:pPr>
          </w:p>
        </w:tc>
        <w:tc>
          <w:tcPr>
            <w:tcW w:w="960" w:type="dxa"/>
            <w:vAlign w:val="bottom"/>
            <w:tcBorders>
              <w:righ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ind w:left="22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Governance</w:t>
            </w:r>
          </w:p>
        </w:tc>
        <w:tc>
          <w:tcPr>
            <w:tcW w:w="6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58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HSES</w:t>
            </w:r>
          </w:p>
        </w:tc>
        <w:tc>
          <w:tcPr>
            <w:tcW w:w="140" w:type="dxa"/>
            <w:vAlign w:val="bottom"/>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6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85"/>
        </w:trPr>
        <w:tc>
          <w:tcPr>
            <w:tcW w:w="1820" w:type="dxa"/>
            <w:vAlign w:val="bottom"/>
            <w:tcBorders>
              <w:left w:val="single" w:sz="8" w:color="424E6A"/>
              <w:right w:val="single" w:sz="8" w:color="424E6A"/>
            </w:tcBorders>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Committee</w:t>
            </w:r>
          </w:p>
        </w:tc>
        <w:tc>
          <w:tcPr>
            <w:tcW w:w="92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 Committee</w:t>
            </w:r>
          </w:p>
        </w:tc>
        <w:tc>
          <w:tcPr>
            <w:tcW w:w="2580" w:type="dxa"/>
            <w:vAlign w:val="bottom"/>
            <w:tcBorders>
              <w:right w:val="single" w:sz="8" w:color="424E6A"/>
            </w:tcBorders>
            <w:gridSpan w:val="9"/>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 ​​Board Chair ​​Director</w:t>
            </w:r>
          </w:p>
        </w:tc>
        <w:tc>
          <w:tcPr>
            <w:tcW w:w="0" w:type="dxa"/>
            <w:vAlign w:val="bottom"/>
          </w:tcPr>
          <w:p>
            <w:pPr>
              <w:spacing w:after="0"/>
              <w:rPr>
                <w:sz w:val="1"/>
                <w:szCs w:val="1"/>
                <w:color w:val="auto"/>
              </w:rPr>
            </w:pPr>
          </w:p>
        </w:tc>
      </w:tr>
      <w:tr>
        <w:trPr>
          <w:trHeight w:val="202"/>
        </w:trPr>
        <w:tc>
          <w:tcPr>
            <w:tcW w:w="1820" w:type="dxa"/>
            <w:vAlign w:val="bottom"/>
            <w:tcBorders>
              <w:left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Class III Directors</w:t>
            </w:r>
          </w:p>
        </w:tc>
        <w:tc>
          <w:tcPr>
            <w:tcW w:w="960" w:type="dxa"/>
            <w:vAlign w:val="bottom"/>
            <w:tcBorders>
              <w:right w:val="single" w:sz="8" w:color="424E6A"/>
            </w:tcBorders>
            <w:shd w:val="clear" w:color="auto" w:fill="D9DCE1"/>
          </w:tcPr>
          <w:p>
            <w:pPr>
              <w:spacing w:after="0"/>
              <w:rPr>
                <w:sz w:val="17"/>
                <w:szCs w:val="17"/>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D9DCE1"/>
            </w:tcBorders>
            <w:vMerge w:val="restart"/>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820" w:type="dxa"/>
            <w:vAlign w:val="bottom"/>
            <w:tcBorders>
              <w:left w:val="single" w:sz="8" w:color="424E6A"/>
              <w:right w:val="single" w:sz="8" w:color="424E6A"/>
            </w:tcBorders>
            <w:vMerge w:val="restart"/>
            <w:shd w:val="clear" w:color="auto" w:fill="D9DCE1"/>
          </w:tcPr>
          <w:p>
            <w:pPr>
              <w:ind w:left="220"/>
              <w:spacing w:after="0"/>
              <w:rPr>
                <w:sz w:val="20"/>
                <w:szCs w:val="20"/>
                <w:color w:val="auto"/>
              </w:rPr>
            </w:pPr>
            <w:r>
              <w:rPr>
                <w:rFonts w:ascii="Arial" w:cs="Arial" w:eastAsia="Arial" w:hAnsi="Arial"/>
                <w:sz w:val="16"/>
                <w:szCs w:val="16"/>
                <w:color w:val="auto"/>
              </w:rPr>
              <w:t>(Term expires 2027)</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00" w:type="dxa"/>
            <w:vAlign w:val="bottom"/>
            <w:tcBorders>
              <w:right w:val="single" w:sz="8" w:color="D9DCE1"/>
            </w:tcBorders>
            <w:vMerge w:val="continue"/>
            <w:shd w:val="clear" w:color="auto" w:fill="D9DCE1"/>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820" w:type="dxa"/>
            <w:vAlign w:val="bottom"/>
            <w:tcBorders>
              <w:left w:val="single" w:sz="8" w:color="424E6A"/>
              <w:bottom w:val="single" w:sz="8" w:color="424E6A"/>
              <w:right w:val="single" w:sz="8" w:color="424E6A"/>
            </w:tcBorders>
            <w:vMerge w:val="continue"/>
            <w:shd w:val="clear" w:color="auto" w:fill="D9DCE1"/>
          </w:tcPr>
          <w:p>
            <w:pPr>
              <w:spacing w:after="0"/>
              <w:rPr>
                <w:sz w:val="8"/>
                <w:szCs w:val="8"/>
                <w:color w:val="auto"/>
              </w:rPr>
            </w:pPr>
          </w:p>
        </w:tc>
        <w:tc>
          <w:tcPr>
            <w:tcW w:w="960" w:type="dxa"/>
            <w:vAlign w:val="bottom"/>
            <w:tcBorders>
              <w:bottom w:val="single" w:sz="8" w:color="424E6A"/>
              <w:right w:val="single" w:sz="8" w:color="424E6A"/>
            </w:tcBorders>
            <w:shd w:val="clear" w:color="auto" w:fill="D9DCE1"/>
          </w:tcPr>
          <w:p>
            <w:pPr>
              <w:spacing w:after="0"/>
              <w:rPr>
                <w:sz w:val="8"/>
                <w:szCs w:val="8"/>
                <w:color w:val="auto"/>
              </w:rPr>
            </w:pPr>
          </w:p>
        </w:tc>
        <w:tc>
          <w:tcPr>
            <w:tcW w:w="840" w:type="dxa"/>
            <w:vAlign w:val="bottom"/>
            <w:tcBorders>
              <w:bottom w:val="single" w:sz="8" w:color="424E6A"/>
              <w:right w:val="single" w:sz="8" w:color="424E6A"/>
            </w:tcBorders>
            <w:shd w:val="clear" w:color="auto" w:fill="D9DCE1"/>
          </w:tcPr>
          <w:p>
            <w:pPr>
              <w:spacing w:after="0"/>
              <w:rPr>
                <w:sz w:val="8"/>
                <w:szCs w:val="8"/>
                <w:color w:val="auto"/>
              </w:rPr>
            </w:pPr>
          </w:p>
        </w:tc>
        <w:tc>
          <w:tcPr>
            <w:tcW w:w="1100" w:type="dxa"/>
            <w:vAlign w:val="bottom"/>
            <w:tcBorders>
              <w:bottom w:val="single" w:sz="8" w:color="424E6A"/>
              <w:right w:val="single" w:sz="8" w:color="D9DCE1"/>
            </w:tcBorders>
            <w:shd w:val="clear" w:color="auto" w:fill="D9DCE1"/>
          </w:tcPr>
          <w:p>
            <w:pPr>
              <w:spacing w:after="0"/>
              <w:rPr>
                <w:sz w:val="8"/>
                <w:szCs w:val="8"/>
                <w:color w:val="auto"/>
              </w:rPr>
            </w:pPr>
          </w:p>
        </w:tc>
        <w:tc>
          <w:tcPr>
            <w:tcW w:w="300" w:type="dxa"/>
            <w:vAlign w:val="bottom"/>
            <w:tcBorders>
              <w:bottom w:val="single" w:sz="8" w:color="424E6A"/>
            </w:tcBorders>
          </w:tcPr>
          <w:p>
            <w:pPr>
              <w:spacing w:after="0"/>
              <w:rPr>
                <w:sz w:val="8"/>
                <w:szCs w:val="8"/>
                <w:color w:val="auto"/>
              </w:rPr>
            </w:pPr>
          </w:p>
        </w:tc>
        <w:tc>
          <w:tcPr>
            <w:tcW w:w="620" w:type="dxa"/>
            <w:vAlign w:val="bottom"/>
            <w:tcBorders>
              <w:bottom w:val="single" w:sz="8" w:color="424E6A"/>
            </w:tcBorders>
          </w:tcPr>
          <w:p>
            <w:pPr>
              <w:spacing w:after="0"/>
              <w:rPr>
                <w:sz w:val="8"/>
                <w:szCs w:val="8"/>
                <w:color w:val="auto"/>
              </w:rPr>
            </w:pPr>
          </w:p>
        </w:tc>
        <w:tc>
          <w:tcPr>
            <w:tcW w:w="60" w:type="dxa"/>
            <w:vAlign w:val="bottom"/>
            <w:tcBorders>
              <w:bottom w:val="single" w:sz="8" w:color="424E6A"/>
            </w:tcBorders>
          </w:tcPr>
          <w:p>
            <w:pPr>
              <w:spacing w:after="0"/>
              <w:rPr>
                <w:sz w:val="8"/>
                <w:szCs w:val="8"/>
                <w:color w:val="auto"/>
              </w:rPr>
            </w:pPr>
          </w:p>
        </w:tc>
        <w:tc>
          <w:tcPr>
            <w:tcW w:w="140" w:type="dxa"/>
            <w:vAlign w:val="bottom"/>
            <w:tcBorders>
              <w:bottom w:val="single" w:sz="8" w:color="424E6A"/>
            </w:tcBorders>
          </w:tcPr>
          <w:p>
            <w:pPr>
              <w:spacing w:after="0"/>
              <w:rPr>
                <w:sz w:val="8"/>
                <w:szCs w:val="8"/>
                <w:color w:val="auto"/>
              </w:rPr>
            </w:pPr>
          </w:p>
        </w:tc>
        <w:tc>
          <w:tcPr>
            <w:tcW w:w="580" w:type="dxa"/>
            <w:vAlign w:val="bottom"/>
            <w:tcBorders>
              <w:bottom w:val="single" w:sz="8" w:color="424E6A"/>
            </w:tcBorders>
          </w:tcPr>
          <w:p>
            <w:pPr>
              <w:spacing w:after="0"/>
              <w:rPr>
                <w:sz w:val="8"/>
                <w:szCs w:val="8"/>
                <w:color w:val="auto"/>
              </w:rPr>
            </w:pPr>
          </w:p>
        </w:tc>
        <w:tc>
          <w:tcPr>
            <w:tcW w:w="140" w:type="dxa"/>
            <w:vAlign w:val="bottom"/>
            <w:tcBorders>
              <w:bottom w:val="single" w:sz="8" w:color="424E6A"/>
            </w:tcBorders>
          </w:tcPr>
          <w:p>
            <w:pPr>
              <w:spacing w:after="0"/>
              <w:rPr>
                <w:sz w:val="8"/>
                <w:szCs w:val="8"/>
                <w:color w:val="auto"/>
              </w:rPr>
            </w:pPr>
          </w:p>
        </w:tc>
        <w:tc>
          <w:tcPr>
            <w:tcW w:w="280" w:type="dxa"/>
            <w:vAlign w:val="bottom"/>
            <w:tcBorders>
              <w:bottom w:val="single" w:sz="8" w:color="424E6A"/>
            </w:tcBorders>
          </w:tcPr>
          <w:p>
            <w:pPr>
              <w:spacing w:after="0"/>
              <w:rPr>
                <w:sz w:val="8"/>
                <w:szCs w:val="8"/>
                <w:color w:val="auto"/>
              </w:rPr>
            </w:pPr>
          </w:p>
        </w:tc>
        <w:tc>
          <w:tcPr>
            <w:tcW w:w="440" w:type="dxa"/>
            <w:vAlign w:val="bottom"/>
            <w:tcBorders>
              <w:bottom w:val="single" w:sz="8" w:color="424E6A"/>
            </w:tcBorders>
          </w:tcPr>
          <w:p>
            <w:pPr>
              <w:spacing w:after="0"/>
              <w:rPr>
                <w:sz w:val="8"/>
                <w:szCs w:val="8"/>
                <w:color w:val="auto"/>
              </w:rPr>
            </w:pPr>
          </w:p>
        </w:tc>
        <w:tc>
          <w:tcPr>
            <w:tcW w:w="220" w:type="dxa"/>
            <w:vAlign w:val="bottom"/>
            <w:tcBorders>
              <w:bottom w:val="single" w:sz="8" w:color="424E6A"/>
            </w:tcBorders>
          </w:tcPr>
          <w:p>
            <w:pPr>
              <w:spacing w:after="0"/>
              <w:rPr>
                <w:sz w:val="8"/>
                <w:szCs w:val="8"/>
                <w:color w:val="auto"/>
              </w:rPr>
            </w:pPr>
          </w:p>
        </w:tc>
        <w:tc>
          <w:tcPr>
            <w:tcW w:w="120" w:type="dxa"/>
            <w:vAlign w:val="bottom"/>
            <w:tcBorders>
              <w:bottom w:val="single" w:sz="8" w:color="424E6A"/>
            </w:tcBorders>
          </w:tcPr>
          <w:p>
            <w:pPr>
              <w:spacing w:after="0"/>
              <w:rPr>
                <w:sz w:val="8"/>
                <w:szCs w:val="8"/>
                <w:color w:val="auto"/>
              </w:rPr>
            </w:pPr>
          </w:p>
        </w:tc>
        <w:tc>
          <w:tcPr>
            <w:tcW w:w="600" w:type="dxa"/>
            <w:vAlign w:val="bottom"/>
            <w:tcBorders>
              <w:bottom w:val="single" w:sz="8" w:color="424E6A"/>
              <w:right w:val="single" w:sz="8" w:color="424E6A"/>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Greg L. Armstrong,</w:t>
            </w:r>
          </w:p>
        </w:tc>
        <w:tc>
          <w:tcPr>
            <w:tcW w:w="960" w:type="dxa"/>
            <w:vAlign w:val="bottom"/>
            <w:tcBorders>
              <w:right w:val="single" w:sz="8" w:color="424E6A"/>
            </w:tcBorders>
          </w:tcPr>
          <w:p>
            <w:pPr>
              <w:spacing w:after="0"/>
              <w:rPr>
                <w:sz w:val="18"/>
                <w:szCs w:val="18"/>
                <w:color w:val="auto"/>
              </w:rPr>
            </w:pPr>
          </w:p>
        </w:tc>
        <w:tc>
          <w:tcPr>
            <w:tcW w:w="840" w:type="dxa"/>
            <w:vAlign w:val="bottom"/>
            <w:tcBorders>
              <w:right w:val="single" w:sz="8" w:color="424E6A"/>
            </w:tcBorders>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2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Senior Advisor to</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restart"/>
          </w:tcPr>
          <w:p>
            <w:pPr>
              <w:ind w:left="4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2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the CEO (former</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tcBorders>
              <w:right w:val="single" w:sz="8" w:color="424E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424E6A"/>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Board and CEO)</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00" w:type="dxa"/>
            <w:vAlign w:val="bottom"/>
            <w:tcBorders>
              <w:bottom w:val="single" w:sz="8" w:color="424E6A"/>
            </w:tcBorders>
          </w:tcPr>
          <w:p>
            <w:pPr>
              <w:spacing w:after="0"/>
              <w:rPr>
                <w:sz w:val="17"/>
                <w:szCs w:val="17"/>
                <w:color w:val="auto"/>
              </w:rPr>
            </w:pPr>
          </w:p>
        </w:tc>
        <w:tc>
          <w:tcPr>
            <w:tcW w:w="300" w:type="dxa"/>
            <w:vAlign w:val="bottom"/>
            <w:tcBorders>
              <w:bottom w:val="single" w:sz="8" w:color="424E6A"/>
            </w:tcBorders>
          </w:tcPr>
          <w:p>
            <w:pPr>
              <w:spacing w:after="0"/>
              <w:rPr>
                <w:sz w:val="17"/>
                <w:szCs w:val="17"/>
                <w:color w:val="auto"/>
              </w:rPr>
            </w:pPr>
          </w:p>
        </w:tc>
        <w:tc>
          <w:tcPr>
            <w:tcW w:w="620" w:type="dxa"/>
            <w:vAlign w:val="bottom"/>
            <w:tcBorders>
              <w:bottom w:val="single" w:sz="8" w:color="424E6A"/>
            </w:tcBorders>
          </w:tcPr>
          <w:p>
            <w:pPr>
              <w:spacing w:after="0"/>
              <w:rPr>
                <w:sz w:val="17"/>
                <w:szCs w:val="17"/>
                <w:color w:val="auto"/>
              </w:rPr>
            </w:pPr>
          </w:p>
        </w:tc>
        <w:tc>
          <w:tcPr>
            <w:tcW w:w="6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58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280" w:type="dxa"/>
            <w:vAlign w:val="bottom"/>
            <w:tcBorders>
              <w:bottom w:val="single" w:sz="8" w:color="424E6A"/>
            </w:tcBorders>
          </w:tcPr>
          <w:p>
            <w:pPr>
              <w:spacing w:after="0"/>
              <w:rPr>
                <w:sz w:val="17"/>
                <w:szCs w:val="17"/>
                <w:color w:val="auto"/>
              </w:rPr>
            </w:pPr>
          </w:p>
        </w:tc>
        <w:tc>
          <w:tcPr>
            <w:tcW w:w="440" w:type="dxa"/>
            <w:vAlign w:val="bottom"/>
            <w:tcBorders>
              <w:bottom w:val="single" w:sz="8" w:color="424E6A"/>
            </w:tcBorders>
          </w:tcPr>
          <w:p>
            <w:pPr>
              <w:spacing w:after="0"/>
              <w:rPr>
                <w:sz w:val="17"/>
                <w:szCs w:val="17"/>
                <w:color w:val="auto"/>
              </w:rPr>
            </w:pPr>
          </w:p>
        </w:tc>
        <w:tc>
          <w:tcPr>
            <w:tcW w:w="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60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2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John T. Raymond</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tcBorders>
          </w:tcPr>
          <w:p>
            <w:pPr>
              <w:spacing w:after="0"/>
              <w:rPr>
                <w:sz w:val="20"/>
                <w:szCs w:val="20"/>
                <w:color w:val="auto"/>
              </w:rPr>
            </w:pPr>
          </w:p>
        </w:tc>
        <w:tc>
          <w:tcPr>
            <w:tcW w:w="30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Bobby S. Shackouls</w:t>
            </w:r>
          </w:p>
        </w:tc>
        <w:tc>
          <w:tcPr>
            <w:tcW w:w="960" w:type="dxa"/>
            <w:vAlign w:val="bottom"/>
            <w:tcBorders>
              <w:right w:val="single" w:sz="8" w:color="424E6A"/>
            </w:tcBorders>
          </w:tcPr>
          <w:p>
            <w:pPr>
              <w:spacing w:after="0"/>
              <w:rPr>
                <w:sz w:val="21"/>
                <w:szCs w:val="21"/>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1820" w:type="dxa"/>
            <w:vAlign w:val="bottom"/>
            <w:tcBorders>
              <w:left w:val="single" w:sz="8" w:color="424E6A"/>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00" w:type="dxa"/>
            <w:vAlign w:val="bottom"/>
            <w:tcBorders>
              <w:bottom w:val="single" w:sz="8" w:color="424E6A"/>
            </w:tcBorders>
          </w:tcPr>
          <w:p>
            <w:pPr>
              <w:spacing w:after="0"/>
              <w:rPr>
                <w:sz w:val="3"/>
                <w:szCs w:val="3"/>
                <w:color w:val="auto"/>
              </w:rPr>
            </w:pPr>
          </w:p>
        </w:tc>
        <w:tc>
          <w:tcPr>
            <w:tcW w:w="300" w:type="dxa"/>
            <w:vAlign w:val="bottom"/>
            <w:tcBorders>
              <w:bottom w:val="single" w:sz="8" w:color="424E6A"/>
            </w:tcBorders>
          </w:tcPr>
          <w:p>
            <w:pPr>
              <w:spacing w:after="0"/>
              <w:rPr>
                <w:sz w:val="3"/>
                <w:szCs w:val="3"/>
                <w:color w:val="auto"/>
              </w:rPr>
            </w:pPr>
          </w:p>
        </w:tc>
        <w:tc>
          <w:tcPr>
            <w:tcW w:w="620" w:type="dxa"/>
            <w:vAlign w:val="bottom"/>
            <w:tcBorders>
              <w:bottom w:val="single" w:sz="8" w:color="424E6A"/>
            </w:tcBorders>
          </w:tcPr>
          <w:p>
            <w:pPr>
              <w:spacing w:after="0"/>
              <w:rPr>
                <w:sz w:val="3"/>
                <w:szCs w:val="3"/>
                <w:color w:val="auto"/>
              </w:rPr>
            </w:pPr>
          </w:p>
        </w:tc>
        <w:tc>
          <w:tcPr>
            <w:tcW w:w="6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58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280" w:type="dxa"/>
            <w:vAlign w:val="bottom"/>
            <w:tcBorders>
              <w:bottom w:val="single" w:sz="8" w:color="424E6A"/>
            </w:tcBorders>
          </w:tcPr>
          <w:p>
            <w:pPr>
              <w:spacing w:after="0"/>
              <w:rPr>
                <w:sz w:val="3"/>
                <w:szCs w:val="3"/>
                <w:color w:val="auto"/>
              </w:rPr>
            </w:pPr>
          </w:p>
        </w:tc>
        <w:tc>
          <w:tcPr>
            <w:tcW w:w="440" w:type="dxa"/>
            <w:vAlign w:val="bottom"/>
            <w:tcBorders>
              <w:bottom w:val="single" w:sz="8" w:color="424E6A"/>
            </w:tcBorders>
          </w:tcPr>
          <w:p>
            <w:pPr>
              <w:spacing w:after="0"/>
              <w:rPr>
                <w:sz w:val="3"/>
                <w:szCs w:val="3"/>
                <w:color w:val="auto"/>
              </w:rPr>
            </w:pPr>
          </w:p>
        </w:tc>
        <w:tc>
          <w:tcPr>
            <w:tcW w:w="220" w:type="dxa"/>
            <w:vAlign w:val="bottom"/>
            <w:tcBorders>
              <w:bottom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6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-1276985</wp:posOffset>
            </wp:positionV>
            <wp:extent cx="3789045" cy="127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89045" cy="1277620"/>
                    </a:xfrm>
                    <a:prstGeom prst="rect">
                      <a:avLst/>
                    </a:prstGeom>
                    <a:noFill/>
                  </pic:spPr>
                </pic:pic>
              </a:graphicData>
            </a:graphic>
          </wp:anchor>
        </w:drawing>
      </w:r>
    </w:p>
    <w:p>
      <w:pPr>
        <w:spacing w:after="0" w:line="96" w:lineRule="exact"/>
        <w:rPr>
          <w:sz w:val="20"/>
          <w:szCs w:val="20"/>
          <w:color w:val="auto"/>
        </w:rPr>
      </w:pPr>
    </w:p>
    <w:p>
      <w:pPr>
        <w:ind w:left="1700" w:hanging="440"/>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Nominated by the Board for election at the 2025 Annual Meeting.</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77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7683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6858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6858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2" w:lineRule="exact"/>
        <w:rPr>
          <w:sz w:val="20"/>
          <w:szCs w:val="20"/>
          <w:color w:val="auto"/>
        </w:rPr>
      </w:pPr>
    </w:p>
    <w:p>
      <w:pPr>
        <w:ind w:left="1700" w:right="459" w:hanging="431"/>
        <w:spacing w:after="0" w:line="262" w:lineRule="auto"/>
        <w:tabs>
          <w:tab w:leader="none" w:pos="1680" w:val="left"/>
        </w:tabs>
        <w:rPr>
          <w:sz w:val="20"/>
          <w:szCs w:val="20"/>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w:t>
        <w:tab/>
        <w:t>Mr. Pefanis will retire as President of Plains effective June 1, 2025, and thereafter will serve as a Senior Advisor to the CEO. If elected at the 2025 Annual Meeting, Mr. Pefanis will continue serving on the Board as a Class II Director until the 2028 Annual Meeting, subject to his earlier resignation, death or removal.</w:t>
      </w: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44" w:lineRule="exact"/>
        <w:rPr>
          <w:sz w:val="20"/>
          <w:szCs w:val="20"/>
          <w:color w:val="auto"/>
        </w:rPr>
      </w:pPr>
    </w:p>
    <w:p>
      <w:pPr>
        <w:ind w:left="1260" w:right="539" w:firstLine="360"/>
        <w:spacing w:after="0" w:line="285" w:lineRule="auto"/>
        <w:rPr>
          <w:sz w:val="20"/>
          <w:szCs w:val="20"/>
          <w:color w:val="auto"/>
        </w:rPr>
      </w:pPr>
      <w:r>
        <w:rPr>
          <w:rFonts w:ascii="Arial" w:cs="Arial" w:eastAsia="Arial" w:hAnsi="Arial"/>
          <w:sz w:val="17"/>
          <w:szCs w:val="17"/>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attributes of the candidate in the context of the needs of the Board. It is the policy and practice of the Governance Committee and the Board to consider a candidate’s background and attributes in connection with the process of identifying and assessing potential Board candidates.</w:t>
      </w:r>
    </w:p>
    <w:p>
      <w:pPr>
        <w:spacing w:after="0" w:line="90" w:lineRule="exact"/>
        <w:rPr>
          <w:sz w:val="20"/>
          <w:szCs w:val="20"/>
          <w:color w:val="auto"/>
        </w:rPr>
      </w:pPr>
    </w:p>
    <w:p>
      <w:pPr>
        <w:ind w:left="1260" w:right="439" w:firstLine="360"/>
        <w:spacing w:after="0" w:line="282" w:lineRule="auto"/>
        <w:rPr>
          <w:sz w:val="20"/>
          <w:szCs w:val="20"/>
          <w:color w:val="auto"/>
        </w:rPr>
      </w:pPr>
      <w:r>
        <w:rPr>
          <w:rFonts w:ascii="Arial" w:cs="Arial" w:eastAsia="Arial" w:hAnsi="Arial"/>
          <w:sz w:val="17"/>
          <w:szCs w:val="17"/>
          <w:color w:val="auto"/>
        </w:rPr>
        <w:t>Our board assessment, refreshment and succession planning process involves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individual director evaluations are updated on a regular basis with assistance and oversight of the Governance Committee. The Governance Committee also oversees the Board’s annual self-assessment process as well as the process by which the Board assesses the effectiveness of its various committees.</w:t>
      </w:r>
    </w:p>
    <w:p>
      <w:pPr>
        <w:spacing w:after="0" w:line="10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attributes, background and experience in light of the needs of the Board. For incumbent directors, factors also include past performance on the Board. The Board has determined that it is beneficial to have individuals on the Board with the following skills, experiences and attributes (See the Director Skills Matrix below for an overview of the skills, experiences and attributes of our current Board members):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09"/>
        </w:trPr>
        <w:tc>
          <w:tcPr>
            <w:tcW w:w="37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Industry Experience (Upstream/Midstream/Downstream)</w:t>
            </w:r>
          </w:p>
        </w:tc>
      </w:tr>
      <w:tr>
        <w:trPr>
          <w:trHeight w:val="21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Governance/Government Relations/Legal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Cybersecurity/IT</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Operations/Engineering/Construction/Technical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Energy Evolution</w:t>
            </w:r>
          </w:p>
        </w:tc>
      </w:tr>
      <w:tr>
        <w:trPr>
          <w:trHeight w:val="151"/>
        </w:trPr>
        <w:tc>
          <w:tcPr>
            <w:tcW w:w="160" w:type="dxa"/>
            <w:vAlign w:val="bottom"/>
            <w:tcBorders>
              <w:left w:val="single" w:sz="8" w:color="auto"/>
              <w:bottom w:val="single" w:sz="8" w:color="auto"/>
            </w:tcBorders>
          </w:tcPr>
          <w:p>
            <w:pPr>
              <w:spacing w:after="0"/>
              <w:rPr>
                <w:sz w:val="13"/>
                <w:szCs w:val="13"/>
                <w:color w:val="auto"/>
              </w:rPr>
            </w:pPr>
          </w:p>
        </w:tc>
        <w:tc>
          <w:tcPr>
            <w:tcW w:w="356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300" w:type="dxa"/>
            <w:vAlign w:val="bottom"/>
            <w:tcBorders>
              <w:bottom w:val="single" w:sz="8" w:color="auto"/>
              <w:right w:val="single" w:sz="8" w:color="auto"/>
            </w:tcBorders>
          </w:tcPr>
          <w:p>
            <w:pPr>
              <w:spacing w:after="0"/>
              <w:rPr>
                <w:sz w:val="13"/>
                <w:szCs w:val="13"/>
                <w:color w:val="auto"/>
              </w:rPr>
            </w:pPr>
          </w:p>
        </w:tc>
      </w:tr>
    </w:tbl>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380" w:type="dxa"/>
            <w:vAlign w:val="bottom"/>
            <w:tcBorders>
              <w:left w:val="single" w:sz="8" w:color="424E6A"/>
              <w:right w:val="single" w:sz="8" w:color="auto"/>
            </w:tcBorders>
            <w:shd w:val="clear" w:color="auto" w:fill="424E6A"/>
          </w:tcPr>
          <w:p>
            <w:pPr>
              <w:spacing w:after="0"/>
              <w:rPr>
                <w:sz w:val="23"/>
                <w:szCs w:val="23"/>
                <w:color w:val="auto"/>
              </w:rPr>
            </w:pPr>
          </w:p>
        </w:tc>
        <w:tc>
          <w:tcPr>
            <w:tcW w:w="60" w:type="dxa"/>
            <w:vAlign w:val="bottom"/>
            <w:shd w:val="clear" w:color="auto" w:fill="424E6A"/>
          </w:tcPr>
          <w:p>
            <w:pPr>
              <w:spacing w:after="0"/>
              <w:rPr>
                <w:sz w:val="23"/>
                <w:szCs w:val="23"/>
                <w:color w:val="auto"/>
              </w:rPr>
            </w:pPr>
          </w:p>
        </w:tc>
        <w:tc>
          <w:tcPr>
            <w:tcW w:w="580" w:type="dxa"/>
            <w:vAlign w:val="bottom"/>
            <w:shd w:val="clear" w:color="auto" w:fill="424E6A"/>
          </w:tcPr>
          <w:p>
            <w:pPr>
              <w:spacing w:after="0"/>
              <w:rPr>
                <w:sz w:val="20"/>
                <w:szCs w:val="20"/>
                <w:color w:val="auto"/>
              </w:rPr>
            </w:pPr>
            <w:r>
              <w:rPr>
                <w:rFonts w:ascii="Arial" w:cs="Arial" w:eastAsia="Arial" w:hAnsi="Arial"/>
                <w:sz w:val="11"/>
                <w:szCs w:val="11"/>
                <w:b w:val="1"/>
                <w:bCs w:val="1"/>
                <w:color w:val="FFFFFF"/>
                <w:w w:val="99"/>
              </w:rPr>
              <w:t>Armstrong</w:t>
            </w:r>
          </w:p>
        </w:tc>
        <w:tc>
          <w:tcPr>
            <w:tcW w:w="100" w:type="dxa"/>
            <w:vAlign w:val="bottom"/>
            <w:tcBorders>
              <w:right w:val="single" w:sz="8" w:color="auto"/>
            </w:tcBorders>
            <w:shd w:val="clear" w:color="auto" w:fill="424E6A"/>
          </w:tcPr>
          <w:p>
            <w:pPr>
              <w:spacing w:after="0"/>
              <w:rPr>
                <w:sz w:val="23"/>
                <w:szCs w:val="23"/>
                <w:color w:val="auto"/>
              </w:rPr>
            </w:pPr>
          </w:p>
        </w:tc>
        <w:tc>
          <w:tcPr>
            <w:tcW w:w="40" w:type="dxa"/>
            <w:vAlign w:val="bottom"/>
            <w:shd w:val="clear" w:color="auto" w:fill="424E6A"/>
          </w:tcPr>
          <w:p>
            <w:pPr>
              <w:spacing w:after="0"/>
              <w:rPr>
                <w:sz w:val="23"/>
                <w:szCs w:val="23"/>
                <w:color w:val="auto"/>
              </w:rPr>
            </w:pPr>
          </w:p>
        </w:tc>
        <w:tc>
          <w:tcPr>
            <w:tcW w:w="280" w:type="dxa"/>
            <w:vAlign w:val="bottom"/>
            <w:shd w:val="clear" w:color="auto" w:fill="424E6A"/>
          </w:tcPr>
          <w:p>
            <w:pPr>
              <w:ind w:left="20"/>
              <w:spacing w:after="0"/>
              <w:rPr>
                <w:sz w:val="20"/>
                <w:szCs w:val="20"/>
                <w:color w:val="auto"/>
              </w:rPr>
            </w:pPr>
            <w:r>
              <w:rPr>
                <w:rFonts w:ascii="Arial" w:cs="Arial" w:eastAsia="Arial" w:hAnsi="Arial"/>
                <w:sz w:val="11"/>
                <w:szCs w:val="11"/>
                <w:b w:val="1"/>
                <w:bCs w:val="1"/>
                <w:color w:val="FFFFFF"/>
                <w:w w:val="95"/>
              </w:rPr>
              <w:t>Burk</w:t>
            </w:r>
          </w:p>
        </w:tc>
        <w:tc>
          <w:tcPr>
            <w:tcW w:w="80" w:type="dxa"/>
            <w:vAlign w:val="bottom"/>
            <w:tcBorders>
              <w:right w:val="single" w:sz="8" w:color="auto"/>
            </w:tcBorders>
            <w:shd w:val="clear" w:color="auto" w:fill="424E6A"/>
          </w:tcPr>
          <w:p>
            <w:pPr>
              <w:spacing w:after="0"/>
              <w:rPr>
                <w:sz w:val="23"/>
                <w:szCs w:val="23"/>
                <w:color w:val="auto"/>
              </w:rPr>
            </w:pPr>
          </w:p>
        </w:tc>
        <w:tc>
          <w:tcPr>
            <w:tcW w:w="40" w:type="dxa"/>
            <w:vAlign w:val="bottom"/>
            <w:shd w:val="clear" w:color="auto" w:fill="424E6A"/>
          </w:tcPr>
          <w:p>
            <w:pPr>
              <w:spacing w:after="0"/>
              <w:rPr>
                <w:sz w:val="23"/>
                <w:szCs w:val="23"/>
                <w:color w:val="auto"/>
              </w:rPr>
            </w:pPr>
          </w:p>
        </w:tc>
        <w:tc>
          <w:tcPr>
            <w:tcW w:w="520" w:type="dxa"/>
            <w:vAlign w:val="bottom"/>
            <w:tcBorders>
              <w:right w:val="single" w:sz="8" w:color="auto"/>
            </w:tcBorders>
            <w:gridSpan w:val="2"/>
            <w:shd w:val="clear" w:color="auto" w:fill="424E6A"/>
          </w:tcPr>
          <w:p>
            <w:pPr>
              <w:jc w:val="right"/>
              <w:spacing w:after="0"/>
              <w:rPr>
                <w:sz w:val="20"/>
                <w:szCs w:val="20"/>
                <w:color w:val="auto"/>
              </w:rPr>
            </w:pPr>
            <w:r>
              <w:rPr>
                <w:rFonts w:ascii="Arial" w:cs="Arial" w:eastAsia="Arial" w:hAnsi="Arial"/>
                <w:sz w:val="11"/>
                <w:szCs w:val="11"/>
                <w:b w:val="1"/>
                <w:bCs w:val="1"/>
                <w:color w:val="FFFFFF"/>
              </w:rPr>
              <w:t xml:space="preserve">Chiang </w:t>
            </w:r>
            <w:r>
              <w:rPr>
                <w:rFonts w:ascii="Arial" w:cs="Arial" w:eastAsia="Arial" w:hAnsi="Arial"/>
                <w:sz w:val="22"/>
                <w:szCs w:val="22"/>
                <w:b w:val="1"/>
                <w:bCs w:val="1"/>
                <w:color w:val="FFFFFF"/>
                <w:vertAlign w:val="subscript"/>
              </w:rPr>
              <w:t>​</w:t>
            </w:r>
          </w:p>
        </w:tc>
        <w:tc>
          <w:tcPr>
            <w:tcW w:w="72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DeSanctis </w:t>
            </w:r>
            <w:r>
              <w:rPr>
                <w:rFonts w:ascii="Arial" w:cs="Arial" w:eastAsia="Arial" w:hAnsi="Arial"/>
                <w:sz w:val="22"/>
                <w:szCs w:val="22"/>
                <w:b w:val="1"/>
                <w:bCs w:val="1"/>
                <w:color w:val="FFFFFF"/>
                <w:vertAlign w:val="subscript"/>
              </w:rPr>
              <w:t>​</w:t>
            </w:r>
          </w:p>
        </w:tc>
        <w:tc>
          <w:tcPr>
            <w:tcW w:w="70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McCarthy </w:t>
            </w:r>
            <w:r>
              <w:rPr>
                <w:rFonts w:ascii="Arial" w:cs="Arial" w:eastAsia="Arial" w:hAnsi="Arial"/>
                <w:sz w:val="22"/>
                <w:szCs w:val="22"/>
                <w:b w:val="1"/>
                <w:bCs w:val="1"/>
                <w:color w:val="FFFFFF"/>
                <w:vertAlign w:val="subscript"/>
              </w:rPr>
              <w:t>​</w:t>
            </w:r>
          </w:p>
        </w:tc>
        <w:tc>
          <w:tcPr>
            <w:tcW w:w="56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Pefanis </w:t>
            </w:r>
            <w:r>
              <w:rPr>
                <w:rFonts w:ascii="Arial" w:cs="Arial" w:eastAsia="Arial" w:hAnsi="Arial"/>
                <w:sz w:val="22"/>
                <w:szCs w:val="22"/>
                <w:b w:val="1"/>
                <w:bCs w:val="1"/>
                <w:color w:val="FFFFFF"/>
                <w:vertAlign w:val="subscript"/>
              </w:rPr>
              <w:t>​</w:t>
            </w:r>
          </w:p>
        </w:tc>
        <w:tc>
          <w:tcPr>
            <w:tcW w:w="660" w:type="dxa"/>
            <w:vAlign w:val="bottom"/>
            <w:tcBorders>
              <w:right w:val="single" w:sz="8" w:color="auto"/>
            </w:tcBorders>
            <w:gridSpan w:val="3"/>
            <w:shd w:val="clear" w:color="auto" w:fill="424E6A"/>
          </w:tcPr>
          <w:p>
            <w:pPr>
              <w:ind w:left="4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Petersen </w:t>
            </w:r>
            <w:r>
              <w:rPr>
                <w:rFonts w:ascii="Arial" w:cs="Arial" w:eastAsia="Arial" w:hAnsi="Arial"/>
                <w:sz w:val="22"/>
                <w:szCs w:val="22"/>
                <w:b w:val="1"/>
                <w:bCs w:val="1"/>
                <w:color w:val="FFFFFF"/>
                <w:vertAlign w:val="subscript"/>
              </w:rPr>
              <w:t>​</w:t>
            </w:r>
          </w:p>
        </w:tc>
        <w:tc>
          <w:tcPr>
            <w:tcW w:w="54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Pruner </w:t>
            </w:r>
            <w:r>
              <w:rPr>
                <w:rFonts w:ascii="Arial" w:cs="Arial" w:eastAsia="Arial" w:hAnsi="Arial"/>
                <w:sz w:val="22"/>
                <w:szCs w:val="22"/>
                <w:b w:val="1"/>
                <w:bCs w:val="1"/>
                <w:color w:val="FFFFFF"/>
                <w:vertAlign w:val="subscript"/>
              </w:rPr>
              <w:t>​</w:t>
            </w:r>
          </w:p>
        </w:tc>
        <w:tc>
          <w:tcPr>
            <w:tcW w:w="68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Raymond </w:t>
            </w:r>
            <w:r>
              <w:rPr>
                <w:rFonts w:ascii="Arial" w:cs="Arial" w:eastAsia="Arial" w:hAnsi="Arial"/>
                <w:sz w:val="22"/>
                <w:szCs w:val="22"/>
                <w:b w:val="1"/>
                <w:bCs w:val="1"/>
                <w:color w:val="FFFFFF"/>
                <w:vertAlign w:val="subscript"/>
              </w:rPr>
              <w:t>​</w:t>
            </w:r>
          </w:p>
        </w:tc>
        <w:tc>
          <w:tcPr>
            <w:tcW w:w="72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Shackouls </w:t>
            </w:r>
            <w:r>
              <w:rPr>
                <w:rFonts w:ascii="Arial" w:cs="Arial" w:eastAsia="Arial" w:hAnsi="Arial"/>
                <w:sz w:val="22"/>
                <w:szCs w:val="22"/>
                <w:b w:val="1"/>
                <w:bCs w:val="1"/>
                <w:color w:val="FFFFFF"/>
                <w:vertAlign w:val="subscript"/>
              </w:rPr>
              <w:t>​</w:t>
            </w:r>
          </w:p>
        </w:tc>
        <w:tc>
          <w:tcPr>
            <w:tcW w:w="480" w:type="dxa"/>
            <w:vAlign w:val="bottom"/>
            <w:gridSpan w:val="2"/>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Ziemba</w:t>
            </w:r>
          </w:p>
        </w:tc>
        <w:tc>
          <w:tcPr>
            <w:tcW w:w="80" w:type="dxa"/>
            <w:vAlign w:val="bottom"/>
            <w:tcBorders>
              <w:right w:val="single" w:sz="8" w:color="424E6A"/>
            </w:tcBorders>
            <w:shd w:val="clear" w:color="auto" w:fill="424E6A"/>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38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Public Company</w:t>
            </w:r>
          </w:p>
        </w:tc>
        <w:tc>
          <w:tcPr>
            <w:tcW w:w="60" w:type="dxa"/>
            <w:vAlign w:val="bottom"/>
            <w:shd w:val="clear" w:color="auto" w:fill="D9DCE1"/>
          </w:tcPr>
          <w:p>
            <w:pPr>
              <w:spacing w:after="0"/>
              <w:rPr>
                <w:sz w:val="13"/>
                <w:szCs w:val="13"/>
                <w:color w:val="auto"/>
              </w:rPr>
            </w:pPr>
          </w:p>
        </w:tc>
        <w:tc>
          <w:tcPr>
            <w:tcW w:w="58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3"/>
                <w:szCs w:val="13"/>
                <w:color w:val="auto"/>
              </w:rPr>
            </w:pPr>
          </w:p>
        </w:tc>
        <w:tc>
          <w:tcPr>
            <w:tcW w:w="40" w:type="dxa"/>
            <w:vAlign w:val="bottom"/>
            <w:shd w:val="clear" w:color="auto" w:fill="D9DCE1"/>
          </w:tcPr>
          <w:p>
            <w:pPr>
              <w:spacing w:after="0"/>
              <w:rPr>
                <w:sz w:val="13"/>
                <w:szCs w:val="13"/>
                <w:color w:val="auto"/>
              </w:rPr>
            </w:pPr>
          </w:p>
        </w:tc>
        <w:tc>
          <w:tcPr>
            <w:tcW w:w="360" w:type="dxa"/>
            <w:vAlign w:val="bottom"/>
            <w:tcBorders>
              <w:right w:val="single" w:sz="8" w:color="auto"/>
            </w:tcBorders>
            <w:gridSpan w:val="2"/>
            <w:vMerge w:val="restart"/>
            <w:shd w:val="clear" w:color="auto" w:fill="D9DCE1"/>
          </w:tcPr>
          <w:p>
            <w:pPr>
              <w:jc w:val="right"/>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shd w:val="clear" w:color="auto" w:fill="D9DCE1"/>
          </w:tcPr>
          <w:p>
            <w:pPr>
              <w:spacing w:after="0"/>
              <w:rPr>
                <w:sz w:val="13"/>
                <w:szCs w:val="13"/>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8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00" w:type="dxa"/>
            <w:vAlign w:val="bottom"/>
            <w:vMerge w:val="restart"/>
            <w:shd w:val="clear" w:color="auto" w:fill="D9DCE1"/>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320" w:type="dxa"/>
            <w:vAlign w:val="bottom"/>
            <w:vMerge w:val="restart"/>
            <w:shd w:val="clear" w:color="auto" w:fill="D9DCE1"/>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Experience</w:t>
            </w:r>
          </w:p>
        </w:tc>
        <w:tc>
          <w:tcPr>
            <w:tcW w:w="60" w:type="dxa"/>
            <w:vAlign w:val="bottom"/>
            <w:tcBorders>
              <w:bottom w:val="single" w:sz="8" w:color="auto"/>
            </w:tcBorders>
            <w:shd w:val="clear" w:color="auto" w:fill="D9DCE1"/>
          </w:tcPr>
          <w:p>
            <w:pPr>
              <w:spacing w:after="0"/>
              <w:rPr>
                <w:sz w:val="15"/>
                <w:szCs w:val="15"/>
                <w:color w:val="auto"/>
              </w:rPr>
            </w:pPr>
          </w:p>
        </w:tc>
        <w:tc>
          <w:tcPr>
            <w:tcW w:w="58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360" w:type="dxa"/>
            <w:vAlign w:val="bottom"/>
            <w:tcBorders>
              <w:bottom w:val="single" w:sz="8" w:color="auto"/>
              <w:right w:val="single" w:sz="8" w:color="auto"/>
            </w:tcBorders>
            <w:gridSpan w:val="2"/>
            <w:vMerge w:val="continue"/>
            <w:shd w:val="clear" w:color="auto" w:fill="D9DCE1"/>
          </w:tcPr>
          <w:p>
            <w:pPr>
              <w:spacing w:after="0"/>
              <w:rPr>
                <w:sz w:val="15"/>
                <w:szCs w:val="15"/>
                <w:color w:val="auto"/>
              </w:rPr>
            </w:pPr>
          </w:p>
        </w:tc>
        <w:tc>
          <w:tcPr>
            <w:tcW w:w="40" w:type="dxa"/>
            <w:vAlign w:val="bottom"/>
            <w:tcBorders>
              <w:bottom w:val="single" w:sz="8" w:color="auto"/>
            </w:tcBorders>
            <w:shd w:val="clear" w:color="auto" w:fill="D9DCE1"/>
          </w:tcPr>
          <w:p>
            <w:pPr>
              <w:spacing w:after="0"/>
              <w:rPr>
                <w:sz w:val="15"/>
                <w:szCs w:val="15"/>
                <w:color w:val="auto"/>
              </w:rPr>
            </w:pP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8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Finance/Accounting</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gridSpan w:val="2"/>
          </w:tcPr>
          <w:p>
            <w:pPr>
              <w:jc w:val="right"/>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138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Business Development/​</w:t>
            </w:r>
          </w:p>
        </w:tc>
        <w:tc>
          <w:tcPr>
            <w:tcW w:w="60" w:type="dxa"/>
            <w:vAlign w:val="bottom"/>
            <w:shd w:val="clear" w:color="auto" w:fill="D9DCE1"/>
          </w:tcPr>
          <w:p>
            <w:pPr>
              <w:spacing w:after="0"/>
              <w:rPr>
                <w:sz w:val="13"/>
                <w:szCs w:val="13"/>
                <w:color w:val="auto"/>
              </w:rPr>
            </w:pPr>
          </w:p>
        </w:tc>
        <w:tc>
          <w:tcPr>
            <w:tcW w:w="58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3"/>
                <w:szCs w:val="13"/>
                <w:color w:val="auto"/>
              </w:rPr>
            </w:pPr>
          </w:p>
        </w:tc>
        <w:tc>
          <w:tcPr>
            <w:tcW w:w="40" w:type="dxa"/>
            <w:vAlign w:val="bottom"/>
            <w:shd w:val="clear" w:color="auto" w:fill="D9DCE1"/>
          </w:tcPr>
          <w:p>
            <w:pPr>
              <w:spacing w:after="0"/>
              <w:rPr>
                <w:sz w:val="13"/>
                <w:szCs w:val="13"/>
                <w:color w:val="auto"/>
              </w:rPr>
            </w:pPr>
          </w:p>
        </w:tc>
        <w:tc>
          <w:tcPr>
            <w:tcW w:w="360" w:type="dxa"/>
            <w:vAlign w:val="bottom"/>
            <w:tcBorders>
              <w:right w:val="single" w:sz="8" w:color="auto"/>
            </w:tcBorders>
            <w:gridSpan w:val="2"/>
            <w:vMerge w:val="restart"/>
            <w:shd w:val="clear" w:color="auto" w:fill="D9DCE1"/>
          </w:tcPr>
          <w:p>
            <w:pPr>
              <w:jc w:val="right"/>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shd w:val="clear" w:color="auto" w:fill="D9DCE1"/>
          </w:tcPr>
          <w:p>
            <w:pPr>
              <w:spacing w:after="0"/>
              <w:rPr>
                <w:sz w:val="13"/>
                <w:szCs w:val="13"/>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8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00" w:type="dxa"/>
            <w:vAlign w:val="bottom"/>
            <w:vMerge w:val="restart"/>
            <w:shd w:val="clear" w:color="auto" w:fill="D9DCE1"/>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320" w:type="dxa"/>
            <w:vAlign w:val="bottom"/>
            <w:vMerge w:val="restart"/>
            <w:shd w:val="clear" w:color="auto" w:fill="D9DCE1"/>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Strategy/Commercial</w:t>
            </w:r>
          </w:p>
        </w:tc>
        <w:tc>
          <w:tcPr>
            <w:tcW w:w="60" w:type="dxa"/>
            <w:vAlign w:val="bottom"/>
            <w:tcBorders>
              <w:bottom w:val="single" w:sz="8" w:color="auto"/>
            </w:tcBorders>
            <w:shd w:val="clear" w:color="auto" w:fill="D9DCE1"/>
          </w:tcPr>
          <w:p>
            <w:pPr>
              <w:spacing w:after="0"/>
              <w:rPr>
                <w:sz w:val="15"/>
                <w:szCs w:val="15"/>
                <w:color w:val="auto"/>
              </w:rPr>
            </w:pPr>
          </w:p>
        </w:tc>
        <w:tc>
          <w:tcPr>
            <w:tcW w:w="58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360" w:type="dxa"/>
            <w:vAlign w:val="bottom"/>
            <w:tcBorders>
              <w:bottom w:val="single" w:sz="8" w:color="auto"/>
              <w:right w:val="single" w:sz="8" w:color="auto"/>
            </w:tcBorders>
            <w:gridSpan w:val="2"/>
            <w:vMerge w:val="continue"/>
            <w:shd w:val="clear" w:color="auto" w:fill="D9DCE1"/>
          </w:tcPr>
          <w:p>
            <w:pPr>
              <w:spacing w:after="0"/>
              <w:rPr>
                <w:sz w:val="15"/>
                <w:szCs w:val="15"/>
                <w:color w:val="auto"/>
              </w:rPr>
            </w:pPr>
          </w:p>
        </w:tc>
        <w:tc>
          <w:tcPr>
            <w:tcW w:w="40" w:type="dxa"/>
            <w:vAlign w:val="bottom"/>
            <w:tcBorders>
              <w:bottom w:val="single" w:sz="8" w:color="auto"/>
            </w:tcBorders>
            <w:shd w:val="clear" w:color="auto" w:fill="D9DCE1"/>
          </w:tcPr>
          <w:p>
            <w:pPr>
              <w:spacing w:after="0"/>
              <w:rPr>
                <w:sz w:val="15"/>
                <w:szCs w:val="15"/>
                <w:color w:val="auto"/>
              </w:rPr>
            </w:pP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1380" w:type="dxa"/>
            <w:vAlign w:val="bottom"/>
            <w:tcBorders>
              <w:left w:val="single" w:sz="8" w:color="424E6A"/>
              <w:right w:val="single" w:sz="8" w:color="auto"/>
            </w:tcBorders>
          </w:tcPr>
          <w:p>
            <w:pPr>
              <w:ind w:left="60"/>
              <w:spacing w:after="0"/>
              <w:rPr>
                <w:sz w:val="20"/>
                <w:szCs w:val="20"/>
                <w:color w:val="auto"/>
              </w:rPr>
            </w:pPr>
            <w:r>
              <w:rPr>
                <w:rFonts w:ascii="Arial" w:cs="Arial" w:eastAsia="Arial" w:hAnsi="Arial"/>
                <w:sz w:val="11"/>
                <w:szCs w:val="11"/>
                <w:color w:val="auto"/>
              </w:rPr>
              <w:t>Governance/​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right w:val="single" w:sz="8" w:color="424E6A"/>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424E6A"/>
              <w:right w:val="single" w:sz="8" w:color="auto"/>
            </w:tcBorders>
          </w:tcPr>
          <w:p>
            <w:pPr>
              <w:ind w:left="180"/>
              <w:spacing w:after="0"/>
              <w:rPr>
                <w:sz w:val="20"/>
                <w:szCs w:val="20"/>
                <w:color w:val="auto"/>
              </w:rPr>
            </w:pPr>
            <w:r>
              <w:rPr>
                <w:rFonts w:ascii="Arial" w:cs="Arial" w:eastAsia="Arial" w:hAnsi="Arial"/>
                <w:sz w:val="11"/>
                <w:szCs w:val="11"/>
                <w:color w:val="auto"/>
              </w:rPr>
              <w:t>Government</w:t>
            </w:r>
          </w:p>
        </w:tc>
        <w:tc>
          <w:tcPr>
            <w:tcW w:w="60" w:type="dxa"/>
            <w:vAlign w:val="bottom"/>
          </w:tcPr>
          <w:p>
            <w:pPr>
              <w:spacing w:after="0"/>
              <w:rPr>
                <w:sz w:val="11"/>
                <w:szCs w:val="11"/>
                <w:color w:val="auto"/>
              </w:rPr>
            </w:pPr>
          </w:p>
        </w:tc>
        <w:tc>
          <w:tcPr>
            <w:tcW w:w="580" w:type="dxa"/>
            <w:vAlign w:val="bottom"/>
            <w:vMerge w:val="restart"/>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right w:val="single" w:sz="8" w:color="auto"/>
            </w:tcBorders>
            <w:gridSpan w:val="2"/>
            <w:vMerge w:val="restart"/>
          </w:tcPr>
          <w:p>
            <w:pPr>
              <w:jc w:val="right"/>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34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424E6A"/>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Relations/Legal</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138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Operations/Engineering/</w:t>
            </w:r>
          </w:p>
        </w:tc>
        <w:tc>
          <w:tcPr>
            <w:tcW w:w="60" w:type="dxa"/>
            <w:vAlign w:val="bottom"/>
            <w:shd w:val="clear" w:color="auto" w:fill="D9DCE1"/>
          </w:tcPr>
          <w:p>
            <w:pPr>
              <w:spacing w:after="0"/>
              <w:rPr>
                <w:sz w:val="13"/>
                <w:szCs w:val="13"/>
                <w:color w:val="auto"/>
              </w:rPr>
            </w:pPr>
          </w:p>
        </w:tc>
        <w:tc>
          <w:tcPr>
            <w:tcW w:w="580" w:type="dxa"/>
            <w:vAlign w:val="bottom"/>
            <w:shd w:val="clear" w:color="auto" w:fill="D9DCE1"/>
          </w:tcPr>
          <w:p>
            <w:pPr>
              <w:spacing w:after="0"/>
              <w:rPr>
                <w:sz w:val="13"/>
                <w:szCs w:val="13"/>
                <w:color w:val="auto"/>
              </w:rPr>
            </w:pPr>
          </w:p>
        </w:tc>
        <w:tc>
          <w:tcPr>
            <w:tcW w:w="100" w:type="dxa"/>
            <w:vAlign w:val="bottom"/>
            <w:tcBorders>
              <w:right w:val="single" w:sz="8" w:color="auto"/>
            </w:tcBorders>
            <w:shd w:val="clear" w:color="auto" w:fill="D9DCE1"/>
          </w:tcPr>
          <w:p>
            <w:pPr>
              <w:spacing w:after="0"/>
              <w:rPr>
                <w:sz w:val="13"/>
                <w:szCs w:val="13"/>
                <w:color w:val="auto"/>
              </w:rPr>
            </w:pPr>
          </w:p>
        </w:tc>
        <w:tc>
          <w:tcPr>
            <w:tcW w:w="40" w:type="dxa"/>
            <w:vAlign w:val="bottom"/>
            <w:shd w:val="clear" w:color="auto" w:fill="D9DCE1"/>
          </w:tcPr>
          <w:p>
            <w:pPr>
              <w:spacing w:after="0"/>
              <w:rPr>
                <w:sz w:val="13"/>
                <w:szCs w:val="13"/>
                <w:color w:val="auto"/>
              </w:rPr>
            </w:pPr>
          </w:p>
        </w:tc>
        <w:tc>
          <w:tcPr>
            <w:tcW w:w="280" w:type="dxa"/>
            <w:vAlign w:val="bottom"/>
            <w:shd w:val="clear" w:color="auto" w:fill="D9DCE1"/>
          </w:tcPr>
          <w:p>
            <w:pPr>
              <w:spacing w:after="0"/>
              <w:rPr>
                <w:sz w:val="13"/>
                <w:szCs w:val="13"/>
                <w:color w:val="auto"/>
              </w:rPr>
            </w:pPr>
          </w:p>
        </w:tc>
        <w:tc>
          <w:tcPr>
            <w:tcW w:w="80" w:type="dxa"/>
            <w:vAlign w:val="bottom"/>
            <w:tcBorders>
              <w:right w:val="single" w:sz="8" w:color="auto"/>
            </w:tcBorders>
            <w:shd w:val="clear" w:color="auto" w:fill="D9DCE1"/>
          </w:tcPr>
          <w:p>
            <w:pPr>
              <w:spacing w:after="0"/>
              <w:rPr>
                <w:sz w:val="13"/>
                <w:szCs w:val="13"/>
                <w:color w:val="auto"/>
              </w:rPr>
            </w:pPr>
          </w:p>
        </w:tc>
        <w:tc>
          <w:tcPr>
            <w:tcW w:w="40" w:type="dxa"/>
            <w:vAlign w:val="bottom"/>
            <w:shd w:val="clear" w:color="auto" w:fill="D9DCE1"/>
          </w:tcPr>
          <w:p>
            <w:pPr>
              <w:spacing w:after="0"/>
              <w:rPr>
                <w:sz w:val="13"/>
                <w:szCs w:val="13"/>
                <w:color w:val="auto"/>
              </w:rPr>
            </w:pPr>
          </w:p>
        </w:tc>
        <w:tc>
          <w:tcPr>
            <w:tcW w:w="340" w:type="dxa"/>
            <w:vAlign w:val="bottom"/>
            <w:shd w:val="clear" w:color="auto" w:fill="D9DCE1"/>
          </w:tcPr>
          <w:p>
            <w:pPr>
              <w:spacing w:after="0"/>
              <w:rPr>
                <w:sz w:val="13"/>
                <w:szCs w:val="13"/>
                <w:color w:val="auto"/>
              </w:rPr>
            </w:pPr>
          </w:p>
        </w:tc>
        <w:tc>
          <w:tcPr>
            <w:tcW w:w="18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40" w:type="dxa"/>
            <w:vAlign w:val="bottom"/>
            <w:shd w:val="clear" w:color="auto" w:fill="D9DCE1"/>
          </w:tcPr>
          <w:p>
            <w:pPr>
              <w:spacing w:after="0"/>
              <w:rPr>
                <w:sz w:val="13"/>
                <w:szCs w:val="13"/>
                <w:color w:val="auto"/>
              </w:rPr>
            </w:pPr>
          </w:p>
        </w:tc>
        <w:tc>
          <w:tcPr>
            <w:tcW w:w="22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40" w:type="dxa"/>
            <w:vAlign w:val="bottom"/>
            <w:shd w:val="clear" w:color="auto" w:fill="D9DCE1"/>
          </w:tcPr>
          <w:p>
            <w:pPr>
              <w:spacing w:after="0"/>
              <w:rPr>
                <w:sz w:val="13"/>
                <w:szCs w:val="13"/>
                <w:color w:val="auto"/>
              </w:rPr>
            </w:pP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340" w:type="dxa"/>
            <w:vAlign w:val="bottom"/>
            <w:shd w:val="clear" w:color="auto" w:fill="D9DCE1"/>
          </w:tcPr>
          <w:p>
            <w:pPr>
              <w:spacing w:after="0"/>
              <w:rPr>
                <w:sz w:val="13"/>
                <w:szCs w:val="13"/>
                <w:color w:val="auto"/>
              </w:rPr>
            </w:pPr>
          </w:p>
        </w:tc>
        <w:tc>
          <w:tcPr>
            <w:tcW w:w="16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00" w:type="dxa"/>
            <w:vAlign w:val="bottom"/>
            <w:shd w:val="clear" w:color="auto" w:fill="D9DCE1"/>
          </w:tcPr>
          <w:p>
            <w:pPr>
              <w:spacing w:after="0"/>
              <w:rPr>
                <w:sz w:val="13"/>
                <w:szCs w:val="13"/>
                <w:color w:val="auto"/>
              </w:rPr>
            </w:pP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320" w:type="dxa"/>
            <w:vAlign w:val="bottom"/>
            <w:shd w:val="clear" w:color="auto" w:fill="D9DCE1"/>
          </w:tcPr>
          <w:p>
            <w:pPr>
              <w:spacing w:after="0"/>
              <w:rPr>
                <w:sz w:val="13"/>
                <w:szCs w:val="13"/>
                <w:color w:val="auto"/>
              </w:rPr>
            </w:pPr>
          </w:p>
        </w:tc>
        <w:tc>
          <w:tcPr>
            <w:tcW w:w="16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20" w:type="dxa"/>
            <w:vAlign w:val="bottom"/>
            <w:shd w:val="clear" w:color="auto" w:fill="D9DCE1"/>
          </w:tcPr>
          <w:p>
            <w:pPr>
              <w:spacing w:after="0"/>
              <w:rPr>
                <w:sz w:val="13"/>
                <w:szCs w:val="13"/>
                <w:color w:val="auto"/>
              </w:rPr>
            </w:pP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60" w:type="dxa"/>
            <w:vAlign w:val="bottom"/>
            <w:shd w:val="clear" w:color="auto" w:fill="D9DCE1"/>
          </w:tcPr>
          <w:p>
            <w:pPr>
              <w:spacing w:after="0"/>
              <w:rPr>
                <w:sz w:val="13"/>
                <w:szCs w:val="13"/>
                <w:color w:val="auto"/>
              </w:rPr>
            </w:pPr>
          </w:p>
        </w:tc>
        <w:tc>
          <w:tcPr>
            <w:tcW w:w="200" w:type="dxa"/>
            <w:vAlign w:val="bottom"/>
            <w:tcBorders>
              <w:right w:val="single" w:sz="8" w:color="auto"/>
            </w:tcBorders>
            <w:shd w:val="clear" w:color="auto" w:fill="D9DCE1"/>
          </w:tcPr>
          <w:p>
            <w:pPr>
              <w:spacing w:after="0"/>
              <w:rPr>
                <w:sz w:val="13"/>
                <w:szCs w:val="13"/>
                <w:color w:val="auto"/>
              </w:rPr>
            </w:pPr>
          </w:p>
        </w:tc>
        <w:tc>
          <w:tcPr>
            <w:tcW w:w="60" w:type="dxa"/>
            <w:vAlign w:val="bottom"/>
            <w:shd w:val="clear" w:color="auto" w:fill="D9DCE1"/>
          </w:tcPr>
          <w:p>
            <w:pPr>
              <w:spacing w:after="0"/>
              <w:rPr>
                <w:sz w:val="13"/>
                <w:szCs w:val="13"/>
                <w:color w:val="auto"/>
              </w:rPr>
            </w:pPr>
          </w:p>
        </w:tc>
        <w:tc>
          <w:tcPr>
            <w:tcW w:w="420" w:type="dxa"/>
            <w:vAlign w:val="bottom"/>
            <w:shd w:val="clear" w:color="auto" w:fill="D9DCE1"/>
          </w:tcPr>
          <w:p>
            <w:pPr>
              <w:spacing w:after="0"/>
              <w:rPr>
                <w:sz w:val="13"/>
                <w:szCs w:val="13"/>
                <w:color w:val="auto"/>
              </w:rPr>
            </w:pPr>
          </w:p>
        </w:tc>
        <w:tc>
          <w:tcPr>
            <w:tcW w:w="80" w:type="dxa"/>
            <w:vAlign w:val="bottom"/>
            <w:tcBorders>
              <w:right w:val="single" w:sz="8" w:color="424E6A"/>
            </w:tcBorders>
            <w:shd w:val="clear" w:color="auto" w:fill="D9DCE1"/>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424E6A"/>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Construction/​</w:t>
            </w:r>
          </w:p>
        </w:tc>
        <w:tc>
          <w:tcPr>
            <w:tcW w:w="60" w:type="dxa"/>
            <w:vAlign w:val="bottom"/>
            <w:shd w:val="clear" w:color="auto" w:fill="D9DCE1"/>
          </w:tcPr>
          <w:p>
            <w:pPr>
              <w:spacing w:after="0"/>
              <w:rPr>
                <w:sz w:val="11"/>
                <w:szCs w:val="11"/>
                <w:color w:val="auto"/>
              </w:rPr>
            </w:pPr>
          </w:p>
        </w:tc>
        <w:tc>
          <w:tcPr>
            <w:tcW w:w="58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1"/>
                <w:szCs w:val="11"/>
                <w:color w:val="auto"/>
              </w:rPr>
            </w:pPr>
          </w:p>
        </w:tc>
        <w:tc>
          <w:tcPr>
            <w:tcW w:w="40" w:type="dxa"/>
            <w:vAlign w:val="bottom"/>
            <w:shd w:val="clear" w:color="auto" w:fill="D9DCE1"/>
          </w:tcPr>
          <w:p>
            <w:pPr>
              <w:spacing w:after="0"/>
              <w:rPr>
                <w:sz w:val="11"/>
                <w:szCs w:val="11"/>
                <w:color w:val="auto"/>
              </w:rPr>
            </w:pPr>
          </w:p>
        </w:tc>
        <w:tc>
          <w:tcPr>
            <w:tcW w:w="280" w:type="dxa"/>
            <w:vAlign w:val="bottom"/>
            <w:shd w:val="clear" w:color="auto" w:fill="D9DCE1"/>
          </w:tcPr>
          <w:p>
            <w:pPr>
              <w:spacing w:after="0"/>
              <w:rPr>
                <w:sz w:val="11"/>
                <w:szCs w:val="11"/>
                <w:color w:val="auto"/>
              </w:rPr>
            </w:pPr>
          </w:p>
        </w:tc>
        <w:tc>
          <w:tcPr>
            <w:tcW w:w="80" w:type="dxa"/>
            <w:vAlign w:val="bottom"/>
            <w:tcBorders>
              <w:right w:val="single" w:sz="8" w:color="auto"/>
            </w:tcBorders>
            <w:shd w:val="clear" w:color="auto" w:fill="D9DCE1"/>
          </w:tcPr>
          <w:p>
            <w:pPr>
              <w:spacing w:after="0"/>
              <w:rPr>
                <w:sz w:val="11"/>
                <w:szCs w:val="11"/>
                <w:color w:val="auto"/>
              </w:rPr>
            </w:pPr>
          </w:p>
        </w:tc>
        <w:tc>
          <w:tcPr>
            <w:tcW w:w="40" w:type="dxa"/>
            <w:vAlign w:val="bottom"/>
            <w:shd w:val="clear" w:color="auto" w:fill="D9DCE1"/>
          </w:tcPr>
          <w:p>
            <w:pPr>
              <w:spacing w:after="0"/>
              <w:rPr>
                <w:sz w:val="11"/>
                <w:szCs w:val="11"/>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8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40" w:type="dxa"/>
            <w:vAlign w:val="bottom"/>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00" w:type="dxa"/>
            <w:vAlign w:val="bottom"/>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320" w:type="dxa"/>
            <w:vAlign w:val="bottom"/>
            <w:shd w:val="clear" w:color="auto" w:fill="D9DCE1"/>
          </w:tcPr>
          <w:p>
            <w:pPr>
              <w:spacing w:after="0"/>
              <w:rPr>
                <w:sz w:val="11"/>
                <w:szCs w:val="11"/>
                <w:color w:val="auto"/>
              </w:rPr>
            </w:pPr>
          </w:p>
        </w:tc>
        <w:tc>
          <w:tcPr>
            <w:tcW w:w="16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Technical</w:t>
            </w:r>
          </w:p>
        </w:tc>
        <w:tc>
          <w:tcPr>
            <w:tcW w:w="60" w:type="dxa"/>
            <w:vAlign w:val="bottom"/>
            <w:tcBorders>
              <w:bottom w:val="single" w:sz="8" w:color="auto"/>
            </w:tcBorders>
            <w:shd w:val="clear" w:color="auto" w:fill="D9DCE1"/>
          </w:tcPr>
          <w:p>
            <w:pPr>
              <w:spacing w:after="0"/>
              <w:rPr>
                <w:sz w:val="15"/>
                <w:szCs w:val="15"/>
                <w:color w:val="auto"/>
              </w:rPr>
            </w:pPr>
          </w:p>
        </w:tc>
        <w:tc>
          <w:tcPr>
            <w:tcW w:w="58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28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8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Industry Experience</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21"/>
                <w:szCs w:val="21"/>
                <w:color w:val="auto"/>
                <w:vertAlign w:val="subscript"/>
              </w:rPr>
              <w:t>​</w:t>
            </w:r>
            <w:r>
              <w:rPr>
                <w:rFonts w:ascii="MS PGothic" w:cs="MS PGothic" w:eastAsia="MS PGothic" w:hAnsi="MS PGothic"/>
                <w:sz w:val="21"/>
                <w:szCs w:val="21"/>
                <w:color w:val="auto"/>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gridSpan w:val="2"/>
          </w:tcPr>
          <w:p>
            <w:pPr>
              <w:jc w:val="right"/>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21"/>
                <w:szCs w:val="21"/>
                <w:color w:val="auto"/>
                <w:w w:val="94"/>
                <w:vertAlign w:val="subscript"/>
              </w:rPr>
              <w:t>​</w:t>
            </w:r>
            <w:r>
              <w:rPr>
                <w:rFonts w:ascii="MS PGothic" w:cs="MS PGothic" w:eastAsia="MS PGothic" w:hAnsi="MS PGothic"/>
                <w:sz w:val="21"/>
                <w:szCs w:val="21"/>
                <w:color w:val="auto"/>
                <w:w w:val="94"/>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21"/>
                <w:szCs w:val="21"/>
                <w:color w:val="auto"/>
                <w:w w:val="94"/>
                <w:vertAlign w:val="subscript"/>
              </w:rPr>
              <w:t>​</w:t>
            </w:r>
            <w:r>
              <w:rPr>
                <w:rFonts w:ascii="MS PGothic" w:cs="MS PGothic" w:eastAsia="MS PGothic" w:hAnsi="MS PGothic"/>
                <w:sz w:val="21"/>
                <w:szCs w:val="21"/>
                <w:color w:val="auto"/>
                <w:w w:val="94"/>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21"/>
                <w:szCs w:val="21"/>
                <w:color w:val="auto"/>
                <w:w w:val="94"/>
                <w:vertAlign w:val="subscript"/>
              </w:rPr>
              <w:t>​</w:t>
            </w:r>
            <w:r>
              <w:rPr>
                <w:rFonts w:ascii="MS PGothic" w:cs="MS PGothic" w:eastAsia="MS PGothic" w:hAnsi="MS PGothic"/>
                <w:sz w:val="21"/>
                <w:szCs w:val="21"/>
                <w:color w:val="auto"/>
                <w:w w:val="94"/>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vertAlign w:val="subscript"/>
              </w:rPr>
              <w:t>​</w:t>
            </w:r>
            <w:r>
              <w:rPr>
                <w:rFonts w:ascii="MS PGothic" w:cs="MS PGothic" w:eastAsia="MS PGothic" w:hAnsi="MS PGothic"/>
                <w:sz w:val="21"/>
                <w:szCs w:val="21"/>
                <w:color w:val="auto"/>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80" w:type="dxa"/>
            <w:vAlign w:val="bottom"/>
            <w:tcBorders>
              <w:left w:val="single" w:sz="8" w:color="424E6A"/>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Private Equity</w:t>
            </w:r>
          </w:p>
        </w:tc>
        <w:tc>
          <w:tcPr>
            <w:tcW w:w="60" w:type="dxa"/>
            <w:vAlign w:val="bottom"/>
            <w:tcBorders>
              <w:bottom w:val="single" w:sz="8" w:color="auto"/>
            </w:tcBorders>
            <w:shd w:val="clear" w:color="auto" w:fill="D9DCE1"/>
          </w:tcPr>
          <w:p>
            <w:pPr>
              <w:spacing w:after="0"/>
              <w:rPr>
                <w:sz w:val="15"/>
                <w:szCs w:val="15"/>
                <w:color w:val="auto"/>
              </w:rPr>
            </w:pPr>
          </w:p>
        </w:tc>
        <w:tc>
          <w:tcPr>
            <w:tcW w:w="58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28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line="183" w:lineRule="exact"/>
              <w:rPr>
                <w:sz w:val="20"/>
                <w:szCs w:val="20"/>
                <w:color w:val="auto"/>
              </w:rPr>
            </w:pPr>
            <w:r>
              <w:rPr>
                <w:rFonts w:ascii="Arial" w:cs="Arial" w:eastAsia="Arial" w:hAnsi="Arial"/>
                <w:sz w:val="21"/>
                <w:szCs w:val="21"/>
                <w:color w:val="auto"/>
                <w:w w:val="94"/>
                <w:vertAlign w:val="subscript"/>
              </w:rPr>
              <w:t>​</w:t>
            </w:r>
            <w:r>
              <w:rPr>
                <w:rFonts w:ascii="MS PGothic" w:cs="MS PGothic" w:eastAsia="MS PGothic" w:hAnsi="MS PGothic"/>
                <w:sz w:val="21"/>
                <w:szCs w:val="21"/>
                <w:color w:val="auto"/>
                <w:w w:val="94"/>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22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8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International</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21"/>
                <w:szCs w:val="21"/>
                <w:color w:val="auto"/>
                <w:vertAlign w:val="subscript"/>
              </w:rPr>
              <w:t>​</w:t>
            </w:r>
            <w:r>
              <w:rPr>
                <w:rFonts w:ascii="MS PGothic" w:cs="MS PGothic" w:eastAsia="MS PGothic" w:hAnsi="MS PGothic"/>
                <w:sz w:val="21"/>
                <w:szCs w:val="21"/>
                <w:color w:val="auto"/>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gridSpan w:val="2"/>
          </w:tcPr>
          <w:p>
            <w:pPr>
              <w:jc w:val="right"/>
              <w:spacing w:after="0" w:line="18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1"/>
                <w:szCs w:val="21"/>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21"/>
                <w:szCs w:val="21"/>
                <w:color w:val="auto"/>
                <w:w w:val="94"/>
                <w:vertAlign w:val="subscript"/>
              </w:rPr>
              <w:t>​</w:t>
            </w:r>
            <w:r>
              <w:rPr>
                <w:rFonts w:ascii="MS PGothic" w:cs="MS PGothic" w:eastAsia="MS PGothic" w:hAnsi="MS PGothic"/>
                <w:sz w:val="21"/>
                <w:szCs w:val="21"/>
                <w:color w:val="auto"/>
                <w:w w:val="94"/>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21"/>
                <w:szCs w:val="21"/>
                <w:color w:val="auto"/>
                <w:w w:val="94"/>
                <w:vertAlign w:val="subscript"/>
              </w:rPr>
              <w:t>​</w:t>
            </w:r>
            <w:r>
              <w:rPr>
                <w:rFonts w:ascii="MS PGothic" w:cs="MS PGothic" w:eastAsia="MS PGothic" w:hAnsi="MS PGothic"/>
                <w:sz w:val="21"/>
                <w:szCs w:val="21"/>
                <w:color w:val="auto"/>
                <w:w w:val="94"/>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vertAlign w:val="subscript"/>
              </w:rPr>
              <w:t>​</w:t>
            </w:r>
            <w:r>
              <w:rPr>
                <w:rFonts w:ascii="MS PGothic" w:cs="MS PGothic" w:eastAsia="MS PGothic" w:hAnsi="MS PGothic"/>
                <w:sz w:val="21"/>
                <w:szCs w:val="21"/>
                <w:color w:val="auto"/>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80" w:type="dxa"/>
            <w:vAlign w:val="bottom"/>
            <w:tcBorders>
              <w:left w:val="single" w:sz="8" w:color="424E6A"/>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Cybersecurity/IT</w:t>
            </w:r>
          </w:p>
        </w:tc>
        <w:tc>
          <w:tcPr>
            <w:tcW w:w="60" w:type="dxa"/>
            <w:vAlign w:val="bottom"/>
            <w:tcBorders>
              <w:bottom w:val="single" w:sz="8" w:color="auto"/>
            </w:tcBorders>
            <w:shd w:val="clear" w:color="auto" w:fill="D9DCE1"/>
          </w:tcPr>
          <w:p>
            <w:pPr>
              <w:spacing w:after="0"/>
              <w:rPr>
                <w:sz w:val="15"/>
                <w:szCs w:val="15"/>
                <w:color w:val="auto"/>
              </w:rPr>
            </w:pPr>
          </w:p>
        </w:tc>
        <w:tc>
          <w:tcPr>
            <w:tcW w:w="58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28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right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8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Energy Evolution</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21"/>
                <w:szCs w:val="21"/>
                <w:color w:val="auto"/>
                <w:w w:val="75"/>
                <w:vertAlign w:val="subscript"/>
              </w:rPr>
              <w:t>​</w:t>
            </w:r>
            <w:r>
              <w:rPr>
                <w:rFonts w:ascii="MS PGothic" w:cs="MS PGothic" w:eastAsia="MS PGothic" w:hAnsi="MS PGothic"/>
                <w:sz w:val="21"/>
                <w:szCs w:val="21"/>
                <w:color w:val="auto"/>
                <w:w w:val="75"/>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21"/>
                <w:szCs w:val="21"/>
                <w:color w:val="auto"/>
                <w:w w:val="85"/>
                <w:vertAlign w:val="subscript"/>
              </w:rPr>
              <w:t>​</w:t>
            </w:r>
            <w:r>
              <w:rPr>
                <w:rFonts w:ascii="MS PGothic" w:cs="MS PGothic" w:eastAsia="MS PGothic" w:hAnsi="MS PGothic"/>
                <w:sz w:val="21"/>
                <w:szCs w:val="21"/>
                <w:color w:val="auto"/>
                <w:w w:val="85"/>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21"/>
                <w:szCs w:val="21"/>
                <w:color w:val="auto"/>
                <w:vertAlign w:val="subscript"/>
              </w:rPr>
              <w:t>​</w:t>
            </w:r>
            <w:r>
              <w:rPr>
                <w:rFonts w:ascii="MS PGothic" w:cs="MS PGothic" w:eastAsia="MS PGothic" w:hAnsi="MS PGothic"/>
                <w:sz w:val="21"/>
                <w:szCs w:val="21"/>
                <w:color w:val="auto"/>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 Directors Standing for Election at the 2025 PAA and PAGP Annual Meetings</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Board has nominated Messrs. Burk, McCarthy, Pefanis and Petersen, current Class II directors, for election at the 2025 PAA and PAGP Annual Meetings. Each nominee has consented to serve if elected and, if elected, will serve until the 2028 annual meeting, subject to their earlier resignation, death or removal. If any of the nominees becomes unavailable to serve as a director prior to the 2025 PAA and PAGP Annual Meetings, the Board may designate a substitute nominee, or the Board may decide to reduce the size of the Board. In the case of a substitute nominee, the persons named as proxies will vote for the substitute nominee designated by the Board.</w:t>
      </w:r>
    </w:p>
    <w:p>
      <w:pPr>
        <w:spacing w:after="0" w:line="141"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9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VICTOR BURK</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Victor Burk, age 75</w:t>
            </w:r>
            <w:r>
              <w:rPr>
                <w:rFonts w:ascii="Arial" w:cs="Arial" w:eastAsia="Arial" w:hAnsi="Arial"/>
                <w:sz w:val="16"/>
                <w:szCs w:val="16"/>
                <w:color w:val="auto"/>
              </w:rPr>
              <w:t>, has served as a director of PAGP</w:t>
            </w:r>
          </w:p>
        </w:tc>
        <w:tc>
          <w:tcPr>
            <w:tcW w:w="8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GP since January 2014. He served as a Senior</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Advisor for Alvarez and Marsal, a privately owned</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professional services firm, from January 2023 until his</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2"/>
        </w:trPr>
        <w:tc>
          <w:tcPr>
            <w:tcW w:w="1940" w:type="dxa"/>
            <w:vAlign w:val="bottom"/>
            <w:tcBorders>
              <w:left w:val="single" w:sz="8" w:color="auto"/>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retirement in October 2024. He also served as</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tcPr>
          <w:p>
            <w:pPr>
              <w:jc w:val="center"/>
              <w:ind w:right="460"/>
              <w:spacing w:after="0" w:line="136" w:lineRule="exact"/>
              <w:rPr>
                <w:sz w:val="20"/>
                <w:szCs w:val="20"/>
                <w:color w:val="auto"/>
              </w:rPr>
            </w:pPr>
            <w:r>
              <w:rPr>
                <w:rFonts w:ascii="Arial" w:cs="Arial" w:eastAsia="Arial" w:hAnsi="Arial"/>
                <w:sz w:val="15"/>
                <w:szCs w:val="15"/>
                <w:b w:val="1"/>
                <w:bCs w:val="1"/>
                <w:i w:val="1"/>
                <w:iCs w:val="1"/>
                <w:color w:val="auto"/>
              </w:rPr>
              <w:t>since 2010</w:t>
            </w:r>
          </w:p>
        </w:tc>
        <w:tc>
          <w:tcPr>
            <w:tcW w:w="40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Managing Director of Alvarez and Marsal from</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94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6"/>
                <w:szCs w:val="16"/>
                <w:color w:val="auto"/>
              </w:rPr>
              <w:t>April 2009 through December 2022. From 2005 to</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tcPr>
          <w:p>
            <w:pPr>
              <w:spacing w:after="0"/>
              <w:rPr>
                <w:sz w:val="13"/>
                <w:szCs w:val="13"/>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Audit (chair)</w:t>
            </w:r>
          </w:p>
        </w:tc>
        <w:tc>
          <w:tcPr>
            <w:tcW w:w="520" w:type="dxa"/>
            <w:vAlign w:val="bottom"/>
            <w:tcBorders>
              <w:right w:val="single" w:sz="8" w:color="auto"/>
            </w:tcBorders>
            <w:vMerge w:val="restart"/>
          </w:tcPr>
          <w:p>
            <w:pPr>
              <w:spacing w:after="0"/>
              <w:rPr>
                <w:sz w:val="13"/>
                <w:szCs w:val="13"/>
                <w:color w:val="auto"/>
              </w:rPr>
            </w:pP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2009, Mr. Burk was the global energy practice leader</w:t>
            </w:r>
          </w:p>
        </w:tc>
        <w:tc>
          <w:tcPr>
            <w:tcW w:w="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5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33"/>
        </w:trPr>
        <w:tc>
          <w:tcPr>
            <w:tcW w:w="500" w:type="dxa"/>
            <w:vAlign w:val="bottom"/>
            <w:tcBorders>
              <w:left w:val="single" w:sz="8" w:color="auto"/>
            </w:tcBorders>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for Spencer Stuart, a privately owned executive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2"/>
        </w:trPr>
        <w:tc>
          <w:tcPr>
            <w:tcW w:w="50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recruiting firm. Prior to joining Spencer Stuart, Mr. Burk</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served as managing partner of Deloitte &amp; Touche’s</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global oil and natural gas group from 2002 to 2005. 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began his professional career in 1972 with Arthur</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Andersen and served as managing partner of Arthur</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Andersen’s global oil and natural gas group from 1989</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until 2002. Mr. Burk served on the board of directors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audit committee of EV Energy Partners, L.P.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September 2006 until June 2018. Mr. Burk served as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director and as chair of the audit committee of PNGS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GP LLC, the general partner of PAA Natural Gas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Storage, L.P., from April 2010 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December 2013. Mr. Burk also serves as a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Sam Houston Area Council of the Boy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Scouts of America. He received a BBA in Accounting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Stephen F. Austin State University, graduating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highest honors. We believe that Mr. Burk’s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background, spanning over 30 years of extensive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public accounting and consulting experience in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energy industry, coupled with his demonstrated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abilities, bring valuable experience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insight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8"/>
              </w:rPr>
              <w:t>KEVIN S. MCCARTHY</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Kevin S. McCarthy, age 65</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50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of PAGP GP since October 2020. He served as Vice</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Chairman at Kayne Anderson from 2019 to 2023.</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During his 19-year tenure at Kayne Anderson, he co-</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2"/>
        </w:trPr>
        <w:tc>
          <w:tcPr>
            <w:tcW w:w="1940" w:type="dxa"/>
            <w:vAlign w:val="bottom"/>
            <w:tcBorders>
              <w:left w:val="single" w:sz="8" w:color="auto"/>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founded the firm’s energy infrastructure securities</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tcPr>
          <w:p>
            <w:pPr>
              <w:jc w:val="center"/>
              <w:ind w:right="460"/>
              <w:spacing w:after="0" w:line="136" w:lineRule="exact"/>
              <w:rPr>
                <w:sz w:val="20"/>
                <w:szCs w:val="20"/>
                <w:color w:val="auto"/>
              </w:rPr>
            </w:pPr>
            <w:r>
              <w:rPr>
                <w:rFonts w:ascii="Arial" w:cs="Arial" w:eastAsia="Arial" w:hAnsi="Arial"/>
                <w:sz w:val="15"/>
                <w:szCs w:val="15"/>
                <w:b w:val="1"/>
                <w:bCs w:val="1"/>
                <w:i w:val="1"/>
                <w:iCs w:val="1"/>
                <w:color w:val="auto"/>
              </w:rPr>
              <w:t>since 2020</w:t>
            </w:r>
          </w:p>
        </w:tc>
        <w:tc>
          <w:tcPr>
            <w:tcW w:w="40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activities, and served as CEO and Chairman of the</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94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6"/>
                <w:szCs w:val="16"/>
                <w:color w:val="auto"/>
              </w:rPr>
              <w:t>Board of Directors for Kayne Anderson’s closed-end</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funds. Prior to joining Kayne Anderson in 2004,</w:t>
            </w:r>
          </w:p>
        </w:tc>
        <w:tc>
          <w:tcPr>
            <w:tcW w:w="80" w:type="dxa"/>
            <w:vAlign w:val="bottom"/>
          </w:tcPr>
          <w:p>
            <w:pPr>
              <w:spacing w:after="0" w:line="20" w:lineRule="exact"/>
              <w:rPr>
                <w:sz w:val="1"/>
                <w:szCs w:val="1"/>
                <w:color w:val="auto"/>
              </w:rPr>
            </w:pPr>
          </w:p>
        </w:tc>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line="20" w:lineRule="exact"/>
              <w:rPr>
                <w:sz w:val="1"/>
                <w:szCs w:val="1"/>
                <w:color w:val="auto"/>
              </w:rPr>
            </w:pPr>
          </w:p>
        </w:tc>
      </w:tr>
      <w:tr>
        <w:trPr>
          <w:trHeight w:val="155"/>
        </w:trPr>
        <w:tc>
          <w:tcPr>
            <w:tcW w:w="50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color w:val="auto"/>
                <w:w w:val="98"/>
              </w:rPr>
              <w:t>Governance</w:t>
            </w:r>
          </w:p>
        </w:tc>
        <w:tc>
          <w:tcPr>
            <w:tcW w:w="40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McCarthy was global head of energy investment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2"/>
        </w:trPr>
        <w:tc>
          <w:tcPr>
            <w:tcW w:w="50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80"/>
              <w:spacing w:after="0" w:line="175" w:lineRule="exact"/>
              <w:rPr>
                <w:sz w:val="20"/>
                <w:szCs w:val="20"/>
                <w:color w:val="auto"/>
              </w:rPr>
            </w:pPr>
            <w:r>
              <w:rPr>
                <w:rFonts w:ascii="Arial" w:cs="Arial" w:eastAsia="Arial" w:hAnsi="Arial"/>
                <w:sz w:val="16"/>
                <w:szCs w:val="16"/>
                <w:color w:val="auto"/>
              </w:rPr>
              <w:t>HSES</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banking at UBS Securities LLC and held similar</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positions at PaineWebber Incorporated and Dean</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Witter Reynolds. Mr. McCarthy serves as a director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Kinetik Holdings Inc. and Chord Energy Corporation,</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20"/>
        </w:trPr>
        <w:tc>
          <w:tcPr>
            <w:tcW w:w="50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 previously served as a director of Whiting</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Petroleum Corporation (Chairman), Altus Midstream</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Company, Range Resources Corporation, ONEOK,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 Emerge Energy Services LP and K-Sea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Transportation Partners L.P. He also sits on the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of directors of the Gladney Fund, a Fort Worth based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adoption agency. Mr. McCarthy earned a BA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economics and geology from Amherst College and an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MBA in Finance from the Wharton School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University of Pennsylvania. Mr. McCarthy’s extensive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investment management background and involvement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the energy sector, along with the breadth and depth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his market and industry knowledge, brings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substantial experience, insight and skill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9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HARRY N. PEFANIS</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Harry N. Pefanis, age 67</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6"/>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PAGP GP since February 2017 and as President of</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gridSpan w:val="3"/>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PAGP GP and GP LLC since March 2021. Mr. Pefanis</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will retire as President of Plains effective June 1, 2025,</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3"/>
        </w:trPr>
        <w:tc>
          <w:tcPr>
            <w:tcW w:w="1940" w:type="dxa"/>
            <w:vAlign w:val="bottom"/>
            <w:tcBorders>
              <w:left w:val="single" w:sz="8" w:color="auto"/>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thereafter will serve as a Senior Advisor to the</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440" w:type="dxa"/>
            <w:vAlign w:val="bottom"/>
            <w:tcBorders>
              <w:right w:val="single" w:sz="8" w:color="auto"/>
            </w:tcBorders>
            <w:gridSpan w:val="2"/>
            <w:vMerge w:val="restart"/>
          </w:tcPr>
          <w:p>
            <w:pPr>
              <w:jc w:val="center"/>
              <w:ind w:right="460"/>
              <w:spacing w:after="0" w:line="161" w:lineRule="exact"/>
              <w:rPr>
                <w:sz w:val="20"/>
                <w:szCs w:val="20"/>
                <w:color w:val="auto"/>
              </w:rPr>
            </w:pPr>
            <w:r>
              <w:rPr>
                <w:rFonts w:ascii="Arial" w:cs="Arial" w:eastAsia="Arial" w:hAnsi="Arial"/>
                <w:sz w:val="16"/>
                <w:szCs w:val="16"/>
                <w:b w:val="1"/>
                <w:bCs w:val="1"/>
                <w:i w:val="1"/>
                <w:iCs w:val="1"/>
                <w:color w:val="auto"/>
              </w:rPr>
              <w:t>since 2017</w:t>
            </w:r>
          </w:p>
        </w:tc>
        <w:tc>
          <w:tcPr>
            <w:tcW w:w="40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500" w:type="dxa"/>
            <w:vAlign w:val="bottom"/>
            <w:tcBorders>
              <w:left w:val="single" w:sz="8" w:color="auto"/>
            </w:tcBorders>
          </w:tcPr>
          <w:p>
            <w:pPr>
              <w:spacing w:after="0"/>
              <w:rPr>
                <w:sz w:val="3"/>
                <w:szCs w:val="3"/>
                <w:color w:val="auto"/>
              </w:rPr>
            </w:pPr>
          </w:p>
        </w:tc>
        <w:tc>
          <w:tcPr>
            <w:tcW w:w="1440" w:type="dxa"/>
            <w:vAlign w:val="bottom"/>
            <w:tcBorders>
              <w:right w:val="single" w:sz="8" w:color="auto"/>
            </w:tcBorders>
            <w:gridSpan w:val="2"/>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b w:val="1"/>
                <w:bCs w:val="1"/>
                <w:i w:val="1"/>
                <w:iCs w:val="1"/>
                <w:color w:val="auto"/>
              </w:rPr>
              <w:t>President</w:t>
            </w:r>
          </w:p>
        </w:tc>
        <w:tc>
          <w:tcPr>
            <w:tcW w:w="40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CEO. He previously served as President and Chief</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Commercial Officer of PAGP GP and GP LLC from</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00" w:type="dxa"/>
            <w:vAlign w:val="bottom"/>
            <w:tcBorders>
              <w:left w:val="single" w:sz="8" w:color="auto"/>
            </w:tcBorders>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January 2018 until March 2021. He served as</w:t>
            </w:r>
          </w:p>
        </w:tc>
        <w:tc>
          <w:tcPr>
            <w:tcW w:w="8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63"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94"/>
        </w:trPr>
        <w:tc>
          <w:tcPr>
            <w:tcW w:w="1940" w:type="dxa"/>
            <w:vAlign w:val="bottom"/>
            <w:tcBorders>
              <w:left w:val="single" w:sz="8" w:color="auto"/>
              <w:right w:val="single" w:sz="8" w:color="auto"/>
            </w:tcBorders>
            <w:gridSpan w:val="3"/>
            <w:vMerge w:val="continue"/>
          </w:tcPr>
          <w:p>
            <w:pPr>
              <w:spacing w:after="0"/>
              <w:rPr>
                <w:sz w:val="8"/>
                <w:szCs w:val="8"/>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Chief Operating Officer of GP LLC from</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0"/>
        </w:trPr>
        <w:tc>
          <w:tcPr>
            <w:tcW w:w="500" w:type="dxa"/>
            <w:vAlign w:val="bottom"/>
            <w:tcBorders>
              <w:left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60"/>
              <w:spacing w:after="0" w:line="175" w:lineRule="exact"/>
              <w:rPr>
                <w:sz w:val="20"/>
                <w:szCs w:val="20"/>
                <w:color w:val="auto"/>
              </w:rPr>
            </w:pPr>
            <w:r>
              <w:rPr>
                <w:rFonts w:ascii="Arial" w:cs="Arial" w:eastAsia="Arial" w:hAnsi="Arial"/>
                <w:sz w:val="16"/>
                <w:szCs w:val="16"/>
                <w:color w:val="auto"/>
                <w:w w:val="99"/>
              </w:rPr>
              <w:t>None</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PAA’s formation in 1998 through December 2017, and</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as President and Chief Operating Officer of PAGP GP</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July 2013 through December 2017. He was also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 director of PAA’s former general partner. In addition,</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he was Executive Vice President — Midstream of</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Plains Resources from May 1998 to May 2001. He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previously served Plains Resources as: Senior Vice</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1"/>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President from February 1996 until May 1998; Vice</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President — Products Marketing from 1988 to</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February 1996; Manager of Products Marketing from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1987 to 1988; and Special Assistant for Corporate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Planning from 1983 to 1987. Mr. Pefanis was also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President of several former midstream subsidiaries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Plains Resources prior to PAA’s formation. Mr. Pefanis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served as a director of Oasis Midstream Partners, L.P.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July 2018 until February 2022. He is also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 of the Memorial Hermann Foundation and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trustee of the University of Oklahoma Foundation.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Pefanis’s involvement with PAA since its formation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and his considerable operational, commercial,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accounting and financial experience brings important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valuable skills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9"/>
              </w:rPr>
              <w:t>GARY R. PETERSEN</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Gary R. Petersen, age 78</w:t>
            </w:r>
            <w:r>
              <w:rPr>
                <w:rFonts w:ascii="Arial" w:cs="Arial" w:eastAsia="Arial" w:hAnsi="Arial"/>
                <w:sz w:val="16"/>
                <w:szCs w:val="16"/>
                <w:color w:val="auto"/>
              </w:rPr>
              <w:t>, has served as a director of</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50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PAGP GP since November 2016. He served as a</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director of PAA’s general partner from June 2001 until</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2016. Mr. Petersen is a Managing Partner</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2"/>
        </w:trPr>
        <w:tc>
          <w:tcPr>
            <w:tcW w:w="1940" w:type="dxa"/>
            <w:vAlign w:val="bottom"/>
            <w:tcBorders>
              <w:left w:val="single" w:sz="8" w:color="auto"/>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of EnCap, an investment management firm which he</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tcPr>
          <w:p>
            <w:pPr>
              <w:jc w:val="center"/>
              <w:ind w:right="460"/>
              <w:spacing w:after="0" w:line="136" w:lineRule="exact"/>
              <w:rPr>
                <w:sz w:val="20"/>
                <w:szCs w:val="20"/>
                <w:color w:val="auto"/>
              </w:rPr>
            </w:pPr>
            <w:r>
              <w:rPr>
                <w:rFonts w:ascii="Arial" w:cs="Arial" w:eastAsia="Arial" w:hAnsi="Arial"/>
                <w:sz w:val="15"/>
                <w:szCs w:val="15"/>
                <w:b w:val="1"/>
                <w:bCs w:val="1"/>
                <w:i w:val="1"/>
                <w:iCs w:val="1"/>
                <w:color w:val="auto"/>
              </w:rPr>
              <w:t>since 2001</w:t>
            </w:r>
          </w:p>
        </w:tc>
        <w:tc>
          <w:tcPr>
            <w:tcW w:w="40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co-founded in 1988. He also served as a director of EV</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94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6"/>
                <w:szCs w:val="16"/>
                <w:color w:val="auto"/>
              </w:rPr>
              <w:t>Energy Partners, L.P. from September 2006 until</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June 2018. He had previously served as Senior Vice</w:t>
            </w:r>
          </w:p>
        </w:tc>
        <w:tc>
          <w:tcPr>
            <w:tcW w:w="80" w:type="dxa"/>
            <w:vAlign w:val="bottom"/>
          </w:tcPr>
          <w:p>
            <w:pPr>
              <w:spacing w:after="0" w:line="20" w:lineRule="exact"/>
              <w:rPr>
                <w:sz w:val="1"/>
                <w:szCs w:val="1"/>
                <w:color w:val="auto"/>
              </w:rPr>
            </w:pPr>
          </w:p>
        </w:tc>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line="20" w:lineRule="exact"/>
              <w:rPr>
                <w:sz w:val="1"/>
                <w:szCs w:val="1"/>
                <w:color w:val="auto"/>
              </w:rPr>
            </w:pPr>
          </w:p>
        </w:tc>
      </w:tr>
      <w:tr>
        <w:trPr>
          <w:trHeight w:val="155"/>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8"/>
              </w:rPr>
              <w:t>Compensation</w:t>
            </w:r>
          </w:p>
        </w:tc>
        <w:tc>
          <w:tcPr>
            <w:tcW w:w="40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Manager of the Corporate Finance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2"/>
        </w:trPr>
        <w:tc>
          <w:tcPr>
            <w:tcW w:w="50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8"/>
              </w:rPr>
              <w:t>Governance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Division of the Energy Banking Group for</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95"/>
        </w:trPr>
        <w:tc>
          <w:tcPr>
            <w:tcW w:w="50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line="148" w:lineRule="exact"/>
              <w:rPr>
                <w:sz w:val="20"/>
                <w:szCs w:val="20"/>
                <w:color w:val="auto"/>
              </w:rPr>
            </w:pPr>
            <w:r>
              <w:rPr>
                <w:rFonts w:ascii="Arial" w:cs="Arial" w:eastAsia="Arial" w:hAnsi="Arial"/>
                <w:sz w:val="16"/>
                <w:szCs w:val="16"/>
                <w:color w:val="auto"/>
              </w:rPr>
              <w:t>RepublicBank Corporation. Prior to his position at</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RepublicBank, he was Executive Vice President and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member of the Board of Directors of Nicklos Oil &amp; Gas</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20"/>
        </w:trPr>
        <w:tc>
          <w:tcPr>
            <w:tcW w:w="50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Company from 1979 to 1984. He served from 1970 to</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1971 in the U.S. Army as a First Lieutenant in the</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Finance Corps and as an Army Officer in the Army</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Security Agency. He is a member of the Independent</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Petroleum Association of America, the Houston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Producers Forum and the Petroleum Club of Houston.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Petersen is a director of the Memorial Hermann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Health System and the Houston Museum of Natural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Science. He also sits on the board of trustees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Council on Recovery. Mr. Petersen holds BBA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MBA degrees in finance from Texas Tech University.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Petersen has been involved in the energy sector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 over 35 years, garnering extensive knowledge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the energy sectors’ various cycles, as well as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current market and industry knowledge that comes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with management of billions of dollars of energy-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related investments. In tandem with the leadership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qualities evidenced by his executive background, we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believe that Mr. Petersen brings numerous valuable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attributes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50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(Directors with terms expiring after the 2025 PAA and PAGP Annual Meetings)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 Directors (terms expire in 2026):</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8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9"/>
              </w:rPr>
              <w:t>WILLIE CHIANG</w:t>
            </w:r>
          </w:p>
        </w:tc>
        <w:tc>
          <w:tcPr>
            <w:tcW w:w="3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i w:val="1"/>
                <w:iCs w:val="1"/>
                <w:color w:val="auto"/>
              </w:rPr>
              <w:t>Willie Chiang, age 64</w:t>
            </w:r>
            <w:r>
              <w:rPr>
                <w:rFonts w:ascii="Arial" w:cs="Arial" w:eastAsia="Arial" w:hAnsi="Arial"/>
                <w:sz w:val="15"/>
                <w:szCs w:val="15"/>
                <w:color w:val="auto"/>
              </w:rPr>
              <w:t>, has served as a director of</w:t>
            </w:r>
          </w:p>
        </w:tc>
        <w:tc>
          <w:tcPr>
            <w:tcW w:w="60" w:type="dxa"/>
            <w:vAlign w:val="bottom"/>
            <w:tcBorders>
              <w:top w:val="single" w:sz="8" w:color="auto"/>
            </w:tcBorders>
          </w:tcPr>
          <w:p>
            <w:pPr>
              <w:spacing w:after="0"/>
              <w:rPr>
                <w:sz w:val="22"/>
                <w:szCs w:val="22"/>
                <w:color w:val="auto"/>
              </w:rPr>
            </w:pPr>
          </w:p>
        </w:tc>
        <w:tc>
          <w:tcPr>
            <w:tcW w:w="2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w w:val="99"/>
              </w:rPr>
              <w:t>Board Qualifications/ Attributes:</w:t>
            </w:r>
          </w:p>
        </w:tc>
        <w:tc>
          <w:tcPr>
            <w:tcW w:w="5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color w:val="auto"/>
              </w:rPr>
              <w:t>Not Independent</w:t>
            </w:r>
          </w:p>
        </w:tc>
        <w:tc>
          <w:tcPr>
            <w:tcW w:w="37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5"/>
                <w:szCs w:val="15"/>
                <w:color w:val="auto"/>
              </w:rPr>
              <w:t>PAGP GP since February 2017, as Chief Executive</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Public Company Experience</w:t>
            </w: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gridSpan w:val="3"/>
            <w:vMerge w:val="continue"/>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Officer of PAGP GP and GP LLC since</w:t>
            </w:r>
          </w:p>
        </w:tc>
        <w:tc>
          <w:tcPr>
            <w:tcW w:w="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i w:val="1"/>
                <w:iCs w:val="1"/>
                <w:color w:val="auto"/>
                <w:w w:val="99"/>
              </w:rPr>
              <w:t>PAGP/PAA Director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October 2018 and as Chairman of the Board since</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Finance/Accounting</w:t>
            </w:r>
          </w:p>
        </w:tc>
        <w:tc>
          <w:tcPr>
            <w:tcW w:w="0" w:type="dxa"/>
            <w:vAlign w:val="bottom"/>
          </w:tcPr>
          <w:p>
            <w:pPr>
              <w:spacing w:after="0"/>
              <w:rPr>
                <w:sz w:val="1"/>
                <w:szCs w:val="1"/>
                <w:color w:val="auto"/>
              </w:rPr>
            </w:pPr>
          </w:p>
        </w:tc>
      </w:tr>
      <w:tr>
        <w:trPr>
          <w:trHeight w:val="44"/>
        </w:trPr>
        <w:tc>
          <w:tcPr>
            <w:tcW w:w="1820" w:type="dxa"/>
            <w:vAlign w:val="bottom"/>
            <w:tcBorders>
              <w:left w:val="single" w:sz="8" w:color="auto"/>
              <w:right w:val="single" w:sz="8" w:color="auto"/>
            </w:tcBorders>
            <w:gridSpan w:val="3"/>
            <w:vMerge w:val="continue"/>
          </w:tcPr>
          <w:p>
            <w:pPr>
              <w:spacing w:after="0"/>
              <w:rPr>
                <w:sz w:val="3"/>
                <w:szCs w:val="3"/>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January 2020. He will assume the additional role of</w:t>
            </w: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252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gridSpan w:val="2"/>
          </w:tcPr>
          <w:p>
            <w:pPr>
              <w:jc w:val="center"/>
              <w:ind w:right="344"/>
              <w:spacing w:after="0" w:line="149" w:lineRule="exact"/>
              <w:rPr>
                <w:sz w:val="20"/>
                <w:szCs w:val="20"/>
                <w:color w:val="auto"/>
              </w:rPr>
            </w:pPr>
            <w:r>
              <w:rPr>
                <w:rFonts w:ascii="Arial" w:cs="Arial" w:eastAsia="Arial" w:hAnsi="Arial"/>
                <w:sz w:val="15"/>
                <w:szCs w:val="15"/>
                <w:b w:val="1"/>
                <w:bCs w:val="1"/>
                <w:i w:val="1"/>
                <w:iCs w:val="1"/>
                <w:color w:val="auto"/>
              </w:rPr>
              <w:t>since 2017</w:t>
            </w:r>
          </w:p>
        </w:tc>
        <w:tc>
          <w:tcPr>
            <w:tcW w:w="37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Business Development/​</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i w:val="1"/>
                <w:iCs w:val="1"/>
                <w:color w:val="auto"/>
              </w:rPr>
              <w:t>Chairman and CEO</w:t>
            </w:r>
          </w:p>
        </w:tc>
        <w:tc>
          <w:tcPr>
            <w:tcW w:w="3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5"/>
                <w:szCs w:val="15"/>
                <w:color w:val="auto"/>
              </w:rPr>
              <w:t>President following Mr. Pefanis’ retirement effective</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gridSpan w:val="3"/>
            <w:vMerge w:val="continue"/>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June 1, 2025. Mr. Chiang served as Executive Vice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Strategy/Commercial</w:t>
            </w:r>
          </w:p>
        </w:tc>
        <w:tc>
          <w:tcPr>
            <w:tcW w:w="0" w:type="dxa"/>
            <w:vAlign w:val="bottom"/>
          </w:tcPr>
          <w:p>
            <w:pPr>
              <w:spacing w:after="0"/>
              <w:rPr>
                <w:sz w:val="1"/>
                <w:szCs w:val="1"/>
                <w:color w:val="auto"/>
              </w:rPr>
            </w:pPr>
          </w:p>
        </w:tc>
      </w:tr>
      <w:tr>
        <w:trPr>
          <w:trHeight w:val="172"/>
        </w:trPr>
        <w:tc>
          <w:tcPr>
            <w:tcW w:w="480" w:type="dxa"/>
            <w:vAlign w:val="bottom"/>
            <w:tcBorders>
              <w:left w:val="single" w:sz="8" w:color="auto"/>
            </w:tcBorders>
          </w:tcPr>
          <w:p>
            <w:pPr>
              <w:spacing w:after="0"/>
              <w:rPr>
                <w:sz w:val="14"/>
                <w:szCs w:val="14"/>
                <w:color w:val="auto"/>
              </w:rPr>
            </w:pPr>
          </w:p>
        </w:tc>
        <w:tc>
          <w:tcPr>
            <w:tcW w:w="860" w:type="dxa"/>
            <w:vAlign w:val="bottom"/>
            <w:vMerge w:val="restart"/>
          </w:tcPr>
          <w:p>
            <w:pPr>
              <w:spacing w:after="0"/>
              <w:rPr>
                <w:sz w:val="20"/>
                <w:szCs w:val="20"/>
                <w:color w:val="auto"/>
              </w:rPr>
            </w:pPr>
            <w:r>
              <w:rPr>
                <w:rFonts w:ascii="Arial" w:cs="Arial" w:eastAsia="Arial" w:hAnsi="Arial"/>
                <w:sz w:val="15"/>
                <w:szCs w:val="15"/>
                <w:b w:val="1"/>
                <w:bCs w:val="1"/>
                <w:color w:val="auto"/>
                <w:w w:val="97"/>
              </w:rPr>
              <w:t>Committees</w:t>
            </w:r>
          </w:p>
        </w:tc>
        <w:tc>
          <w:tcPr>
            <w:tcW w:w="480" w:type="dxa"/>
            <w:vAlign w:val="bottom"/>
            <w:tcBorders>
              <w:right w:val="single" w:sz="8" w:color="auto"/>
            </w:tcBorders>
            <w:vMerge w:val="restart"/>
          </w:tcPr>
          <w:p>
            <w:pPr>
              <w:jc w:val="right"/>
              <w:ind w:right="344"/>
              <w:spacing w:after="0"/>
              <w:rPr>
                <w:sz w:val="20"/>
                <w:szCs w:val="20"/>
                <w:color w:val="auto"/>
              </w:rPr>
            </w:pPr>
            <w:r>
              <w:rPr>
                <w:rFonts w:ascii="Arial" w:cs="Arial" w:eastAsia="Arial" w:hAnsi="Arial"/>
                <w:sz w:val="15"/>
                <w:szCs w:val="15"/>
                <w:b w:val="1"/>
                <w:bCs w:val="1"/>
                <w:color w:val="auto"/>
                <w:w w:val="79"/>
              </w:rPr>
              <w:t>:</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President and Chief Operating Officer of PAGP GP</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Governance/​Government</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3700" w:type="dxa"/>
            <w:vAlign w:val="bottom"/>
            <w:tcBorders>
              <w:right w:val="single" w:sz="8" w:color="auto"/>
            </w:tcBorders>
            <w:vMerge w:val="restart"/>
          </w:tcPr>
          <w:p>
            <w:pPr>
              <w:ind w:left="80"/>
              <w:spacing w:after="0" w:line="153" w:lineRule="exact"/>
              <w:rPr>
                <w:sz w:val="20"/>
                <w:szCs w:val="20"/>
                <w:color w:val="auto"/>
              </w:rPr>
            </w:pPr>
            <w:r>
              <w:rPr>
                <w:rFonts w:ascii="Arial" w:cs="Arial" w:eastAsia="Arial" w:hAnsi="Arial"/>
                <w:sz w:val="15"/>
                <w:szCs w:val="15"/>
                <w:color w:val="auto"/>
              </w:rPr>
              <w:t>and GP LLC from January 2018 until October 2018.</w:t>
            </w:r>
          </w:p>
        </w:tc>
        <w:tc>
          <w:tcPr>
            <w:tcW w:w="60" w:type="dxa"/>
            <w:vAlign w:val="bottom"/>
            <w:vMerge w:val="restart"/>
          </w:tcPr>
          <w:p>
            <w:pPr>
              <w:spacing w:after="0"/>
              <w:rPr>
                <w:sz w:val="7"/>
                <w:szCs w:val="7"/>
                <w:color w:val="auto"/>
              </w:rPr>
            </w:pPr>
          </w:p>
        </w:tc>
        <w:tc>
          <w:tcPr>
            <w:tcW w:w="120" w:type="dxa"/>
            <w:vAlign w:val="bottom"/>
            <w:vMerge w:val="continue"/>
          </w:tcPr>
          <w:p>
            <w:pPr>
              <w:spacing w:after="0"/>
              <w:rPr>
                <w:sz w:val="7"/>
                <w:szCs w:val="7"/>
                <w:color w:val="auto"/>
              </w:rPr>
            </w:pPr>
          </w:p>
        </w:tc>
        <w:tc>
          <w:tcPr>
            <w:tcW w:w="25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5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1340" w:type="dxa"/>
            <w:vAlign w:val="bottom"/>
            <w:tcBorders>
              <w:right w:val="single" w:sz="8" w:color="auto"/>
            </w:tcBorders>
            <w:gridSpan w:val="2"/>
          </w:tcPr>
          <w:p>
            <w:pPr>
              <w:jc w:val="center"/>
              <w:ind w:right="344"/>
              <w:spacing w:after="0"/>
              <w:rPr>
                <w:sz w:val="20"/>
                <w:szCs w:val="20"/>
                <w:color w:val="auto"/>
              </w:rPr>
            </w:pPr>
            <w:r>
              <w:rPr>
                <w:rFonts w:ascii="Arial" w:cs="Arial" w:eastAsia="Arial" w:hAnsi="Arial"/>
                <w:sz w:val="15"/>
                <w:szCs w:val="15"/>
                <w:color w:val="auto"/>
              </w:rPr>
              <w:t>None</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He also served as Executive Vice President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Relations/​Legal</w:t>
            </w:r>
          </w:p>
        </w:tc>
        <w:tc>
          <w:tcPr>
            <w:tcW w:w="0" w:type="dxa"/>
            <w:vAlign w:val="bottom"/>
          </w:tcPr>
          <w:p>
            <w:pPr>
              <w:spacing w:after="0"/>
              <w:rPr>
                <w:sz w:val="1"/>
                <w:szCs w:val="1"/>
                <w:color w:val="auto"/>
              </w:rPr>
            </w:pPr>
          </w:p>
        </w:tc>
      </w:tr>
      <w:tr>
        <w:trPr>
          <w:trHeight w:val="17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Chief Operating Officer (U.S.) of PAGP GP and GP</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Operations/​Engineering/</w:t>
            </w:r>
          </w:p>
        </w:tc>
        <w:tc>
          <w:tcPr>
            <w:tcW w:w="0" w:type="dxa"/>
            <w:vAlign w:val="bottom"/>
          </w:tcPr>
          <w:p>
            <w:pPr>
              <w:spacing w:after="0"/>
              <w:rPr>
                <w:sz w:val="1"/>
                <w:szCs w:val="1"/>
                <w:color w:val="auto"/>
              </w:rPr>
            </w:pPr>
          </w:p>
        </w:tc>
      </w:tr>
      <w:tr>
        <w:trPr>
          <w:trHeight w:val="94"/>
        </w:trPr>
        <w:tc>
          <w:tcPr>
            <w:tcW w:w="480" w:type="dxa"/>
            <w:vAlign w:val="bottom"/>
            <w:tcBorders>
              <w:lef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vMerge w:val="restart"/>
          </w:tcPr>
          <w:p>
            <w:pPr>
              <w:ind w:left="80"/>
              <w:spacing w:after="0" w:line="162" w:lineRule="exact"/>
              <w:rPr>
                <w:sz w:val="20"/>
                <w:szCs w:val="20"/>
                <w:color w:val="auto"/>
              </w:rPr>
            </w:pPr>
            <w:r>
              <w:rPr>
                <w:rFonts w:ascii="Arial" w:cs="Arial" w:eastAsia="Arial" w:hAnsi="Arial"/>
                <w:sz w:val="15"/>
                <w:szCs w:val="15"/>
                <w:color w:val="auto"/>
              </w:rPr>
              <w:t>LLC from August 2015 through December 2017.</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Construction/Technical</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Prior to joining Plains, Mr. Chiang served as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480" w:type="dxa"/>
            <w:vAlign w:val="bottom"/>
            <w:tcBorders>
              <w:lef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37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Executive Vice President — Operations for</w:t>
            </w:r>
          </w:p>
        </w:tc>
        <w:tc>
          <w:tcPr>
            <w:tcW w:w="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Industry Experience</w:t>
            </w:r>
          </w:p>
        </w:tc>
        <w:tc>
          <w:tcPr>
            <w:tcW w:w="0" w:type="dxa"/>
            <w:vAlign w:val="bottom"/>
          </w:tcPr>
          <w:p>
            <w:pPr>
              <w:spacing w:after="0"/>
              <w:rPr>
                <w:sz w:val="1"/>
                <w:szCs w:val="1"/>
                <w:color w:val="auto"/>
              </w:rPr>
            </w:pPr>
          </w:p>
        </w:tc>
      </w:tr>
      <w:tr>
        <w:trPr>
          <w:trHeight w:val="145"/>
        </w:trPr>
        <w:tc>
          <w:tcPr>
            <w:tcW w:w="48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7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5"/>
                <w:szCs w:val="15"/>
                <w:color w:val="auto"/>
              </w:rPr>
              <w:t>Occidental Petroleum Corporation from 2012 until</w:t>
            </w:r>
          </w:p>
        </w:tc>
        <w:tc>
          <w:tcPr>
            <w:tcW w:w="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International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2015. From 1996 until 2012, he served in various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positions at ConocoPhillips, including most recently</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Energy Evolution</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as Senior Vice President — Refining, Marketing,</w:t>
            </w:r>
          </w:p>
        </w:tc>
        <w:tc>
          <w:tcPr>
            <w:tcW w:w="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8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Transportation and Commercial. He currently serves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on the board of Delta Airlines and previously served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on the boards of DCP Midstream and Chevron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Phillips Chemical. He also serves on the boards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the United Way of Greater Houston and Performing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Arts Houston. Mr. Chiang is a member of the Energy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Advisory Council of the Federal Reserve Bank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Dallas. He serves as chair of the American Fuel &amp;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Petrochemical Manufacturers (AFPM) trade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association and is also involved in a number of other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industry organizations including the American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Petroleum Institute (API) and National Petroleum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Council. He received a BS in Mechanical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Engineering from South Dakota School of Mines and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Technology and completed the Advanced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Management Program at the University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Pennsylvania. Mr. Chiang’s role as CEO and his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broad experience in the energy industry, together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with his leadership capabilities and strategic focus,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make him highly qualified to serve on the Board.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tcPr>
          <w:p>
            <w:pPr>
              <w:jc w:val="center"/>
              <w:ind w:right="344"/>
              <w:spacing w:after="0" w:line="169" w:lineRule="exact"/>
              <w:rPr>
                <w:sz w:val="20"/>
                <w:szCs w:val="20"/>
                <w:color w:val="auto"/>
              </w:rPr>
            </w:pPr>
            <w:r>
              <w:rPr>
                <w:rFonts w:ascii="Arial" w:cs="Arial" w:eastAsia="Arial" w:hAnsi="Arial"/>
                <w:sz w:val="15"/>
                <w:szCs w:val="15"/>
                <w:b w:val="1"/>
                <w:bCs w:val="1"/>
                <w:color w:val="auto"/>
                <w:w w:val="99"/>
              </w:rPr>
              <w:t>ELLEN R.</w:t>
            </w:r>
          </w:p>
        </w:tc>
        <w:tc>
          <w:tcPr>
            <w:tcW w:w="370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5"/>
                <w:szCs w:val="15"/>
                <w:i w:val="1"/>
                <w:iCs w:val="1"/>
                <w:color w:val="auto"/>
              </w:rPr>
              <w:t>Ellen R. DeSanctis, age 68</w:t>
            </w:r>
            <w:r>
              <w:rPr>
                <w:rFonts w:ascii="Arial" w:cs="Arial" w:eastAsia="Arial" w:hAnsi="Arial"/>
                <w:sz w:val="15"/>
                <w:szCs w:val="15"/>
                <w:color w:val="auto"/>
              </w:rPr>
              <w:t>, has served as a</w:t>
            </w:r>
          </w:p>
        </w:tc>
        <w:tc>
          <w:tcPr>
            <w:tcW w:w="60" w:type="dxa"/>
            <w:vAlign w:val="bottom"/>
          </w:tcPr>
          <w:p>
            <w:pPr>
              <w:spacing w:after="0"/>
              <w:rPr>
                <w:sz w:val="14"/>
                <w:szCs w:val="14"/>
                <w:color w:val="auto"/>
              </w:rPr>
            </w:pPr>
          </w:p>
        </w:tc>
        <w:tc>
          <w:tcPr>
            <w:tcW w:w="21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w w:val="99"/>
              </w:rPr>
              <w:t>Board Qualifications/ Attributes:</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tcPr>
          <w:p>
            <w:pPr>
              <w:jc w:val="center"/>
              <w:ind w:right="344"/>
              <w:spacing w:after="0" w:line="165" w:lineRule="exact"/>
              <w:rPr>
                <w:sz w:val="20"/>
                <w:szCs w:val="20"/>
                <w:color w:val="auto"/>
              </w:rPr>
            </w:pPr>
            <w:r>
              <w:rPr>
                <w:rFonts w:ascii="Arial" w:cs="Arial" w:eastAsia="Arial" w:hAnsi="Arial"/>
                <w:sz w:val="15"/>
                <w:szCs w:val="15"/>
                <w:b w:val="1"/>
                <w:bCs w:val="1"/>
                <w:color w:val="auto"/>
              </w:rPr>
              <w:t>DESANCTIS</w:t>
            </w:r>
          </w:p>
        </w:tc>
        <w:tc>
          <w:tcPr>
            <w:tcW w:w="37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5"/>
                <w:szCs w:val="15"/>
                <w:color w:val="auto"/>
              </w:rPr>
              <w:t>director of PAGP GP since August 2022. She has</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Public Company Experience</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restart"/>
          </w:tcPr>
          <w:p>
            <w:pPr>
              <w:jc w:val="center"/>
              <w:ind w:right="344"/>
              <w:spacing w:after="0"/>
              <w:rPr>
                <w:sz w:val="20"/>
                <w:szCs w:val="20"/>
                <w:color w:val="auto"/>
              </w:rPr>
            </w:pPr>
            <w:r>
              <w:rPr>
                <w:rFonts w:ascii="Arial" w:cs="Arial" w:eastAsia="Arial" w:hAnsi="Arial"/>
                <w:sz w:val="15"/>
                <w:szCs w:val="15"/>
                <w:b w:val="1"/>
                <w:bCs w:val="1"/>
                <w:color w:val="auto"/>
              </w:rPr>
              <w:t>Independent</w:t>
            </w: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served as a Senior Counselor at H/Advisors</w:t>
            </w:r>
          </w:p>
        </w:tc>
        <w:tc>
          <w:tcPr>
            <w:tcW w:w="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vMerge w:val="continue"/>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Abernathy since September 2024. She previously</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Finance/Accounting</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i w:val="1"/>
                <w:iCs w:val="1"/>
                <w:color w:val="auto"/>
                <w:w w:val="99"/>
              </w:rPr>
              <w:t>PAGP/PAA Director</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served as Senior Vice President of Corporate</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gridSpan w:val="3"/>
            <w:vMerge w:val="continue"/>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Business Development/​</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340" w:type="dxa"/>
            <w:vAlign w:val="bottom"/>
            <w:tcBorders>
              <w:right w:val="single" w:sz="8" w:color="auto"/>
            </w:tcBorders>
            <w:gridSpan w:val="2"/>
          </w:tcPr>
          <w:p>
            <w:pPr>
              <w:jc w:val="center"/>
              <w:ind w:right="344"/>
              <w:spacing w:after="0" w:line="159" w:lineRule="exact"/>
              <w:rPr>
                <w:sz w:val="20"/>
                <w:szCs w:val="20"/>
                <w:color w:val="auto"/>
              </w:rPr>
            </w:pPr>
            <w:r>
              <w:rPr>
                <w:rFonts w:ascii="Arial" w:cs="Arial" w:eastAsia="Arial" w:hAnsi="Arial"/>
                <w:sz w:val="15"/>
                <w:szCs w:val="15"/>
                <w:b w:val="1"/>
                <w:bCs w:val="1"/>
                <w:i w:val="1"/>
                <w:iCs w:val="1"/>
                <w:color w:val="auto"/>
              </w:rPr>
              <w:t>since 2022</w:t>
            </w:r>
          </w:p>
        </w:tc>
        <w:tc>
          <w:tcPr>
            <w:tcW w:w="370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5"/>
                <w:szCs w:val="15"/>
                <w:color w:val="auto"/>
              </w:rPr>
              <w:t>Relations for ConocoPhillips, where she worked</w:t>
            </w:r>
          </w:p>
        </w:tc>
        <w:tc>
          <w:tcPr>
            <w:tcW w:w="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5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restart"/>
          </w:tcPr>
          <w:p>
            <w:pPr>
              <w:jc w:val="center"/>
              <w:ind w:right="344"/>
              <w:spacing w:after="0"/>
              <w:rPr>
                <w:sz w:val="20"/>
                <w:szCs w:val="20"/>
                <w:color w:val="auto"/>
              </w:rPr>
            </w:pPr>
            <w:r>
              <w:rPr>
                <w:rFonts w:ascii="Arial" w:cs="Arial" w:eastAsia="Arial" w:hAnsi="Arial"/>
                <w:sz w:val="15"/>
                <w:szCs w:val="15"/>
                <w:b w:val="1"/>
                <w:bCs w:val="1"/>
                <w:color w:val="auto"/>
              </w:rPr>
              <w:t>Committees:</w:t>
            </w:r>
          </w:p>
        </w:tc>
        <w:tc>
          <w:tcPr>
            <w:tcW w:w="370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from 2012 until her retirement in 2022. In that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right w:val="single" w:sz="8" w:color="auto"/>
            </w:tcBorders>
            <w:gridSpan w:val="2"/>
          </w:tcPr>
          <w:p>
            <w:pPr>
              <w:ind w:left="40"/>
              <w:spacing w:after="0" w:line="166" w:lineRule="exact"/>
              <w:rPr>
                <w:sz w:val="20"/>
                <w:szCs w:val="20"/>
                <w:color w:val="auto"/>
              </w:rPr>
            </w:pPr>
            <w:r>
              <w:rPr>
                <w:rFonts w:ascii="Arial" w:cs="Arial" w:eastAsia="Arial" w:hAnsi="Arial"/>
                <w:sz w:val="15"/>
                <w:szCs w:val="15"/>
                <w:color w:val="auto"/>
              </w:rPr>
              <w:t>Strategy/Commercial</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continue"/>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capacity, she was responsible for investor relations,</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Governance/​Government</w:t>
            </w:r>
          </w:p>
        </w:tc>
        <w:tc>
          <w:tcPr>
            <w:tcW w:w="0" w:type="dxa"/>
            <w:vAlign w:val="bottom"/>
          </w:tcPr>
          <w:p>
            <w:pPr>
              <w:spacing w:after="0"/>
              <w:rPr>
                <w:sz w:val="1"/>
                <w:szCs w:val="1"/>
                <w:color w:val="auto"/>
              </w:rPr>
            </w:pPr>
          </w:p>
        </w:tc>
      </w:tr>
      <w:tr>
        <w:trPr>
          <w:trHeight w:val="142"/>
        </w:trPr>
        <w:tc>
          <w:tcPr>
            <w:tcW w:w="480" w:type="dxa"/>
            <w:vAlign w:val="bottom"/>
            <w:tcBorders>
              <w:left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Audit</w:t>
            </w:r>
          </w:p>
        </w:tc>
        <w:tc>
          <w:tcPr>
            <w:tcW w:w="480" w:type="dxa"/>
            <w:vAlign w:val="bottom"/>
            <w:tcBorders>
              <w:right w:val="single" w:sz="8" w:color="auto"/>
            </w:tcBorders>
            <w:vMerge w:val="restart"/>
          </w:tcPr>
          <w:p>
            <w:pPr>
              <w:spacing w:after="0"/>
              <w:rPr>
                <w:sz w:val="12"/>
                <w:szCs w:val="12"/>
                <w:color w:val="auto"/>
              </w:rPr>
            </w:pPr>
          </w:p>
        </w:tc>
        <w:tc>
          <w:tcPr>
            <w:tcW w:w="370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5"/>
                <w:szCs w:val="15"/>
                <w:color w:val="auto"/>
              </w:rPr>
              <w:t>corporate communications and charitable programs.</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 w:type="dxa"/>
            <w:vAlign w:val="bottom"/>
            <w:tcBorders>
              <w:left w:val="single" w:sz="8" w:color="auto"/>
            </w:tcBorders>
          </w:tcPr>
          <w:p>
            <w:pPr>
              <w:spacing w:after="0"/>
              <w:rPr>
                <w:sz w:val="16"/>
                <w:szCs w:val="16"/>
                <w:color w:val="auto"/>
              </w:rPr>
            </w:pPr>
          </w:p>
        </w:tc>
        <w:tc>
          <w:tcPr>
            <w:tcW w:w="860" w:type="dxa"/>
            <w:vAlign w:val="bottom"/>
            <w:vMerge w:val="continue"/>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Prior to ConocoPhillips, Ms. DeSanctis had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Relations/​Legal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tcPr>
          <w:p>
            <w:pPr>
              <w:jc w:val="center"/>
              <w:ind w:right="344"/>
              <w:spacing w:after="0"/>
              <w:rPr>
                <w:sz w:val="20"/>
                <w:szCs w:val="20"/>
                <w:color w:val="auto"/>
              </w:rPr>
            </w:pPr>
            <w:r>
              <w:rPr>
                <w:rFonts w:ascii="Arial" w:cs="Arial" w:eastAsia="Arial" w:hAnsi="Arial"/>
                <w:sz w:val="15"/>
                <w:szCs w:val="15"/>
                <w:color w:val="auto"/>
                <w:w w:val="97"/>
              </w:rPr>
              <w:t>HSES</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responsibility for similar functions, as well as</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Operations/​Engineering/</w:t>
            </w: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vMerge w:val="restart"/>
          </w:tcPr>
          <w:p>
            <w:pPr>
              <w:ind w:left="80"/>
              <w:spacing w:after="0" w:line="162" w:lineRule="exact"/>
              <w:rPr>
                <w:sz w:val="20"/>
                <w:szCs w:val="20"/>
                <w:color w:val="auto"/>
              </w:rPr>
            </w:pPr>
            <w:r>
              <w:rPr>
                <w:rFonts w:ascii="Arial" w:cs="Arial" w:eastAsia="Arial" w:hAnsi="Arial"/>
                <w:sz w:val="15"/>
                <w:szCs w:val="15"/>
                <w:color w:val="auto"/>
              </w:rPr>
              <w:t>strategic planning roles, for a number of upstream</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Construction/Technical</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energy companies, including Petrohawk Energy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480" w:type="dxa"/>
            <w:vAlign w:val="bottom"/>
            <w:tcBorders>
              <w:lef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37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Corporation, Rosetta Resources, Burlington</w:t>
            </w:r>
          </w:p>
        </w:tc>
        <w:tc>
          <w:tcPr>
            <w:tcW w:w="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Industry Experience</w:t>
            </w:r>
          </w:p>
        </w:tc>
        <w:tc>
          <w:tcPr>
            <w:tcW w:w="0" w:type="dxa"/>
            <w:vAlign w:val="bottom"/>
          </w:tcPr>
          <w:p>
            <w:pPr>
              <w:spacing w:after="0"/>
              <w:rPr>
                <w:sz w:val="1"/>
                <w:szCs w:val="1"/>
                <w:color w:val="auto"/>
              </w:rPr>
            </w:pPr>
          </w:p>
        </w:tc>
      </w:tr>
      <w:tr>
        <w:trPr>
          <w:trHeight w:val="145"/>
        </w:trPr>
        <w:tc>
          <w:tcPr>
            <w:tcW w:w="48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7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5"/>
                <w:szCs w:val="15"/>
                <w:color w:val="auto"/>
              </w:rPr>
              <w:t>Resources, Vastar Resources and ARCO.</w:t>
            </w:r>
          </w:p>
        </w:tc>
        <w:tc>
          <w:tcPr>
            <w:tcW w:w="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International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Ms. DeSanctis spent her early career as an</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engineer for Shell Oil Company. Ms. DeSanctis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served on the board of SilverBow Resources, Inc.</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from November 2023 until August 2024. She also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served as past chair of the Girl Scouts of San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Jacinto Council. Ms. DeSanctis holds a BA in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Geological and Geophysical Sciences from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Princeton University and an MBA from UCLA.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Ms. DeSanctis’s diverse, strategic and stakeholder-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focused background brings a valuable perspective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to the Board.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8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8"/>
              </w:rPr>
              <w:t>ALEXANDRA D.</w:t>
            </w:r>
          </w:p>
        </w:tc>
        <w:tc>
          <w:tcPr>
            <w:tcW w:w="3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i w:val="1"/>
                <w:iCs w:val="1"/>
                <w:color w:val="auto"/>
              </w:rPr>
              <w:t>Alexandra D. Pruner, age 63</w:t>
            </w:r>
            <w:r>
              <w:rPr>
                <w:rFonts w:ascii="Arial" w:cs="Arial" w:eastAsia="Arial" w:hAnsi="Arial"/>
                <w:sz w:val="15"/>
                <w:szCs w:val="15"/>
                <w:color w:val="auto"/>
              </w:rPr>
              <w:t>, has served as a</w:t>
            </w:r>
          </w:p>
        </w:tc>
        <w:tc>
          <w:tcPr>
            <w:tcW w:w="60" w:type="dxa"/>
            <w:vAlign w:val="bottom"/>
            <w:tcBorders>
              <w:top w:val="single" w:sz="8" w:color="auto"/>
            </w:tcBorders>
          </w:tcPr>
          <w:p>
            <w:pPr>
              <w:spacing w:after="0"/>
              <w:rPr>
                <w:sz w:val="22"/>
                <w:szCs w:val="22"/>
                <w:color w:val="auto"/>
              </w:rPr>
            </w:pPr>
          </w:p>
        </w:tc>
        <w:tc>
          <w:tcPr>
            <w:tcW w:w="2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w w:val="99"/>
              </w:rPr>
              <w:t>Board Qualifications/ Attributes:</w:t>
            </w:r>
          </w:p>
        </w:tc>
        <w:tc>
          <w:tcPr>
            <w:tcW w:w="5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tcPr>
          <w:p>
            <w:pPr>
              <w:jc w:val="center"/>
              <w:ind w:right="420"/>
              <w:spacing w:after="0" w:line="165" w:lineRule="exact"/>
              <w:rPr>
                <w:sz w:val="20"/>
                <w:szCs w:val="20"/>
                <w:color w:val="auto"/>
              </w:rPr>
            </w:pPr>
            <w:r>
              <w:rPr>
                <w:rFonts w:ascii="Arial" w:cs="Arial" w:eastAsia="Arial" w:hAnsi="Arial"/>
                <w:sz w:val="15"/>
                <w:szCs w:val="15"/>
                <w:b w:val="1"/>
                <w:bCs w:val="1"/>
                <w:color w:val="auto"/>
              </w:rPr>
              <w:t>PRUNER</w:t>
            </w:r>
          </w:p>
        </w:tc>
        <w:tc>
          <w:tcPr>
            <w:tcW w:w="37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5"/>
                <w:szCs w:val="15"/>
                <w:color w:val="auto"/>
              </w:rPr>
              <w:t>director of PAGP GP since December 2018.</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Public Company Experience</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5"/>
                <w:szCs w:val="15"/>
                <w:b w:val="1"/>
                <w:bCs w:val="1"/>
                <w:color w:val="auto"/>
              </w:rPr>
              <w:t>Independent</w:t>
            </w: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Ms. Pruner has served as a Senior Advisor of</w:t>
            </w:r>
          </w:p>
        </w:tc>
        <w:tc>
          <w:tcPr>
            <w:tcW w:w="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vMerge w:val="continue"/>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Perella Weinberg Partners (“PWP”), a global</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Finance/Accounting</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i w:val="1"/>
                <w:iCs w:val="1"/>
                <w:color w:val="auto"/>
                <w:w w:val="99"/>
              </w:rPr>
              <w:t>PAGP/PAA Director</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independent advisory firm providing strategic and</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Borders>
              <w:left w:val="single" w:sz="8" w:color="auto"/>
              <w:right w:val="single" w:sz="8" w:color="auto"/>
            </w:tcBorders>
            <w:gridSpan w:val="3"/>
            <w:vMerge w:val="continue"/>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Business Development/​</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340" w:type="dxa"/>
            <w:vAlign w:val="bottom"/>
            <w:tcBorders>
              <w:right w:val="single" w:sz="8" w:color="auto"/>
            </w:tcBorders>
            <w:gridSpan w:val="2"/>
          </w:tcPr>
          <w:p>
            <w:pPr>
              <w:jc w:val="center"/>
              <w:ind w:right="420"/>
              <w:spacing w:after="0" w:line="159" w:lineRule="exact"/>
              <w:rPr>
                <w:sz w:val="20"/>
                <w:szCs w:val="20"/>
                <w:color w:val="auto"/>
              </w:rPr>
            </w:pPr>
            <w:r>
              <w:rPr>
                <w:rFonts w:ascii="Arial" w:cs="Arial" w:eastAsia="Arial" w:hAnsi="Arial"/>
                <w:sz w:val="15"/>
                <w:szCs w:val="15"/>
                <w:b w:val="1"/>
                <w:bCs w:val="1"/>
                <w:i w:val="1"/>
                <w:iCs w:val="1"/>
                <w:color w:val="auto"/>
              </w:rPr>
              <w:t>since 2018</w:t>
            </w:r>
          </w:p>
        </w:tc>
        <w:tc>
          <w:tcPr>
            <w:tcW w:w="370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5"/>
                <w:szCs w:val="15"/>
                <w:color w:val="auto"/>
              </w:rPr>
              <w:t>financial advice and asset-management services,</w:t>
            </w:r>
          </w:p>
        </w:tc>
        <w:tc>
          <w:tcPr>
            <w:tcW w:w="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5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5"/>
                <w:szCs w:val="15"/>
                <w:b w:val="1"/>
                <w:bCs w:val="1"/>
                <w:color w:val="auto"/>
              </w:rPr>
              <w:t>Committees:</w:t>
            </w:r>
          </w:p>
        </w:tc>
        <w:tc>
          <w:tcPr>
            <w:tcW w:w="370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and its energy division, Tudor, Pickering, Holt &amp; Co.,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right w:val="single" w:sz="8" w:color="auto"/>
            </w:tcBorders>
            <w:gridSpan w:val="2"/>
          </w:tcPr>
          <w:p>
            <w:pPr>
              <w:ind w:left="40"/>
              <w:spacing w:after="0" w:line="166" w:lineRule="exact"/>
              <w:rPr>
                <w:sz w:val="20"/>
                <w:szCs w:val="20"/>
                <w:color w:val="auto"/>
              </w:rPr>
            </w:pPr>
            <w:r>
              <w:rPr>
                <w:rFonts w:ascii="Arial" w:cs="Arial" w:eastAsia="Arial" w:hAnsi="Arial"/>
                <w:sz w:val="15"/>
                <w:szCs w:val="15"/>
                <w:color w:val="auto"/>
              </w:rPr>
              <w:t>Strategy/Commercial</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370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since December 2018. She previously served as</w:t>
            </w:r>
          </w:p>
        </w:tc>
        <w:tc>
          <w:tcPr>
            <w:tcW w:w="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Governance/​Government</w:t>
            </w:r>
          </w:p>
        </w:tc>
        <w:tc>
          <w:tcPr>
            <w:tcW w:w="0" w:type="dxa"/>
            <w:vAlign w:val="bottom"/>
          </w:tcPr>
          <w:p>
            <w:pPr>
              <w:spacing w:after="0"/>
              <w:rPr>
                <w:sz w:val="1"/>
                <w:szCs w:val="1"/>
                <w:color w:val="auto"/>
              </w:rPr>
            </w:pPr>
          </w:p>
        </w:tc>
      </w:tr>
      <w:tr>
        <w:trPr>
          <w:trHeight w:val="155"/>
        </w:trPr>
        <w:tc>
          <w:tcPr>
            <w:tcW w:w="480" w:type="dxa"/>
            <w:vAlign w:val="bottom"/>
            <w:tcBorders>
              <w:left w:val="single" w:sz="8" w:color="auto"/>
            </w:tcBorders>
          </w:tcPr>
          <w:p>
            <w:pPr>
              <w:spacing w:after="0"/>
              <w:rPr>
                <w:sz w:val="13"/>
                <w:szCs w:val="13"/>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Audit</w:t>
            </w:r>
          </w:p>
        </w:tc>
        <w:tc>
          <w:tcPr>
            <w:tcW w:w="480" w:type="dxa"/>
            <w:vAlign w:val="bottom"/>
            <w:tcBorders>
              <w:right w:val="single" w:sz="8" w:color="auto"/>
            </w:tcBorders>
            <w:vMerge w:val="restart"/>
          </w:tcPr>
          <w:p>
            <w:pPr>
              <w:spacing w:after="0"/>
              <w:rPr>
                <w:sz w:val="13"/>
                <w:szCs w:val="13"/>
                <w:color w:val="auto"/>
              </w:rPr>
            </w:pPr>
          </w:p>
        </w:tc>
        <w:tc>
          <w:tcPr>
            <w:tcW w:w="37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Partner and Chief Financial Officer of PWP from</w:t>
            </w:r>
          </w:p>
        </w:tc>
        <w:tc>
          <w:tcPr>
            <w:tcW w:w="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5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0" w:type="dxa"/>
            <w:vAlign w:val="bottom"/>
            <w:tcBorders>
              <w:left w:val="single" w:sz="8" w:color="auto"/>
            </w:tcBorders>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December 2016 through November 2018. She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Relations/​Legal</w:t>
            </w:r>
          </w:p>
        </w:tc>
        <w:tc>
          <w:tcPr>
            <w:tcW w:w="0" w:type="dxa"/>
            <w:vAlign w:val="bottom"/>
          </w:tcPr>
          <w:p>
            <w:pPr>
              <w:spacing w:after="0"/>
              <w:rPr>
                <w:sz w:val="1"/>
                <w:szCs w:val="1"/>
                <w:color w:val="auto"/>
              </w:rPr>
            </w:pPr>
          </w:p>
        </w:tc>
      </w:tr>
      <w:tr>
        <w:trPr>
          <w:trHeight w:val="56"/>
        </w:trPr>
        <w:tc>
          <w:tcPr>
            <w:tcW w:w="48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8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5"/>
                <w:szCs w:val="15"/>
                <w:color w:val="auto"/>
              </w:rPr>
              <w:t>Governance</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served as CFO and a member of the Management</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Industry Experience</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vMerge w:val="restart"/>
          </w:tcPr>
          <w:p>
            <w:pPr>
              <w:ind w:left="80"/>
              <w:spacing w:after="0" w:line="158" w:lineRule="exact"/>
              <w:rPr>
                <w:sz w:val="20"/>
                <w:szCs w:val="20"/>
                <w:color w:val="auto"/>
              </w:rPr>
            </w:pPr>
            <w:r>
              <w:rPr>
                <w:rFonts w:ascii="Arial" w:cs="Arial" w:eastAsia="Arial" w:hAnsi="Arial"/>
                <w:sz w:val="15"/>
                <w:szCs w:val="15"/>
                <w:color w:val="auto"/>
              </w:rPr>
              <w:t>Committee at Tudor, Pickering, Holt &amp; Co. from the</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8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firm’s founding in 2007 until its combination with</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International</w:t>
            </w:r>
          </w:p>
        </w:tc>
        <w:tc>
          <w:tcPr>
            <w:tcW w:w="0" w:type="dxa"/>
            <w:vAlign w:val="bottom"/>
          </w:tcPr>
          <w:p>
            <w:pPr>
              <w:spacing w:after="0"/>
              <w:rPr>
                <w:sz w:val="1"/>
                <w:szCs w:val="1"/>
                <w:color w:val="auto"/>
              </w:rPr>
            </w:pPr>
          </w:p>
        </w:tc>
      </w:tr>
      <w:tr>
        <w:trPr>
          <w:trHeight w:val="17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PWP in 2016. Ms. Pruner served as a director and</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Cybersecurity/IT</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member of the audit committee of Anadarko</w:t>
            </w:r>
          </w:p>
        </w:tc>
        <w:tc>
          <w:tcPr>
            <w:tcW w:w="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Petroleum Corporation from December 2018 until its</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Energy Evolution</w:t>
            </w:r>
          </w:p>
        </w:tc>
        <w:tc>
          <w:tcPr>
            <w:tcW w:w="0" w:type="dxa"/>
            <w:vAlign w:val="bottom"/>
          </w:tcPr>
          <w:p>
            <w:pPr>
              <w:spacing w:after="0"/>
              <w:rPr>
                <w:sz w:val="1"/>
                <w:szCs w:val="1"/>
                <w:color w:val="auto"/>
              </w:rPr>
            </w:pPr>
          </w:p>
        </w:tc>
      </w:tr>
      <w:tr>
        <w:trPr>
          <w:trHeight w:val="92"/>
        </w:trPr>
        <w:tc>
          <w:tcPr>
            <w:tcW w:w="480" w:type="dxa"/>
            <w:vAlign w:val="bottom"/>
            <w:tcBorders>
              <w:lef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vMerge w:val="restart"/>
          </w:tcPr>
          <w:p>
            <w:pPr>
              <w:ind w:left="80"/>
              <w:spacing w:after="0" w:line="162" w:lineRule="exact"/>
              <w:rPr>
                <w:sz w:val="20"/>
                <w:szCs w:val="20"/>
                <w:color w:val="auto"/>
              </w:rPr>
            </w:pPr>
            <w:r>
              <w:rPr>
                <w:rFonts w:ascii="Arial" w:cs="Arial" w:eastAsia="Arial" w:hAnsi="Arial"/>
                <w:sz w:val="15"/>
                <w:szCs w:val="15"/>
                <w:color w:val="auto"/>
              </w:rPr>
              <w:t>sale in August 2019. She has also served as a</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80" w:type="dxa"/>
            <w:vAlign w:val="bottom"/>
            <w:tcBorders>
              <w:lef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7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director of NRG Energy, Inc. since October 2019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and as chair of NRG’s audit committee since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August 2024, as chair of the board of Malta Inc.</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since April 2022, and as a director of Encino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Acquisition Partners, LLC since November 2019 and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as chair of the Encino board since December 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She is the founder and a board member of Women’s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Global Leadership Conference in Energy &amp;</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Technology and is Chair of Brown University’s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President’s Advisory Council on the Economics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Department. She also serves on the Board of the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Houston Zoo and is vice chair of the Texas Medical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Center Board, among other volunteer efforts.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Ms. Pruner holds a BA in Economics from Brown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University. Ms. Pruner’s extensive experience in the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energy industry from a variety of perspectives, along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with her strong finance and investment banking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background, make her uniquely qualified to serve 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Board.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5"/>
                <w:szCs w:val="15"/>
                <w:b w:val="1"/>
                <w:bCs w:val="1"/>
                <w:color w:val="auto"/>
              </w:rPr>
              <w:t>LAWRENCE M.</w:t>
            </w:r>
          </w:p>
        </w:tc>
        <w:tc>
          <w:tcPr>
            <w:tcW w:w="370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5"/>
                <w:szCs w:val="15"/>
                <w:i w:val="1"/>
                <w:iCs w:val="1"/>
                <w:color w:val="auto"/>
              </w:rPr>
              <w:t>Lawrence M. Ziemba, age 69</w:t>
            </w:r>
            <w:r>
              <w:rPr>
                <w:rFonts w:ascii="Arial" w:cs="Arial" w:eastAsia="Arial" w:hAnsi="Arial"/>
                <w:sz w:val="15"/>
                <w:szCs w:val="15"/>
                <w:color w:val="auto"/>
              </w:rPr>
              <w:t>, has served as a</w:t>
            </w:r>
          </w:p>
        </w:tc>
        <w:tc>
          <w:tcPr>
            <w:tcW w:w="60" w:type="dxa"/>
            <w:vAlign w:val="bottom"/>
          </w:tcPr>
          <w:p>
            <w:pPr>
              <w:spacing w:after="0"/>
              <w:rPr>
                <w:sz w:val="14"/>
                <w:szCs w:val="14"/>
                <w:color w:val="auto"/>
              </w:rPr>
            </w:pPr>
          </w:p>
        </w:tc>
        <w:tc>
          <w:tcPr>
            <w:tcW w:w="21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w w:val="99"/>
              </w:rPr>
              <w:t>Board Qualifications/ Attributes:</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tcPr>
          <w:p>
            <w:pPr>
              <w:jc w:val="center"/>
              <w:ind w:right="420"/>
              <w:spacing w:after="0" w:line="165" w:lineRule="exact"/>
              <w:rPr>
                <w:sz w:val="20"/>
                <w:szCs w:val="20"/>
                <w:color w:val="auto"/>
              </w:rPr>
            </w:pPr>
            <w:r>
              <w:rPr>
                <w:rFonts w:ascii="Arial" w:cs="Arial" w:eastAsia="Arial" w:hAnsi="Arial"/>
                <w:sz w:val="15"/>
                <w:szCs w:val="15"/>
                <w:b w:val="1"/>
                <w:bCs w:val="1"/>
                <w:color w:val="auto"/>
                <w:w w:val="97"/>
              </w:rPr>
              <w:t>ZIEMBA</w:t>
            </w:r>
          </w:p>
        </w:tc>
        <w:tc>
          <w:tcPr>
            <w:tcW w:w="37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5"/>
                <w:szCs w:val="15"/>
                <w:color w:val="auto"/>
              </w:rPr>
              <w:t>director of PAGP GP since January 2020.</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Public Company Experience</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5"/>
                <w:szCs w:val="15"/>
                <w:b w:val="1"/>
                <w:bCs w:val="1"/>
                <w:color w:val="auto"/>
              </w:rPr>
              <w:t>Independent</w:t>
            </w: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Mr. Ziemba served as Executive Vice President,</w:t>
            </w:r>
          </w:p>
        </w:tc>
        <w:tc>
          <w:tcPr>
            <w:tcW w:w="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vMerge w:val="continue"/>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Refining, and on the executive committee of Phillips</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Finance/Accounting</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5"/>
                <w:szCs w:val="15"/>
                <w:b w:val="1"/>
                <w:bCs w:val="1"/>
                <w:i w:val="1"/>
                <w:iCs w:val="1"/>
                <w:color w:val="auto"/>
                <w:w w:val="99"/>
              </w:rPr>
              <w:t>PAGP/PAA Director</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66 from May 2012 until his retirement in</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Borders>
              <w:left w:val="single" w:sz="8" w:color="auto"/>
              <w:right w:val="single" w:sz="8" w:color="auto"/>
            </w:tcBorders>
            <w:gridSpan w:val="3"/>
            <w:vMerge w:val="continue"/>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Business Development/​</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340" w:type="dxa"/>
            <w:vAlign w:val="bottom"/>
            <w:tcBorders>
              <w:right w:val="single" w:sz="8" w:color="auto"/>
            </w:tcBorders>
            <w:gridSpan w:val="2"/>
          </w:tcPr>
          <w:p>
            <w:pPr>
              <w:jc w:val="center"/>
              <w:ind w:right="420"/>
              <w:spacing w:after="0" w:line="159" w:lineRule="exact"/>
              <w:rPr>
                <w:sz w:val="20"/>
                <w:szCs w:val="20"/>
                <w:color w:val="auto"/>
              </w:rPr>
            </w:pPr>
            <w:r>
              <w:rPr>
                <w:rFonts w:ascii="Arial" w:cs="Arial" w:eastAsia="Arial" w:hAnsi="Arial"/>
                <w:sz w:val="15"/>
                <w:szCs w:val="15"/>
                <w:b w:val="1"/>
                <w:bCs w:val="1"/>
                <w:i w:val="1"/>
                <w:iCs w:val="1"/>
                <w:color w:val="auto"/>
              </w:rPr>
              <w:t>since 2020</w:t>
            </w:r>
          </w:p>
        </w:tc>
        <w:tc>
          <w:tcPr>
            <w:tcW w:w="370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5"/>
                <w:szCs w:val="15"/>
                <w:color w:val="auto"/>
              </w:rPr>
              <w:t>December 2017. From 2001 to May 2012, he served</w:t>
            </w:r>
          </w:p>
        </w:tc>
        <w:tc>
          <w:tcPr>
            <w:tcW w:w="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5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 w:type="dxa"/>
            <w:vAlign w:val="bottom"/>
            <w:tcBorders>
              <w:left w:val="single" w:sz="8" w:color="auto"/>
            </w:tcBorders>
          </w:tcPr>
          <w:p>
            <w:pPr>
              <w:spacing w:after="0"/>
              <w:rPr>
                <w:sz w:val="14"/>
                <w:szCs w:val="14"/>
                <w:color w:val="auto"/>
              </w:rPr>
            </w:pPr>
          </w:p>
        </w:tc>
        <w:tc>
          <w:tcPr>
            <w:tcW w:w="134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5"/>
                <w:szCs w:val="15"/>
                <w:b w:val="1"/>
                <w:bCs w:val="1"/>
                <w:color w:val="auto"/>
              </w:rPr>
              <w:t>Committees:</w:t>
            </w:r>
          </w:p>
        </w:tc>
        <w:tc>
          <w:tcPr>
            <w:tcW w:w="370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in various downstream positions with</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right w:val="single" w:sz="8" w:color="auto"/>
            </w:tcBorders>
            <w:gridSpan w:val="2"/>
          </w:tcPr>
          <w:p>
            <w:pPr>
              <w:ind w:left="40"/>
              <w:spacing w:after="0" w:line="166" w:lineRule="exact"/>
              <w:rPr>
                <w:sz w:val="20"/>
                <w:szCs w:val="20"/>
                <w:color w:val="auto"/>
              </w:rPr>
            </w:pPr>
            <w:r>
              <w:rPr>
                <w:rFonts w:ascii="Arial" w:cs="Arial" w:eastAsia="Arial" w:hAnsi="Arial"/>
                <w:sz w:val="15"/>
                <w:szCs w:val="15"/>
                <w:color w:val="auto"/>
              </w:rPr>
              <w:t>Strategy/Commercial</w:t>
            </w: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370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ConocoPhillips, including President, Global Refining,</w:t>
            </w:r>
          </w:p>
        </w:tc>
        <w:tc>
          <w:tcPr>
            <w:tcW w:w="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Governance/​Government</w:t>
            </w:r>
          </w:p>
        </w:tc>
        <w:tc>
          <w:tcPr>
            <w:tcW w:w="0" w:type="dxa"/>
            <w:vAlign w:val="bottom"/>
          </w:tcPr>
          <w:p>
            <w:pPr>
              <w:spacing w:after="0"/>
              <w:rPr>
                <w:sz w:val="1"/>
                <w:szCs w:val="1"/>
                <w:color w:val="auto"/>
              </w:rPr>
            </w:pPr>
          </w:p>
        </w:tc>
      </w:tr>
      <w:tr>
        <w:trPr>
          <w:trHeight w:val="156"/>
        </w:trPr>
        <w:tc>
          <w:tcPr>
            <w:tcW w:w="480" w:type="dxa"/>
            <w:vAlign w:val="bottom"/>
            <w:tcBorders>
              <w:left w:val="single" w:sz="8" w:color="auto"/>
            </w:tcBorders>
          </w:tcPr>
          <w:p>
            <w:pPr>
              <w:spacing w:after="0"/>
              <w:rPr>
                <w:sz w:val="13"/>
                <w:szCs w:val="13"/>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Audit</w:t>
            </w:r>
          </w:p>
        </w:tc>
        <w:tc>
          <w:tcPr>
            <w:tcW w:w="480" w:type="dxa"/>
            <w:vAlign w:val="bottom"/>
            <w:tcBorders>
              <w:right w:val="single" w:sz="8" w:color="auto"/>
            </w:tcBorders>
            <w:vMerge w:val="restart"/>
          </w:tcPr>
          <w:p>
            <w:pPr>
              <w:spacing w:after="0"/>
              <w:rPr>
                <w:sz w:val="13"/>
                <w:szCs w:val="13"/>
                <w:color w:val="auto"/>
              </w:rPr>
            </w:pPr>
          </w:p>
        </w:tc>
        <w:tc>
          <w:tcPr>
            <w:tcW w:w="37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and chairman of WRB LLC, a downstream joint</w:t>
            </w:r>
          </w:p>
        </w:tc>
        <w:tc>
          <w:tcPr>
            <w:tcW w:w="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5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0" w:type="dxa"/>
            <w:vAlign w:val="bottom"/>
            <w:tcBorders>
              <w:left w:val="single" w:sz="8" w:color="auto"/>
            </w:tcBorders>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venture with Cenovus, a Canadian oil producer. He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Relations/​Legal</w:t>
            </w:r>
          </w:p>
        </w:tc>
        <w:tc>
          <w:tcPr>
            <w:tcW w:w="0" w:type="dxa"/>
            <w:vAlign w:val="bottom"/>
          </w:tcPr>
          <w:p>
            <w:pPr>
              <w:spacing w:after="0"/>
              <w:rPr>
                <w:sz w:val="1"/>
                <w:szCs w:val="1"/>
                <w:color w:val="auto"/>
              </w:rPr>
            </w:pPr>
          </w:p>
        </w:tc>
      </w:tr>
      <w:tr>
        <w:trPr>
          <w:trHeight w:val="56"/>
        </w:trPr>
        <w:tc>
          <w:tcPr>
            <w:tcW w:w="48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8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5"/>
                <w:szCs w:val="15"/>
                <w:color w:val="auto"/>
              </w:rPr>
              <w:t>HSES (chair)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also held various positions of increasing</w:t>
            </w:r>
          </w:p>
        </w:tc>
        <w:tc>
          <w:tcPr>
            <w:tcW w:w="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Operations/​Engineering/</w:t>
            </w:r>
          </w:p>
        </w:tc>
        <w:tc>
          <w:tcPr>
            <w:tcW w:w="0" w:type="dxa"/>
            <w:vAlign w:val="bottom"/>
          </w:tcPr>
          <w:p>
            <w:pPr>
              <w:spacing w:after="0"/>
              <w:rPr>
                <w:sz w:val="1"/>
                <w:szCs w:val="1"/>
                <w:color w:val="auto"/>
              </w:rPr>
            </w:pPr>
          </w:p>
        </w:tc>
      </w:tr>
      <w:tr>
        <w:trPr>
          <w:trHeight w:val="91"/>
        </w:trPr>
        <w:tc>
          <w:tcPr>
            <w:tcW w:w="48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700" w:type="dxa"/>
            <w:vAlign w:val="bottom"/>
            <w:tcBorders>
              <w:right w:val="single" w:sz="8" w:color="auto"/>
            </w:tcBorders>
            <w:vMerge w:val="restart"/>
          </w:tcPr>
          <w:p>
            <w:pPr>
              <w:ind w:left="80"/>
              <w:spacing w:after="0" w:line="158" w:lineRule="exact"/>
              <w:rPr>
                <w:sz w:val="20"/>
                <w:szCs w:val="20"/>
                <w:color w:val="auto"/>
              </w:rPr>
            </w:pPr>
            <w:r>
              <w:rPr>
                <w:rFonts w:ascii="Arial" w:cs="Arial" w:eastAsia="Arial" w:hAnsi="Arial"/>
                <w:sz w:val="15"/>
                <w:szCs w:val="15"/>
                <w:color w:val="auto"/>
              </w:rPr>
              <w:t>responsibility with Tosco/Unocal from 1977 to 2001.</w:t>
            </w: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5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Construction/Technical</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He has held a number of industry leadership</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480" w:type="dxa"/>
            <w:vAlign w:val="bottom"/>
            <w:tcBorders>
              <w:lef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37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positions, including with API and AFPM. Mr. Ziemba</w:t>
            </w:r>
          </w:p>
        </w:tc>
        <w:tc>
          <w:tcPr>
            <w:tcW w:w="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Industry Experience</w:t>
            </w:r>
          </w:p>
        </w:tc>
        <w:tc>
          <w:tcPr>
            <w:tcW w:w="0" w:type="dxa"/>
            <w:vAlign w:val="bottom"/>
          </w:tcPr>
          <w:p>
            <w:pPr>
              <w:spacing w:after="0"/>
              <w:rPr>
                <w:sz w:val="1"/>
                <w:szCs w:val="1"/>
                <w:color w:val="auto"/>
              </w:rPr>
            </w:pPr>
          </w:p>
        </w:tc>
      </w:tr>
      <w:tr>
        <w:trPr>
          <w:trHeight w:val="145"/>
        </w:trPr>
        <w:tc>
          <w:tcPr>
            <w:tcW w:w="48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7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5"/>
                <w:szCs w:val="15"/>
                <w:color w:val="auto"/>
              </w:rPr>
              <w:t>has served on the board of directors of PBF Energy</w:t>
            </w:r>
          </w:p>
        </w:tc>
        <w:tc>
          <w:tcPr>
            <w:tcW w:w="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International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since 2023. From 2020 through 2022 he served as a</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director of PBF Logistics GP LLC. He also serves as</w:t>
            </w:r>
          </w:p>
        </w:tc>
        <w:tc>
          <w:tcPr>
            <w:tcW w:w="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5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Energy Evolution</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chair of the board of trustees of Duchesne Academy</w:t>
            </w:r>
          </w:p>
        </w:tc>
        <w:tc>
          <w:tcPr>
            <w:tcW w:w="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8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 Houston. Mr. Ziemba received a BS in mechanical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engineering from the University of Illinois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Champaign and an MBA from the University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Chicago. We believe that his operations, technical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and project management expertise, coupled with his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business sense and understanding of strategic</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positioning in the energy space, adds a diverse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operating and downstream perspective to the Board.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III Directors (terms expire in 2027):</w:t>
      </w:r>
    </w:p>
    <w:p>
      <w:pPr>
        <w:spacing w:after="0" w:line="197"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40" w:type="dxa"/>
            <w:vAlign w:val="bottom"/>
            <w:tcBorders>
              <w:top w:val="single" w:sz="8" w:color="auto"/>
              <w:left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GREG L. ARMSTRONG</w:t>
            </w:r>
          </w:p>
        </w:tc>
        <w:tc>
          <w:tcPr>
            <w:tcW w:w="3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Greg L. Armstrong, age 66</w:t>
            </w:r>
            <w:r>
              <w:rPr>
                <w:rFonts w:ascii="Arial" w:cs="Arial" w:eastAsia="Arial" w:hAnsi="Arial"/>
                <w:sz w:val="16"/>
                <w:szCs w:val="16"/>
                <w:color w:val="auto"/>
              </w:rPr>
              <w:t>, has served as a director</w:t>
            </w:r>
          </w:p>
        </w:tc>
        <w:tc>
          <w:tcPr>
            <w:tcW w:w="8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of PAGP GP since 2013. He has also served as</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Borders>
              <w:left w:val="single" w:sz="8" w:color="auto"/>
              <w:right w:val="single" w:sz="8" w:color="auto"/>
            </w:tcBorders>
            <w:gridSpan w:val="4"/>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Senior Advisor to the CEO since January 1, 2020.</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Armstrong served as Chairman of the Board of</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40" w:type="dxa"/>
            <w:vAlign w:val="bottom"/>
            <w:tcBorders>
              <w:left w:val="single" w:sz="8" w:color="auto"/>
              <w:right w:val="single" w:sz="8" w:color="auto"/>
            </w:tcBorders>
            <w:gridSpan w:val="4"/>
            <w:vMerge w:val="continue"/>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3"/>
        </w:trPr>
        <w:tc>
          <w:tcPr>
            <w:tcW w:w="560" w:type="dxa"/>
            <w:vAlign w:val="bottom"/>
            <w:tcBorders>
              <w:left w:val="single" w:sz="8" w:color="auto"/>
            </w:tcBorders>
          </w:tcPr>
          <w:p>
            <w:pPr>
              <w:spacing w:after="0"/>
              <w:rPr>
                <w:sz w:val="11"/>
                <w:szCs w:val="11"/>
                <w:color w:val="auto"/>
              </w:rPr>
            </w:pPr>
          </w:p>
        </w:tc>
        <w:tc>
          <w:tcPr>
            <w:tcW w:w="1480" w:type="dxa"/>
            <w:vAlign w:val="bottom"/>
            <w:tcBorders>
              <w:right w:val="single" w:sz="8" w:color="auto"/>
            </w:tcBorders>
            <w:gridSpan w:val="3"/>
            <w:vMerge w:val="restart"/>
          </w:tcPr>
          <w:p>
            <w:pPr>
              <w:jc w:val="center"/>
              <w:ind w:right="540"/>
              <w:spacing w:after="0" w:line="175" w:lineRule="exact"/>
              <w:rPr>
                <w:sz w:val="20"/>
                <w:szCs w:val="20"/>
                <w:color w:val="auto"/>
              </w:rPr>
            </w:pPr>
            <w:r>
              <w:rPr>
                <w:rFonts w:ascii="Arial" w:cs="Arial" w:eastAsia="Arial" w:hAnsi="Arial"/>
                <w:sz w:val="16"/>
                <w:szCs w:val="16"/>
                <w:b w:val="1"/>
                <w:bCs w:val="1"/>
                <w:i w:val="1"/>
                <w:iCs w:val="1"/>
                <w:color w:val="auto"/>
              </w:rPr>
              <w:t>since 1998</w:t>
            </w: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PAGP GP from July 2013 through December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560" w:type="dxa"/>
            <w:vAlign w:val="bottom"/>
            <w:tcBorders>
              <w:left w:val="single" w:sz="8" w:color="auto"/>
            </w:tcBorders>
          </w:tcPr>
          <w:p>
            <w:pPr>
              <w:spacing w:after="0"/>
              <w:rPr>
                <w:sz w:val="3"/>
                <w:szCs w:val="3"/>
                <w:color w:val="auto"/>
              </w:rPr>
            </w:pPr>
          </w:p>
        </w:tc>
        <w:tc>
          <w:tcPr>
            <w:tcW w:w="1480" w:type="dxa"/>
            <w:vAlign w:val="bottom"/>
            <w:tcBorders>
              <w:right w:val="single" w:sz="8" w:color="auto"/>
            </w:tcBorders>
            <w:gridSpan w:val="3"/>
            <w:vMerge w:val="continue"/>
          </w:tcPr>
          <w:p>
            <w:pPr>
              <w:spacing w:after="0"/>
              <w:rPr>
                <w:sz w:val="3"/>
                <w:szCs w:val="3"/>
                <w:color w:val="auto"/>
              </w:rPr>
            </w:pPr>
          </w:p>
        </w:tc>
        <w:tc>
          <w:tcPr>
            <w:tcW w:w="39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40" w:type="dxa"/>
            <w:vAlign w:val="bottom"/>
            <w:tcBorders>
              <w:left w:val="single" w:sz="8" w:color="auto"/>
              <w:right w:val="single" w:sz="8" w:color="auto"/>
            </w:tcBorders>
            <w:gridSpan w:val="4"/>
            <w:vMerge w:val="restart"/>
          </w:tcPr>
          <w:p>
            <w:pPr>
              <w:ind w:left="180"/>
              <w:spacing w:after="0"/>
              <w:rPr>
                <w:sz w:val="20"/>
                <w:szCs w:val="20"/>
                <w:color w:val="auto"/>
              </w:rPr>
            </w:pPr>
            <w:r>
              <w:rPr>
                <w:rFonts w:ascii="Arial" w:cs="Arial" w:eastAsia="Arial" w:hAnsi="Arial"/>
                <w:sz w:val="16"/>
                <w:szCs w:val="16"/>
                <w:b w:val="1"/>
                <w:bCs w:val="1"/>
                <w:i w:val="1"/>
                <w:iCs w:val="1"/>
                <w:color w:val="auto"/>
              </w:rPr>
              <w:t>Former Chairman and</w:t>
            </w: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2019 and as Chief Executive Officer of PAGP GP</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from July 2013 until his retirement from such position</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4"/>
            <w:vMerge w:val="continue"/>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60" w:type="dxa"/>
            <w:vAlign w:val="bottom"/>
            <w:tcBorders>
              <w:left w:val="single" w:sz="8" w:color="auto"/>
            </w:tcBorders>
          </w:tcPr>
          <w:p>
            <w:pPr>
              <w:spacing w:after="0"/>
              <w:rPr>
                <w:sz w:val="16"/>
                <w:szCs w:val="16"/>
                <w:color w:val="auto"/>
              </w:rPr>
            </w:pPr>
          </w:p>
        </w:tc>
        <w:tc>
          <w:tcPr>
            <w:tcW w:w="148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CEO</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October 2018. He also served as Chief Executive</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9"/>
              </w:rPr>
              <w:t>Committees:</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 until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1480" w:type="dxa"/>
            <w:vAlign w:val="bottom"/>
            <w:tcBorders>
              <w:right w:val="single" w:sz="8" w:color="auto"/>
            </w:tcBorders>
            <w:gridSpan w:val="3"/>
            <w:vMerge w:val="continue"/>
          </w:tcPr>
          <w:p>
            <w:pPr>
              <w:spacing w:after="0"/>
              <w:rPr>
                <w:sz w:val="7"/>
                <w:szCs w:val="7"/>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his retirement from that position in October 2018. He</w:t>
            </w:r>
          </w:p>
        </w:tc>
        <w:tc>
          <w:tcPr>
            <w:tcW w:w="8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74"/>
        </w:trPr>
        <w:tc>
          <w:tcPr>
            <w:tcW w:w="560" w:type="dxa"/>
            <w:vAlign w:val="bottom"/>
            <w:tcBorders>
              <w:left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39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00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tcPr>
          <w:p>
            <w:pPr>
              <w:spacing w:after="0"/>
              <w:rPr>
                <w:sz w:val="11"/>
                <w:szCs w:val="11"/>
                <w:color w:val="auto"/>
              </w:rPr>
            </w:pPr>
          </w:p>
        </w:tc>
        <w:tc>
          <w:tcPr>
            <w:tcW w:w="148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color w:val="auto"/>
              </w:rPr>
              <w:t>None</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 or</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1480" w:type="dxa"/>
            <w:vAlign w:val="bottom"/>
            <w:tcBorders>
              <w:right w:val="single" w:sz="8" w:color="auto"/>
            </w:tcBorders>
            <w:gridSpan w:val="3"/>
            <w:vMerge w:val="continue"/>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former general partner from PAA’s formation until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November 2016 when the Board of PAGP GP</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assumed responsibility for PAA in addition to PAGP</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56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 Plains AAP. In addition, he was President, Chief</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Officer and director of Plains Resources</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 from 1992 to May 2001 and served in various</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roles of increasing responsibility from 1981 to 1992.</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Armstrong served as a director of the Federal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Reserve Bank of Dallas from 2015 to 2021, retiring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Chair at the end of 2021. Mr. Armstrong also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serves as Lead Director of NOV, Inc. and as chair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 of the Memorial Hermann Health System.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Armstrong also serves on the board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Zoo and is a member of the advisory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the Maguire Energy Institute at the Cox School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Business at Southern Methodist University, the Baker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Institute and Veriten, and is a past Chairman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National Petroleum Council. Mr. Armstrong’s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experience with PAA since its formation, including 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former Chairman and CEO, and his long-time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involvement in the energy industry, provide the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invaluable insight and perspective.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6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gridSpan w:val="4"/>
          </w:tcPr>
          <w:p>
            <w:pPr>
              <w:jc w:val="center"/>
              <w:spacing w:after="0" w:line="142" w:lineRule="exact"/>
              <w:rPr>
                <w:sz w:val="20"/>
                <w:szCs w:val="20"/>
                <w:color w:val="auto"/>
              </w:rPr>
            </w:pPr>
            <w:r>
              <w:rPr>
                <w:rFonts w:ascii="Arial" w:cs="Arial" w:eastAsia="Arial" w:hAnsi="Arial"/>
                <w:sz w:val="16"/>
                <w:szCs w:val="16"/>
                <w:b w:val="1"/>
                <w:bCs w:val="1"/>
                <w:color w:val="auto"/>
                <w:w w:val="97"/>
              </w:rPr>
              <w:t>JOHN T. RAYMOND</w:t>
            </w:r>
          </w:p>
        </w:tc>
        <w:tc>
          <w:tcPr>
            <w:tcW w:w="39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i w:val="1"/>
                <w:iCs w:val="1"/>
                <w:color w:val="auto"/>
              </w:rPr>
              <w:t>John T. Raymond, age 54</w:t>
            </w:r>
            <w:r>
              <w:rPr>
                <w:rFonts w:ascii="Arial" w:cs="Arial" w:eastAsia="Arial" w:hAnsi="Arial"/>
                <w:sz w:val="16"/>
                <w:szCs w:val="16"/>
                <w:color w:val="auto"/>
              </w:rPr>
              <w:t>, has served as a director</w:t>
            </w:r>
          </w:p>
        </w:tc>
        <w:tc>
          <w:tcPr>
            <w:tcW w:w="80" w:type="dxa"/>
            <w:vAlign w:val="bottom"/>
          </w:tcPr>
          <w:p>
            <w:pPr>
              <w:spacing w:after="0"/>
              <w:rPr>
                <w:sz w:val="12"/>
                <w:szCs w:val="12"/>
                <w:color w:val="auto"/>
              </w:rPr>
            </w:pPr>
          </w:p>
        </w:tc>
        <w:tc>
          <w:tcPr>
            <w:tcW w:w="2120" w:type="dxa"/>
            <w:vAlign w:val="bottom"/>
            <w:tcBorders>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560" w:type="dxa"/>
            <w:vAlign w:val="bottom"/>
            <w:tcBorders>
              <w:left w:val="single" w:sz="8" w:color="auto"/>
            </w:tcBorders>
          </w:tcPr>
          <w:p>
            <w:pPr>
              <w:spacing w:after="0"/>
              <w:rPr>
                <w:sz w:val="13"/>
                <w:szCs w:val="13"/>
                <w:color w:val="auto"/>
              </w:rPr>
            </w:pPr>
          </w:p>
        </w:tc>
        <w:tc>
          <w:tcPr>
            <w:tcW w:w="148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of PAGP GP since October 2013. He served as a</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tcPr>
          <w:p>
            <w:pPr>
              <w:spacing w:after="0"/>
              <w:rPr>
                <w:sz w:val="11"/>
                <w:szCs w:val="11"/>
                <w:color w:val="auto"/>
              </w:rPr>
            </w:pPr>
          </w:p>
        </w:tc>
        <w:tc>
          <w:tcPr>
            <w:tcW w:w="1480" w:type="dxa"/>
            <w:vAlign w:val="bottom"/>
            <w:tcBorders>
              <w:right w:val="single" w:sz="8" w:color="auto"/>
            </w:tcBorders>
            <w:gridSpan w:val="3"/>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director of PAA’s general partner from</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2010 until November 2016. Mr. Raymond</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40" w:type="dxa"/>
            <w:vAlign w:val="bottom"/>
            <w:tcBorders>
              <w:left w:val="single" w:sz="8" w:color="auto"/>
              <w:right w:val="single" w:sz="8" w:color="auto"/>
            </w:tcBorders>
            <w:gridSpan w:val="4"/>
            <w:vMerge w:val="continue"/>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3"/>
        </w:trPr>
        <w:tc>
          <w:tcPr>
            <w:tcW w:w="560" w:type="dxa"/>
            <w:vAlign w:val="bottom"/>
            <w:tcBorders>
              <w:left w:val="single" w:sz="8" w:color="auto"/>
            </w:tcBorders>
          </w:tcPr>
          <w:p>
            <w:pPr>
              <w:spacing w:after="0"/>
              <w:rPr>
                <w:sz w:val="11"/>
                <w:szCs w:val="11"/>
                <w:color w:val="auto"/>
              </w:rPr>
            </w:pPr>
          </w:p>
        </w:tc>
        <w:tc>
          <w:tcPr>
            <w:tcW w:w="1480" w:type="dxa"/>
            <w:vAlign w:val="bottom"/>
            <w:tcBorders>
              <w:right w:val="single" w:sz="8" w:color="auto"/>
            </w:tcBorders>
            <w:gridSpan w:val="3"/>
            <w:vMerge w:val="restart"/>
          </w:tcPr>
          <w:p>
            <w:pPr>
              <w:jc w:val="center"/>
              <w:ind w:right="540"/>
              <w:spacing w:after="0" w:line="175" w:lineRule="exact"/>
              <w:rPr>
                <w:sz w:val="20"/>
                <w:szCs w:val="20"/>
                <w:color w:val="auto"/>
              </w:rPr>
            </w:pPr>
            <w:r>
              <w:rPr>
                <w:rFonts w:ascii="Arial" w:cs="Arial" w:eastAsia="Arial" w:hAnsi="Arial"/>
                <w:sz w:val="16"/>
                <w:szCs w:val="16"/>
                <w:b w:val="1"/>
                <w:bCs w:val="1"/>
                <w:i w:val="1"/>
                <w:iCs w:val="1"/>
                <w:color w:val="auto"/>
              </w:rPr>
              <w:t>since 2010</w:t>
            </w: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is the founder and majority owner of EMG, which is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560" w:type="dxa"/>
            <w:vAlign w:val="bottom"/>
            <w:tcBorders>
              <w:left w:val="single" w:sz="8" w:color="auto"/>
            </w:tcBorders>
          </w:tcPr>
          <w:p>
            <w:pPr>
              <w:spacing w:after="0"/>
              <w:rPr>
                <w:sz w:val="3"/>
                <w:szCs w:val="3"/>
                <w:color w:val="auto"/>
              </w:rPr>
            </w:pPr>
          </w:p>
        </w:tc>
        <w:tc>
          <w:tcPr>
            <w:tcW w:w="1480" w:type="dxa"/>
            <w:vAlign w:val="bottom"/>
            <w:tcBorders>
              <w:right w:val="single" w:sz="8" w:color="auto"/>
            </w:tcBorders>
            <w:gridSpan w:val="3"/>
            <w:vMerge w:val="continue"/>
          </w:tcPr>
          <w:p>
            <w:pPr>
              <w:spacing w:after="0"/>
              <w:rPr>
                <w:sz w:val="3"/>
                <w:szCs w:val="3"/>
                <w:color w:val="auto"/>
              </w:rPr>
            </w:pPr>
          </w:p>
        </w:tc>
        <w:tc>
          <w:tcPr>
            <w:tcW w:w="39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auto"/>
            </w:tcBorders>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Committees:</w:t>
            </w:r>
          </w:p>
        </w:tc>
        <w:tc>
          <w:tcPr>
            <w:tcW w:w="52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the management company for a series of specialized</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560" w:type="dxa"/>
            <w:vAlign w:val="bottom"/>
            <w:tcBorders>
              <w:left w:val="single" w:sz="8" w:color="auto"/>
            </w:tcBorders>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private equity funds. EMG was founded in 2006 and</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960" w:type="dxa"/>
            <w:vAlign w:val="bottom"/>
            <w:tcBorders>
              <w:bottom w:val="single" w:sz="8" w:color="auto"/>
            </w:tcBorders>
            <w:gridSpan w:val="2"/>
            <w:vMerge w:val="continue"/>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color w:val="auto"/>
                <w:w w:val="99"/>
              </w:rPr>
              <w:t>Compensation (chair)</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focuses on investing across various facets of the</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global natural resource industry including the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9"/>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upstream and midstream segments of the energy</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complex. As of September 30, 2023, EMG had</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approximately $14 billion of assets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management and approximately $12 billion in</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commitments have been allocated across the energy</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56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sector since inception. From 1998 until founding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EMG, Mr. Raymond held various executive</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8"/>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leadership positions with several energy companies,</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including Plains Resources Inc. (the publicly traded</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predecessor company to Vulcan Energy), Plains</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56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Exploration and Production Company, Kinder</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Morgan, Inc. and Ocean Energy, Inc. From 1992 to</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1998, he was a Vice President with Howard Weil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Labouisse Friedrichs, Inc. Mr. Raymond has been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 or indirect owner of PAA’s general partner since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2001 and served on the board of PAA’s general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partner from 2001 to 2005. He serves on numerous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other private company boards and currently serves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on the board of NGL Energy Holdings LLC,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general partner of NGL Energy Partners, L.P.</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 received a BSM degree from the A.B.</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Freeman School of Business at Tulane University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dual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6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520" w:type="dxa"/>
            <w:vAlign w:val="bottom"/>
            <w:tcBorders>
              <w:top w:val="single" w:sz="8" w:color="auto"/>
              <w:lef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3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concentrations in finance and accounting and</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sits on the board of the Business School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Council. He also serves as a director on the board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American Heart Association, as a member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MD Anderson Cancer Center Board of Visitors and 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member of YPO. We believe that Mr. Raymond’s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with investment in and management of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variety of upstream and midstream assets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operations provides a valuable resource to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3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2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Borders>
              <w:right w:val="single" w:sz="8" w:color="auto"/>
            </w:tcBorders>
            <w:gridSpan w:val="3"/>
          </w:tcPr>
          <w:p>
            <w:pPr>
              <w:jc w:val="center"/>
              <w:ind w:right="560"/>
              <w:spacing w:after="0" w:line="142" w:lineRule="exact"/>
              <w:rPr>
                <w:sz w:val="20"/>
                <w:szCs w:val="20"/>
                <w:color w:val="auto"/>
              </w:rPr>
            </w:pPr>
            <w:r>
              <w:rPr>
                <w:rFonts w:ascii="Arial" w:cs="Arial" w:eastAsia="Arial" w:hAnsi="Arial"/>
                <w:sz w:val="16"/>
                <w:szCs w:val="16"/>
                <w:b w:val="1"/>
                <w:bCs w:val="1"/>
                <w:color w:val="auto"/>
                <w:w w:val="98"/>
              </w:rPr>
              <w:t>BOBBY S.</w:t>
            </w:r>
          </w:p>
        </w:tc>
        <w:tc>
          <w:tcPr>
            <w:tcW w:w="39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i w:val="1"/>
                <w:iCs w:val="1"/>
                <w:color w:val="auto"/>
              </w:rPr>
              <w:t>Bobby S. Shackouls, age 74</w:t>
            </w:r>
            <w:r>
              <w:rPr>
                <w:rFonts w:ascii="Arial" w:cs="Arial" w:eastAsia="Arial" w:hAnsi="Arial"/>
                <w:sz w:val="16"/>
                <w:szCs w:val="16"/>
                <w:color w:val="auto"/>
              </w:rPr>
              <w:t>, has served as a</w:t>
            </w:r>
          </w:p>
        </w:tc>
        <w:tc>
          <w:tcPr>
            <w:tcW w:w="80" w:type="dxa"/>
            <w:vAlign w:val="bottom"/>
          </w:tcPr>
          <w:p>
            <w:pPr>
              <w:spacing w:after="0"/>
              <w:rPr>
                <w:sz w:val="12"/>
                <w:szCs w:val="12"/>
                <w:color w:val="auto"/>
              </w:rPr>
            </w:pPr>
          </w:p>
        </w:tc>
        <w:tc>
          <w:tcPr>
            <w:tcW w:w="2120" w:type="dxa"/>
            <w:vAlign w:val="bottom"/>
            <w:tcBorders>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6"/>
        </w:trPr>
        <w:tc>
          <w:tcPr>
            <w:tcW w:w="520" w:type="dxa"/>
            <w:vAlign w:val="bottom"/>
            <w:tcBorders>
              <w:left w:val="single" w:sz="8" w:color="auto"/>
            </w:tcBorders>
          </w:tcPr>
          <w:p>
            <w:pPr>
              <w:spacing w:after="0"/>
              <w:rPr>
                <w:sz w:val="13"/>
                <w:szCs w:val="13"/>
                <w:color w:val="auto"/>
              </w:rPr>
            </w:pPr>
          </w:p>
        </w:tc>
        <w:tc>
          <w:tcPr>
            <w:tcW w:w="1520" w:type="dxa"/>
            <w:vAlign w:val="bottom"/>
            <w:tcBorders>
              <w:right w:val="single" w:sz="8" w:color="auto"/>
            </w:tcBorders>
            <w:gridSpan w:val="4"/>
          </w:tcPr>
          <w:p>
            <w:pPr>
              <w:jc w:val="center"/>
              <w:ind w:right="480"/>
              <w:spacing w:after="0" w:line="155" w:lineRule="exact"/>
              <w:rPr>
                <w:sz w:val="20"/>
                <w:szCs w:val="20"/>
                <w:color w:val="auto"/>
              </w:rPr>
            </w:pPr>
            <w:r>
              <w:rPr>
                <w:rFonts w:ascii="Arial" w:cs="Arial" w:eastAsia="Arial" w:hAnsi="Arial"/>
                <w:sz w:val="16"/>
                <w:szCs w:val="16"/>
                <w:b w:val="1"/>
                <w:bCs w:val="1"/>
                <w:color w:val="auto"/>
                <w:w w:val="98"/>
              </w:rPr>
              <w:t>SHACKOULS</w:t>
            </w:r>
          </w:p>
        </w:tc>
        <w:tc>
          <w:tcPr>
            <w:tcW w:w="3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director of PAGP GP since January 2014 and as</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rPr>
              <w:t>Lead Director</w:t>
            </w:r>
          </w:p>
        </w:tc>
        <w:tc>
          <w:tcPr>
            <w:tcW w:w="39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Lead Director since January 2020. Mr. Shackouls</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9"/>
        </w:trPr>
        <w:tc>
          <w:tcPr>
            <w:tcW w:w="2040" w:type="dxa"/>
            <w:vAlign w:val="bottom"/>
            <w:tcBorders>
              <w:left w:val="single" w:sz="8" w:color="auto"/>
              <w:right w:val="single" w:sz="8" w:color="auto"/>
            </w:tcBorders>
            <w:gridSpan w:val="5"/>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as Chairman of Burlington Resources Inc.</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520" w:type="dxa"/>
            <w:vAlign w:val="bottom"/>
            <w:tcBorders>
              <w:left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52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1997 until its acquisition by ConocoPhillips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52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tcBorders>
              <w:right w:val="single" w:sz="8" w:color="auto"/>
            </w:tcBorders>
            <w:gridSpan w:val="3"/>
            <w:vMerge w:val="continue"/>
          </w:tcPr>
          <w:p>
            <w:pPr>
              <w:spacing w:after="0"/>
              <w:rPr>
                <w:sz w:val="3"/>
                <w:szCs w:val="3"/>
                <w:color w:val="auto"/>
              </w:rPr>
            </w:pPr>
          </w:p>
        </w:tc>
        <w:tc>
          <w:tcPr>
            <w:tcW w:w="39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6"/>
                <w:szCs w:val="16"/>
                <w:color w:val="auto"/>
              </w:rPr>
              <w:t>2006, and he continued to serve on the</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5"/>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ConocoPhillips Board of Directors until his retirement</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5"/>
            <w:vMerge w:val="continue"/>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i w:val="1"/>
                <w:iCs w:val="1"/>
                <w:color w:val="auto"/>
              </w:rPr>
              <w:t>since 2010</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May 2011. Prior thereto, Mr. Shackouls served as</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9"/>
              </w:rPr>
              <w:t>Committees:</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President and Chief Executive Officer of Meridian Oil,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8"/>
        </w:trPr>
        <w:tc>
          <w:tcPr>
            <w:tcW w:w="52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gridSpan w:val="3"/>
            <w:vMerge w:val="continue"/>
          </w:tcPr>
          <w:p>
            <w:pPr>
              <w:spacing w:after="0"/>
              <w:rPr>
                <w:sz w:val="5"/>
                <w:szCs w:val="5"/>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Inc., a wholly owned subsidiary of Burlington</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5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5"/>
            <w:vMerge w:val="restart"/>
          </w:tcPr>
          <w:p>
            <w:pPr>
              <w:jc w:val="center"/>
              <w:spacing w:after="0" w:line="175" w:lineRule="exact"/>
              <w:rPr>
                <w:sz w:val="20"/>
                <w:szCs w:val="20"/>
                <w:color w:val="auto"/>
              </w:rPr>
            </w:pPr>
            <w:r>
              <w:rPr>
                <w:rFonts w:ascii="Arial" w:cs="Arial" w:eastAsia="Arial" w:hAnsi="Arial"/>
                <w:sz w:val="16"/>
                <w:szCs w:val="16"/>
                <w:color w:val="auto"/>
                <w:w w:val="99"/>
              </w:rPr>
              <w:t>Governance (chair)</w:t>
            </w: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Resources, from 1994 to 1995, and as President and</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5"/>
            <w:vMerge w:val="continue"/>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color w:val="auto"/>
              </w:rPr>
              <w:t>Compensation</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Chief Executive Officer of Burlington Resources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0" w:type="dxa"/>
            <w:vAlign w:val="bottom"/>
            <w:tcBorders>
              <w:left w:val="single" w:sz="8" w:color="auto"/>
            </w:tcBorders>
          </w:tcPr>
          <w:p>
            <w:pPr>
              <w:spacing w:after="0"/>
              <w:rPr>
                <w:sz w:val="13"/>
                <w:szCs w:val="13"/>
                <w:color w:val="auto"/>
              </w:rPr>
            </w:pPr>
          </w:p>
        </w:tc>
        <w:tc>
          <w:tcPr>
            <w:tcW w:w="1520" w:type="dxa"/>
            <w:vAlign w:val="bottom"/>
            <w:tcBorders>
              <w:right w:val="single" w:sz="8" w:color="auto"/>
            </w:tcBorders>
            <w:gridSpan w:val="4"/>
            <w:vMerge w:val="continue"/>
          </w:tcPr>
          <w:p>
            <w:pPr>
              <w:spacing w:after="0"/>
              <w:rPr>
                <w:sz w:val="13"/>
                <w:szCs w:val="13"/>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1995 until 2006. Mr. Shackouls served as a director</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28"/>
        </w:trPr>
        <w:tc>
          <w:tcPr>
            <w:tcW w:w="5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39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00" w:type="dxa"/>
            <w:vAlign w:val="bottom"/>
            <w:tcBorders>
              <w:right w:val="single" w:sz="8" w:color="auto"/>
            </w:tcBorders>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52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of The Kroger Co. from 1999 until January 2021, as a</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2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director of Oasis Petroleum from 2012 until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2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November 2020, and as a director of Quintana</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Services from January 2019 until July 2020.</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 served as a director and member of the audit</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of PNGS GP LLC, the general partner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 Natural Gas Storage, L.P., from April 2010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through December 2013. We believe that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Shackouls’ extensive experience within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industry offers valuable perspective and,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tandem with his long history of leadership as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CEO of a public company, make him highly qualified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3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to serve as a member of the Board.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jc w:val="both"/>
        <w:ind w:left="1260" w:right="45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700" w:type="dxa"/>
            <w:vAlign w:val="bottom"/>
            <w:tcBorders>
              <w:left w:val="single" w:sz="8" w:color="424E6A"/>
              <w:right w:val="single" w:sz="8" w:color="424E6A"/>
            </w:tcBorders>
            <w:shd w:val="clear" w:color="auto" w:fill="424E6A"/>
          </w:tcPr>
          <w:p>
            <w:pPr>
              <w:spacing w:after="0"/>
              <w:rPr>
                <w:sz w:val="21"/>
                <w:szCs w:val="21"/>
                <w:color w:val="auto"/>
              </w:rPr>
            </w:pPr>
          </w:p>
        </w:tc>
        <w:tc>
          <w:tcPr>
            <w:tcW w:w="110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Age</w:t>
            </w:r>
          </w:p>
        </w:tc>
        <w:tc>
          <w:tcPr>
            <w:tcW w:w="180" w:type="dxa"/>
            <w:vAlign w:val="bottom"/>
            <w:tcBorders>
              <w:right w:val="single" w:sz="8" w:color="424E6A"/>
            </w:tcBorders>
            <w:shd w:val="clear" w:color="auto" w:fill="424E6A"/>
          </w:tcPr>
          <w:p>
            <w:pPr>
              <w:spacing w:after="0"/>
              <w:rPr>
                <w:sz w:val="21"/>
                <w:szCs w:val="21"/>
                <w:color w:val="auto"/>
              </w:rPr>
            </w:pPr>
          </w:p>
        </w:tc>
        <w:tc>
          <w:tcPr>
            <w:tcW w:w="5240" w:type="dxa"/>
            <w:vAlign w:val="bottom"/>
            <w:tcBorders>
              <w:right w:val="single" w:sz="8" w:color="424E6A"/>
            </w:tcBorders>
            <w:shd w:val="clear" w:color="auto" w:fill="424E6A"/>
          </w:tcPr>
          <w:p>
            <w:pPr>
              <w:spacing w:after="0"/>
              <w:rPr>
                <w:sz w:val="21"/>
                <w:szCs w:val="21"/>
                <w:color w:val="auto"/>
              </w:rPr>
            </w:pPr>
          </w:p>
        </w:tc>
      </w:tr>
      <w:tr>
        <w:trPr>
          <w:trHeight w:val="212"/>
        </w:trPr>
        <w:tc>
          <w:tcPr>
            <w:tcW w:w="170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(as of 3/24/25)</w:t>
            </w:r>
          </w:p>
        </w:tc>
        <w:tc>
          <w:tcPr>
            <w:tcW w:w="180" w:type="dxa"/>
            <w:vAlign w:val="bottom"/>
            <w:tcBorders>
              <w:right w:val="single" w:sz="8" w:color="424E6A"/>
            </w:tcBorders>
            <w:shd w:val="clear" w:color="auto" w:fill="424E6A"/>
          </w:tcPr>
          <w:p>
            <w:pPr>
              <w:spacing w:after="0"/>
              <w:rPr>
                <w:sz w:val="18"/>
                <w:szCs w:val="18"/>
                <w:color w:val="auto"/>
              </w:rPr>
            </w:pPr>
          </w:p>
        </w:tc>
        <w:tc>
          <w:tcPr>
            <w:tcW w:w="5240" w:type="dxa"/>
            <w:vAlign w:val="bottom"/>
            <w:tcBorders>
              <w:right w:val="single" w:sz="8" w:color="424E6A"/>
            </w:tcBorders>
            <w:shd w:val="clear" w:color="auto" w:fill="424E6A"/>
          </w:tcPr>
          <w:p>
            <w:pPr>
              <w:ind w:left="2300"/>
              <w:spacing w:after="0"/>
              <w:rPr>
                <w:sz w:val="20"/>
                <w:szCs w:val="20"/>
                <w:color w:val="auto"/>
              </w:rPr>
            </w:pPr>
            <w:r>
              <w:rPr>
                <w:rFonts w:ascii="Arial" w:cs="Arial" w:eastAsia="Arial" w:hAnsi="Arial"/>
                <w:sz w:val="14"/>
                <w:szCs w:val="14"/>
                <w:b w:val="1"/>
                <w:bCs w:val="1"/>
                <w:color w:val="FFFFFF"/>
              </w:rPr>
              <w:t>Position</w:t>
            </w:r>
          </w:p>
        </w:tc>
      </w:tr>
      <w:tr>
        <w:trPr>
          <w:trHeight w:val="256"/>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00" w:type="dxa"/>
            <w:vAlign w:val="bottom"/>
            <w:tcBorders>
              <w:bottom w:val="single" w:sz="8" w:color="424E6A"/>
            </w:tcBorders>
            <w:shd w:val="clear" w:color="auto" w:fill="D9DCE1"/>
          </w:tcPr>
          <w:p>
            <w:pPr>
              <w:jc w:val="center"/>
              <w:ind w:left="4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64</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170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Harry N. Pefanis*</w:t>
            </w:r>
          </w:p>
        </w:tc>
        <w:tc>
          <w:tcPr>
            <w:tcW w:w="1100" w:type="dxa"/>
            <w:vAlign w:val="bottom"/>
            <w:tcBorders>
              <w:bottom w:val="single" w:sz="8" w:color="424E6A"/>
            </w:tcBorders>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President and Director</w:t>
            </w:r>
          </w:p>
        </w:tc>
      </w:tr>
      <w:tr>
        <w:trPr>
          <w:trHeight w:val="250"/>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100" w:type="dxa"/>
            <w:vAlign w:val="bottom"/>
            <w:tcBorders>
              <w:bottom w:val="single" w:sz="8" w:color="424E6A"/>
            </w:tcBorders>
            <w:shd w:val="clear" w:color="auto" w:fill="D9DCE1"/>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61</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170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Richard K. McGee</w:t>
            </w:r>
          </w:p>
        </w:tc>
        <w:tc>
          <w:tcPr>
            <w:tcW w:w="1100" w:type="dxa"/>
            <w:vAlign w:val="bottom"/>
            <w:tcBorders>
              <w:bottom w:val="single" w:sz="8" w:color="424E6A"/>
            </w:tcBorders>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64</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1100" w:type="dxa"/>
            <w:vAlign w:val="bottom"/>
            <w:tcBorders>
              <w:bottom w:val="single" w:sz="8" w:color="424E6A"/>
            </w:tcBorders>
            <w:shd w:val="clear" w:color="auto" w:fill="D9DCE1"/>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53</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170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Jeremy L. Goebel</w:t>
            </w:r>
          </w:p>
        </w:tc>
        <w:tc>
          <w:tcPr>
            <w:tcW w:w="1100" w:type="dxa"/>
            <w:vAlign w:val="bottom"/>
            <w:tcBorders>
              <w:bottom w:val="single" w:sz="8" w:color="424E6A"/>
            </w:tcBorders>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1100" w:type="dxa"/>
            <w:vAlign w:val="bottom"/>
            <w:tcBorders>
              <w:bottom w:val="single" w:sz="8" w:color="424E6A"/>
            </w:tcBorders>
            <w:shd w:val="clear" w:color="auto" w:fill="D9DCE1"/>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52</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579" w:hanging="360"/>
        <w:spacing w:after="0" w:line="28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II Directors.</w:t>
      </w:r>
    </w:p>
    <w:p>
      <w:pPr>
        <w:spacing w:after="0" w:line="85"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95" w:lineRule="exact"/>
        <w:rPr>
          <w:sz w:val="20"/>
          <w:szCs w:val="20"/>
          <w:color w:val="auto"/>
        </w:rPr>
      </w:pPr>
    </w:p>
    <w:p>
      <w:pPr>
        <w:ind w:left="1260" w:right="559" w:firstLine="360"/>
        <w:spacing w:after="0" w:line="260"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spacing w:after="0" w:line="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30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Executive Vice President and Chief Commercial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25 years of energy and investment banking experience. Mr. Goebel also serves as Executive Vice President and Chief Commercial Officer of PAGP GP.</w:t>
      </w:r>
    </w:p>
    <w:p>
      <w:pPr>
        <w:spacing w:after="0" w:line="118" w:lineRule="exact"/>
        <w:rPr>
          <w:sz w:val="20"/>
          <w:szCs w:val="20"/>
          <w:color w:val="auto"/>
        </w:rPr>
      </w:pPr>
    </w:p>
    <w:p>
      <w:pPr>
        <w:jc w:val="both"/>
        <w:ind w:left="1260" w:right="619" w:firstLine="360"/>
        <w:spacing w:after="0" w:line="270"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Finance and Chief Accounting Officer of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w:t>
      </w:r>
    </w:p>
    <w:p>
      <w:pPr>
        <w:spacing w:after="0" w:line="2"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Bobby S. Shackouls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ind w:left="1260" w:right="499" w:firstLine="360"/>
        <w:spacing w:after="0" w:line="284" w:lineRule="auto"/>
        <w:rPr>
          <w:sz w:val="20"/>
          <w:szCs w:val="20"/>
          <w:color w:val="auto"/>
        </w:rPr>
      </w:pPr>
      <w:r>
        <w:rPr>
          <w:rFonts w:ascii="Arial" w:cs="Arial" w:eastAsia="Arial" w:hAnsi="Arial"/>
          <w:sz w:val="18"/>
          <w:szCs w:val="18"/>
          <w:color w:val="auto"/>
        </w:rPr>
        <w:t>For 2024, our Named Executive Officers (sometimes referred to as “NEOs”) include our CEO, our President, our CFO, and the three most highly compensated executive officers (other than our CEO and CFO). Our NEOs for 2024 include the following individuals:</w:t>
      </w:r>
    </w:p>
    <w:p>
      <w:pPr>
        <w:spacing w:after="0" w:line="110"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26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2260" w:type="dxa"/>
            <w:vAlign w:val="bottom"/>
            <w:gridSpan w:val="2"/>
            <w:shd w:val="clear" w:color="auto" w:fill="424E6A"/>
          </w:tcPr>
          <w:p>
            <w:pPr>
              <w:ind w:left="900"/>
              <w:spacing w:after="0"/>
              <w:rPr>
                <w:sz w:val="20"/>
                <w:szCs w:val="20"/>
                <w:color w:val="auto"/>
              </w:rPr>
            </w:pPr>
            <w:r>
              <w:rPr>
                <w:rFonts w:ascii="Arial" w:cs="Arial" w:eastAsia="Arial" w:hAnsi="Arial"/>
                <w:sz w:val="14"/>
                <w:szCs w:val="14"/>
                <w:b w:val="1"/>
                <w:bCs w:val="1"/>
                <w:color w:val="FFFFFF"/>
              </w:rPr>
              <w:t>​ ​</w:t>
            </w:r>
          </w:p>
        </w:tc>
        <w:tc>
          <w:tcPr>
            <w:tcW w:w="206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Title</w:t>
            </w:r>
          </w:p>
        </w:tc>
        <w:tc>
          <w:tcPr>
            <w:tcW w:w="500" w:type="dxa"/>
            <w:vAlign w:val="bottom"/>
            <w:tcBorders>
              <w:right w:val="single" w:sz="8" w:color="424E6A"/>
            </w:tcBorders>
            <w:shd w:val="clear" w:color="auto" w:fill="424E6A"/>
          </w:tcPr>
          <w:p>
            <w:pPr>
              <w:ind w:left="260"/>
              <w:spacing w:after="0"/>
              <w:rPr>
                <w:sz w:val="20"/>
                <w:szCs w:val="20"/>
                <w:color w:val="auto"/>
              </w:rPr>
            </w:pPr>
            <w:r>
              <w:rPr>
                <w:rFonts w:ascii="Arial" w:cs="Arial" w:eastAsia="Arial" w:hAnsi="Arial"/>
                <w:sz w:val="14"/>
                <w:szCs w:val="14"/>
                <w:b w:val="1"/>
                <w:bCs w:val="1"/>
                <w:color w:val="FFFFFF"/>
              </w:rPr>
              <w:t>​</w:t>
            </w:r>
          </w:p>
        </w:tc>
      </w:tr>
      <w:tr>
        <w:trPr>
          <w:trHeight w:val="256"/>
        </w:trPr>
        <w:tc>
          <w:tcPr>
            <w:tcW w:w="2660" w:type="dxa"/>
            <w:vAlign w:val="bottom"/>
            <w:tcBorders>
              <w:left w:val="single" w:sz="8" w:color="424E6A"/>
              <w:bottom w:val="single" w:sz="8" w:color="424E6A"/>
            </w:tcBorders>
            <w:shd w:val="clear" w:color="auto" w:fill="D9DCE1"/>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Willie Chiang</w:t>
            </w:r>
          </w:p>
        </w:tc>
        <w:tc>
          <w:tcPr>
            <w:tcW w:w="1000" w:type="dxa"/>
            <w:vAlign w:val="bottom"/>
            <w:tcBorders>
              <w:bottom w:val="single" w:sz="8" w:color="424E6A"/>
              <w:right w:val="single" w:sz="8" w:color="424E6A"/>
            </w:tcBorders>
            <w:shd w:val="clear" w:color="auto" w:fill="D9DCE1"/>
          </w:tcPr>
          <w:p>
            <w:pPr>
              <w:ind w:left="90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424E6A"/>
            </w:tcBorders>
            <w:gridSpan w:val="2"/>
            <w:shd w:val="clear" w:color="auto" w:fill="D9DCE1"/>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Chairman and Chief Executive Officer</w:t>
            </w:r>
          </w:p>
        </w:tc>
        <w:tc>
          <w:tcPr>
            <w:tcW w:w="500" w:type="dxa"/>
            <w:vAlign w:val="bottom"/>
            <w:tcBorders>
              <w:bottom w:val="single" w:sz="8" w:color="424E6A"/>
              <w:right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r>
      <w:tr>
        <w:trPr>
          <w:trHeight w:val="250"/>
        </w:trPr>
        <w:tc>
          <w:tcPr>
            <w:tcW w:w="26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Harry Pefanis</w:t>
            </w:r>
          </w:p>
        </w:tc>
        <w:tc>
          <w:tcPr>
            <w:tcW w:w="1000" w:type="dxa"/>
            <w:vAlign w:val="bottom"/>
            <w:tcBorders>
              <w:bottom w:val="single" w:sz="8" w:color="424E6A"/>
              <w:right w:val="single" w:sz="8" w:color="424E6A"/>
            </w:tcBorders>
          </w:tcPr>
          <w:p>
            <w:pPr>
              <w:ind w:left="9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24E6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President</w:t>
            </w:r>
          </w:p>
        </w:tc>
        <w:tc>
          <w:tcPr>
            <w:tcW w:w="2060" w:type="dxa"/>
            <w:vAlign w:val="bottom"/>
            <w:tcBorders>
              <w:bottom w:val="single" w:sz="8" w:color="424E6A"/>
            </w:tcBorders>
          </w:tcPr>
          <w:p>
            <w:pPr>
              <w:spacing w:after="0"/>
              <w:rPr>
                <w:sz w:val="21"/>
                <w:szCs w:val="21"/>
                <w:color w:val="auto"/>
              </w:rPr>
            </w:pPr>
          </w:p>
        </w:tc>
        <w:tc>
          <w:tcPr>
            <w:tcW w:w="500" w:type="dxa"/>
            <w:vAlign w:val="bottom"/>
            <w:tcBorders>
              <w:bottom w:val="single" w:sz="8" w:color="424E6A"/>
              <w:right w:val="single" w:sz="8" w:color="424E6A"/>
            </w:tcBorders>
          </w:tcPr>
          <w:p>
            <w:pPr>
              <w:ind w:left="260"/>
              <w:spacing w:after="0"/>
              <w:rPr>
                <w:sz w:val="20"/>
                <w:szCs w:val="20"/>
                <w:color w:val="auto"/>
              </w:rPr>
            </w:pPr>
            <w:r>
              <w:rPr>
                <w:rFonts w:ascii="Arial" w:cs="Arial" w:eastAsia="Arial" w:hAnsi="Arial"/>
                <w:sz w:val="18"/>
                <w:szCs w:val="18"/>
                <w:color w:val="auto"/>
              </w:rPr>
              <w:t>​</w:t>
            </w:r>
          </w:p>
        </w:tc>
      </w:tr>
      <w:tr>
        <w:trPr>
          <w:trHeight w:val="250"/>
        </w:trPr>
        <w:tc>
          <w:tcPr>
            <w:tcW w:w="266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 Swanson</w:t>
            </w:r>
          </w:p>
        </w:tc>
        <w:tc>
          <w:tcPr>
            <w:tcW w:w="1000" w:type="dxa"/>
            <w:vAlign w:val="bottom"/>
            <w:tcBorders>
              <w:bottom w:val="single" w:sz="8" w:color="424E6A"/>
              <w:right w:val="single" w:sz="8" w:color="424E6A"/>
            </w:tcBorders>
            <w:shd w:val="clear" w:color="auto" w:fill="D9DCE1"/>
          </w:tcPr>
          <w:p>
            <w:pPr>
              <w:ind w:left="90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Financial Officer</w:t>
            </w:r>
          </w:p>
        </w:tc>
        <w:tc>
          <w:tcPr>
            <w:tcW w:w="500" w:type="dxa"/>
            <w:vAlign w:val="bottom"/>
            <w:tcBorders>
              <w:bottom w:val="single" w:sz="8" w:color="424E6A"/>
              <w:right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r>
      <w:tr>
        <w:trPr>
          <w:trHeight w:val="250"/>
        </w:trPr>
        <w:tc>
          <w:tcPr>
            <w:tcW w:w="26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Richard McGee</w:t>
            </w:r>
          </w:p>
        </w:tc>
        <w:tc>
          <w:tcPr>
            <w:tcW w:w="1000" w:type="dxa"/>
            <w:vAlign w:val="bottom"/>
            <w:tcBorders>
              <w:bottom w:val="single" w:sz="8" w:color="424E6A"/>
              <w:right w:val="single" w:sz="8" w:color="424E6A"/>
            </w:tcBorders>
          </w:tcPr>
          <w:p>
            <w:pPr>
              <w:ind w:left="90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General Counsel and Secretary</w:t>
            </w:r>
          </w:p>
        </w:tc>
        <w:tc>
          <w:tcPr>
            <w:tcW w:w="500" w:type="dxa"/>
            <w:vAlign w:val="bottom"/>
            <w:tcBorders>
              <w:bottom w:val="single" w:sz="8" w:color="424E6A"/>
              <w:right w:val="single" w:sz="8" w:color="424E6A"/>
            </w:tcBorders>
          </w:tcPr>
          <w:p>
            <w:pPr>
              <w:ind w:left="260"/>
              <w:spacing w:after="0"/>
              <w:rPr>
                <w:sz w:val="20"/>
                <w:szCs w:val="20"/>
                <w:color w:val="auto"/>
              </w:rPr>
            </w:pPr>
            <w:r>
              <w:rPr>
                <w:rFonts w:ascii="Arial" w:cs="Arial" w:eastAsia="Arial" w:hAnsi="Arial"/>
                <w:sz w:val="18"/>
                <w:szCs w:val="18"/>
                <w:color w:val="auto"/>
              </w:rPr>
              <w:t>​</w:t>
            </w:r>
          </w:p>
        </w:tc>
      </w:tr>
      <w:tr>
        <w:trPr>
          <w:trHeight w:val="250"/>
        </w:trPr>
        <w:tc>
          <w:tcPr>
            <w:tcW w:w="266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Chris Chandler</w:t>
            </w:r>
          </w:p>
        </w:tc>
        <w:tc>
          <w:tcPr>
            <w:tcW w:w="1000" w:type="dxa"/>
            <w:vAlign w:val="bottom"/>
            <w:tcBorders>
              <w:bottom w:val="single" w:sz="8" w:color="424E6A"/>
              <w:right w:val="single" w:sz="8" w:color="424E6A"/>
            </w:tcBorders>
            <w:shd w:val="clear" w:color="auto" w:fill="D9DCE1"/>
          </w:tcPr>
          <w:p>
            <w:pPr>
              <w:ind w:left="90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Operating Officer</w:t>
            </w:r>
          </w:p>
        </w:tc>
        <w:tc>
          <w:tcPr>
            <w:tcW w:w="500" w:type="dxa"/>
            <w:vAlign w:val="bottom"/>
            <w:tcBorders>
              <w:bottom w:val="single" w:sz="8" w:color="424E6A"/>
              <w:right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r>
      <w:tr>
        <w:trPr>
          <w:trHeight w:val="250"/>
        </w:trPr>
        <w:tc>
          <w:tcPr>
            <w:tcW w:w="26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Jeremy Goebel</w:t>
            </w:r>
          </w:p>
        </w:tc>
        <w:tc>
          <w:tcPr>
            <w:tcW w:w="1000" w:type="dxa"/>
            <w:vAlign w:val="bottom"/>
            <w:tcBorders>
              <w:bottom w:val="single" w:sz="8" w:color="424E6A"/>
              <w:right w:val="single" w:sz="8" w:color="424E6A"/>
            </w:tcBorders>
          </w:tcPr>
          <w:p>
            <w:pPr>
              <w:ind w:left="90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Commercial Officer</w:t>
            </w:r>
          </w:p>
        </w:tc>
        <w:tc>
          <w:tcPr>
            <w:tcW w:w="500" w:type="dxa"/>
            <w:vAlign w:val="bottom"/>
            <w:tcBorders>
              <w:bottom w:val="single" w:sz="8" w:color="424E6A"/>
              <w:right w:val="single" w:sz="8" w:color="424E6A"/>
            </w:tcBorders>
          </w:tcPr>
          <w:p>
            <w:pPr>
              <w:ind w:left="260"/>
              <w:spacing w:after="0"/>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42" w:lineRule="exact"/>
        <w:rPr>
          <w:sz w:val="20"/>
          <w:szCs w:val="20"/>
          <w:color w:val="auto"/>
        </w:rPr>
      </w:pPr>
    </w:p>
    <w:p>
      <w:pPr>
        <w:jc w:val="both"/>
        <w:ind w:left="1260" w:right="459" w:firstLine="360"/>
        <w:spacing w:after="0" w:line="271"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3960" w:type="dxa"/>
            <w:vAlign w:val="bottom"/>
            <w:tcBorders>
              <w:top w:val="single" w:sz="8" w:color="auto"/>
              <w:left w:val="single" w:sz="8" w:color="auto"/>
              <w:bottom w:val="single" w:sz="8" w:color="auto"/>
            </w:tcBorders>
            <w:shd w:val="clear" w:color="auto" w:fill="424E6A"/>
          </w:tcPr>
          <w:p>
            <w:pPr>
              <w:ind w:left="1620"/>
              <w:spacing w:after="0"/>
              <w:rPr>
                <w:sz w:val="20"/>
                <w:szCs w:val="20"/>
                <w:color w:val="auto"/>
              </w:rPr>
            </w:pPr>
            <w:r>
              <w:rPr>
                <w:rFonts w:ascii="Arial" w:cs="Arial" w:eastAsia="Arial" w:hAnsi="Arial"/>
                <w:sz w:val="14"/>
                <w:szCs w:val="14"/>
                <w:b w:val="1"/>
                <w:bCs w:val="1"/>
                <w:color w:val="FFFFFF"/>
              </w:rPr>
              <w:t>What We Do</w:t>
            </w:r>
          </w:p>
        </w:tc>
        <w:tc>
          <w:tcPr>
            <w:tcW w:w="160" w:type="dxa"/>
            <w:vAlign w:val="bottom"/>
            <w:tcBorders>
              <w:top w:val="single" w:sz="8" w:color="auto"/>
              <w:bottom w:val="single" w:sz="8" w:color="auto"/>
              <w:right w:val="single" w:sz="8" w:color="auto"/>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840" w:type="dxa"/>
            <w:vAlign w:val="bottom"/>
            <w:tcBorders>
              <w:top w:val="single" w:sz="8" w:color="auto"/>
              <w:bottom w:val="single" w:sz="8" w:color="auto"/>
              <w:right w:val="single" w:sz="8" w:color="auto"/>
            </w:tcBorders>
            <w:shd w:val="clear" w:color="auto" w:fill="424E6A"/>
          </w:tcPr>
          <w:p>
            <w:pPr>
              <w:ind w:left="118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72"/>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We emphasize pay for performance</w:t>
            </w:r>
          </w:p>
        </w:tc>
        <w:tc>
          <w:tcPr>
            <w:tcW w:w="1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75"/>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Over 80% of target NEO compensation is</w:t>
            </w:r>
          </w:p>
        </w:tc>
        <w:tc>
          <w:tcPr>
            <w:tcW w:w="1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variable and/or at risk</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134"/>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Our annual bonus program is 100%</w:t>
            </w:r>
          </w:p>
        </w:tc>
        <w:tc>
          <w:tcPr>
            <w:tcW w:w="1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60" w:type="dxa"/>
            <w:vAlign w:val="bottom"/>
            <w:tcBorders>
              <w:left w:val="single" w:sz="8" w:color="auto"/>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ind w:left="180"/>
              <w:spacing w:after="0" w:line="181" w:lineRule="exact"/>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84"/>
        </w:trPr>
        <w:tc>
          <w:tcPr>
            <w:tcW w:w="3960" w:type="dxa"/>
            <w:vAlign w:val="bottom"/>
            <w:tcBorders>
              <w:left w:val="single" w:sz="8" w:color="auto"/>
            </w:tcBorders>
          </w:tcPr>
          <w:p>
            <w:pPr>
              <w:ind w:left="420"/>
              <w:spacing w:after="0" w:line="183" w:lineRule="exact"/>
              <w:rPr>
                <w:sz w:val="20"/>
                <w:szCs w:val="20"/>
                <w:color w:val="auto"/>
              </w:rPr>
            </w:pPr>
            <w:r>
              <w:rPr>
                <w:rFonts w:ascii="Arial" w:cs="Arial" w:eastAsia="Arial" w:hAnsi="Arial"/>
                <w:sz w:val="18"/>
                <w:szCs w:val="18"/>
                <w:color w:val="auto"/>
              </w:rPr>
              <w:t>performance based with payout based on a</w:t>
            </w: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formulaic framework</w:t>
            </w:r>
          </w:p>
        </w:tc>
        <w:tc>
          <w:tcPr>
            <w:tcW w:w="1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310"/>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50% of NEO long-term equity incentives are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235"/>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performance based, requiring performance</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265"/>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over a multi-year period</w:t>
            </w:r>
          </w:p>
        </w:tc>
        <w:tc>
          <w:tcPr>
            <w:tcW w:w="1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56"/>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Compensation program design mitigates</w:t>
            </w: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single-trigger change in control</w:t>
            </w:r>
          </w:p>
        </w:tc>
        <w:tc>
          <w:tcPr>
            <w:tcW w:w="0" w:type="dxa"/>
            <w:vAlign w:val="bottom"/>
          </w:tcPr>
          <w:p>
            <w:pPr>
              <w:spacing w:after="0"/>
              <w:rPr>
                <w:sz w:val="1"/>
                <w:szCs w:val="1"/>
                <w:color w:val="auto"/>
              </w:rPr>
            </w:pPr>
          </w:p>
        </w:tc>
      </w:tr>
      <w:tr>
        <w:trPr>
          <w:trHeight w:val="94"/>
        </w:trPr>
        <w:tc>
          <w:tcPr>
            <w:tcW w:w="3960" w:type="dxa"/>
            <w:vAlign w:val="bottom"/>
            <w:tcBorders>
              <w:left w:val="single" w:sz="8" w:color="auto"/>
            </w:tcBorders>
            <w:vMerge w:val="restart"/>
          </w:tcPr>
          <w:p>
            <w:pPr>
              <w:ind w:left="420"/>
              <w:spacing w:after="0"/>
              <w:rPr>
                <w:sz w:val="20"/>
                <w:szCs w:val="20"/>
                <w:color w:val="auto"/>
              </w:rPr>
            </w:pPr>
            <w:r>
              <w:rPr>
                <w:rFonts w:ascii="Arial" w:cs="Arial" w:eastAsia="Arial" w:hAnsi="Arial"/>
                <w:sz w:val="18"/>
                <w:szCs w:val="18"/>
                <w:color w:val="auto"/>
              </w:rPr>
              <w:t>against excessive risk taking</w:t>
            </w:r>
          </w:p>
        </w:tc>
        <w:tc>
          <w:tcPr>
            <w:tcW w:w="1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60" w:type="dxa"/>
            <w:vAlign w:val="bottom"/>
            <w:tcBorders>
              <w:left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protections in our long-term incentive plan</w:t>
            </w:r>
          </w:p>
        </w:tc>
        <w:tc>
          <w:tcPr>
            <w:tcW w:w="0" w:type="dxa"/>
            <w:vAlign w:val="bottom"/>
          </w:tcPr>
          <w:p>
            <w:pPr>
              <w:spacing w:after="0"/>
              <w:rPr>
                <w:sz w:val="1"/>
                <w:szCs w:val="1"/>
                <w:color w:val="auto"/>
              </w:rPr>
            </w:pPr>
          </w:p>
        </w:tc>
      </w:tr>
      <w:tr>
        <w:trPr>
          <w:trHeight w:val="72"/>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Independent compensation consultant</w:t>
            </w:r>
          </w:p>
        </w:tc>
        <w:tc>
          <w:tcPr>
            <w:tcW w:w="16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8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960" w:type="dxa"/>
            <w:vAlign w:val="bottom"/>
            <w:tcBorders>
              <w:left w:val="single" w:sz="8" w:color="auto"/>
            </w:tcBorders>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grants</w:t>
            </w:r>
          </w:p>
        </w:tc>
        <w:tc>
          <w:tcPr>
            <w:tcW w:w="0" w:type="dxa"/>
            <w:vAlign w:val="bottom"/>
          </w:tcPr>
          <w:p>
            <w:pPr>
              <w:spacing w:after="0"/>
              <w:rPr>
                <w:sz w:val="1"/>
                <w:szCs w:val="1"/>
                <w:color w:val="auto"/>
              </w:rPr>
            </w:pPr>
          </w:p>
        </w:tc>
      </w:tr>
      <w:tr>
        <w:trPr>
          <w:trHeight w:val="264"/>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Regular investor engagement on</w:t>
            </w: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compensation and other matters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Equity Ownership Guidelines for executive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officers and directors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Clawback Policy that applies to incentive-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based and other compensation</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96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-3008630</wp:posOffset>
            </wp:positionV>
            <wp:extent cx="77470"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-2768600</wp:posOffset>
            </wp:positionV>
            <wp:extent cx="77470" cy="77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-2553970</wp:posOffset>
            </wp:positionV>
            <wp:extent cx="77470"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-2176780</wp:posOffset>
            </wp:positionV>
            <wp:extent cx="77470"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-1808480</wp:posOffset>
            </wp:positionV>
            <wp:extent cx="77470" cy="76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-1439545</wp:posOffset>
            </wp:positionV>
            <wp:extent cx="77470" cy="77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Unitholder Engagement</w:t>
      </w:r>
    </w:p>
    <w:p>
      <w:pPr>
        <w:spacing w:after="0" w:line="156" w:lineRule="exact"/>
        <w:rPr>
          <w:sz w:val="20"/>
          <w:szCs w:val="20"/>
          <w:color w:val="auto"/>
        </w:rPr>
      </w:pPr>
    </w:p>
    <w:p>
      <w:pPr>
        <w:ind w:left="1260" w:firstLine="360"/>
        <w:spacing w:after="0" w:line="254" w:lineRule="auto"/>
        <w:rPr>
          <w:sz w:val="20"/>
          <w:szCs w:val="20"/>
          <w:color w:val="auto"/>
        </w:rPr>
      </w:pPr>
      <w:r>
        <w:rPr>
          <w:rFonts w:ascii="Arial" w:cs="Arial" w:eastAsia="Arial" w:hAnsi="Arial"/>
          <w:sz w:val="18"/>
          <w:szCs w:val="18"/>
          <w:color w:val="auto"/>
        </w:rPr>
        <w:t>At our last annual meeting, approximately 98% of our voting equity holders approved our executive compensation program. Our holders have approved our executive compensation program every year for the last four years with an average approval rate of approximately 98%. Although these “say on pay” votes are advisory and non-binding, our Compensation Committee and Board value the opinions of our unitholders and consider the results of say on pay votes as well as direct feedback received from investors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679"/>
        <w:spacing w:after="0" w:line="284" w:lineRule="auto"/>
        <w:rPr>
          <w:sz w:val="20"/>
          <w:szCs w:val="20"/>
          <w:color w:val="auto"/>
        </w:rPr>
      </w:pPr>
      <w:r>
        <w:rPr>
          <w:rFonts w:ascii="Arial" w:cs="Arial" w:eastAsia="Arial" w:hAnsi="Arial"/>
          <w:sz w:val="28"/>
          <w:szCs w:val="28"/>
          <w:b w:val="1"/>
          <w:bCs w:val="1"/>
          <w:color w:val="auto"/>
        </w:rPr>
        <w:t>~98% Say on Pay Support at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-857885</wp:posOffset>
            </wp:positionV>
            <wp:extent cx="1783080" cy="968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968375"/>
                    </a:xfrm>
                    <a:prstGeom prst="rect">
                      <a:avLst/>
                    </a:prstGeom>
                    <a:noFill/>
                  </pic:spPr>
                </pic:pic>
              </a:graphicData>
            </a:graphic>
          </wp:anchor>
        </w:drawing>
      </w:r>
    </w:p>
    <w:p>
      <w:pPr>
        <w:spacing w:after="0" w:line="923" w:lineRule="exact"/>
        <w:rPr>
          <w:sz w:val="20"/>
          <w:szCs w:val="20"/>
          <w:color w:val="auto"/>
        </w:rPr>
      </w:pPr>
    </w:p>
    <w:p>
      <w:pPr>
        <w:sectPr>
          <w:pgSz w:w="11900" w:h="16838" w:orient="portrait"/>
          <w:cols w:equalWidth="0" w:num="2">
            <w:col w:w="6500" w:space="340"/>
            <w:col w:w="3039"/>
          </w:cols>
          <w:pgMar w:left="580" w:top="97" w:right="1440" w:bottom="1440" w:gutter="0" w:footer="0" w:header="0"/>
          <w:type w:val="continuous"/>
        </w:sectPr>
      </w:pPr>
    </w:p>
    <w:p>
      <w:pPr>
        <w:ind w:left="1260" w:right="419" w:firstLine="360"/>
        <w:spacing w:after="0" w:line="278" w:lineRule="auto"/>
        <w:rPr>
          <w:sz w:val="20"/>
          <w:szCs w:val="20"/>
          <w:color w:val="auto"/>
        </w:rPr>
      </w:pPr>
      <w:r>
        <w:rPr>
          <w:rFonts w:ascii="Arial" w:cs="Arial" w:eastAsia="Arial" w:hAnsi="Arial"/>
          <w:sz w:val="17"/>
          <w:szCs w:val="17"/>
          <w:color w:val="auto"/>
        </w:rPr>
        <w:t>Our investor relations team and members of our senior management team regularly meet with investors and other stakeholders to seek input and feedback on a wide range of topics, including executive compensation. On an annual basis, as part of our ongoing investor outreach and engagement process, we actively solicit feedback from investors regarding our executive compensation programs and other important matters, including our evolving governance practices and sustainability efforts.</w:t>
      </w:r>
    </w:p>
    <w:p>
      <w:pPr>
        <w:spacing w:after="0" w:line="9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refer to the process of receiving and incorporating investor feedback into our decision-making process regarding our executive compensation program as the “feedback loop” that we have developed with our investors over the years. As we strive for continuous improvement, we believe that this feedback loop is critical to maintaining a compensation program and structure that aligns the interests of our executive officers with the interests of our investors.</w:t>
      </w:r>
    </w:p>
    <w:p>
      <w:pPr>
        <w:spacing w:after="0" w:line="112" w:lineRule="exact"/>
        <w:rPr>
          <w:sz w:val="20"/>
          <w:szCs w:val="20"/>
          <w:color w:val="auto"/>
        </w:rPr>
      </w:pPr>
    </w:p>
    <w:p>
      <w:pPr>
        <w:jc w:val="both"/>
        <w:ind w:left="1260" w:right="539" w:firstLine="360"/>
        <w:spacing w:after="0" w:line="262" w:lineRule="auto"/>
        <w:rPr>
          <w:sz w:val="20"/>
          <w:szCs w:val="20"/>
          <w:color w:val="auto"/>
        </w:rPr>
      </w:pPr>
      <w:r>
        <w:rPr>
          <w:rFonts w:ascii="Arial" w:cs="Arial" w:eastAsia="Arial" w:hAnsi="Arial"/>
          <w:sz w:val="18"/>
          <w:szCs w:val="18"/>
          <w:color w:val="auto"/>
        </w:rPr>
        <w:t>Overall, the design of our 2024 executive compensation program did not materially change relative to 2023. The Compensation Committee and our management team are constantly reviewing the design of our programs to ensure that they remain aligned with investor interests and evolving best practices. We will continue to seek direct input from our investors as part of that process.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6"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Our executive compensation philosophy is focused on a long-term pay for performance culture designed to attract and retain key management talent in a competitive industry and market. Our program combines relatively low base pay (as a percentage of total compensation) with higher variable, at-risk compensation opportunities based on objective and transparent performance requirements. As demonstrated in the graphic below, in 2024, at target, approximately 91% of our CEO’s compensation and approximately 84%, on average, of our other NEOs’ compensation consisted of at-risk compensation.</w:t>
      </w:r>
    </w:p>
    <w:p>
      <w:pPr>
        <w:spacing w:after="0" w:line="18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203190" cy="3368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0319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20" w:right="539" w:hanging="360"/>
        <w:spacing w:after="0" w:line="268"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“Other NEOs” graphic excludes Mr. Pefanis. Mr. Pefanis is a co-founder and substantial equity owner and for the last several years has requested to not participate in the long-term incentive program, which results in an at-risk compensation percentage for Mr. Pefanis of 67%.</w:t>
      </w:r>
    </w:p>
    <w:p>
      <w:pPr>
        <w:spacing w:after="0" w:line="90"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attributable to PAA and distributable cash flow (“DCF”) per common unit and common unit equivalent (“CUE”).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maintaining financial flexibility and generating attractive unitholder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212725</wp:posOffset>
            </wp:positionV>
            <wp:extent cx="1234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20" w:right="519" w:hanging="360"/>
        <w:spacing w:after="0" w:line="232"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and amortization, including write-downs related to canceled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99" w:firstLine="360"/>
        <w:spacing w:after="0" w:line="284"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75" w:lineRule="exact"/>
        <w:rPr>
          <w:sz w:val="20"/>
          <w:szCs w:val="20"/>
          <w:color w:val="auto"/>
        </w:rPr>
      </w:pPr>
    </w:p>
    <w:p>
      <w:pPr>
        <w:ind w:left="1800" w:right="61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58" w:lineRule="exact"/>
        <w:rPr>
          <w:rFonts w:ascii="Arial" w:cs="Arial" w:eastAsia="Arial" w:hAnsi="Arial"/>
          <w:sz w:val="18"/>
          <w:szCs w:val="18"/>
          <w:color w:val="auto"/>
        </w:rPr>
      </w:pPr>
    </w:p>
    <w:p>
      <w:pPr>
        <w:ind w:left="1800" w:right="519" w:hanging="180"/>
        <w:spacing w:after="0" w:line="268"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a majority of NEO pay (57% for the CEO and 54% on average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NEOs) to achievement of specific near-term and long-term goals that drive long-term growth in unitholder value; and</w:t>
      </w:r>
    </w:p>
    <w:p>
      <w:pPr>
        <w:spacing w:after="0" w:line="89" w:lineRule="exact"/>
        <w:rPr>
          <w:rFonts w:ascii="Arial" w:cs="Arial" w:eastAsia="Arial" w:hAnsi="Arial"/>
          <w:sz w:val="18"/>
          <w:szCs w:val="18"/>
          <w:color w:val="auto"/>
        </w:rPr>
      </w:pPr>
    </w:p>
    <w:p>
      <w:pPr>
        <w:ind w:left="1800" w:right="115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the use of equity 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encouragement of long-term unit ownership.</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6"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8"/>
          <w:szCs w:val="18"/>
          <w:color w:val="auto"/>
        </w:rPr>
        <w:t>We use three primary elements of compensation in combination with market competitive benefits to achieve our executive compensation program objectives  —  (i) base salary, (ii) annual cash incentive awards and (iii) long-term equity incentive awards. Our mix of compensation elements is designed to reinforce near-term and long-term business and strategic objectives, recognize and reward performance, motivate long-term value creation, attract and retain talent and align the interests of our executives with those of our equity holders. The following table sets forth the key elements of our 2024 executive compensation program:</w:t>
      </w:r>
    </w:p>
    <w:p>
      <w:pPr>
        <w:spacing w:after="0" w:line="142" w:lineRule="exact"/>
        <w:rPr>
          <w:sz w:val="20"/>
          <w:szCs w:val="20"/>
          <w:color w:val="auto"/>
        </w:rPr>
      </w:pPr>
    </w:p>
    <w:tbl>
      <w:tblPr>
        <w:tblLayout w:type="fixed"/>
        <w:tblInd w:w="1270" w:type="dxa"/>
        <w:tblCellMar>
          <w:top w:w="0" w:type="dxa"/>
          <w:left w:w="0" w:type="dxa"/>
          <w:bottom w:w="0" w:type="dxa"/>
          <w:right w:w="0" w:type="dxa"/>
        </w:tblCellMar>
      </w:tblPr>
      <w:tr>
        <w:trPr>
          <w:trHeight w:val="256"/>
        </w:trPr>
        <w:tc>
          <w:tcPr>
            <w:tcW w:w="166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260" w:type="dxa"/>
            <w:vAlign w:val="bottom"/>
            <w:tcBorders>
              <w:top w:val="single" w:sz="8" w:color="auto"/>
              <w:bottom w:val="single" w:sz="8" w:color="auto"/>
              <w:right w:val="single" w:sz="8" w:color="auto"/>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140" w:type="dxa"/>
            <w:vAlign w:val="bottom"/>
            <w:tcBorders>
              <w:top w:val="single" w:sz="8" w:color="auto"/>
              <w:bottom w:val="single" w:sz="8" w:color="auto"/>
            </w:tcBorders>
            <w:shd w:val="clear" w:color="auto" w:fill="424E6A"/>
          </w:tcPr>
          <w:p>
            <w:pPr>
              <w:ind w:left="600"/>
              <w:spacing w:after="0"/>
              <w:rPr>
                <w:sz w:val="20"/>
                <w:szCs w:val="20"/>
                <w:color w:val="auto"/>
              </w:rPr>
            </w:pPr>
            <w:r>
              <w:rPr>
                <w:rFonts w:ascii="Arial" w:cs="Arial" w:eastAsia="Arial" w:hAnsi="Arial"/>
                <w:sz w:val="14"/>
                <w:szCs w:val="14"/>
                <w:b w:val="1"/>
                <w:bCs w:val="1"/>
                <w:color w:val="FFFFFF"/>
              </w:rPr>
              <w:t>Why We Pay It</w:t>
            </w:r>
          </w:p>
        </w:tc>
        <w:tc>
          <w:tcPr>
            <w:tcW w:w="140" w:type="dxa"/>
            <w:vAlign w:val="bottom"/>
            <w:tcBorders>
              <w:top w:val="single" w:sz="8" w:color="auto"/>
              <w:bottom w:val="single" w:sz="8" w:color="auto"/>
              <w:right w:val="single" w:sz="8" w:color="auto"/>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720" w:type="dxa"/>
            <w:vAlign w:val="bottom"/>
            <w:tcBorders>
              <w:top w:val="single" w:sz="8" w:color="auto"/>
              <w:bottom w:val="single" w:sz="8" w:color="auto"/>
              <w:right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45"/>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Base Salary</w:t>
            </w:r>
          </w:p>
        </w:tc>
        <w:tc>
          <w:tcPr>
            <w:tcW w:w="260" w:type="dxa"/>
            <w:vAlign w:val="bottom"/>
            <w:tcBorders>
              <w:right w:val="single" w:sz="8" w:color="auto"/>
            </w:tcBorders>
            <w:shd w:val="clear" w:color="auto" w:fill="D9DCE1"/>
          </w:tcPr>
          <w:p>
            <w:pPr>
              <w:spacing w:after="0"/>
              <w:rPr>
                <w:sz w:val="21"/>
                <w:szCs w:val="21"/>
                <w:color w:val="auto"/>
              </w:rPr>
            </w:pPr>
          </w:p>
        </w:tc>
        <w:tc>
          <w:tcPr>
            <w:tcW w:w="80" w:type="dxa"/>
            <w:vAlign w:val="bottom"/>
            <w:shd w:val="clear" w:color="auto" w:fill="D9DCE1"/>
          </w:tcPr>
          <w:p>
            <w:pPr>
              <w:spacing w:after="0"/>
              <w:rPr>
                <w:sz w:val="21"/>
                <w:szCs w:val="21"/>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Attract and retain high-</w:t>
            </w:r>
          </w:p>
        </w:tc>
        <w:tc>
          <w:tcPr>
            <w:tcW w:w="140" w:type="dxa"/>
            <w:vAlign w:val="bottom"/>
            <w:tcBorders>
              <w:right w:val="single" w:sz="8" w:color="auto"/>
            </w:tcBorders>
            <w:shd w:val="clear" w:color="auto" w:fill="D9DCE1"/>
          </w:tcPr>
          <w:p>
            <w:pPr>
              <w:spacing w:after="0"/>
              <w:rPr>
                <w:sz w:val="21"/>
                <w:szCs w:val="21"/>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Foundational element of our compensation</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performing executives by</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program; short-term and long-term incentive</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providing a secure and</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compensation components are based on</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appropriate level of base</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 percentage of base salary</w:t>
            </w: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shd w:val="clear" w:color="auto" w:fill="D9DCE1"/>
          </w:tcPr>
          <w:p>
            <w:pPr>
              <w:spacing w:after="0"/>
              <w:rPr>
                <w:sz w:val="20"/>
                <w:szCs w:val="20"/>
                <w:color w:val="auto"/>
              </w:rPr>
            </w:pPr>
          </w:p>
        </w:tc>
        <w:tc>
          <w:tcPr>
            <w:tcW w:w="26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salary</w:t>
            </w:r>
          </w:p>
        </w:tc>
        <w:tc>
          <w:tcPr>
            <w:tcW w:w="140" w:type="dxa"/>
            <w:vAlign w:val="bottom"/>
            <w:tcBorders>
              <w:right w:val="single" w:sz="8" w:color="auto"/>
            </w:tcBorders>
            <w:shd w:val="clear" w:color="auto" w:fill="D9DCE1"/>
          </w:tcPr>
          <w:p>
            <w:pPr>
              <w:spacing w:after="0"/>
              <w:rPr>
                <w:sz w:val="20"/>
                <w:szCs w:val="20"/>
                <w:color w:val="auto"/>
              </w:rPr>
            </w:pPr>
          </w:p>
        </w:tc>
        <w:tc>
          <w:tcPr>
            <w:tcW w:w="3940" w:type="dxa"/>
            <w:vAlign w:val="bottom"/>
            <w:tcBorders>
              <w:right w:val="single" w:sz="8" w:color="auto"/>
            </w:tcBorders>
            <w:gridSpan w:val="2"/>
            <w:vMerge w:val="restart"/>
            <w:shd w:val="clear" w:color="auto" w:fill="D9DCE1"/>
          </w:tcPr>
          <w:p>
            <w:pPr>
              <w:ind w:left="100"/>
              <w:spacing w:after="0"/>
              <w:rPr>
                <w:sz w:val="20"/>
                <w:szCs w:val="20"/>
                <w:color w:val="auto"/>
              </w:rPr>
            </w:pPr>
            <w:r>
              <w:rPr>
                <w:rFonts w:ascii="Arial" w:cs="Arial" w:eastAsia="Arial" w:hAnsi="Arial"/>
                <w:sz w:val="18"/>
                <w:szCs w:val="18"/>
                <w:color w:val="auto"/>
              </w:rPr>
              <w:t>• Subject to adjustment periodically based in</w:t>
            </w: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tcBorders>
            <w:shd w:val="clear" w:color="auto" w:fill="D9DCE1"/>
          </w:tcPr>
          <w:p>
            <w:pPr>
              <w:spacing w:after="0"/>
              <w:rPr>
                <w:sz w:val="9"/>
                <w:szCs w:val="9"/>
                <w:color w:val="auto"/>
              </w:rPr>
            </w:pPr>
          </w:p>
        </w:tc>
        <w:tc>
          <w:tcPr>
            <w:tcW w:w="260" w:type="dxa"/>
            <w:vAlign w:val="bottom"/>
            <w:tcBorders>
              <w:right w:val="single" w:sz="8" w:color="auto"/>
            </w:tcBorders>
            <w:shd w:val="clear" w:color="auto" w:fill="D9DCE1"/>
          </w:tcPr>
          <w:p>
            <w:pPr>
              <w:spacing w:after="0"/>
              <w:rPr>
                <w:sz w:val="9"/>
                <w:szCs w:val="9"/>
                <w:color w:val="auto"/>
              </w:rPr>
            </w:pPr>
          </w:p>
        </w:tc>
        <w:tc>
          <w:tcPr>
            <w:tcW w:w="80" w:type="dxa"/>
            <w:vAlign w:val="bottom"/>
            <w:shd w:val="clear" w:color="auto" w:fill="D9DCE1"/>
          </w:tcPr>
          <w:p>
            <w:pPr>
              <w:spacing w:after="0"/>
              <w:rPr>
                <w:sz w:val="9"/>
                <w:szCs w:val="9"/>
                <w:color w:val="auto"/>
              </w:rPr>
            </w:pPr>
          </w:p>
        </w:tc>
        <w:tc>
          <w:tcPr>
            <w:tcW w:w="2140" w:type="dxa"/>
            <w:vAlign w:val="bottom"/>
            <w:shd w:val="clear" w:color="auto" w:fill="D9DCE1"/>
          </w:tcPr>
          <w:p>
            <w:pPr>
              <w:spacing w:after="0"/>
              <w:rPr>
                <w:sz w:val="9"/>
                <w:szCs w:val="9"/>
                <w:color w:val="auto"/>
              </w:rPr>
            </w:pPr>
          </w:p>
        </w:tc>
        <w:tc>
          <w:tcPr>
            <w:tcW w:w="140" w:type="dxa"/>
            <w:vAlign w:val="bottom"/>
            <w:tcBorders>
              <w:right w:val="single" w:sz="8" w:color="auto"/>
            </w:tcBorders>
            <w:shd w:val="clear" w:color="auto" w:fill="D9DCE1"/>
          </w:tcPr>
          <w:p>
            <w:pPr>
              <w:spacing w:after="0"/>
              <w:rPr>
                <w:sz w:val="9"/>
                <w:szCs w:val="9"/>
                <w:color w:val="auto"/>
              </w:rPr>
            </w:pPr>
          </w:p>
        </w:tc>
        <w:tc>
          <w:tcPr>
            <w:tcW w:w="3940" w:type="dxa"/>
            <w:vAlign w:val="bottom"/>
            <w:tcBorders>
              <w:right w:val="single" w:sz="8" w:color="auto"/>
            </w:tcBorders>
            <w:gridSpan w:val="2"/>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shd w:val="clear" w:color="auto" w:fill="D9DCE1"/>
          </w:tcPr>
          <w:p>
            <w:pPr>
              <w:spacing w:after="0"/>
              <w:rPr>
                <w:sz w:val="20"/>
                <w:szCs w:val="20"/>
                <w:color w:val="auto"/>
              </w:rPr>
            </w:pPr>
          </w:p>
        </w:tc>
        <w:tc>
          <w:tcPr>
            <w:tcW w:w="26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140" w:type="dxa"/>
            <w:vAlign w:val="bottom"/>
            <w:shd w:val="clear" w:color="auto" w:fill="D9DCE1"/>
          </w:tcPr>
          <w:p>
            <w:pPr>
              <w:spacing w:after="0"/>
              <w:rPr>
                <w:sz w:val="20"/>
                <w:szCs w:val="20"/>
                <w:color w:val="auto"/>
              </w:rPr>
            </w:pPr>
          </w:p>
        </w:tc>
        <w:tc>
          <w:tcPr>
            <w:tcW w:w="14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part on competitive market data</w:t>
            </w:r>
          </w:p>
        </w:tc>
        <w:tc>
          <w:tcPr>
            <w:tcW w:w="0" w:type="dxa"/>
            <w:vAlign w:val="bottom"/>
          </w:tcPr>
          <w:p>
            <w:pPr>
              <w:spacing w:after="0"/>
              <w:rPr>
                <w:sz w:val="1"/>
                <w:szCs w:val="1"/>
                <w:color w:val="auto"/>
              </w:rPr>
            </w:pPr>
          </w:p>
        </w:tc>
      </w:tr>
      <w:tr>
        <w:trPr>
          <w:trHeight w:val="356"/>
        </w:trPr>
        <w:tc>
          <w:tcPr>
            <w:tcW w:w="1660" w:type="dxa"/>
            <w:vAlign w:val="bottom"/>
            <w:tcBorders>
              <w:left w:val="single" w:sz="8" w:color="auto"/>
              <w:bottom w:val="single" w:sz="8" w:color="auto"/>
            </w:tcBorders>
            <w:shd w:val="clear" w:color="auto" w:fill="D9DCE1"/>
          </w:tcPr>
          <w:p>
            <w:pPr>
              <w:spacing w:after="0"/>
              <w:rPr>
                <w:sz w:val="24"/>
                <w:szCs w:val="24"/>
                <w:color w:val="auto"/>
              </w:rPr>
            </w:pPr>
          </w:p>
        </w:tc>
        <w:tc>
          <w:tcPr>
            <w:tcW w:w="260" w:type="dxa"/>
            <w:vAlign w:val="bottom"/>
            <w:tcBorders>
              <w:bottom w:val="single" w:sz="8" w:color="auto"/>
              <w:right w:val="single" w:sz="8" w:color="auto"/>
            </w:tcBorders>
            <w:shd w:val="clear" w:color="auto" w:fill="D9DCE1"/>
          </w:tcPr>
          <w:p>
            <w:pPr>
              <w:spacing w:after="0"/>
              <w:rPr>
                <w:sz w:val="24"/>
                <w:szCs w:val="24"/>
                <w:color w:val="auto"/>
              </w:rPr>
            </w:pPr>
          </w:p>
        </w:tc>
        <w:tc>
          <w:tcPr>
            <w:tcW w:w="80" w:type="dxa"/>
            <w:vAlign w:val="bottom"/>
            <w:tcBorders>
              <w:bottom w:val="single" w:sz="8" w:color="auto"/>
            </w:tcBorders>
            <w:shd w:val="clear" w:color="auto" w:fill="D9DCE1"/>
          </w:tcPr>
          <w:p>
            <w:pPr>
              <w:spacing w:after="0"/>
              <w:rPr>
                <w:sz w:val="24"/>
                <w:szCs w:val="24"/>
                <w:color w:val="auto"/>
              </w:rPr>
            </w:pPr>
          </w:p>
        </w:tc>
        <w:tc>
          <w:tcPr>
            <w:tcW w:w="2140" w:type="dxa"/>
            <w:vAlign w:val="bottom"/>
            <w:tcBorders>
              <w:bottom w:val="single" w:sz="8" w:color="auto"/>
            </w:tcBorders>
            <w:shd w:val="clear" w:color="auto" w:fill="D9DCE1"/>
          </w:tcPr>
          <w:p>
            <w:pPr>
              <w:spacing w:after="0"/>
              <w:rPr>
                <w:sz w:val="24"/>
                <w:szCs w:val="24"/>
                <w:color w:val="auto"/>
              </w:rPr>
            </w:pPr>
          </w:p>
        </w:tc>
        <w:tc>
          <w:tcPr>
            <w:tcW w:w="140" w:type="dxa"/>
            <w:vAlign w:val="bottom"/>
            <w:tcBorders>
              <w:bottom w:val="single" w:sz="8" w:color="auto"/>
              <w:right w:val="single" w:sz="8" w:color="auto"/>
            </w:tcBorders>
            <w:shd w:val="clear" w:color="auto" w:fill="D9DCE1"/>
          </w:tcPr>
          <w:p>
            <w:pPr>
              <w:spacing w:after="0"/>
              <w:rPr>
                <w:sz w:val="24"/>
                <w:szCs w:val="24"/>
                <w:color w:val="auto"/>
              </w:rPr>
            </w:pPr>
          </w:p>
        </w:tc>
        <w:tc>
          <w:tcPr>
            <w:tcW w:w="2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Smallest component of NEO compensation</w:t>
            </w:r>
          </w:p>
        </w:tc>
        <w:tc>
          <w:tcPr>
            <w:tcW w:w="0" w:type="dxa"/>
            <w:vAlign w:val="bottom"/>
          </w:tcPr>
          <w:p>
            <w:pPr>
              <w:spacing w:after="0"/>
              <w:rPr>
                <w:sz w:val="1"/>
                <w:szCs w:val="1"/>
                <w:color w:val="auto"/>
              </w:rPr>
            </w:pPr>
          </w:p>
        </w:tc>
      </w:tr>
      <w:tr>
        <w:trPr>
          <w:trHeight w:val="249"/>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Annual Cash</w:t>
            </w:r>
          </w:p>
        </w:tc>
        <w:tc>
          <w:tcPr>
            <w:tcW w:w="2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w w:val="99"/>
              </w:rPr>
              <w:t>Motivate and reward near-</w:t>
            </w:r>
          </w:p>
        </w:tc>
        <w:tc>
          <w:tcPr>
            <w:tcW w:w="14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term performance and</w:t>
            </w:r>
          </w:p>
        </w:tc>
        <w:tc>
          <w:tcPr>
            <w:tcW w:w="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 Encourages achievement of objective and</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retention</w:t>
            </w:r>
          </w:p>
        </w:tc>
        <w:tc>
          <w:tcPr>
            <w:tcW w:w="140" w:type="dxa"/>
            <w:vAlign w:val="bottom"/>
            <w:tcBorders>
              <w:right w:val="single" w:sz="8" w:color="auto"/>
            </w:tcBorders>
          </w:tcPr>
          <w:p>
            <w:pPr>
              <w:spacing w:after="0"/>
              <w:rPr>
                <w:sz w:val="9"/>
                <w:szCs w:val="9"/>
                <w:color w:val="auto"/>
              </w:rPr>
            </w:pPr>
          </w:p>
        </w:tc>
        <w:tc>
          <w:tcPr>
            <w:tcW w:w="39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Borders>
              <w:lef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transparent annual business, ESG and</w:t>
            </w:r>
          </w:p>
        </w:tc>
        <w:tc>
          <w:tcPr>
            <w:tcW w:w="0" w:type="dxa"/>
            <w:vAlign w:val="bottom"/>
          </w:tcPr>
          <w:p>
            <w:pPr>
              <w:spacing w:after="0"/>
              <w:rPr>
                <w:sz w:val="1"/>
                <w:szCs w:val="1"/>
                <w:color w:val="auto"/>
              </w:rPr>
            </w:pPr>
          </w:p>
        </w:tc>
      </w:tr>
      <w:tr>
        <w:trPr>
          <w:trHeight w:val="85"/>
        </w:trPr>
        <w:tc>
          <w:tcPr>
            <w:tcW w:w="1660" w:type="dxa"/>
            <w:vAlign w:val="bottom"/>
            <w:tcBorders>
              <w:lef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 of</w:t>
            </w: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342"/>
        </w:trPr>
        <w:tc>
          <w:tcPr>
            <w:tcW w:w="16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Payout based on formulaic framework</w:t>
            </w:r>
          </w:p>
        </w:tc>
        <w:tc>
          <w:tcPr>
            <w:tcW w:w="0" w:type="dxa"/>
            <w:vAlign w:val="bottom"/>
          </w:tcPr>
          <w:p>
            <w:pPr>
              <w:spacing w:after="0"/>
              <w:rPr>
                <w:sz w:val="1"/>
                <w:szCs w:val="1"/>
                <w:color w:val="auto"/>
              </w:rPr>
            </w:pPr>
          </w:p>
        </w:tc>
      </w:tr>
      <w:tr>
        <w:trPr>
          <w:trHeight w:val="249"/>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Equity</w:t>
            </w:r>
          </w:p>
        </w:tc>
        <w:tc>
          <w:tcPr>
            <w:tcW w:w="260" w:type="dxa"/>
            <w:vAlign w:val="bottom"/>
            <w:tcBorders>
              <w:right w:val="single" w:sz="8" w:color="auto"/>
            </w:tcBorders>
            <w:shd w:val="clear" w:color="auto" w:fill="D9DCE1"/>
          </w:tcPr>
          <w:p>
            <w:pPr>
              <w:spacing w:after="0"/>
              <w:rPr>
                <w:sz w:val="21"/>
                <w:szCs w:val="21"/>
                <w:color w:val="auto"/>
              </w:rPr>
            </w:pPr>
          </w:p>
        </w:tc>
        <w:tc>
          <w:tcPr>
            <w:tcW w:w="80" w:type="dxa"/>
            <w:vAlign w:val="bottom"/>
            <w:shd w:val="clear" w:color="auto" w:fill="D9DCE1"/>
          </w:tcPr>
          <w:p>
            <w:pPr>
              <w:spacing w:after="0"/>
              <w:rPr>
                <w:sz w:val="21"/>
                <w:szCs w:val="21"/>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Motivate and reward long-</w:t>
            </w:r>
          </w:p>
        </w:tc>
        <w:tc>
          <w:tcPr>
            <w:tcW w:w="140" w:type="dxa"/>
            <w:vAlign w:val="bottom"/>
            <w:tcBorders>
              <w:right w:val="single" w:sz="8" w:color="auto"/>
            </w:tcBorders>
            <w:shd w:val="clear" w:color="auto" w:fill="D9DCE1"/>
          </w:tcPr>
          <w:p>
            <w:pPr>
              <w:spacing w:after="0"/>
              <w:rPr>
                <w:sz w:val="21"/>
                <w:szCs w:val="21"/>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Incentive Awards</w:t>
            </w: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term performance and</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performance-based and 50% time-based</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retention and create</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vMerge w:val="restart"/>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Performance-based awards earned based</w:t>
            </w: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tcBorders>
            <w:shd w:val="clear" w:color="auto" w:fill="D9DCE1"/>
          </w:tcPr>
          <w:p>
            <w:pPr>
              <w:spacing w:after="0"/>
              <w:rPr>
                <w:sz w:val="11"/>
                <w:szCs w:val="11"/>
                <w:color w:val="auto"/>
              </w:rPr>
            </w:pPr>
          </w:p>
        </w:tc>
        <w:tc>
          <w:tcPr>
            <w:tcW w:w="260" w:type="dxa"/>
            <w:vAlign w:val="bottom"/>
            <w:tcBorders>
              <w:right w:val="single" w:sz="8" w:color="auto"/>
            </w:tcBorders>
            <w:shd w:val="clear" w:color="auto" w:fill="D9DCE1"/>
          </w:tcPr>
          <w:p>
            <w:pPr>
              <w:spacing w:after="0"/>
              <w:rPr>
                <w:sz w:val="11"/>
                <w:szCs w:val="11"/>
                <w:color w:val="auto"/>
              </w:rPr>
            </w:pPr>
          </w:p>
        </w:tc>
        <w:tc>
          <w:tcPr>
            <w:tcW w:w="80" w:type="dxa"/>
            <w:vAlign w:val="bottom"/>
            <w:shd w:val="clear" w:color="auto" w:fill="D9DCE1"/>
          </w:tcPr>
          <w:p>
            <w:pPr>
              <w:spacing w:after="0"/>
              <w:rPr>
                <w:sz w:val="11"/>
                <w:szCs w:val="11"/>
                <w:color w:val="auto"/>
              </w:rPr>
            </w:pPr>
          </w:p>
        </w:tc>
        <w:tc>
          <w:tcPr>
            <w:tcW w:w="2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additional alignment with</w:t>
            </w:r>
          </w:p>
        </w:tc>
        <w:tc>
          <w:tcPr>
            <w:tcW w:w="140" w:type="dxa"/>
            <w:vAlign w:val="bottom"/>
            <w:tcBorders>
              <w:right w:val="single" w:sz="8" w:color="auto"/>
            </w:tcBorders>
            <w:shd w:val="clear" w:color="auto" w:fill="D9DCE1"/>
          </w:tcPr>
          <w:p>
            <w:pPr>
              <w:spacing w:after="0"/>
              <w:rPr>
                <w:sz w:val="11"/>
                <w:szCs w:val="11"/>
                <w:color w:val="auto"/>
              </w:rPr>
            </w:pPr>
          </w:p>
        </w:tc>
        <w:tc>
          <w:tcPr>
            <w:tcW w:w="220" w:type="dxa"/>
            <w:vAlign w:val="bottom"/>
            <w:vMerge w:val="continue"/>
            <w:shd w:val="clear" w:color="auto" w:fill="D9DCE1"/>
          </w:tcPr>
          <w:p>
            <w:pPr>
              <w:spacing w:after="0"/>
              <w:rPr>
                <w:sz w:val="11"/>
                <w:szCs w:val="11"/>
                <w:color w:val="auto"/>
              </w:rPr>
            </w:pPr>
          </w:p>
        </w:tc>
        <w:tc>
          <w:tcPr>
            <w:tcW w:w="3720" w:type="dxa"/>
            <w:vAlign w:val="bottom"/>
            <w:tcBorders>
              <w:right w:val="single" w:sz="8" w:color="auto"/>
            </w:tcBorders>
            <w:vMerge w:val="continue"/>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tcBorders>
            <w:shd w:val="clear" w:color="auto" w:fill="D9DCE1"/>
          </w:tcPr>
          <w:p>
            <w:pPr>
              <w:spacing w:after="0"/>
              <w:rPr>
                <w:sz w:val="7"/>
                <w:szCs w:val="7"/>
                <w:color w:val="auto"/>
              </w:rPr>
            </w:pPr>
          </w:p>
        </w:tc>
        <w:tc>
          <w:tcPr>
            <w:tcW w:w="260" w:type="dxa"/>
            <w:vAlign w:val="bottom"/>
            <w:tcBorders>
              <w:right w:val="single" w:sz="8" w:color="auto"/>
            </w:tcBorders>
            <w:shd w:val="clear" w:color="auto" w:fill="D9DCE1"/>
          </w:tcPr>
          <w:p>
            <w:pPr>
              <w:spacing w:after="0"/>
              <w:rPr>
                <w:sz w:val="7"/>
                <w:szCs w:val="7"/>
                <w:color w:val="auto"/>
              </w:rPr>
            </w:pPr>
          </w:p>
        </w:tc>
        <w:tc>
          <w:tcPr>
            <w:tcW w:w="80" w:type="dxa"/>
            <w:vAlign w:val="bottom"/>
            <w:shd w:val="clear" w:color="auto" w:fill="D9DCE1"/>
          </w:tcPr>
          <w:p>
            <w:pPr>
              <w:spacing w:after="0"/>
              <w:rPr>
                <w:sz w:val="7"/>
                <w:szCs w:val="7"/>
                <w:color w:val="auto"/>
              </w:rPr>
            </w:pPr>
          </w:p>
        </w:tc>
        <w:tc>
          <w:tcPr>
            <w:tcW w:w="2140" w:type="dxa"/>
            <w:vAlign w:val="bottom"/>
            <w:vMerge w:val="continue"/>
            <w:shd w:val="clear" w:color="auto" w:fill="D9DCE1"/>
          </w:tcPr>
          <w:p>
            <w:pPr>
              <w:spacing w:after="0"/>
              <w:rPr>
                <w:sz w:val="7"/>
                <w:szCs w:val="7"/>
                <w:color w:val="auto"/>
              </w:rPr>
            </w:pPr>
          </w:p>
        </w:tc>
        <w:tc>
          <w:tcPr>
            <w:tcW w:w="140" w:type="dxa"/>
            <w:vAlign w:val="bottom"/>
            <w:tcBorders>
              <w:right w:val="single" w:sz="8" w:color="auto"/>
            </w:tcBorders>
            <w:shd w:val="clear" w:color="auto" w:fill="D9DCE1"/>
          </w:tcPr>
          <w:p>
            <w:pPr>
              <w:spacing w:after="0"/>
              <w:rPr>
                <w:sz w:val="7"/>
                <w:szCs w:val="7"/>
                <w:color w:val="auto"/>
              </w:rPr>
            </w:pPr>
          </w:p>
        </w:tc>
        <w:tc>
          <w:tcPr>
            <w:tcW w:w="220" w:type="dxa"/>
            <w:vAlign w:val="bottom"/>
            <w:shd w:val="clear" w:color="auto" w:fill="D9DCE1"/>
          </w:tcPr>
          <w:p>
            <w:pPr>
              <w:spacing w:after="0"/>
              <w:rPr>
                <w:sz w:val="7"/>
                <w:szCs w:val="7"/>
                <w:color w:val="auto"/>
              </w:rPr>
            </w:pPr>
          </w:p>
        </w:tc>
        <w:tc>
          <w:tcPr>
            <w:tcW w:w="37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w w:val="99"/>
              </w:rPr>
              <w:t>upon performance over cumulative three-year</w:t>
            </w: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tcBorders>
            <w:shd w:val="clear" w:color="auto" w:fill="D9DCE1"/>
          </w:tcPr>
          <w:p>
            <w:pPr>
              <w:spacing w:after="0"/>
              <w:rPr>
                <w:sz w:val="11"/>
                <w:szCs w:val="11"/>
                <w:color w:val="auto"/>
              </w:rPr>
            </w:pPr>
          </w:p>
        </w:tc>
        <w:tc>
          <w:tcPr>
            <w:tcW w:w="260" w:type="dxa"/>
            <w:vAlign w:val="bottom"/>
            <w:tcBorders>
              <w:right w:val="single" w:sz="8" w:color="auto"/>
            </w:tcBorders>
            <w:shd w:val="clear" w:color="auto" w:fill="D9DCE1"/>
          </w:tcPr>
          <w:p>
            <w:pPr>
              <w:spacing w:after="0"/>
              <w:rPr>
                <w:sz w:val="11"/>
                <w:szCs w:val="11"/>
                <w:color w:val="auto"/>
              </w:rPr>
            </w:pPr>
          </w:p>
        </w:tc>
        <w:tc>
          <w:tcPr>
            <w:tcW w:w="80" w:type="dxa"/>
            <w:vAlign w:val="bottom"/>
            <w:shd w:val="clear" w:color="auto" w:fill="D9DCE1"/>
          </w:tcPr>
          <w:p>
            <w:pPr>
              <w:spacing w:after="0"/>
              <w:rPr>
                <w:sz w:val="11"/>
                <w:szCs w:val="11"/>
                <w:color w:val="auto"/>
              </w:rPr>
            </w:pPr>
          </w:p>
        </w:tc>
        <w:tc>
          <w:tcPr>
            <w:tcW w:w="2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investors</w:t>
            </w:r>
          </w:p>
        </w:tc>
        <w:tc>
          <w:tcPr>
            <w:tcW w:w="140" w:type="dxa"/>
            <w:vAlign w:val="bottom"/>
            <w:tcBorders>
              <w:right w:val="single" w:sz="8" w:color="auto"/>
            </w:tcBorders>
            <w:shd w:val="clear" w:color="auto" w:fill="D9DCE1"/>
          </w:tcPr>
          <w:p>
            <w:pPr>
              <w:spacing w:after="0"/>
              <w:rPr>
                <w:sz w:val="11"/>
                <w:szCs w:val="11"/>
                <w:color w:val="auto"/>
              </w:rPr>
            </w:pPr>
          </w:p>
        </w:tc>
        <w:tc>
          <w:tcPr>
            <w:tcW w:w="220" w:type="dxa"/>
            <w:vAlign w:val="bottom"/>
            <w:shd w:val="clear" w:color="auto" w:fill="D9DCE1"/>
          </w:tcPr>
          <w:p>
            <w:pPr>
              <w:spacing w:after="0"/>
              <w:rPr>
                <w:sz w:val="11"/>
                <w:szCs w:val="11"/>
                <w:color w:val="auto"/>
              </w:rPr>
            </w:pPr>
          </w:p>
        </w:tc>
        <w:tc>
          <w:tcPr>
            <w:tcW w:w="3720" w:type="dxa"/>
            <w:vAlign w:val="bottom"/>
            <w:tcBorders>
              <w:right w:val="single" w:sz="8" w:color="auto"/>
            </w:tcBorders>
            <w:vMerge w:val="continue"/>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tcBorders>
            <w:shd w:val="clear" w:color="auto" w:fill="D9DCE1"/>
          </w:tcPr>
          <w:p>
            <w:pPr>
              <w:spacing w:after="0"/>
              <w:rPr>
                <w:sz w:val="9"/>
                <w:szCs w:val="9"/>
                <w:color w:val="auto"/>
              </w:rPr>
            </w:pPr>
          </w:p>
        </w:tc>
        <w:tc>
          <w:tcPr>
            <w:tcW w:w="260" w:type="dxa"/>
            <w:vAlign w:val="bottom"/>
            <w:tcBorders>
              <w:right w:val="single" w:sz="8" w:color="auto"/>
            </w:tcBorders>
            <w:shd w:val="clear" w:color="auto" w:fill="D9DCE1"/>
          </w:tcPr>
          <w:p>
            <w:pPr>
              <w:spacing w:after="0"/>
              <w:rPr>
                <w:sz w:val="9"/>
                <w:szCs w:val="9"/>
                <w:color w:val="auto"/>
              </w:rPr>
            </w:pPr>
          </w:p>
        </w:tc>
        <w:tc>
          <w:tcPr>
            <w:tcW w:w="80" w:type="dxa"/>
            <w:vAlign w:val="bottom"/>
            <w:shd w:val="clear" w:color="auto" w:fill="D9DCE1"/>
          </w:tcPr>
          <w:p>
            <w:pPr>
              <w:spacing w:after="0"/>
              <w:rPr>
                <w:sz w:val="9"/>
                <w:szCs w:val="9"/>
                <w:color w:val="auto"/>
              </w:rPr>
            </w:pPr>
          </w:p>
        </w:tc>
        <w:tc>
          <w:tcPr>
            <w:tcW w:w="2140" w:type="dxa"/>
            <w:vAlign w:val="bottom"/>
            <w:vMerge w:val="continue"/>
            <w:shd w:val="clear" w:color="auto" w:fill="D9DCE1"/>
          </w:tcPr>
          <w:p>
            <w:pPr>
              <w:spacing w:after="0"/>
              <w:rPr>
                <w:sz w:val="9"/>
                <w:szCs w:val="9"/>
                <w:color w:val="auto"/>
              </w:rPr>
            </w:pPr>
          </w:p>
        </w:tc>
        <w:tc>
          <w:tcPr>
            <w:tcW w:w="140" w:type="dxa"/>
            <w:vAlign w:val="bottom"/>
            <w:tcBorders>
              <w:right w:val="single" w:sz="8" w:color="auto"/>
            </w:tcBorders>
            <w:shd w:val="clear" w:color="auto" w:fill="D9DCE1"/>
          </w:tcPr>
          <w:p>
            <w:pPr>
              <w:spacing w:after="0"/>
              <w:rPr>
                <w:sz w:val="9"/>
                <w:szCs w:val="9"/>
                <w:color w:val="auto"/>
              </w:rPr>
            </w:pPr>
          </w:p>
        </w:tc>
        <w:tc>
          <w:tcPr>
            <w:tcW w:w="220" w:type="dxa"/>
            <w:vAlign w:val="bottom"/>
            <w:shd w:val="clear" w:color="auto" w:fill="D9DCE1"/>
          </w:tcPr>
          <w:p>
            <w:pPr>
              <w:spacing w:after="0"/>
              <w:rPr>
                <w:sz w:val="9"/>
                <w:szCs w:val="9"/>
                <w:color w:val="auto"/>
              </w:rPr>
            </w:pPr>
          </w:p>
        </w:tc>
        <w:tc>
          <w:tcPr>
            <w:tcW w:w="37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tcBorders>
            <w:shd w:val="clear" w:color="auto" w:fill="D9DCE1"/>
          </w:tcPr>
          <w:p>
            <w:pPr>
              <w:spacing w:after="0"/>
              <w:rPr>
                <w:sz w:val="11"/>
                <w:szCs w:val="11"/>
                <w:color w:val="auto"/>
              </w:rPr>
            </w:pPr>
          </w:p>
        </w:tc>
        <w:tc>
          <w:tcPr>
            <w:tcW w:w="260" w:type="dxa"/>
            <w:vAlign w:val="bottom"/>
            <w:tcBorders>
              <w:right w:val="single" w:sz="8" w:color="auto"/>
            </w:tcBorders>
            <w:shd w:val="clear" w:color="auto" w:fill="D9DCE1"/>
          </w:tcPr>
          <w:p>
            <w:pPr>
              <w:spacing w:after="0"/>
              <w:rPr>
                <w:sz w:val="11"/>
                <w:szCs w:val="11"/>
                <w:color w:val="auto"/>
              </w:rPr>
            </w:pPr>
          </w:p>
        </w:tc>
        <w:tc>
          <w:tcPr>
            <w:tcW w:w="80" w:type="dxa"/>
            <w:vAlign w:val="bottom"/>
            <w:shd w:val="clear" w:color="auto" w:fill="D9DCE1"/>
          </w:tcPr>
          <w:p>
            <w:pPr>
              <w:spacing w:after="0"/>
              <w:rPr>
                <w:sz w:val="11"/>
                <w:szCs w:val="11"/>
                <w:color w:val="auto"/>
              </w:rPr>
            </w:pPr>
          </w:p>
        </w:tc>
        <w:tc>
          <w:tcPr>
            <w:tcW w:w="2140" w:type="dxa"/>
            <w:vAlign w:val="bottom"/>
            <w:shd w:val="clear" w:color="auto" w:fill="D9DCE1"/>
          </w:tcPr>
          <w:p>
            <w:pPr>
              <w:spacing w:after="0"/>
              <w:rPr>
                <w:sz w:val="11"/>
                <w:szCs w:val="11"/>
                <w:color w:val="auto"/>
              </w:rPr>
            </w:pPr>
          </w:p>
        </w:tc>
        <w:tc>
          <w:tcPr>
            <w:tcW w:w="140" w:type="dxa"/>
            <w:vAlign w:val="bottom"/>
            <w:tcBorders>
              <w:right w:val="single" w:sz="8" w:color="auto"/>
            </w:tcBorders>
            <w:shd w:val="clear" w:color="auto" w:fill="D9DCE1"/>
          </w:tcPr>
          <w:p>
            <w:pPr>
              <w:spacing w:after="0"/>
              <w:rPr>
                <w:sz w:val="11"/>
                <w:szCs w:val="11"/>
                <w:color w:val="auto"/>
              </w:rPr>
            </w:pPr>
          </w:p>
        </w:tc>
        <w:tc>
          <w:tcPr>
            <w:tcW w:w="220" w:type="dxa"/>
            <w:vAlign w:val="bottom"/>
            <w:shd w:val="clear" w:color="auto" w:fill="D9DCE1"/>
          </w:tcPr>
          <w:p>
            <w:pPr>
              <w:spacing w:after="0"/>
              <w:rPr>
                <w:sz w:val="11"/>
                <w:szCs w:val="11"/>
                <w:color w:val="auto"/>
              </w:rPr>
            </w:pPr>
          </w:p>
        </w:tc>
        <w:tc>
          <w:tcPr>
            <w:tcW w:w="3720" w:type="dxa"/>
            <w:vAlign w:val="bottom"/>
            <w:tcBorders>
              <w:right w:val="single" w:sz="8" w:color="auto"/>
            </w:tcBorders>
            <w:vMerge w:val="continue"/>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1660" w:type="dxa"/>
            <w:vAlign w:val="bottom"/>
            <w:tcBorders>
              <w:left w:val="single" w:sz="8" w:color="auto"/>
            </w:tcBorders>
            <w:shd w:val="clear" w:color="auto" w:fill="D9DCE1"/>
          </w:tcPr>
          <w:p>
            <w:pPr>
              <w:spacing w:after="0"/>
              <w:rPr>
                <w:sz w:val="24"/>
                <w:szCs w:val="24"/>
                <w:color w:val="auto"/>
              </w:rPr>
            </w:pPr>
          </w:p>
        </w:tc>
        <w:tc>
          <w:tcPr>
            <w:tcW w:w="26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140" w:type="dxa"/>
            <w:vAlign w:val="bottom"/>
            <w:shd w:val="clear" w:color="auto" w:fill="D9DCE1"/>
          </w:tcPr>
          <w:p>
            <w:pPr>
              <w:spacing w:after="0"/>
              <w:rPr>
                <w:sz w:val="24"/>
                <w:szCs w:val="24"/>
                <w:color w:val="auto"/>
              </w:rPr>
            </w:pPr>
          </w:p>
        </w:tc>
        <w:tc>
          <w:tcPr>
            <w:tcW w:w="140" w:type="dxa"/>
            <w:vAlign w:val="bottom"/>
            <w:tcBorders>
              <w:right w:val="single" w:sz="8" w:color="auto"/>
            </w:tcBorders>
            <w:shd w:val="clear" w:color="auto" w:fill="D9DCE1"/>
          </w:tcPr>
          <w:p>
            <w:pPr>
              <w:spacing w:after="0"/>
              <w:rPr>
                <w:sz w:val="24"/>
                <w:szCs w:val="24"/>
                <w:color w:val="auto"/>
              </w:rPr>
            </w:pPr>
          </w:p>
        </w:tc>
        <w:tc>
          <w:tcPr>
            <w:tcW w:w="394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with negative TSR modifier, and DCF/CUE</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with leverage modifier (potential downward</w:t>
            </w: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shd w:val="clear" w:color="auto" w:fill="D9DCE1"/>
          </w:tcPr>
          <w:p>
            <w:pPr>
              <w:spacing w:after="0"/>
              <w:rPr>
                <w:sz w:val="20"/>
                <w:szCs w:val="20"/>
                <w:color w:val="auto"/>
              </w:rPr>
            </w:pPr>
          </w:p>
        </w:tc>
        <w:tc>
          <w:tcPr>
            <w:tcW w:w="26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140" w:type="dxa"/>
            <w:vAlign w:val="bottom"/>
            <w:shd w:val="clear" w:color="auto" w:fill="D9DCE1"/>
          </w:tcPr>
          <w:p>
            <w:pPr>
              <w:spacing w:after="0"/>
              <w:rPr>
                <w:sz w:val="20"/>
                <w:szCs w:val="20"/>
                <w:color w:val="auto"/>
              </w:rPr>
            </w:pPr>
          </w:p>
        </w:tc>
        <w:tc>
          <w:tcPr>
            <w:tcW w:w="14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adjustment only)</w:t>
            </w:r>
          </w:p>
        </w:tc>
        <w:tc>
          <w:tcPr>
            <w:tcW w:w="0" w:type="dxa"/>
            <w:vAlign w:val="bottom"/>
          </w:tcPr>
          <w:p>
            <w:pPr>
              <w:spacing w:after="0"/>
              <w:rPr>
                <w:sz w:val="1"/>
                <w:szCs w:val="1"/>
                <w:color w:val="auto"/>
              </w:rPr>
            </w:pPr>
          </w:p>
        </w:tc>
      </w:tr>
      <w:tr>
        <w:trPr>
          <w:trHeight w:val="342"/>
        </w:trPr>
        <w:tc>
          <w:tcPr>
            <w:tcW w:w="1660" w:type="dxa"/>
            <w:vAlign w:val="bottom"/>
            <w:tcBorders>
              <w:left w:val="single" w:sz="8" w:color="auto"/>
            </w:tcBorders>
            <w:shd w:val="clear" w:color="auto" w:fill="D9DCE1"/>
          </w:tcPr>
          <w:p>
            <w:pPr>
              <w:spacing w:after="0"/>
              <w:rPr>
                <w:sz w:val="24"/>
                <w:szCs w:val="24"/>
                <w:color w:val="auto"/>
              </w:rPr>
            </w:pPr>
          </w:p>
        </w:tc>
        <w:tc>
          <w:tcPr>
            <w:tcW w:w="26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140" w:type="dxa"/>
            <w:vAlign w:val="bottom"/>
            <w:shd w:val="clear" w:color="auto" w:fill="D9DCE1"/>
          </w:tcPr>
          <w:p>
            <w:pPr>
              <w:spacing w:after="0"/>
              <w:rPr>
                <w:sz w:val="24"/>
                <w:szCs w:val="24"/>
                <w:color w:val="auto"/>
              </w:rPr>
            </w:pPr>
          </w:p>
        </w:tc>
        <w:tc>
          <w:tcPr>
            <w:tcW w:w="140" w:type="dxa"/>
            <w:vAlign w:val="bottom"/>
            <w:tcBorders>
              <w:right w:val="single" w:sz="8" w:color="auto"/>
            </w:tcBorders>
            <w:shd w:val="clear" w:color="auto" w:fill="D9DCE1"/>
          </w:tcPr>
          <w:p>
            <w:pPr>
              <w:spacing w:after="0"/>
              <w:rPr>
                <w:sz w:val="24"/>
                <w:szCs w:val="24"/>
                <w:color w:val="auto"/>
              </w:rPr>
            </w:pPr>
          </w:p>
        </w:tc>
        <w:tc>
          <w:tcPr>
            <w:tcW w:w="394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Distribution Equivalent Rights (“DERs”)</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associated with long-term equity awards</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provide additional potential incentive and</w:t>
            </w: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bottom w:val="single" w:sz="8" w:color="D9DCE1"/>
            </w:tcBorders>
            <w:shd w:val="clear" w:color="auto" w:fill="D9DCE1"/>
          </w:tcPr>
          <w:p>
            <w:pPr>
              <w:spacing w:after="0"/>
              <w:rPr>
                <w:sz w:val="21"/>
                <w:szCs w:val="21"/>
                <w:color w:val="auto"/>
              </w:rPr>
            </w:pPr>
          </w:p>
        </w:tc>
        <w:tc>
          <w:tcPr>
            <w:tcW w:w="260" w:type="dxa"/>
            <w:vAlign w:val="bottom"/>
            <w:tcBorders>
              <w:bottom w:val="single" w:sz="8" w:color="D9DCE1"/>
              <w:right w:val="single" w:sz="8" w:color="auto"/>
            </w:tcBorders>
            <w:shd w:val="clear" w:color="auto" w:fill="D9DCE1"/>
          </w:tcPr>
          <w:p>
            <w:pPr>
              <w:spacing w:after="0"/>
              <w:rPr>
                <w:sz w:val="21"/>
                <w:szCs w:val="21"/>
                <w:color w:val="auto"/>
              </w:rPr>
            </w:pPr>
          </w:p>
        </w:tc>
        <w:tc>
          <w:tcPr>
            <w:tcW w:w="80" w:type="dxa"/>
            <w:vAlign w:val="bottom"/>
            <w:tcBorders>
              <w:bottom w:val="single" w:sz="8" w:color="D9DCE1"/>
            </w:tcBorders>
            <w:shd w:val="clear" w:color="auto" w:fill="D9DCE1"/>
          </w:tcPr>
          <w:p>
            <w:pPr>
              <w:spacing w:after="0"/>
              <w:rPr>
                <w:sz w:val="21"/>
                <w:szCs w:val="21"/>
                <w:color w:val="auto"/>
              </w:rPr>
            </w:pPr>
          </w:p>
        </w:tc>
        <w:tc>
          <w:tcPr>
            <w:tcW w:w="2140" w:type="dxa"/>
            <w:vAlign w:val="bottom"/>
            <w:tcBorders>
              <w:bottom w:val="single" w:sz="8" w:color="D9DCE1"/>
            </w:tcBorders>
            <w:shd w:val="clear" w:color="auto" w:fill="D9DCE1"/>
          </w:tcPr>
          <w:p>
            <w:pPr>
              <w:spacing w:after="0"/>
              <w:rPr>
                <w:sz w:val="21"/>
                <w:szCs w:val="21"/>
                <w:color w:val="auto"/>
              </w:rPr>
            </w:pPr>
          </w:p>
        </w:tc>
        <w:tc>
          <w:tcPr>
            <w:tcW w:w="140" w:type="dxa"/>
            <w:vAlign w:val="bottom"/>
            <w:tcBorders>
              <w:bottom w:val="single" w:sz="8" w:color="D9DCE1"/>
              <w:right w:val="single" w:sz="8" w:color="auto"/>
            </w:tcBorders>
            <w:shd w:val="clear" w:color="auto" w:fill="D9DCE1"/>
          </w:tcPr>
          <w:p>
            <w:pPr>
              <w:spacing w:after="0"/>
              <w:rPr>
                <w:sz w:val="21"/>
                <w:szCs w:val="21"/>
                <w:color w:val="auto"/>
              </w:rPr>
            </w:pPr>
          </w:p>
        </w:tc>
        <w:tc>
          <w:tcPr>
            <w:tcW w:w="220" w:type="dxa"/>
            <w:vAlign w:val="bottom"/>
            <w:tcBorders>
              <w:bottom w:val="single" w:sz="8" w:color="D9DCE1"/>
            </w:tcBorders>
            <w:shd w:val="clear" w:color="auto" w:fill="D9DCE1"/>
          </w:tcPr>
          <w:p>
            <w:pPr>
              <w:spacing w:after="0"/>
              <w:rPr>
                <w:sz w:val="21"/>
                <w:szCs w:val="21"/>
                <w:color w:val="auto"/>
              </w:rPr>
            </w:pPr>
          </w:p>
        </w:tc>
        <w:tc>
          <w:tcPr>
            <w:tcW w:w="3720" w:type="dxa"/>
            <w:vAlign w:val="bottom"/>
            <w:tcBorders>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alignment with other equity holders</w:t>
            </w:r>
          </w:p>
        </w:tc>
        <w:tc>
          <w:tcPr>
            <w:tcW w:w="0" w:type="dxa"/>
            <w:vAlign w:val="bottom"/>
          </w:tcPr>
          <w:p>
            <w:pPr>
              <w:spacing w:after="0"/>
              <w:rPr>
                <w:sz w:val="1"/>
                <w:szCs w:val="1"/>
                <w:color w:val="auto"/>
              </w:rPr>
            </w:pPr>
          </w:p>
        </w:tc>
      </w:tr>
      <w:tr>
        <w:trPr>
          <w:trHeight w:val="20"/>
        </w:trPr>
        <w:tc>
          <w:tcPr>
            <w:tcW w:w="16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70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220" w:type="dxa"/>
            <w:vAlign w:val="bottom"/>
            <w:tcBorders>
              <w:top w:val="single" w:sz="8" w:color="auto"/>
              <w:bottom w:val="single" w:sz="8" w:color="auto"/>
              <w:right w:val="single" w:sz="8" w:color="auto"/>
            </w:tcBorders>
            <w:shd w:val="clear" w:color="auto" w:fill="424E6A"/>
          </w:tcPr>
          <w:p>
            <w:pPr>
              <w:ind w:left="16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020" w:type="dxa"/>
            <w:vAlign w:val="bottom"/>
            <w:tcBorders>
              <w:top w:val="single" w:sz="8" w:color="auto"/>
              <w:bottom w:val="single" w:sz="8" w:color="auto"/>
            </w:tcBorders>
            <w:shd w:val="clear" w:color="auto" w:fill="424E6A"/>
          </w:tcPr>
          <w:p>
            <w:pPr>
              <w:ind w:left="600"/>
              <w:spacing w:after="0"/>
              <w:rPr>
                <w:sz w:val="20"/>
                <w:szCs w:val="20"/>
                <w:color w:val="auto"/>
              </w:rPr>
            </w:pPr>
            <w:r>
              <w:rPr>
                <w:rFonts w:ascii="Arial" w:cs="Arial" w:eastAsia="Arial" w:hAnsi="Arial"/>
                <w:sz w:val="14"/>
                <w:szCs w:val="14"/>
                <w:b w:val="1"/>
                <w:bCs w:val="1"/>
                <w:color w:val="FFFFFF"/>
              </w:rPr>
              <w:t>Why We Pay It</w:t>
            </w:r>
          </w:p>
        </w:tc>
        <w:tc>
          <w:tcPr>
            <w:tcW w:w="260" w:type="dxa"/>
            <w:vAlign w:val="bottom"/>
            <w:tcBorders>
              <w:top w:val="single" w:sz="8" w:color="auto"/>
              <w:bottom w:val="single" w:sz="8" w:color="auto"/>
              <w:right w:val="single" w:sz="8" w:color="auto"/>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720" w:type="dxa"/>
            <w:vAlign w:val="bottom"/>
            <w:tcBorders>
              <w:top w:val="single" w:sz="8" w:color="auto"/>
              <w:bottom w:val="single" w:sz="8" w:color="auto"/>
              <w:right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Key Features</w:t>
            </w:r>
          </w:p>
        </w:tc>
      </w:tr>
      <w:tr>
        <w:trPr>
          <w:trHeight w:val="245"/>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Attract and retain talent</w:t>
            </w:r>
          </w:p>
        </w:tc>
        <w:tc>
          <w:tcPr>
            <w:tcW w:w="26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 all</w:t>
            </w:r>
          </w:p>
        </w:tc>
      </w:tr>
      <w:tr>
        <w:trPr>
          <w:trHeight w:val="239"/>
        </w:trPr>
        <w:tc>
          <w:tcPr>
            <w:tcW w:w="17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employees, including 401(k) Plan</w:t>
            </w:r>
          </w:p>
        </w:tc>
      </w:tr>
      <w:tr>
        <w:trPr>
          <w:trHeight w:val="351"/>
        </w:trPr>
        <w:tc>
          <w:tcPr>
            <w:tcW w:w="17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r>
      <w:tr>
        <w:trPr>
          <w:trHeight w:val="329"/>
        </w:trPr>
        <w:tc>
          <w:tcPr>
            <w:tcW w:w="17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r>
    </w:tbl>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2024 Independent Study of Executive Compensation and TSR Peer Group</w:t>
      </w:r>
    </w:p>
    <w:p>
      <w:pPr>
        <w:spacing w:after="0" w:line="14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i w:val="1"/>
          <w:iCs w:val="1"/>
          <w:color w:val="auto"/>
        </w:rPr>
        <w:t xml:space="preserve">Compensation Peer Comparison Study. </w:t>
      </w:r>
      <w:r>
        <w:rPr>
          <w:rFonts w:ascii="Arial" w:cs="Arial" w:eastAsia="Arial" w:hAnsi="Arial"/>
          <w:sz w:val="18"/>
          <w:szCs w:val="18"/>
          <w:color w:val="auto"/>
        </w:rPr>
        <w:t>With respect to our 2024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Committee engaged Meridian to provide independent counsel, including a peer comparison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primary compensation comparison peer group for 2024 included 11 companies across a wide range of revenues, asset values and enterprise values that are primarily engaged in the midstream business in the United States. The entities in the 2024 compensation comparison peer group are listed in the table below.</w:t>
      </w:r>
    </w:p>
    <w:p>
      <w:pPr>
        <w:spacing w:after="0" w:line="115"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comparison peer group, including how overall compensation is divided among long-term incentives, annual incentives and base salary. Meridian also compared the amount and structure of compensation for our executive officers to the comparison peer group.</w:t>
      </w:r>
    </w:p>
    <w:p>
      <w:pPr>
        <w:spacing w:after="0" w:line="9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To provide a broader context to the Compensation Committee, Meridian also provided the Committee with relevant data from six additional midstream companies, nine upstream companies (used exclusively for pay mix comparison purposes), and relevant survey data (used as a secondary reference for additional context); however, the compensation comparison peer group listed in the table below served as the primary source of external comparative information.</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Meridian’s study, which was completed in November 2023 and considered in detail by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Compensation Committee in February 2024, included the following summary findings:</w:t>
      </w:r>
    </w:p>
    <w:p>
      <w:pPr>
        <w:spacing w:after="0" w:line="99" w:lineRule="exact"/>
        <w:rPr>
          <w:sz w:val="20"/>
          <w:szCs w:val="20"/>
          <w:color w:val="auto"/>
        </w:rPr>
      </w:pPr>
    </w:p>
    <w:p>
      <w:pPr>
        <w:ind w:left="1800" w:right="1299" w:hanging="180"/>
        <w:spacing w:after="0" w:line="28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target compensation for all NEOs (other than the CEO) on average was generally competitive with peers; and</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target compensation for the CEO was below the median relative to peers.</w:t>
      </w:r>
    </w:p>
    <w:p>
      <w:pPr>
        <w:spacing w:after="0" w:line="158"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8"/>
          <w:szCs w:val="18"/>
          <w:i w:val="1"/>
          <w:iCs w:val="1"/>
          <w:color w:val="auto"/>
        </w:rPr>
        <w:t xml:space="preserve">TSR Comparator Peer Group. </w:t>
      </w:r>
      <w:r>
        <w:rPr>
          <w:rFonts w:ascii="Arial" w:cs="Arial" w:eastAsia="Arial" w:hAnsi="Arial"/>
          <w:sz w:val="18"/>
          <w:szCs w:val="18"/>
          <w:color w:val="auto"/>
        </w:rPr>
        <w:t>For a portion (25%) of the long-term incentive awards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2024, we included relative TSR as a performance metric for the three-year performance period ending June 30, 2027. The entities in our TSR Comparator Peer Group for the 2024 long-term incentive awards are listed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4080" w:type="dxa"/>
            <w:vAlign w:val="bottom"/>
            <w:tcBorders>
              <w:top w:val="single" w:sz="8" w:color="auto"/>
              <w:left w:val="single" w:sz="8" w:color="auto"/>
            </w:tcBorders>
            <w:shd w:val="clear" w:color="auto" w:fill="424E6A"/>
          </w:tcPr>
          <w:p>
            <w:pPr>
              <w:spacing w:after="0"/>
              <w:rPr>
                <w:sz w:val="21"/>
                <w:szCs w:val="21"/>
                <w:color w:val="auto"/>
              </w:rPr>
            </w:pPr>
          </w:p>
        </w:tc>
        <w:tc>
          <w:tcPr>
            <w:tcW w:w="820" w:type="dxa"/>
            <w:vAlign w:val="bottom"/>
            <w:tcBorders>
              <w:top w:val="single" w:sz="8" w:color="auto"/>
              <w:right w:val="single" w:sz="8" w:color="auto"/>
            </w:tcBorders>
            <w:shd w:val="clear" w:color="auto" w:fill="424E6A"/>
          </w:tcPr>
          <w:p>
            <w:pPr>
              <w:spacing w:after="0"/>
              <w:rPr>
                <w:sz w:val="21"/>
                <w:szCs w:val="21"/>
                <w:color w:val="auto"/>
              </w:rPr>
            </w:pPr>
          </w:p>
        </w:tc>
        <w:tc>
          <w:tcPr>
            <w:tcW w:w="100" w:type="dxa"/>
            <w:vAlign w:val="bottom"/>
            <w:tcBorders>
              <w:top w:val="single" w:sz="8" w:color="auto"/>
            </w:tcBorders>
            <w:shd w:val="clear" w:color="auto" w:fill="424E6A"/>
          </w:tcPr>
          <w:p>
            <w:pPr>
              <w:spacing w:after="0"/>
              <w:rPr>
                <w:sz w:val="21"/>
                <w:szCs w:val="21"/>
                <w:color w:val="auto"/>
              </w:rPr>
            </w:pPr>
          </w:p>
        </w:tc>
        <w:tc>
          <w:tcPr>
            <w:tcW w:w="1400" w:type="dxa"/>
            <w:vAlign w:val="bottom"/>
            <w:tcBorders>
              <w:top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2024 Compensation</w:t>
            </w:r>
          </w:p>
        </w:tc>
        <w:tc>
          <w:tcPr>
            <w:tcW w:w="120" w:type="dxa"/>
            <w:vAlign w:val="bottom"/>
            <w:tcBorders>
              <w:top w:val="single" w:sz="8" w:color="auto"/>
              <w:right w:val="single" w:sz="8" w:color="auto"/>
            </w:tcBorders>
            <w:shd w:val="clear" w:color="auto" w:fill="424E6A"/>
          </w:tcPr>
          <w:p>
            <w:pPr>
              <w:spacing w:after="0"/>
              <w:rPr>
                <w:sz w:val="21"/>
                <w:szCs w:val="21"/>
                <w:color w:val="auto"/>
              </w:rPr>
            </w:pPr>
          </w:p>
        </w:tc>
        <w:tc>
          <w:tcPr>
            <w:tcW w:w="80" w:type="dxa"/>
            <w:vAlign w:val="bottom"/>
            <w:tcBorders>
              <w:top w:val="single" w:sz="8" w:color="auto"/>
            </w:tcBorders>
            <w:shd w:val="clear" w:color="auto" w:fill="424E6A"/>
          </w:tcPr>
          <w:p>
            <w:pPr>
              <w:spacing w:after="0"/>
              <w:rPr>
                <w:sz w:val="21"/>
                <w:szCs w:val="21"/>
                <w:color w:val="auto"/>
              </w:rPr>
            </w:pPr>
          </w:p>
        </w:tc>
        <w:tc>
          <w:tcPr>
            <w:tcW w:w="1620" w:type="dxa"/>
            <w:vAlign w:val="bottom"/>
            <w:tcBorders>
              <w:top w:val="single" w:sz="8" w:color="auto"/>
              <w:right w:val="single" w:sz="8" w:color="auto"/>
            </w:tcBorders>
            <w:shd w:val="clear" w:color="auto" w:fill="424E6A"/>
          </w:tcPr>
          <w:p>
            <w:pPr>
              <w:spacing w:after="0"/>
              <w:rPr>
                <w:sz w:val="21"/>
                <w:szCs w:val="21"/>
                <w:color w:val="auto"/>
              </w:rPr>
            </w:pPr>
          </w:p>
        </w:tc>
      </w:tr>
      <w:tr>
        <w:trPr>
          <w:trHeight w:val="162"/>
        </w:trPr>
        <w:tc>
          <w:tcPr>
            <w:tcW w:w="4080" w:type="dxa"/>
            <w:vAlign w:val="bottom"/>
            <w:tcBorders>
              <w:left w:val="single" w:sz="8" w:color="auto"/>
            </w:tcBorders>
            <w:shd w:val="clear" w:color="auto" w:fill="424E6A"/>
          </w:tcPr>
          <w:p>
            <w:pPr>
              <w:spacing w:after="0"/>
              <w:rPr>
                <w:sz w:val="14"/>
                <w:szCs w:val="14"/>
                <w:color w:val="auto"/>
              </w:rPr>
            </w:pPr>
          </w:p>
        </w:tc>
        <w:tc>
          <w:tcPr>
            <w:tcW w:w="820" w:type="dxa"/>
            <w:vAlign w:val="bottom"/>
            <w:tcBorders>
              <w:right w:val="single" w:sz="8" w:color="auto"/>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Comparison</w:t>
            </w:r>
          </w:p>
        </w:tc>
        <w:tc>
          <w:tcPr>
            <w:tcW w:w="120" w:type="dxa"/>
            <w:vAlign w:val="bottom"/>
            <w:tcBorders>
              <w:right w:val="single" w:sz="8" w:color="auto"/>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620" w:type="dxa"/>
            <w:vAlign w:val="bottom"/>
            <w:tcBorders>
              <w:right w:val="single" w:sz="8" w:color="auto"/>
            </w:tcBorders>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2024 TSR Comparator</w:t>
            </w:r>
          </w:p>
        </w:tc>
      </w:tr>
      <w:tr>
        <w:trPr>
          <w:trHeight w:val="198"/>
        </w:trPr>
        <w:tc>
          <w:tcPr>
            <w:tcW w:w="4080" w:type="dxa"/>
            <w:vAlign w:val="bottom"/>
            <w:tcBorders>
              <w:left w:val="single" w:sz="8" w:color="auto"/>
              <w:bottom w:val="single" w:sz="8" w:color="auto"/>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Entity/Index Name (Ticker)</w:t>
            </w:r>
          </w:p>
        </w:tc>
        <w:tc>
          <w:tcPr>
            <w:tcW w:w="820" w:type="dxa"/>
            <w:vAlign w:val="bottom"/>
            <w:tcBorders>
              <w:bottom w:val="single" w:sz="8" w:color="auto"/>
              <w:right w:val="single" w:sz="8" w:color="auto"/>
            </w:tcBorders>
            <w:shd w:val="clear" w:color="auto" w:fill="424E6A"/>
          </w:tcPr>
          <w:p>
            <w:pPr>
              <w:ind w:left="7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Peer Group</w:t>
            </w:r>
          </w:p>
        </w:tc>
        <w:tc>
          <w:tcPr>
            <w:tcW w:w="12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auto"/>
              <w:right w:val="single" w:sz="8" w:color="auto"/>
            </w:tcBorders>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Peer Group</w:t>
            </w: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Energy Transfer LP (ET)</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Enterprise Products Partners LP (EPD)</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Kinder Morgan Inc. (KMI)</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The Williams Companies Inc. (WMB)</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MPLX LP (MPLX)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ONEOK Inc. (OKE)</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Targa Resources Corp. (TRGP)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Western Midstream Partners LP (WES)</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EnLink Midstream LLC (ENLC)*</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Magellan Midstream Partners LP (MMP)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Equitrans Midstream Corporation (ETRN)</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Genesis Energy LP (GEL)</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S&amp;P 500 Index (SPX)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Alerian Midstream Energy Index (AMNA)</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-2794000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-2794000</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-2588260</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-2588260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-2382520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-2382520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-2176780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-2176780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-1971040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-1971040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-1765300</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-1765300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-1559560</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-1559560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-1353820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-1353820</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-1148080</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-1148080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-942340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-736600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-530860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-325120</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-119380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639" w:hanging="360"/>
        <w:spacing w:after="0" w:line="318"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EnLink Midstream LLC was acquired by ONEOK in January 2025. The Compensation Committee will consider appropriate adjustments to the TSR Comparator Peer Group at a later date.</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Information Regarding Compensation Practices and Processes</w:t>
      </w:r>
    </w:p>
    <w:p>
      <w:pPr>
        <w:spacing w:after="0" w:line="156"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8"/>
          <w:szCs w:val="18"/>
          <w:color w:val="auto"/>
        </w:rPr>
        <w:t>Set forth below is additional information regarding our compensation practices and processes as they relate to the elements of our compensation program:</w:t>
      </w:r>
    </w:p>
    <w:p>
      <w:pPr>
        <w:spacing w:after="0" w:line="72"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Historically, we have not made regular annual adjustments to the base salaries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Officers; however, in February 2023, the Compensation Committee determined that it would commence annual market-based reviews starting in 2024. We have also historically made salary adjustments periodically in connection with promotions, the assumption of increased responsibilities or to address changes in competitive market data. Based on Meridian’s compensation comparison study and as a part of the market-based review by the Compensation Committee in February 2024, Mr. Chiang’s annual base salary was increased by $50,000 in order to better align his compensation with the peer median for the CEO role. No other NEO base salaries were adjusted in 2024.</w:t>
      </w:r>
    </w:p>
    <w:p>
      <w:pPr>
        <w:spacing w:after="0" w:line="10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(or bonuses) are determined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2024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137795</wp:posOffset>
            </wp:positionV>
            <wp:extent cx="3874770" cy="2117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to the Compensation Committee the results of the formulaic bonus calculations, along with any recommendations for adjustments, for all Named Executive Officers other than himself. In connection with his assessment of Company and individual performance, the CEO also considers various factors, including:</w:t>
      </w:r>
    </w:p>
    <w:p>
      <w:pPr>
        <w:spacing w:after="0" w:line="77" w:lineRule="exact"/>
        <w:rPr>
          <w:sz w:val="20"/>
          <w:szCs w:val="20"/>
          <w:color w:val="auto"/>
        </w:rPr>
      </w:pPr>
    </w:p>
    <w:p>
      <w:pPr>
        <w:ind w:left="1800" w:right="57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31" w:lineRule="exact"/>
        <w:rPr>
          <w:rFonts w:ascii="Arial" w:cs="Arial" w:eastAsia="Arial" w:hAnsi="Arial"/>
          <w:sz w:val="18"/>
          <w:szCs w:val="18"/>
          <w:color w:val="auto"/>
        </w:rPr>
      </w:pPr>
    </w:p>
    <w:p>
      <w:pPr>
        <w:ind w:left="1800" w:right="73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44"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17" w:lineRule="exact"/>
        <w:rPr>
          <w:rFonts w:ascii="Arial" w:cs="Arial" w:eastAsia="Arial" w:hAnsi="Arial"/>
          <w:sz w:val="18"/>
          <w:szCs w:val="18"/>
          <w:color w:val="auto"/>
        </w:rPr>
      </w:pPr>
    </w:p>
    <w:p>
      <w:pPr>
        <w:ind w:left="1800" w:right="77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72" w:lineRule="exact"/>
        <w:rPr>
          <w:sz w:val="20"/>
          <w:szCs w:val="20"/>
          <w:color w:val="auto"/>
        </w:rPr>
      </w:pPr>
    </w:p>
    <w:p>
      <w:pPr>
        <w:jc w:val="both"/>
        <w:ind w:left="1260" w:right="539" w:firstLine="360"/>
        <w:spacing w:after="0" w:line="261"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94"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w:t>
      </w:r>
    </w:p>
    <w:p>
      <w:pPr>
        <w:spacing w:after="0" w:line="89"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2024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137795</wp:posOffset>
            </wp:positionV>
            <wp:extent cx="4183380" cy="1329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NEOs are eligible to receive an annual grant of phantom units based on a formula tied to base salary and PAA’s unit price. The size of the annual grant for a specified individual is based on a designated target percentage of their base salary that takes into account their expected contribution in respect of longer-term performance objectives. Based on Meridian’s compensation comparison study and as a part of the market-based review by the Compensation Committee in February 2024, the annual LTIP targets (as a percentage of base salary) for all NEOs, other than Mr. Pefanis, were increased as follows: from 600% to 750% for Mr. Chiang; from 275% to 350% for Messrs. Swanson and McGee; and from 325% to 425% for Messrs. Chandler and Goebel.</w:t>
      </w:r>
    </w:p>
    <w:p>
      <w:pPr>
        <w:spacing w:after="0" w:line="11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three-year period. Phantom unit grants for the Named Executive Officers typically include DERs, and for awards granted in 2024,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 Our long-term incentive plan grants for our NEOs also provide for accelerated vesting in the event their employment is terminated as a result of or in connection with death, disability, termination without cause, change of control or retirement on terms and timing that are approved by the CEO (or by the Board in the case of the CEO). See “— Potential Payments Upon Termination or Change-in-Control.”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2024 Performance Overview and Specific Application of Compensation Elements in 2024</w:t>
      </w:r>
    </w:p>
    <w:p>
      <w:pPr>
        <w:spacing w:after="0" w:line="156"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At the beginning of 2024, we established key quantitative financial, safety and environmental objectives, along with several qualitative goals. These objectives and goals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88900</wp:posOffset>
            </wp:positionV>
            <wp:extent cx="5212080" cy="4577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4577715"/>
                    </a:xfrm>
                    <a:prstGeom prst="rect">
                      <a:avLst/>
                    </a:prstGeom>
                    <a:noFill/>
                  </pic:spPr>
                </pic:pic>
              </a:graphicData>
            </a:graphic>
          </wp:anchor>
        </w:drawing>
      </w:r>
    </w:p>
    <w:p>
      <w:pPr>
        <w:spacing w:after="0" w:line="16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FFFFFF"/>
        </w:rPr>
        <w:t>2024 Performance Objectives and Results (all figures rounded)</w:t>
      </w:r>
    </w:p>
    <w:p>
      <w:pPr>
        <w:spacing w:after="0" w:line="55" w:lineRule="exact"/>
        <w:rPr>
          <w:sz w:val="20"/>
          <w:szCs w:val="20"/>
          <w:color w:val="auto"/>
        </w:rPr>
      </w:pPr>
    </w:p>
    <w:tbl>
      <w:tblPr>
        <w:tblLayout w:type="fixed"/>
        <w:tblInd w:w="126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6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Quantitative Goals</w:t>
            </w:r>
          </w:p>
        </w:tc>
        <w:tc>
          <w:tcPr>
            <w:tcW w:w="100" w:type="dxa"/>
            <w:vAlign w:val="bottom"/>
            <w:tcBorders>
              <w:bottom w:val="single" w:sz="8" w:color="424E6A"/>
              <w:right w:val="single" w:sz="8" w:color="D9DCE1"/>
            </w:tcBorders>
            <w:shd w:val="clear" w:color="auto" w:fill="D9DCE1"/>
          </w:tcPr>
          <w:p>
            <w:pPr>
              <w:spacing w:after="0"/>
              <w:rPr>
                <w:sz w:val="23"/>
                <w:szCs w:val="23"/>
                <w:color w:val="auto"/>
              </w:rPr>
            </w:pPr>
          </w:p>
        </w:tc>
        <w:tc>
          <w:tcPr>
            <w:tcW w:w="220" w:type="dxa"/>
            <w:vAlign w:val="bottom"/>
            <w:tcBorders>
              <w:bottom w:val="single" w:sz="8" w:color="424E6A"/>
            </w:tcBorders>
            <w:shd w:val="clear" w:color="auto" w:fill="D9DCE1"/>
          </w:tcPr>
          <w:p>
            <w:pPr>
              <w:spacing w:after="0"/>
              <w:rPr>
                <w:sz w:val="23"/>
                <w:szCs w:val="23"/>
                <w:color w:val="auto"/>
              </w:rPr>
            </w:pPr>
          </w:p>
        </w:tc>
        <w:tc>
          <w:tcPr>
            <w:tcW w:w="2440" w:type="dxa"/>
            <w:vAlign w:val="bottom"/>
            <w:tcBorders>
              <w:bottom w:val="single" w:sz="8" w:color="424E6A"/>
            </w:tcBorders>
            <w:shd w:val="clear" w:color="auto" w:fill="D9DCE1"/>
          </w:tcPr>
          <w:p>
            <w:pPr>
              <w:spacing w:after="0"/>
              <w:rPr>
                <w:sz w:val="23"/>
                <w:szCs w:val="23"/>
                <w:color w:val="auto"/>
              </w:rPr>
            </w:pPr>
          </w:p>
        </w:tc>
        <w:tc>
          <w:tcPr>
            <w:tcW w:w="100" w:type="dxa"/>
            <w:vAlign w:val="bottom"/>
            <w:tcBorders>
              <w:bottom w:val="single" w:sz="8" w:color="424E6A"/>
              <w:right w:val="single" w:sz="8" w:color="D9DCE1"/>
            </w:tcBorders>
            <w:shd w:val="clear" w:color="auto" w:fill="D9DCE1"/>
          </w:tcPr>
          <w:p>
            <w:pPr>
              <w:spacing w:after="0"/>
              <w:rPr>
                <w:sz w:val="23"/>
                <w:szCs w:val="23"/>
                <w:color w:val="auto"/>
              </w:rPr>
            </w:pPr>
          </w:p>
        </w:tc>
        <w:tc>
          <w:tcPr>
            <w:tcW w:w="220" w:type="dxa"/>
            <w:vAlign w:val="bottom"/>
            <w:tcBorders>
              <w:bottom w:val="single" w:sz="8" w:color="424E6A"/>
            </w:tcBorders>
            <w:shd w:val="clear" w:color="auto" w:fill="D9DCE1"/>
          </w:tcPr>
          <w:p>
            <w:pPr>
              <w:spacing w:after="0"/>
              <w:rPr>
                <w:sz w:val="23"/>
                <w:szCs w:val="23"/>
                <w:color w:val="auto"/>
              </w:rPr>
            </w:pPr>
          </w:p>
        </w:tc>
        <w:tc>
          <w:tcPr>
            <w:tcW w:w="2480" w:type="dxa"/>
            <w:vAlign w:val="bottom"/>
            <w:tcBorders>
              <w:bottom w:val="single" w:sz="8" w:color="424E6A"/>
            </w:tcBorders>
            <w:shd w:val="clear" w:color="auto" w:fill="D9DCE1"/>
          </w:tcPr>
          <w:p>
            <w:pPr>
              <w:spacing w:after="0"/>
              <w:rPr>
                <w:sz w:val="23"/>
                <w:szCs w:val="23"/>
                <w:color w:val="auto"/>
              </w:rPr>
            </w:pPr>
          </w:p>
        </w:tc>
      </w:tr>
      <w:tr>
        <w:trPr>
          <w:trHeight w:val="249"/>
        </w:trPr>
        <w:tc>
          <w:tcPr>
            <w:tcW w:w="20" w:type="dxa"/>
            <w:vAlign w:val="bottom"/>
          </w:tcPr>
          <w:p>
            <w:pPr>
              <w:spacing w:after="0"/>
              <w:rPr>
                <w:sz w:val="21"/>
                <w:szCs w:val="21"/>
                <w:color w:val="auto"/>
              </w:rPr>
            </w:pPr>
          </w:p>
        </w:tc>
        <w:tc>
          <w:tcPr>
            <w:tcW w:w="2620" w:type="dxa"/>
            <w:vAlign w:val="bottom"/>
            <w:tcBorders>
              <w:bottom w:val="single" w:sz="8" w:color="424E6A"/>
            </w:tcBorders>
          </w:tcPr>
          <w:p>
            <w:pPr>
              <w:ind w:left="1020"/>
              <w:spacing w:after="0"/>
              <w:rPr>
                <w:sz w:val="20"/>
                <w:szCs w:val="20"/>
                <w:color w:val="auto"/>
              </w:rPr>
            </w:pPr>
            <w:r>
              <w:rPr>
                <w:rFonts w:ascii="Arial" w:cs="Arial" w:eastAsia="Arial" w:hAnsi="Arial"/>
                <w:sz w:val="18"/>
                <w:szCs w:val="18"/>
                <w:b w:val="1"/>
                <w:bCs w:val="1"/>
                <w:color w:val="auto"/>
              </w:rPr>
              <w:t>Metrics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424E6A"/>
            </w:tcBorders>
          </w:tcPr>
          <w:p>
            <w:pPr>
              <w:ind w:left="680"/>
              <w:spacing w:after="0"/>
              <w:rPr>
                <w:sz w:val="20"/>
                <w:szCs w:val="20"/>
                <w:color w:val="auto"/>
              </w:rPr>
            </w:pPr>
            <w:r>
              <w:rPr>
                <w:rFonts w:ascii="Arial" w:cs="Arial" w:eastAsia="Arial" w:hAnsi="Arial"/>
                <w:sz w:val="18"/>
                <w:szCs w:val="18"/>
                <w:b w:val="1"/>
                <w:bCs w:val="1"/>
                <w:color w:val="auto"/>
              </w:rPr>
              <w:t>2024 Goals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480" w:type="dxa"/>
            <w:vAlign w:val="bottom"/>
            <w:tcBorders>
              <w:bottom w:val="single" w:sz="8" w:color="424E6A"/>
            </w:tcBorders>
          </w:tcPr>
          <w:p>
            <w:pPr>
              <w:ind w:left="600"/>
              <w:spacing w:after="0"/>
              <w:rPr>
                <w:sz w:val="20"/>
                <w:szCs w:val="20"/>
                <w:color w:val="auto"/>
              </w:rPr>
            </w:pPr>
            <w:r>
              <w:rPr>
                <w:rFonts w:ascii="Arial" w:cs="Arial" w:eastAsia="Arial" w:hAnsi="Arial"/>
                <w:sz w:val="18"/>
                <w:szCs w:val="18"/>
                <w:b w:val="1"/>
                <w:bCs w:val="1"/>
                <w:color w:val="auto"/>
              </w:rPr>
              <w:t>2024 Results</w:t>
            </w:r>
          </w:p>
        </w:tc>
      </w:tr>
      <w:tr>
        <w:trPr>
          <w:trHeight w:val="202"/>
        </w:trPr>
        <w:tc>
          <w:tcPr>
            <w:tcW w:w="20" w:type="dxa"/>
            <w:vAlign w:val="bottom"/>
          </w:tcPr>
          <w:p>
            <w:pPr>
              <w:spacing w:after="0"/>
              <w:rPr>
                <w:sz w:val="17"/>
                <w:szCs w:val="17"/>
                <w:color w:val="auto"/>
              </w:rPr>
            </w:pP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w w:val="99"/>
              </w:rPr>
              <w:t>Adjusted EBITDA attributable to</w:t>
            </w:r>
          </w:p>
        </w:tc>
        <w:tc>
          <w:tcPr>
            <w:tcW w:w="100" w:type="dxa"/>
            <w:vAlign w:val="bottom"/>
            <w:tcBorders>
              <w:right w:val="single" w:sz="8" w:color="424E6A"/>
            </w:tcBorders>
          </w:tcPr>
          <w:p>
            <w:pPr>
              <w:spacing w:after="0"/>
              <w:rPr>
                <w:sz w:val="17"/>
                <w:szCs w:val="17"/>
                <w:color w:val="auto"/>
              </w:rPr>
            </w:pPr>
          </w:p>
        </w:tc>
        <w:tc>
          <w:tcPr>
            <w:tcW w:w="2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$2.675 billion</w:t>
            </w:r>
          </w:p>
        </w:tc>
        <w:tc>
          <w:tcPr>
            <w:tcW w:w="10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$2.779 billion</w:t>
            </w:r>
          </w:p>
        </w:tc>
      </w:tr>
      <w:tr>
        <w:trPr>
          <w:trHeight w:val="278"/>
        </w:trPr>
        <w:tc>
          <w:tcPr>
            <w:tcW w:w="20" w:type="dxa"/>
            <w:vAlign w:val="bottom"/>
          </w:tcPr>
          <w:p>
            <w:pPr>
              <w:spacing w:after="0"/>
              <w:rPr>
                <w:sz w:val="24"/>
                <w:szCs w:val="24"/>
                <w:color w:val="auto"/>
              </w:rPr>
            </w:pPr>
          </w:p>
        </w:tc>
        <w:tc>
          <w:tcPr>
            <w:tcW w:w="2620" w:type="dxa"/>
            <w:vAlign w:val="bottom"/>
            <w:tcBorders>
              <w:bottom w:val="single" w:sz="8" w:color="424E6A"/>
            </w:tcBorders>
          </w:tcPr>
          <w:p>
            <w:pPr>
              <w:ind w:left="6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40" w:type="dxa"/>
            <w:vAlign w:val="bottom"/>
            <w:tcBorders>
              <w:bottom w:val="single" w:sz="8" w:color="424E6A"/>
            </w:tcBorders>
          </w:tcPr>
          <w:p>
            <w:pPr>
              <w:spacing w:after="0"/>
              <w:rPr>
                <w:sz w:val="24"/>
                <w:szCs w:val="24"/>
                <w:color w:val="auto"/>
              </w:rPr>
            </w:pP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26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Implied DCF per CUE</w:t>
            </w:r>
            <w:r>
              <w:rPr>
                <w:rFonts w:ascii="Arial" w:cs="Arial" w:eastAsia="Arial" w:hAnsi="Arial"/>
                <w:sz w:val="23"/>
                <w:szCs w:val="23"/>
                <w:color w:val="auto"/>
                <w:vertAlign w:val="superscript"/>
              </w:rPr>
              <w:t>(1)</w:t>
            </w:r>
          </w:p>
        </w:tc>
        <w:tc>
          <w:tcPr>
            <w:tcW w:w="100" w:type="dxa"/>
            <w:vAlign w:val="bottom"/>
            <w:tcBorders>
              <w:bottom w:val="single" w:sz="8" w:color="424E6A"/>
              <w:right w:val="single" w:sz="8" w:color="424E6A"/>
            </w:tcBorders>
          </w:tcPr>
          <w:p>
            <w:pPr>
              <w:spacing w:after="0"/>
              <w:rPr>
                <w:sz w:val="24"/>
                <w:szCs w:val="24"/>
                <w:color w:val="auto"/>
              </w:rPr>
            </w:pPr>
          </w:p>
        </w:tc>
        <w:tc>
          <w:tcPr>
            <w:tcW w:w="266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424E6A"/>
              <w:right w:val="single" w:sz="8" w:color="424E6A"/>
            </w:tcBorders>
          </w:tcPr>
          <w:p>
            <w:pPr>
              <w:spacing w:after="0"/>
              <w:rPr>
                <w:sz w:val="24"/>
                <w:szCs w:val="24"/>
                <w:color w:val="auto"/>
              </w:rPr>
            </w:pPr>
          </w:p>
        </w:tc>
        <w:tc>
          <w:tcPr>
            <w:tcW w:w="2700" w:type="dxa"/>
            <w:vAlign w:val="bottom"/>
            <w:tcBorders>
              <w:bottom w:val="single" w:sz="8" w:color="424E6A"/>
            </w:tcBorders>
            <w:gridSpan w:val="2"/>
          </w:tcPr>
          <w:p>
            <w:pPr>
              <w:ind w:left="80"/>
              <w:spacing w:after="0"/>
              <w:rPr>
                <w:sz w:val="20"/>
                <w:szCs w:val="20"/>
                <w:color w:val="auto"/>
              </w:rPr>
            </w:pPr>
            <w:r>
              <w:rPr>
                <w:rFonts w:ascii="Arial" w:cs="Arial" w:eastAsia="Arial" w:hAnsi="Arial"/>
                <w:sz w:val="18"/>
                <w:szCs w:val="18"/>
                <w:color w:val="auto"/>
              </w:rPr>
              <w:t>$2.49</w:t>
            </w:r>
          </w:p>
        </w:tc>
      </w:tr>
      <w:tr>
        <w:trPr>
          <w:trHeight w:val="245"/>
        </w:trPr>
        <w:tc>
          <w:tcPr>
            <w:tcW w:w="2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auto"/>
              </w:rPr>
              <w:t>Safety and Environmental</w:t>
            </w: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40" w:type="dxa"/>
            <w:vAlign w:val="bottom"/>
          </w:tcPr>
          <w:p>
            <w:pPr>
              <w:ind w:left="80"/>
              <w:spacing w:after="0"/>
              <w:rPr>
                <w:sz w:val="20"/>
                <w:szCs w:val="20"/>
                <w:color w:val="auto"/>
              </w:rPr>
            </w:pPr>
            <w:r>
              <w:rPr>
                <w:rFonts w:ascii="Arial" w:cs="Arial" w:eastAsia="Arial" w:hAnsi="Arial"/>
                <w:sz w:val="18"/>
                <w:szCs w:val="18"/>
                <w:color w:val="auto"/>
                <w:w w:val="98"/>
              </w:rPr>
              <w:t>Total Preventable Recordable</w:t>
            </w: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Total Preventable Recordable</w:t>
            </w:r>
          </w:p>
        </w:tc>
      </w:tr>
      <w:tr>
        <w:trPr>
          <w:trHeight w:val="239"/>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Injury Rate: 0.25</w:t>
            </w: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Injury Rate: 0.25</w:t>
            </w:r>
          </w:p>
        </w:tc>
      </w:tr>
      <w:tr>
        <w:trPr>
          <w:trHeight w:val="301"/>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Borders>
              <w:right w:val="single" w:sz="8" w:color="424E6A"/>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40" w:type="dxa"/>
            <w:vAlign w:val="bottom"/>
          </w:tcPr>
          <w:p>
            <w:pPr>
              <w:ind w:left="60"/>
              <w:spacing w:after="0"/>
              <w:rPr>
                <w:sz w:val="20"/>
                <w:szCs w:val="20"/>
                <w:color w:val="auto"/>
              </w:rPr>
            </w:pPr>
            <w:r>
              <w:rPr>
                <w:rFonts w:ascii="Arial" w:cs="Arial" w:eastAsia="Arial" w:hAnsi="Arial"/>
                <w:sz w:val="18"/>
                <w:szCs w:val="18"/>
                <w:color w:val="auto"/>
              </w:rPr>
              <w:t>Federally Reportable</w:t>
            </w:r>
          </w:p>
        </w:tc>
        <w:tc>
          <w:tcPr>
            <w:tcW w:w="100" w:type="dxa"/>
            <w:vAlign w:val="bottom"/>
            <w:tcBorders>
              <w:right w:val="single" w:sz="8" w:color="424E6A"/>
            </w:tcBorders>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ind w:left="40"/>
              <w:spacing w:after="0"/>
              <w:rPr>
                <w:sz w:val="20"/>
                <w:szCs w:val="20"/>
                <w:color w:val="auto"/>
              </w:rPr>
            </w:pPr>
            <w:r>
              <w:rPr>
                <w:rFonts w:ascii="Arial" w:cs="Arial" w:eastAsia="Arial" w:hAnsi="Arial"/>
                <w:sz w:val="18"/>
                <w:szCs w:val="18"/>
                <w:color w:val="auto"/>
              </w:rPr>
              <w:t>Federally Reportable</w:t>
            </w:r>
          </w:p>
        </w:tc>
      </w:tr>
      <w:tr>
        <w:trPr>
          <w:trHeight w:val="239"/>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Releases: 15</w:t>
            </w: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Releases: 19</w:t>
            </w:r>
          </w:p>
        </w:tc>
      </w:tr>
      <w:tr>
        <w:trPr>
          <w:trHeight w:val="23"/>
        </w:trPr>
        <w:tc>
          <w:tcPr>
            <w:tcW w:w="20" w:type="dxa"/>
            <w:vAlign w:val="bottom"/>
            <w:tcBorders>
              <w:bottom w:val="single" w:sz="8" w:color="424E6A"/>
            </w:tcBorders>
          </w:tcPr>
          <w:p>
            <w:pPr>
              <w:spacing w:after="0"/>
              <w:rPr>
                <w:sz w:val="2"/>
                <w:szCs w:val="2"/>
                <w:color w:val="auto"/>
              </w:rPr>
            </w:pPr>
          </w:p>
        </w:tc>
        <w:tc>
          <w:tcPr>
            <w:tcW w:w="262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20" w:type="dxa"/>
            <w:vAlign w:val="bottom"/>
            <w:tcBorders>
              <w:bottom w:val="single" w:sz="8" w:color="424E6A"/>
            </w:tcBorders>
          </w:tcPr>
          <w:p>
            <w:pPr>
              <w:spacing w:after="0"/>
              <w:rPr>
                <w:sz w:val="2"/>
                <w:szCs w:val="2"/>
                <w:color w:val="auto"/>
              </w:rPr>
            </w:pPr>
          </w:p>
        </w:tc>
        <w:tc>
          <w:tcPr>
            <w:tcW w:w="244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20" w:type="dxa"/>
            <w:vAlign w:val="bottom"/>
            <w:tcBorders>
              <w:bottom w:val="single" w:sz="8" w:color="424E6A"/>
            </w:tcBorders>
          </w:tcPr>
          <w:p>
            <w:pPr>
              <w:spacing w:after="0"/>
              <w:rPr>
                <w:sz w:val="2"/>
                <w:szCs w:val="2"/>
                <w:color w:val="auto"/>
              </w:rPr>
            </w:pPr>
          </w:p>
        </w:tc>
        <w:tc>
          <w:tcPr>
            <w:tcW w:w="2480" w:type="dxa"/>
            <w:vAlign w:val="bottom"/>
            <w:tcBorders>
              <w:bottom w:val="single" w:sz="8" w:color="424E6A"/>
            </w:tcBorders>
          </w:tcPr>
          <w:p>
            <w:pPr>
              <w:spacing w:after="0"/>
              <w:rPr>
                <w:sz w:val="2"/>
                <w:szCs w:val="2"/>
                <w:color w:val="auto"/>
              </w:rPr>
            </w:pPr>
          </w:p>
        </w:tc>
      </w:tr>
    </w:tbl>
    <w:p>
      <w:pPr>
        <w:spacing w:after="0" w:line="2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Qualitative Goals</w:t>
      </w:r>
    </w:p>
    <w:p>
      <w:pPr>
        <w:spacing w:after="0" w:line="90" w:lineRule="exact"/>
        <w:rPr>
          <w:sz w:val="20"/>
          <w:szCs w:val="20"/>
          <w:color w:val="auto"/>
        </w:rPr>
      </w:pPr>
    </w:p>
    <w:p>
      <w:pPr>
        <w:jc w:val="both"/>
        <w:ind w:left="1680" w:right="619" w:hanging="173"/>
        <w:spacing w:after="0" w:line="262"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strengthen financial positioning and flexibility; maintain leverage ratio at or below 3.75x and achieve ratings upgrade by Moody’s; deliver ~$1.6 billion of Adjusted Free Cash Flow before Distributions (excluding changes in Assets and Liabilities); and increase returns of free cash flow after distributions to unitholders.</w:t>
      </w:r>
    </w:p>
    <w:p>
      <w:pPr>
        <w:spacing w:after="0" w:line="95" w:lineRule="exact"/>
        <w:rPr>
          <w:rFonts w:ascii="Arial" w:cs="Arial" w:eastAsia="Arial" w:hAnsi="Arial"/>
          <w:sz w:val="18"/>
          <w:szCs w:val="18"/>
          <w:color w:val="auto"/>
        </w:rPr>
      </w:pPr>
    </w:p>
    <w:p>
      <w:pPr>
        <w:jc w:val="both"/>
        <w:ind w:left="1680" w:right="539" w:hanging="173"/>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completing our capital program and maintaining prudent risk adjusted return hurdles for projects under development; advance key projects that will support future growth and returns; and enhance existing assets.</w:t>
      </w:r>
    </w:p>
    <w:p>
      <w:pPr>
        <w:spacing w:after="0" w:line="103" w:lineRule="exact"/>
        <w:rPr>
          <w:rFonts w:ascii="Arial" w:cs="Arial" w:eastAsia="Arial" w:hAnsi="Arial"/>
          <w:sz w:val="18"/>
          <w:szCs w:val="18"/>
          <w:color w:val="auto"/>
        </w:rPr>
      </w:pPr>
    </w:p>
    <w:p>
      <w:pPr>
        <w:ind w:left="1680" w:right="519" w:hanging="173"/>
        <w:spacing w:after="0" w:line="259"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Operations and Management</w:t>
      </w:r>
      <w:r>
        <w:rPr>
          <w:rFonts w:ascii="Arial" w:cs="Arial" w:eastAsia="Arial" w:hAnsi="Arial"/>
          <w:sz w:val="18"/>
          <w:szCs w:val="18"/>
          <w:color w:val="auto"/>
        </w:rPr>
        <w:t>: advance and complete key programs and initiatives, including efforts designed to streamline and improve the efficiency of our operations, systems and processes; progress health, safety and environmental goals; and advance key initiatives related to leadership development and succession planning and employee recruiting, engagement, retention and advancement.</w:t>
      </w:r>
    </w:p>
    <w:p>
      <w:pPr>
        <w:spacing w:after="0" w:line="125" w:lineRule="exact"/>
        <w:rPr>
          <w:rFonts w:ascii="Arial" w:cs="Arial" w:eastAsia="Arial" w:hAnsi="Arial"/>
          <w:sz w:val="18"/>
          <w:szCs w:val="18"/>
          <w:color w:val="auto"/>
        </w:rPr>
      </w:pPr>
    </w:p>
    <w:p>
      <w:pPr>
        <w:ind w:left="2040" w:right="519" w:hanging="353"/>
        <w:spacing w:after="0" w:line="242" w:lineRule="auto"/>
        <w:tabs>
          <w:tab w:leader="none" w:pos="2040" w:val="left"/>
        </w:tabs>
        <w:numPr>
          <w:ilvl w:val="1"/>
          <w:numId w:val="41"/>
        </w:numPr>
        <w:rPr>
          <w:rFonts w:ascii="Arial" w:cs="Arial" w:eastAsia="Arial" w:hAnsi="Arial"/>
          <w:sz w:val="23"/>
          <w:szCs w:val="23"/>
          <w:color w:val="auto"/>
          <w:vertAlign w:val="superscript"/>
        </w:rPr>
      </w:pPr>
      <w:r>
        <w:rPr>
          <w:rFonts w:ascii="Arial" w:cs="Arial" w:eastAsia="Arial" w:hAnsi="Arial"/>
          <w:sz w:val="18"/>
          <w:szCs w:val="18"/>
          <w:color w:val="auto"/>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74 of PAA’s Annual Report on Form 10-K for the year ended December 31, 2024 as filed with the SEC.</w:t>
      </w:r>
    </w:p>
    <w:p>
      <w:pPr>
        <w:spacing w:after="0" w:line="194"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8"/>
          <w:szCs w:val="18"/>
          <w:color w:val="auto"/>
        </w:rPr>
        <w:t>Set forth below is a brief recap of our 2024 performance relative to our goals and objectives for the year:</w:t>
      </w:r>
    </w:p>
    <w:p>
      <w:pPr>
        <w:spacing w:after="0" w:line="59" w:lineRule="exact"/>
        <w:rPr>
          <w:sz w:val="20"/>
          <w:szCs w:val="20"/>
          <w:color w:val="auto"/>
        </w:rPr>
      </w:pPr>
    </w:p>
    <w:p>
      <w:pPr>
        <w:ind w:left="1800" w:right="559" w:hanging="180"/>
        <w:spacing w:after="0" w:line="268"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Adjusted EBITDA attributable to PAA, we exceeded our goal by 4% driven primarily by volume growth, higher pipeline loss allowance (“PLA”) and acquisitions in our Crude Oil Segment and higher NGL production and spreads in our NGL Segment.</w:t>
      </w:r>
    </w:p>
    <w:p>
      <w:pPr>
        <w:spacing w:after="0" w:line="62" w:lineRule="exact"/>
        <w:rPr>
          <w:rFonts w:ascii="Arial" w:cs="Arial" w:eastAsia="Arial" w:hAnsi="Arial"/>
          <w:sz w:val="18"/>
          <w:szCs w:val="18"/>
          <w:color w:val="auto"/>
        </w:rPr>
      </w:pPr>
    </w:p>
    <w:p>
      <w:pPr>
        <w:ind w:left="1800" w:right="459" w:hanging="180"/>
        <w:spacing w:after="0" w:line="268"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to the results set forth in the table above, we also reported Adjusted Free Cash Flow before Distributions (excluding changes in Assets and Liabilities) of approximately $1.2 billion (vs. our goal for the year of $1.6 billion).</w:t>
      </w:r>
    </w:p>
    <w:p>
      <w:pPr>
        <w:spacing w:after="0" w:line="62" w:lineRule="exact"/>
        <w:rPr>
          <w:rFonts w:ascii="Arial" w:cs="Arial" w:eastAsia="Arial" w:hAnsi="Arial"/>
          <w:sz w:val="18"/>
          <w:szCs w:val="18"/>
          <w:color w:val="auto"/>
        </w:rPr>
      </w:pPr>
    </w:p>
    <w:p>
      <w:pPr>
        <w:ind w:left="1800" w:right="999" w:hanging="180"/>
        <w:spacing w:after="0" w:line="28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exited the year with a leverage ratio of 3.0x (below our leverage ratio target range) and received a ratings upgrade from Moody’s.</w:t>
      </w:r>
    </w:p>
    <w:p>
      <w:pPr>
        <w:spacing w:after="0" w:line="44" w:lineRule="exact"/>
        <w:rPr>
          <w:rFonts w:ascii="Arial" w:cs="Arial" w:eastAsia="Arial" w:hAnsi="Arial"/>
          <w:sz w:val="18"/>
          <w:szCs w:val="18"/>
          <w:color w:val="auto"/>
        </w:rPr>
      </w:pPr>
    </w:p>
    <w:p>
      <w:pPr>
        <w:ind w:left="1800" w:right="1199" w:hanging="180"/>
        <w:spacing w:after="0" w:line="28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Despite achieving our total preventable recordable injury rate (“TRIR”) target of 0.25, we experienced two motor vehicle fatalities during the year.</w:t>
      </w:r>
    </w:p>
    <w:p>
      <w:pPr>
        <w:spacing w:after="0" w:line="44" w:lineRule="exact"/>
        <w:rPr>
          <w:rFonts w:ascii="Arial" w:cs="Arial" w:eastAsia="Arial" w:hAnsi="Arial"/>
          <w:sz w:val="18"/>
          <w:szCs w:val="18"/>
          <w:color w:val="auto"/>
        </w:rPr>
      </w:pPr>
    </w:p>
    <w:p>
      <w:pPr>
        <w:ind w:left="1800" w:right="519" w:hanging="180"/>
        <w:spacing w:after="0" w:line="268"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experienced 19 federally reportable releases (“FRR”) versus our target of 15. However, release volumes were 54% lower than the prior five-year average while pipeline mileage was 4% higher than the prior five-year average.</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In developing his annual bonus recommendations, our CEO primarily considered the quantitative factors and context described above. Other factors noted by our CEO as being relevant to his assessment of our 2024 performance included the following:</w:t>
      </w:r>
    </w:p>
    <w:p>
      <w:pPr>
        <w:spacing w:after="0" w:line="54" w:lineRule="exact"/>
        <w:rPr>
          <w:sz w:val="20"/>
          <w:szCs w:val="20"/>
          <w:color w:val="auto"/>
        </w:rPr>
      </w:pPr>
    </w:p>
    <w:p>
      <w:pPr>
        <w:ind w:left="1800" w:right="73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progressed our efficient growth strategy through the completion of seven accretive bolt-on acquisitions in 2024 and early 2025 while maintaining capital discipline.</w:t>
      </w:r>
    </w:p>
    <w:p>
      <w:pPr>
        <w:spacing w:after="0" w:line="44" w:lineRule="exact"/>
        <w:rPr>
          <w:rFonts w:ascii="Arial" w:cs="Arial" w:eastAsia="Arial" w:hAnsi="Arial"/>
          <w:sz w:val="18"/>
          <w:szCs w:val="18"/>
          <w:color w:val="auto"/>
        </w:rPr>
      </w:pPr>
    </w:p>
    <w:p>
      <w:pPr>
        <w:ind w:left="1800" w:right="103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extended key long-haul contracts in the Permian Basin and significantly expanded our dedicated acreage.</w:t>
      </w:r>
    </w:p>
    <w:p>
      <w:pPr>
        <w:spacing w:after="0" w:line="31" w:lineRule="exact"/>
        <w:rPr>
          <w:rFonts w:ascii="Arial" w:cs="Arial" w:eastAsia="Arial" w:hAnsi="Arial"/>
          <w:sz w:val="18"/>
          <w:szCs w:val="18"/>
          <w:color w:val="auto"/>
        </w:rPr>
      </w:pPr>
    </w:p>
    <w:p>
      <w:pPr>
        <w:ind w:left="1800" w:right="59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continued to advance several debottlenecking and connectivity projects at our NGL facilities designed to improve efficiencies.</w:t>
      </w:r>
    </w:p>
    <w:p>
      <w:pPr>
        <w:spacing w:after="0" w:line="44"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strengthened our financial flexibility through the issuance and refinancing of senior notes and the extension of the maturity of our credit facilities.</w:t>
      </w:r>
    </w:p>
    <w:p>
      <w:pPr>
        <w:spacing w:after="0" w:line="44" w:lineRule="exact"/>
        <w:rPr>
          <w:rFonts w:ascii="Arial" w:cs="Arial" w:eastAsia="Arial" w:hAnsi="Arial"/>
          <w:sz w:val="18"/>
          <w:szCs w:val="18"/>
          <w:color w:val="auto"/>
        </w:rPr>
      </w:pPr>
    </w:p>
    <w:p>
      <w:pPr>
        <w:ind w:left="1800" w:right="101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completed long-term capacity and asset optimization plans at our Empress and Sarnia straddle plants.</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progressed additional business streamlining and efficiency opportunities.</w:t>
      </w:r>
    </w:p>
    <w:p>
      <w:pPr>
        <w:spacing w:after="0" w:line="103" w:lineRule="exact"/>
        <w:rPr>
          <w:rFonts w:ascii="Arial" w:cs="Arial" w:eastAsia="Arial" w:hAnsi="Arial"/>
          <w:sz w:val="18"/>
          <w:szCs w:val="18"/>
          <w:color w:val="auto"/>
        </w:rPr>
      </w:pPr>
    </w:p>
    <w:p>
      <w:pPr>
        <w:ind w:left="1800" w:right="459" w:hanging="180"/>
        <w:spacing w:after="0" w:line="318"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advanced our leadership development, succession planning and employee career development efforts, and continued to enhance communication and engagement with employees.</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2024 Compensation Elements</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2024, the elements of compensation were applied as described below.</w:t>
      </w:r>
    </w:p>
    <w:p>
      <w:pPr>
        <w:spacing w:after="0" w:line="158" w:lineRule="exact"/>
        <w:rPr>
          <w:sz w:val="20"/>
          <w:szCs w:val="20"/>
          <w:color w:val="auto"/>
        </w:rPr>
      </w:pPr>
    </w:p>
    <w:p>
      <w:pPr>
        <w:jc w:val="both"/>
        <w:ind w:left="1260" w:right="719" w:firstLine="360"/>
        <w:spacing w:after="0" w:line="253"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Other than a $50,000 increase to the annual base salary for Mr. Chiang,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February 2024, there were no adjustments to the base salaries of our Named Executive Officers in 2024. The 2024 annual base salaries for our NEOs were as follows:</w:t>
      </w:r>
    </w:p>
    <w:p>
      <w:pPr>
        <w:spacing w:after="0" w:line="161" w:lineRule="exact"/>
        <w:rPr>
          <w:sz w:val="20"/>
          <w:szCs w:val="20"/>
          <w:color w:val="auto"/>
        </w:rPr>
      </w:pPr>
    </w:p>
    <w:tbl>
      <w:tblPr>
        <w:tblLayout w:type="fixed"/>
        <w:tblInd w:w="1630" w:type="dxa"/>
        <w:tblCellMar>
          <w:top w:w="0" w:type="dxa"/>
          <w:left w:w="0" w:type="dxa"/>
          <w:bottom w:w="0" w:type="dxa"/>
          <w:right w:w="0" w:type="dxa"/>
        </w:tblCellMar>
      </w:tblPr>
      <w:tr>
        <w:trPr>
          <w:trHeight w:val="311"/>
        </w:trPr>
        <w:tc>
          <w:tcPr>
            <w:tcW w:w="50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58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gridSpan w:val="2"/>
            <w:shd w:val="clear" w:color="auto" w:fill="424E6A"/>
          </w:tcPr>
          <w:p>
            <w:pPr>
              <w:ind w:left="460"/>
              <w:spacing w:after="0"/>
              <w:rPr>
                <w:sz w:val="20"/>
                <w:szCs w:val="20"/>
                <w:color w:val="auto"/>
              </w:rPr>
            </w:pPr>
            <w:r>
              <w:rPr>
                <w:rFonts w:ascii="Arial" w:cs="Arial" w:eastAsia="Arial" w:hAnsi="Arial"/>
                <w:sz w:val="14"/>
                <w:szCs w:val="14"/>
                <w:b w:val="1"/>
                <w:bCs w:val="1"/>
                <w:color w:val="FFFFFF"/>
              </w:rPr>
              <w:t>​ ​</w:t>
            </w:r>
          </w:p>
        </w:tc>
        <w:tc>
          <w:tcPr>
            <w:tcW w:w="2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66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6"/>
        </w:trPr>
        <w:tc>
          <w:tcPr>
            <w:tcW w:w="308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$850,000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7"/>
          <w:szCs w:val="17"/>
          <w:i w:val="1"/>
          <w:iCs w:val="1"/>
          <w:color w:val="auto"/>
        </w:rPr>
        <w:t xml:space="preserve">Annual Cash Incentive Awards. </w:t>
      </w:r>
      <w:r>
        <w:rPr>
          <w:rFonts w:ascii="Arial" w:cs="Arial" w:eastAsia="Arial" w:hAnsi="Arial"/>
          <w:sz w:val="17"/>
          <w:szCs w:val="17"/>
          <w:color w:val="auto"/>
        </w:rPr>
        <w:t>There were no adjustments to the annual bonus targets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Officers in 2024. The 2024 annual bonus targets for our NEOs, expressed as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percentage of base salary, were as follows:</w:t>
      </w:r>
    </w:p>
    <w:p>
      <w:pPr>
        <w:spacing w:after="0" w:line="172"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520" w:type="dxa"/>
            <w:vAlign w:val="bottom"/>
            <w:tcBorders>
              <w:left w:val="single" w:sz="8" w:color="424E6A"/>
            </w:tcBorders>
            <w:shd w:val="clear" w:color="auto" w:fill="424E6A"/>
          </w:tcPr>
          <w:p>
            <w:pPr>
              <w:spacing w:after="0"/>
              <w:rPr>
                <w:sz w:val="21"/>
                <w:szCs w:val="21"/>
                <w:color w:val="auto"/>
              </w:rPr>
            </w:pPr>
          </w:p>
        </w:tc>
        <w:tc>
          <w:tcPr>
            <w:tcW w:w="2580" w:type="dxa"/>
            <w:vAlign w:val="bottom"/>
            <w:shd w:val="clear" w:color="auto" w:fill="424E6A"/>
          </w:tcPr>
          <w:p>
            <w:pPr>
              <w:spacing w:after="0"/>
              <w:rPr>
                <w:sz w:val="21"/>
                <w:szCs w:val="21"/>
                <w:color w:val="auto"/>
              </w:rPr>
            </w:pPr>
          </w:p>
        </w:tc>
        <w:tc>
          <w:tcPr>
            <w:tcW w:w="540" w:type="dxa"/>
            <w:vAlign w:val="bottom"/>
            <w:tcBorders>
              <w:right w:val="single" w:sz="8" w:color="424E6A"/>
            </w:tcBorders>
            <w:shd w:val="clear" w:color="auto" w:fill="424E6A"/>
          </w:tcPr>
          <w:p>
            <w:pPr>
              <w:spacing w:after="0"/>
              <w:rPr>
                <w:sz w:val="21"/>
                <w:szCs w:val="21"/>
                <w:color w:val="auto"/>
              </w:rPr>
            </w:pPr>
          </w:p>
        </w:tc>
        <w:tc>
          <w:tcPr>
            <w:tcW w:w="460" w:type="dxa"/>
            <w:vAlign w:val="bottom"/>
            <w:shd w:val="clear" w:color="auto" w:fill="424E6A"/>
          </w:tcPr>
          <w:p>
            <w:pPr>
              <w:spacing w:after="0"/>
              <w:rPr>
                <w:sz w:val="21"/>
                <w:szCs w:val="21"/>
                <w:color w:val="auto"/>
              </w:rPr>
            </w:pPr>
          </w:p>
        </w:tc>
        <w:tc>
          <w:tcPr>
            <w:tcW w:w="2940" w:type="dxa"/>
            <w:vAlign w:val="bottom"/>
            <w:shd w:val="clear" w:color="auto" w:fill="424E6A"/>
          </w:tcPr>
          <w:p>
            <w:pPr>
              <w:ind w:left="740"/>
              <w:spacing w:after="0"/>
              <w:rPr>
                <w:sz w:val="20"/>
                <w:szCs w:val="20"/>
                <w:color w:val="auto"/>
              </w:rPr>
            </w:pPr>
            <w:r>
              <w:rPr>
                <w:rFonts w:ascii="Arial" w:cs="Arial" w:eastAsia="Arial" w:hAnsi="Arial"/>
                <w:sz w:val="14"/>
                <w:szCs w:val="14"/>
                <w:b w:val="1"/>
                <w:bCs w:val="1"/>
                <w:color w:val="FFFFFF"/>
              </w:rPr>
              <w:t>Annual Bonus Target</w:t>
            </w:r>
          </w:p>
        </w:tc>
        <w:tc>
          <w:tcPr>
            <w:tcW w:w="440" w:type="dxa"/>
            <w:vAlign w:val="bottom"/>
            <w:tcBorders>
              <w:right w:val="single" w:sz="8" w:color="424E6A"/>
            </w:tcBorders>
            <w:shd w:val="clear" w:color="auto" w:fill="424E6A"/>
          </w:tcPr>
          <w:p>
            <w:pPr>
              <w:spacing w:after="0"/>
              <w:rPr>
                <w:sz w:val="21"/>
                <w:szCs w:val="21"/>
                <w:color w:val="auto"/>
              </w:rPr>
            </w:pPr>
          </w:p>
        </w:tc>
      </w:tr>
      <w:tr>
        <w:trPr>
          <w:trHeight w:val="212"/>
        </w:trPr>
        <w:tc>
          <w:tcPr>
            <w:tcW w:w="52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58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Named Executive Officer</w:t>
            </w:r>
          </w:p>
        </w:tc>
        <w:tc>
          <w:tcPr>
            <w:tcW w:w="1000" w:type="dxa"/>
            <w:vAlign w:val="bottom"/>
            <w:gridSpan w:val="2"/>
            <w:shd w:val="clear" w:color="auto" w:fill="424E6A"/>
          </w:tcPr>
          <w:p>
            <w:pPr>
              <w:ind w:left="480"/>
              <w:spacing w:after="0"/>
              <w:rPr>
                <w:sz w:val="20"/>
                <w:szCs w:val="20"/>
                <w:color w:val="auto"/>
              </w:rPr>
            </w:pPr>
            <w:r>
              <w:rPr>
                <w:rFonts w:ascii="Arial" w:cs="Arial" w:eastAsia="Arial" w:hAnsi="Arial"/>
                <w:sz w:val="14"/>
                <w:szCs w:val="14"/>
                <w:b w:val="1"/>
                <w:bCs w:val="1"/>
                <w:color w:val="FFFFFF"/>
              </w:rPr>
              <w:t>​ ​</w:t>
            </w:r>
          </w:p>
        </w:tc>
        <w:tc>
          <w:tcPr>
            <w:tcW w:w="2940" w:type="dxa"/>
            <w:vAlign w:val="bottom"/>
            <w:shd w:val="clear" w:color="auto" w:fill="424E6A"/>
          </w:tcPr>
          <w:p>
            <w:pPr>
              <w:ind w:left="360"/>
              <w:spacing w:after="0"/>
              <w:rPr>
                <w:sz w:val="20"/>
                <w:szCs w:val="20"/>
                <w:color w:val="auto"/>
              </w:rPr>
            </w:pPr>
            <w:r>
              <w:rPr>
                <w:rFonts w:ascii="Arial" w:cs="Arial" w:eastAsia="Arial" w:hAnsi="Arial"/>
                <w:sz w:val="14"/>
                <w:szCs w:val="14"/>
                <w:b w:val="1"/>
                <w:bCs w:val="1"/>
                <w:color w:val="FFFFFF"/>
              </w:rPr>
              <w:t>(as a Percentage of Base Salary)</w:t>
            </w:r>
          </w:p>
        </w:tc>
        <w:tc>
          <w:tcPr>
            <w:tcW w:w="44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7"/>
        </w:trPr>
        <w:tc>
          <w:tcPr>
            <w:tcW w:w="310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​200%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goals (and weightings) for 2024 cash incentive awards established at the beginning of the year were company performance (60% overall weighting allocated among Adjusted EBITDA attributable to PAA (40%), DCF per CUE (40%) and safety/environmental (20%)) and individual performance (40% weighting). The minimum and maximum payout levels of 0% and 200%, respectively, for Adjusted EBITDA attributable to PAA and DCF per CUE were set at 92.5% and 110%, respectively, of the</w:t>
      </w:r>
    </w:p>
    <w:p>
      <w:pPr>
        <w:sectPr>
          <w:pgSz w:w="11900" w:h="16838" w:orient="portrait"/>
          <w:cols w:equalWidth="0" w:num="1">
            <w:col w:w="9879"/>
          </w:cols>
          <w:pgMar w:left="580" w:top="97" w:right="1440" w:bottom="1440" w:gutter="0" w:footer="0" w:header="0"/>
        </w:sectPr>
      </w:pP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applicable target with linear interpolation between those points. The minimum and maximum payout levels of 0% and 200%, respectively, for safety (TRIR) and environmental (FRR) metrics were set at a range of between 0.36 (min) to 0.14 (max) for TRIR and a range of between 26 (min) and 4 (max) for FRR, in both cases with linear interpolation between those points. Individual performance metric payouts were determined by the Compensation Committee based on its assessment of individual contributions towards achieving our 2024 goals and objectives.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Company Performance (60% weight)</w:t>
      </w:r>
    </w:p>
    <w:p>
      <w:pPr>
        <w:spacing w:after="0" w:line="15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171"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335"/>
        </w:trPr>
        <w:tc>
          <w:tcPr>
            <w:tcW w:w="22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(60% weighting)</w:t>
            </w:r>
          </w:p>
        </w:tc>
        <w:tc>
          <w:tcPr>
            <w:tcW w:w="260" w:type="dxa"/>
            <w:vAlign w:val="bottom"/>
            <w:shd w:val="clear" w:color="auto" w:fill="424E6A"/>
          </w:tcPr>
          <w:p>
            <w:pPr>
              <w:spacing w:after="0"/>
              <w:rPr>
                <w:sz w:val="24"/>
                <w:szCs w:val="24"/>
                <w:color w:val="auto"/>
              </w:rPr>
            </w:pPr>
          </w:p>
        </w:tc>
        <w:tc>
          <w:tcPr>
            <w:tcW w:w="900" w:type="dxa"/>
            <w:vAlign w:val="bottom"/>
            <w:shd w:val="clear" w:color="auto" w:fill="424E6A"/>
          </w:tcPr>
          <w:p>
            <w:pPr>
              <w:spacing w:after="0"/>
              <w:rPr>
                <w:sz w:val="24"/>
                <w:szCs w:val="24"/>
                <w:color w:val="auto"/>
              </w:rPr>
            </w:pPr>
          </w:p>
        </w:tc>
        <w:tc>
          <w:tcPr>
            <w:tcW w:w="460" w:type="dxa"/>
            <w:vAlign w:val="bottom"/>
            <w:shd w:val="clear" w:color="auto" w:fill="424E6A"/>
          </w:tcPr>
          <w:p>
            <w:pPr>
              <w:spacing w:after="0"/>
              <w:rPr>
                <w:sz w:val="24"/>
                <w:szCs w:val="24"/>
                <w:color w:val="auto"/>
              </w:rPr>
            </w:pPr>
          </w:p>
        </w:tc>
        <w:tc>
          <w:tcPr>
            <w:tcW w:w="360" w:type="dxa"/>
            <w:vAlign w:val="bottom"/>
            <w:shd w:val="clear" w:color="auto" w:fill="424E6A"/>
          </w:tcPr>
          <w:p>
            <w:pPr>
              <w:spacing w:after="0"/>
              <w:rPr>
                <w:sz w:val="24"/>
                <w:szCs w:val="24"/>
                <w:color w:val="auto"/>
              </w:rPr>
            </w:pPr>
          </w:p>
        </w:tc>
        <w:tc>
          <w:tcPr>
            <w:tcW w:w="1080" w:type="dxa"/>
            <w:vAlign w:val="bottom"/>
            <w:gridSpan w:val="4"/>
            <w:shd w:val="clear" w:color="auto" w:fill="424E6A"/>
          </w:tcPr>
          <w:p>
            <w:pPr>
              <w:jc w:val="right"/>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p>
        </w:tc>
        <w:tc>
          <w:tcPr>
            <w:tcW w:w="5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Target</w:t>
            </w:r>
          </w:p>
        </w:tc>
        <w:tc>
          <w:tcPr>
            <w:tcW w:w="380" w:type="dxa"/>
            <w:vAlign w:val="bottom"/>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460" w:type="dxa"/>
            <w:vAlign w:val="bottom"/>
            <w:gridSpan w:val="2"/>
            <w:shd w:val="clear" w:color="auto" w:fill="424E6A"/>
          </w:tcPr>
          <w:p>
            <w:pPr>
              <w:ind w:left="100"/>
              <w:spacing w:after="0"/>
              <w:rPr>
                <w:sz w:val="20"/>
                <w:szCs w:val="20"/>
                <w:color w:val="auto"/>
              </w:rPr>
            </w:pPr>
            <w:r>
              <w:rPr>
                <w:rFonts w:ascii="Arial" w:cs="Arial" w:eastAsia="Arial" w:hAnsi="Arial"/>
                <w:sz w:val="14"/>
                <w:szCs w:val="14"/>
                <w:b w:val="1"/>
                <w:bCs w:val="1"/>
                <w:color w:val="FFFFFF"/>
              </w:rPr>
              <w:t>Max</w:t>
            </w:r>
          </w:p>
        </w:tc>
        <w:tc>
          <w:tcPr>
            <w:tcW w:w="220" w:type="dxa"/>
            <w:vAlign w:val="bottom"/>
            <w:tcBorders>
              <w:right w:val="single" w:sz="8" w:color="auto"/>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Borders>
              <w:left w:val="single" w:sz="8" w:color="424E6A"/>
            </w:tcBorders>
            <w:gridSpan w:val="5"/>
            <w:shd w:val="clear" w:color="auto" w:fill="D9DCE1"/>
          </w:tcPr>
          <w:p>
            <w:pPr>
              <w:ind w:left="900"/>
              <w:spacing w:after="0"/>
              <w:rPr>
                <w:sz w:val="20"/>
                <w:szCs w:val="20"/>
                <w:color w:val="auto"/>
              </w:rPr>
            </w:pPr>
            <w:r>
              <w:rPr>
                <w:rFonts w:ascii="Arial" w:cs="Arial" w:eastAsia="Arial" w:hAnsi="Arial"/>
                <w:sz w:val="18"/>
                <w:szCs w:val="18"/>
                <w:color w:val="auto"/>
              </w:rPr>
              <w:t>Adjusted EBITDA attributable to PAA and</w:t>
            </w:r>
          </w:p>
        </w:tc>
        <w:tc>
          <w:tcPr>
            <w:tcW w:w="200" w:type="dxa"/>
            <w:vAlign w:val="bottom"/>
            <w:shd w:val="clear" w:color="auto" w:fill="D9DCE1"/>
          </w:tcPr>
          <w:p>
            <w:pPr>
              <w:spacing w:after="0"/>
              <w:rPr>
                <w:sz w:val="19"/>
                <w:szCs w:val="19"/>
                <w:color w:val="auto"/>
              </w:rPr>
            </w:pPr>
          </w:p>
        </w:tc>
        <w:tc>
          <w:tcPr>
            <w:tcW w:w="260" w:type="dxa"/>
            <w:vAlign w:val="bottom"/>
            <w:shd w:val="clear" w:color="auto" w:fill="D9DCE1"/>
          </w:tcPr>
          <w:p>
            <w:pPr>
              <w:spacing w:after="0"/>
              <w:rPr>
                <w:sz w:val="19"/>
                <w:szCs w:val="19"/>
                <w:color w:val="auto"/>
              </w:rPr>
            </w:pPr>
          </w:p>
        </w:tc>
        <w:tc>
          <w:tcPr>
            <w:tcW w:w="300" w:type="dxa"/>
            <w:vAlign w:val="bottom"/>
            <w:shd w:val="clear" w:color="auto" w:fill="D9DCE1"/>
          </w:tcPr>
          <w:p>
            <w:pPr>
              <w:spacing w:after="0"/>
              <w:rPr>
                <w:sz w:val="19"/>
                <w:szCs w:val="19"/>
                <w:color w:val="auto"/>
              </w:rPr>
            </w:pPr>
          </w:p>
        </w:tc>
        <w:tc>
          <w:tcPr>
            <w:tcW w:w="320" w:type="dxa"/>
            <w:vAlign w:val="bottom"/>
            <w:shd w:val="clear" w:color="auto" w:fill="D9DCE1"/>
          </w:tcPr>
          <w:p>
            <w:pPr>
              <w:spacing w:after="0"/>
              <w:rPr>
                <w:sz w:val="19"/>
                <w:szCs w:val="19"/>
                <w:color w:val="auto"/>
              </w:rPr>
            </w:pPr>
          </w:p>
        </w:tc>
        <w:tc>
          <w:tcPr>
            <w:tcW w:w="160" w:type="dxa"/>
            <w:vAlign w:val="bottom"/>
            <w:shd w:val="clear" w:color="auto" w:fill="D9DCE1"/>
          </w:tcPr>
          <w:p>
            <w:pPr>
              <w:spacing w:after="0"/>
              <w:rPr>
                <w:sz w:val="19"/>
                <w:szCs w:val="19"/>
                <w:color w:val="auto"/>
              </w:rPr>
            </w:pPr>
          </w:p>
        </w:tc>
        <w:tc>
          <w:tcPr>
            <w:tcW w:w="400" w:type="dxa"/>
            <w:vAlign w:val="bottom"/>
            <w:shd w:val="clear" w:color="auto" w:fill="D9DCE1"/>
          </w:tcPr>
          <w:p>
            <w:pPr>
              <w:spacing w:after="0"/>
              <w:rPr>
                <w:sz w:val="19"/>
                <w:szCs w:val="19"/>
                <w:color w:val="auto"/>
              </w:rPr>
            </w:pPr>
          </w:p>
        </w:tc>
        <w:tc>
          <w:tcPr>
            <w:tcW w:w="380" w:type="dxa"/>
            <w:vAlign w:val="bottom"/>
            <w:shd w:val="clear" w:color="auto" w:fill="D9DCE1"/>
          </w:tcPr>
          <w:p>
            <w:pPr>
              <w:spacing w:after="0"/>
              <w:rPr>
                <w:sz w:val="19"/>
                <w:szCs w:val="19"/>
                <w:color w:val="auto"/>
              </w:rPr>
            </w:pPr>
          </w:p>
        </w:tc>
        <w:tc>
          <w:tcPr>
            <w:tcW w:w="100" w:type="dxa"/>
            <w:vAlign w:val="bottom"/>
            <w:shd w:val="clear" w:color="auto" w:fill="D9DCE1"/>
          </w:tcPr>
          <w:p>
            <w:pPr>
              <w:spacing w:after="0"/>
              <w:rPr>
                <w:sz w:val="19"/>
                <w:szCs w:val="19"/>
                <w:color w:val="auto"/>
              </w:rPr>
            </w:pPr>
          </w:p>
        </w:tc>
        <w:tc>
          <w:tcPr>
            <w:tcW w:w="360" w:type="dxa"/>
            <w:vAlign w:val="bottom"/>
            <w:shd w:val="clear" w:color="auto" w:fill="D9DCE1"/>
          </w:tcPr>
          <w:p>
            <w:pPr>
              <w:spacing w:after="0"/>
              <w:rPr>
                <w:sz w:val="19"/>
                <w:szCs w:val="19"/>
                <w:color w:val="auto"/>
              </w:rPr>
            </w:pPr>
          </w:p>
        </w:tc>
        <w:tc>
          <w:tcPr>
            <w:tcW w:w="220" w:type="dxa"/>
            <w:vAlign w:val="bottom"/>
            <w:tcBorders>
              <w:right w:val="single" w:sz="8" w:color="auto"/>
            </w:tcBorders>
            <w:shd w:val="clear" w:color="auto" w:fill="D9DCE1"/>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60" w:type="dxa"/>
            <w:vAlign w:val="bottom"/>
            <w:tcBorders>
              <w:left w:val="single" w:sz="8" w:color="424E6A"/>
            </w:tcBorders>
            <w:shd w:val="clear" w:color="auto" w:fill="D9DCE1"/>
          </w:tcPr>
          <w:p>
            <w:pPr>
              <w:spacing w:after="0"/>
              <w:rPr>
                <w:sz w:val="15"/>
                <w:szCs w:val="15"/>
                <w:color w:val="auto"/>
              </w:rPr>
            </w:pPr>
          </w:p>
        </w:tc>
        <w:tc>
          <w:tcPr>
            <w:tcW w:w="260" w:type="dxa"/>
            <w:vAlign w:val="bottom"/>
            <w:shd w:val="clear" w:color="auto" w:fill="D9DCE1"/>
          </w:tcPr>
          <w:p>
            <w:pPr>
              <w:spacing w:after="0"/>
              <w:rPr>
                <w:sz w:val="15"/>
                <w:szCs w:val="15"/>
                <w:color w:val="auto"/>
              </w:rPr>
            </w:pPr>
          </w:p>
        </w:tc>
        <w:tc>
          <w:tcPr>
            <w:tcW w:w="1720" w:type="dxa"/>
            <w:vAlign w:val="bottom"/>
            <w:gridSpan w:val="3"/>
            <w:shd w:val="clear" w:color="auto" w:fill="D9DCE1"/>
          </w:tcPr>
          <w:p>
            <w:pPr>
              <w:jc w:val="right"/>
              <w:spacing w:after="0" w:line="181" w:lineRule="exact"/>
              <w:rPr>
                <w:sz w:val="20"/>
                <w:szCs w:val="20"/>
                <w:color w:val="auto"/>
              </w:rPr>
            </w:pPr>
            <w:r>
              <w:rPr>
                <w:rFonts w:ascii="Arial" w:cs="Arial" w:eastAsia="Arial" w:hAnsi="Arial"/>
                <w:sz w:val="18"/>
                <w:szCs w:val="18"/>
                <w:color w:val="auto"/>
                <w:w w:val="97"/>
              </w:rPr>
              <w:t>DCF/CUE (% Target)</w:t>
            </w:r>
          </w:p>
        </w:tc>
        <w:tc>
          <w:tcPr>
            <w:tcW w:w="20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 ​</w:t>
            </w:r>
          </w:p>
        </w:tc>
        <w:tc>
          <w:tcPr>
            <w:tcW w:w="880" w:type="dxa"/>
            <w:vAlign w:val="bottom"/>
            <w:gridSpan w:val="3"/>
            <w:shd w:val="clear" w:color="auto" w:fill="D9DCE1"/>
          </w:tcPr>
          <w:p>
            <w:pPr>
              <w:jc w:val="right"/>
              <w:ind w:right="127"/>
              <w:spacing w:after="0" w:line="181" w:lineRule="exact"/>
              <w:rPr>
                <w:sz w:val="20"/>
                <w:szCs w:val="20"/>
                <w:color w:val="auto"/>
              </w:rPr>
            </w:pPr>
            <w:r>
              <w:rPr>
                <w:rFonts w:ascii="Arial" w:cs="Arial" w:eastAsia="Arial" w:hAnsi="Arial"/>
                <w:sz w:val="18"/>
                <w:szCs w:val="18"/>
                <w:color w:val="auto"/>
              </w:rPr>
              <w:t>92.50%</w:t>
            </w:r>
          </w:p>
        </w:tc>
        <w:tc>
          <w:tcPr>
            <w:tcW w:w="16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9DCE1"/>
          </w:tcPr>
          <w:p>
            <w:pPr>
              <w:jc w:val="right"/>
              <w:ind w:right="225"/>
              <w:spacing w:after="0" w:line="181" w:lineRule="exact"/>
              <w:rPr>
                <w:sz w:val="20"/>
                <w:szCs w:val="20"/>
                <w:color w:val="auto"/>
              </w:rPr>
            </w:pPr>
            <w:r>
              <w:rPr>
                <w:rFonts w:ascii="Arial" w:cs="Arial" w:eastAsia="Arial" w:hAnsi="Arial"/>
                <w:sz w:val="18"/>
                <w:szCs w:val="18"/>
                <w:color w:val="auto"/>
                <w:w w:val="99"/>
              </w:rPr>
              <w:t>100%</w:t>
            </w:r>
          </w:p>
        </w:tc>
        <w:tc>
          <w:tcPr>
            <w:tcW w:w="100" w:type="dxa"/>
            <w:vAlign w:val="bottom"/>
            <w:vMerge w:val="restart"/>
            <w:shd w:val="clear" w:color="auto" w:fill="D9DCE1"/>
          </w:tcPr>
          <w:p>
            <w:pPr>
              <w:ind w:left="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shd w:val="clear" w:color="auto" w:fill="D9DCE1"/>
          </w:tcPr>
          <w:p>
            <w:pPr>
              <w:jc w:val="right"/>
              <w:ind w:right="46"/>
              <w:spacing w:after="0" w:line="181" w:lineRule="exact"/>
              <w:rPr>
                <w:sz w:val="20"/>
                <w:szCs w:val="20"/>
                <w:color w:val="auto"/>
              </w:rPr>
            </w:pPr>
            <w:r>
              <w:rPr>
                <w:rFonts w:ascii="Arial" w:cs="Arial" w:eastAsia="Arial" w:hAnsi="Arial"/>
                <w:sz w:val="18"/>
                <w:szCs w:val="18"/>
                <w:color w:val="auto"/>
                <w:w w:val="95"/>
              </w:rPr>
              <w:t>110%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424E6A"/>
              <w:bottom w:val="single" w:sz="8" w:color="424E6A"/>
            </w:tcBorders>
            <w:shd w:val="clear" w:color="auto" w:fill="D9DCE1"/>
          </w:tcPr>
          <w:p>
            <w:pPr>
              <w:spacing w:after="0"/>
              <w:rPr>
                <w:sz w:val="7"/>
                <w:szCs w:val="7"/>
                <w:color w:val="auto"/>
              </w:rPr>
            </w:pPr>
          </w:p>
        </w:tc>
        <w:tc>
          <w:tcPr>
            <w:tcW w:w="260" w:type="dxa"/>
            <w:vAlign w:val="bottom"/>
            <w:tcBorders>
              <w:bottom w:val="single" w:sz="8" w:color="424E6A"/>
            </w:tcBorders>
            <w:shd w:val="clear" w:color="auto" w:fill="D9DCE1"/>
          </w:tcPr>
          <w:p>
            <w:pPr>
              <w:spacing w:after="0"/>
              <w:rPr>
                <w:sz w:val="7"/>
                <w:szCs w:val="7"/>
                <w:color w:val="auto"/>
              </w:rPr>
            </w:pPr>
          </w:p>
        </w:tc>
        <w:tc>
          <w:tcPr>
            <w:tcW w:w="900" w:type="dxa"/>
            <w:vAlign w:val="bottom"/>
            <w:tcBorders>
              <w:bottom w:val="single" w:sz="8" w:color="424E6A"/>
            </w:tcBorders>
            <w:shd w:val="clear" w:color="auto" w:fill="D9DCE1"/>
          </w:tcPr>
          <w:p>
            <w:pPr>
              <w:spacing w:after="0"/>
              <w:rPr>
                <w:sz w:val="7"/>
                <w:szCs w:val="7"/>
                <w:color w:val="auto"/>
              </w:rPr>
            </w:pPr>
          </w:p>
        </w:tc>
        <w:tc>
          <w:tcPr>
            <w:tcW w:w="460" w:type="dxa"/>
            <w:vAlign w:val="bottom"/>
            <w:tcBorders>
              <w:bottom w:val="single" w:sz="8" w:color="424E6A"/>
            </w:tcBorders>
            <w:shd w:val="clear" w:color="auto" w:fill="D9DCE1"/>
          </w:tcPr>
          <w:p>
            <w:pPr>
              <w:spacing w:after="0"/>
              <w:rPr>
                <w:sz w:val="7"/>
                <w:szCs w:val="7"/>
                <w:color w:val="auto"/>
              </w:rPr>
            </w:pPr>
          </w:p>
        </w:tc>
        <w:tc>
          <w:tcPr>
            <w:tcW w:w="360" w:type="dxa"/>
            <w:vAlign w:val="bottom"/>
            <w:tcBorders>
              <w:bottom w:val="single" w:sz="8" w:color="424E6A"/>
            </w:tcBorders>
            <w:shd w:val="clear" w:color="auto" w:fill="D9DCE1"/>
          </w:tcPr>
          <w:p>
            <w:pPr>
              <w:spacing w:after="0"/>
              <w:rPr>
                <w:sz w:val="7"/>
                <w:szCs w:val="7"/>
                <w:color w:val="auto"/>
              </w:rPr>
            </w:pPr>
          </w:p>
        </w:tc>
        <w:tc>
          <w:tcPr>
            <w:tcW w:w="200" w:type="dxa"/>
            <w:vAlign w:val="bottom"/>
            <w:tcBorders>
              <w:bottom w:val="single" w:sz="8" w:color="424E6A"/>
            </w:tcBorders>
            <w:vMerge w:val="continue"/>
            <w:shd w:val="clear" w:color="auto" w:fill="D9DCE1"/>
          </w:tcPr>
          <w:p>
            <w:pPr>
              <w:spacing w:after="0"/>
              <w:rPr>
                <w:sz w:val="7"/>
                <w:szCs w:val="7"/>
                <w:color w:val="auto"/>
              </w:rPr>
            </w:pPr>
          </w:p>
        </w:tc>
        <w:tc>
          <w:tcPr>
            <w:tcW w:w="260" w:type="dxa"/>
            <w:vAlign w:val="bottom"/>
            <w:tcBorders>
              <w:bottom w:val="single" w:sz="8" w:color="424E6A"/>
            </w:tcBorders>
            <w:shd w:val="clear" w:color="auto" w:fill="D9DCE1"/>
          </w:tcPr>
          <w:p>
            <w:pPr>
              <w:ind w:left="60"/>
              <w:spacing w:after="0" w:line="81" w:lineRule="exact"/>
              <w:rPr>
                <w:sz w:val="20"/>
                <w:szCs w:val="20"/>
                <w:color w:val="auto"/>
              </w:rPr>
            </w:pPr>
            <w:r>
              <w:rPr>
                <w:rFonts w:ascii="Arial" w:cs="Arial" w:eastAsia="Arial" w:hAnsi="Arial"/>
                <w:sz w:val="9"/>
                <w:szCs w:val="9"/>
                <w:color w:val="auto"/>
              </w:rPr>
              <w:t>​</w:t>
            </w:r>
          </w:p>
        </w:tc>
        <w:tc>
          <w:tcPr>
            <w:tcW w:w="300" w:type="dxa"/>
            <w:vAlign w:val="bottom"/>
            <w:tcBorders>
              <w:bottom w:val="single" w:sz="8" w:color="424E6A"/>
            </w:tcBorders>
            <w:shd w:val="clear" w:color="auto" w:fill="D9DCE1"/>
          </w:tcPr>
          <w:p>
            <w:pPr>
              <w:spacing w:after="0"/>
              <w:rPr>
                <w:sz w:val="7"/>
                <w:szCs w:val="7"/>
                <w:color w:val="auto"/>
              </w:rPr>
            </w:pPr>
          </w:p>
        </w:tc>
        <w:tc>
          <w:tcPr>
            <w:tcW w:w="320" w:type="dxa"/>
            <w:vAlign w:val="bottom"/>
            <w:tcBorders>
              <w:bottom w:val="single" w:sz="8" w:color="424E6A"/>
            </w:tcBorders>
            <w:shd w:val="clear" w:color="auto" w:fill="D9DCE1"/>
          </w:tcPr>
          <w:p>
            <w:pPr>
              <w:jc w:val="right"/>
              <w:spacing w:after="0" w:line="81" w:lineRule="exact"/>
              <w:rPr>
                <w:sz w:val="20"/>
                <w:szCs w:val="20"/>
                <w:color w:val="auto"/>
              </w:rPr>
            </w:pPr>
            <w:r>
              <w:rPr>
                <w:rFonts w:ascii="Arial" w:cs="Arial" w:eastAsia="Arial" w:hAnsi="Arial"/>
                <w:sz w:val="9"/>
                <w:szCs w:val="9"/>
                <w:color w:val="auto"/>
              </w:rPr>
              <w:t>​​ ​</w:t>
            </w:r>
          </w:p>
        </w:tc>
        <w:tc>
          <w:tcPr>
            <w:tcW w:w="160" w:type="dxa"/>
            <w:vAlign w:val="bottom"/>
            <w:tcBorders>
              <w:bottom w:val="single" w:sz="8" w:color="424E6A"/>
            </w:tcBorders>
            <w:vMerge w:val="continue"/>
            <w:shd w:val="clear" w:color="auto" w:fill="D9DCE1"/>
          </w:tcPr>
          <w:p>
            <w:pPr>
              <w:spacing w:after="0"/>
              <w:rPr>
                <w:sz w:val="7"/>
                <w:szCs w:val="7"/>
                <w:color w:val="auto"/>
              </w:rPr>
            </w:pPr>
          </w:p>
        </w:tc>
        <w:tc>
          <w:tcPr>
            <w:tcW w:w="400" w:type="dxa"/>
            <w:vAlign w:val="bottom"/>
            <w:tcBorders>
              <w:bottom w:val="single" w:sz="8" w:color="424E6A"/>
            </w:tcBorders>
            <w:shd w:val="clear" w:color="auto" w:fill="D9DCE1"/>
          </w:tcPr>
          <w:p>
            <w:pPr>
              <w:spacing w:after="0"/>
              <w:rPr>
                <w:sz w:val="7"/>
                <w:szCs w:val="7"/>
                <w:color w:val="auto"/>
              </w:rPr>
            </w:pPr>
          </w:p>
        </w:tc>
        <w:tc>
          <w:tcPr>
            <w:tcW w:w="380" w:type="dxa"/>
            <w:vAlign w:val="bottom"/>
            <w:tcBorders>
              <w:bottom w:val="single" w:sz="8" w:color="424E6A"/>
            </w:tcBorders>
            <w:shd w:val="clear" w:color="auto" w:fill="D9DCE1"/>
          </w:tcPr>
          <w:p>
            <w:pPr>
              <w:ind w:left="60"/>
              <w:spacing w:after="0" w:line="81"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424E6A"/>
            </w:tcBorders>
            <w:vMerge w:val="continue"/>
            <w:shd w:val="clear" w:color="auto" w:fill="D9DCE1"/>
          </w:tcPr>
          <w:p>
            <w:pPr>
              <w:spacing w:after="0"/>
              <w:rPr>
                <w:sz w:val="7"/>
                <w:szCs w:val="7"/>
                <w:color w:val="auto"/>
              </w:rPr>
            </w:pPr>
          </w:p>
        </w:tc>
        <w:tc>
          <w:tcPr>
            <w:tcW w:w="360" w:type="dxa"/>
            <w:vAlign w:val="bottom"/>
            <w:tcBorders>
              <w:bottom w:val="single" w:sz="8" w:color="424E6A"/>
            </w:tcBorders>
            <w:shd w:val="clear" w:color="auto" w:fill="D9DCE1"/>
          </w:tcPr>
          <w:p>
            <w:pPr>
              <w:spacing w:after="0"/>
              <w:rPr>
                <w:sz w:val="7"/>
                <w:szCs w:val="7"/>
                <w:color w:val="auto"/>
              </w:rPr>
            </w:pPr>
          </w:p>
        </w:tc>
        <w:tc>
          <w:tcPr>
            <w:tcW w:w="220" w:type="dxa"/>
            <w:vAlign w:val="bottom"/>
            <w:tcBorders>
              <w:bottom w:val="single" w:sz="8" w:color="424E6A"/>
              <w:right w:val="single" w:sz="8" w:color="auto"/>
            </w:tcBorders>
            <w:shd w:val="clear" w:color="auto" w:fill="D9DCE1"/>
          </w:tcPr>
          <w:p>
            <w:pPr>
              <w:jc w:val="right"/>
              <w:spacing w:after="0" w:line="8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260" w:type="dxa"/>
            <w:vAlign w:val="bottom"/>
            <w:tcBorders>
              <w:left w:val="single" w:sz="8" w:color="424E6A"/>
              <w:bottom w:val="single" w:sz="8" w:color="424E6A"/>
            </w:tcBorders>
          </w:tcPr>
          <w:p>
            <w:pPr>
              <w:spacing w:after="0"/>
              <w:rPr>
                <w:sz w:val="22"/>
                <w:szCs w:val="22"/>
                <w:color w:val="auto"/>
              </w:rPr>
            </w:pPr>
          </w:p>
        </w:tc>
        <w:tc>
          <w:tcPr>
            <w:tcW w:w="260" w:type="dxa"/>
            <w:vAlign w:val="bottom"/>
            <w:tcBorders>
              <w:bottom w:val="single" w:sz="8" w:color="424E6A"/>
            </w:tcBorders>
          </w:tcPr>
          <w:p>
            <w:pPr>
              <w:spacing w:after="0"/>
              <w:rPr>
                <w:sz w:val="22"/>
                <w:szCs w:val="22"/>
                <w:color w:val="auto"/>
              </w:rPr>
            </w:pPr>
          </w:p>
        </w:tc>
        <w:tc>
          <w:tcPr>
            <w:tcW w:w="1920" w:type="dxa"/>
            <w:vAlign w:val="bottom"/>
            <w:tcBorders>
              <w:bottom w:val="single" w:sz="8" w:color="424E6A"/>
            </w:tcBorders>
            <w:gridSpan w:val="4"/>
          </w:tcPr>
          <w:p>
            <w:pPr>
              <w:jc w:val="right"/>
              <w:spacing w:after="0" w:line="264" w:lineRule="exact"/>
              <w:rPr>
                <w:sz w:val="20"/>
                <w:szCs w:val="20"/>
                <w:color w:val="auto"/>
              </w:rPr>
            </w:pPr>
            <w:r>
              <w:rPr>
                <w:rFonts w:ascii="Arial" w:cs="Arial" w:eastAsia="Arial" w:hAnsi="Arial"/>
                <w:sz w:val="16"/>
                <w:szCs w:val="16"/>
                <w:color w:val="auto"/>
              </w:rPr>
              <w:t xml:space="preserve">Safety (TRIR) </w:t>
            </w:r>
            <w:r>
              <w:rPr>
                <w:rFonts w:ascii="Arial" w:cs="Arial" w:eastAsia="Arial" w:hAnsi="Arial"/>
                <w:sz w:val="30"/>
                <w:szCs w:val="30"/>
                <w:color w:val="auto"/>
                <w:vertAlign w:val="subscript"/>
              </w:rPr>
              <w:t>​ ​</w:t>
            </w:r>
          </w:p>
        </w:tc>
        <w:tc>
          <w:tcPr>
            <w:tcW w:w="560" w:type="dxa"/>
            <w:vAlign w:val="bottom"/>
            <w:tcBorders>
              <w:bottom w:val="single" w:sz="8" w:color="424E6A"/>
            </w:tcBorders>
            <w:gridSpan w:val="2"/>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0.36</w:t>
            </w:r>
          </w:p>
        </w:tc>
        <w:tc>
          <w:tcPr>
            <w:tcW w:w="3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424E6A"/>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0.25</w:t>
            </w:r>
          </w:p>
        </w:tc>
        <w:tc>
          <w:tcPr>
            <w:tcW w:w="38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gridSpan w:val="2"/>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0.14</w:t>
            </w:r>
          </w:p>
        </w:tc>
        <w:tc>
          <w:tcPr>
            <w:tcW w:w="220" w:type="dxa"/>
            <w:vAlign w:val="bottom"/>
            <w:tcBorders>
              <w:bottom w:val="single" w:sz="8" w:color="424E6A"/>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80" w:type="dxa"/>
            <w:vAlign w:val="bottom"/>
            <w:gridSpan w:val="2"/>
            <w:vMerge w:val="restart"/>
          </w:tcPr>
          <w:p>
            <w:pPr>
              <w:jc w:val="center"/>
              <w:ind w:right="61"/>
              <w:spacing w:after="0"/>
              <w:rPr>
                <w:sz w:val="20"/>
                <w:szCs w:val="20"/>
                <w:color w:val="auto"/>
              </w:rPr>
            </w:pPr>
            <w:r>
              <w:rPr>
                <w:rFonts w:ascii="Arial" w:cs="Arial" w:eastAsia="Arial" w:hAnsi="Arial"/>
                <w:sz w:val="14"/>
                <w:szCs w:val="14"/>
                <w:b w:val="1"/>
                <w:bCs w:val="1"/>
                <w:color w:val="auto"/>
              </w:rPr>
              <w:t>2024 Formulaic</w:t>
            </w:r>
          </w:p>
        </w:tc>
        <w:tc>
          <w:tcPr>
            <w:tcW w:w="0" w:type="dxa"/>
            <w:vAlign w:val="bottom"/>
          </w:tcPr>
          <w:p>
            <w:pPr>
              <w:spacing w:after="0"/>
              <w:rPr>
                <w:sz w:val="1"/>
                <w:szCs w:val="1"/>
                <w:color w:val="auto"/>
              </w:rPr>
            </w:pPr>
          </w:p>
        </w:tc>
      </w:tr>
      <w:tr>
        <w:trPr>
          <w:trHeight w:val="146"/>
        </w:trPr>
        <w:tc>
          <w:tcPr>
            <w:tcW w:w="2260" w:type="dxa"/>
            <w:vAlign w:val="bottom"/>
            <w:tcBorders>
              <w:left w:val="single" w:sz="8" w:color="424E6A"/>
            </w:tcBorders>
            <w:shd w:val="clear" w:color="auto" w:fill="D9DCE1"/>
          </w:tcPr>
          <w:p>
            <w:pPr>
              <w:spacing w:after="0"/>
              <w:rPr>
                <w:sz w:val="12"/>
                <w:szCs w:val="12"/>
                <w:color w:val="auto"/>
              </w:rPr>
            </w:pPr>
          </w:p>
        </w:tc>
        <w:tc>
          <w:tcPr>
            <w:tcW w:w="260" w:type="dxa"/>
            <w:vAlign w:val="bottom"/>
            <w:shd w:val="clear" w:color="auto" w:fill="D9DCE1"/>
          </w:tcPr>
          <w:p>
            <w:pPr>
              <w:spacing w:after="0"/>
              <w:rPr>
                <w:sz w:val="12"/>
                <w:szCs w:val="12"/>
                <w:color w:val="auto"/>
              </w:rPr>
            </w:pPr>
          </w:p>
        </w:tc>
        <w:tc>
          <w:tcPr>
            <w:tcW w:w="1920" w:type="dxa"/>
            <w:vAlign w:val="bottom"/>
            <w:gridSpan w:val="4"/>
            <w:vMerge w:val="restart"/>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Environmental (FRR) </w:t>
            </w:r>
            <w:r>
              <w:rPr>
                <w:rFonts w:ascii="Arial" w:cs="Arial" w:eastAsia="Arial" w:hAnsi="Arial"/>
                <w:sz w:val="28"/>
                <w:szCs w:val="28"/>
                <w:color w:val="auto"/>
                <w:vertAlign w:val="subscript"/>
              </w:rPr>
              <w:t>​ ​</w:t>
            </w:r>
          </w:p>
        </w:tc>
        <w:tc>
          <w:tcPr>
            <w:tcW w:w="260" w:type="dxa"/>
            <w:vAlign w:val="bottom"/>
            <w:vMerge w:val="restart"/>
            <w:shd w:val="clear" w:color="auto" w:fill="D9DCE1"/>
          </w:tcPr>
          <w:p>
            <w:pPr>
              <w:ind w:left="6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26</w:t>
            </w:r>
          </w:p>
        </w:tc>
        <w:tc>
          <w:tcPr>
            <w:tcW w:w="32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 ​</w:t>
            </w:r>
          </w:p>
        </w:tc>
        <w:tc>
          <w:tcPr>
            <w:tcW w:w="16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15</w:t>
            </w:r>
          </w:p>
        </w:tc>
        <w:tc>
          <w:tcPr>
            <w:tcW w:w="380" w:type="dxa"/>
            <w:vAlign w:val="bottom"/>
            <w:vMerge w:val="restart"/>
            <w:shd w:val="clear" w:color="auto" w:fill="D9DCE1"/>
          </w:tcPr>
          <w:p>
            <w:pPr>
              <w:ind w:left="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D9DCE1"/>
          </w:tcPr>
          <w:p>
            <w:pPr>
              <w:ind w:left="6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vMerge w:val="restart"/>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tcBorders>
              <w:left w:val="single" w:sz="8" w:color="424E6A"/>
              <w:bottom w:val="single" w:sz="8" w:color="424E6A"/>
            </w:tcBorders>
            <w:shd w:val="clear" w:color="auto" w:fill="D9DCE1"/>
          </w:tcPr>
          <w:p>
            <w:pPr>
              <w:spacing w:after="0"/>
              <w:rPr>
                <w:sz w:val="10"/>
                <w:szCs w:val="10"/>
                <w:color w:val="auto"/>
              </w:rPr>
            </w:pPr>
          </w:p>
        </w:tc>
        <w:tc>
          <w:tcPr>
            <w:tcW w:w="260" w:type="dxa"/>
            <w:vAlign w:val="bottom"/>
            <w:tcBorders>
              <w:bottom w:val="single" w:sz="8" w:color="424E6A"/>
            </w:tcBorders>
            <w:shd w:val="clear" w:color="auto" w:fill="D9DCE1"/>
          </w:tcPr>
          <w:p>
            <w:pPr>
              <w:spacing w:after="0"/>
              <w:rPr>
                <w:sz w:val="10"/>
                <w:szCs w:val="10"/>
                <w:color w:val="auto"/>
              </w:rPr>
            </w:pPr>
          </w:p>
        </w:tc>
        <w:tc>
          <w:tcPr>
            <w:tcW w:w="1920" w:type="dxa"/>
            <w:vAlign w:val="bottom"/>
            <w:tcBorders>
              <w:bottom w:val="single" w:sz="8" w:color="424E6A"/>
            </w:tcBorders>
            <w:gridSpan w:val="4"/>
            <w:vMerge w:val="continue"/>
            <w:shd w:val="clear" w:color="auto" w:fill="D9DCE1"/>
          </w:tcPr>
          <w:p>
            <w:pPr>
              <w:spacing w:after="0"/>
              <w:rPr>
                <w:sz w:val="10"/>
                <w:szCs w:val="10"/>
                <w:color w:val="auto"/>
              </w:rPr>
            </w:pPr>
          </w:p>
        </w:tc>
        <w:tc>
          <w:tcPr>
            <w:tcW w:w="260" w:type="dxa"/>
            <w:vAlign w:val="bottom"/>
            <w:tcBorders>
              <w:bottom w:val="single" w:sz="8" w:color="424E6A"/>
            </w:tcBorders>
            <w:vMerge w:val="continue"/>
            <w:shd w:val="clear" w:color="auto" w:fill="D9DCE1"/>
          </w:tcPr>
          <w:p>
            <w:pPr>
              <w:spacing w:after="0"/>
              <w:rPr>
                <w:sz w:val="10"/>
                <w:szCs w:val="10"/>
                <w:color w:val="auto"/>
              </w:rPr>
            </w:pPr>
          </w:p>
        </w:tc>
        <w:tc>
          <w:tcPr>
            <w:tcW w:w="300" w:type="dxa"/>
            <w:vAlign w:val="bottom"/>
            <w:tcBorders>
              <w:bottom w:val="single" w:sz="8" w:color="424E6A"/>
            </w:tcBorders>
            <w:vMerge w:val="continue"/>
            <w:shd w:val="clear" w:color="auto" w:fill="D9DCE1"/>
          </w:tcPr>
          <w:p>
            <w:pPr>
              <w:spacing w:after="0"/>
              <w:rPr>
                <w:sz w:val="10"/>
                <w:szCs w:val="10"/>
                <w:color w:val="auto"/>
              </w:rPr>
            </w:pPr>
          </w:p>
        </w:tc>
        <w:tc>
          <w:tcPr>
            <w:tcW w:w="320" w:type="dxa"/>
            <w:vAlign w:val="bottom"/>
            <w:tcBorders>
              <w:bottom w:val="single" w:sz="8" w:color="424E6A"/>
            </w:tcBorders>
            <w:vMerge w:val="continue"/>
            <w:shd w:val="clear" w:color="auto" w:fill="D9DCE1"/>
          </w:tcPr>
          <w:p>
            <w:pPr>
              <w:spacing w:after="0"/>
              <w:rPr>
                <w:sz w:val="10"/>
                <w:szCs w:val="10"/>
                <w:color w:val="auto"/>
              </w:rPr>
            </w:pPr>
          </w:p>
        </w:tc>
        <w:tc>
          <w:tcPr>
            <w:tcW w:w="160" w:type="dxa"/>
            <w:vAlign w:val="bottom"/>
            <w:tcBorders>
              <w:bottom w:val="single" w:sz="8" w:color="424E6A"/>
            </w:tcBorders>
            <w:vMerge w:val="continue"/>
            <w:shd w:val="clear" w:color="auto" w:fill="D9DCE1"/>
          </w:tcPr>
          <w:p>
            <w:pPr>
              <w:spacing w:after="0"/>
              <w:rPr>
                <w:sz w:val="10"/>
                <w:szCs w:val="10"/>
                <w:color w:val="auto"/>
              </w:rPr>
            </w:pPr>
          </w:p>
        </w:tc>
        <w:tc>
          <w:tcPr>
            <w:tcW w:w="400" w:type="dxa"/>
            <w:vAlign w:val="bottom"/>
            <w:tcBorders>
              <w:bottom w:val="single" w:sz="8" w:color="424E6A"/>
            </w:tcBorders>
            <w:vMerge w:val="continue"/>
            <w:shd w:val="clear" w:color="auto" w:fill="D9DCE1"/>
          </w:tcPr>
          <w:p>
            <w:pPr>
              <w:spacing w:after="0"/>
              <w:rPr>
                <w:sz w:val="10"/>
                <w:szCs w:val="10"/>
                <w:color w:val="auto"/>
              </w:rPr>
            </w:pPr>
          </w:p>
        </w:tc>
        <w:tc>
          <w:tcPr>
            <w:tcW w:w="380" w:type="dxa"/>
            <w:vAlign w:val="bottom"/>
            <w:tcBorders>
              <w:bottom w:val="single" w:sz="8" w:color="424E6A"/>
            </w:tcBorders>
            <w:vMerge w:val="continue"/>
            <w:shd w:val="clear" w:color="auto" w:fill="D9DCE1"/>
          </w:tcPr>
          <w:p>
            <w:pPr>
              <w:spacing w:after="0"/>
              <w:rPr>
                <w:sz w:val="10"/>
                <w:szCs w:val="10"/>
                <w:color w:val="auto"/>
              </w:rPr>
            </w:pPr>
          </w:p>
        </w:tc>
        <w:tc>
          <w:tcPr>
            <w:tcW w:w="100" w:type="dxa"/>
            <w:vAlign w:val="bottom"/>
            <w:tcBorders>
              <w:bottom w:val="single" w:sz="8" w:color="424E6A"/>
            </w:tcBorders>
            <w:vMerge w:val="continue"/>
            <w:shd w:val="clear" w:color="auto" w:fill="D9DCE1"/>
          </w:tcPr>
          <w:p>
            <w:pPr>
              <w:spacing w:after="0"/>
              <w:rPr>
                <w:sz w:val="10"/>
                <w:szCs w:val="10"/>
                <w:color w:val="auto"/>
              </w:rPr>
            </w:pPr>
          </w:p>
        </w:tc>
        <w:tc>
          <w:tcPr>
            <w:tcW w:w="360" w:type="dxa"/>
            <w:vAlign w:val="bottom"/>
            <w:tcBorders>
              <w:bottom w:val="single" w:sz="8" w:color="424E6A"/>
            </w:tcBorders>
            <w:vMerge w:val="continue"/>
            <w:shd w:val="clear" w:color="auto" w:fill="D9DCE1"/>
          </w:tcPr>
          <w:p>
            <w:pPr>
              <w:spacing w:after="0"/>
              <w:rPr>
                <w:sz w:val="10"/>
                <w:szCs w:val="10"/>
                <w:color w:val="auto"/>
              </w:rPr>
            </w:pPr>
          </w:p>
        </w:tc>
        <w:tc>
          <w:tcPr>
            <w:tcW w:w="220" w:type="dxa"/>
            <w:vAlign w:val="bottom"/>
            <w:tcBorders>
              <w:bottom w:val="single" w:sz="8" w:color="424E6A"/>
              <w:right w:val="single" w:sz="8" w:color="auto"/>
            </w:tcBorders>
            <w:vMerge w:val="continue"/>
            <w:shd w:val="clear" w:color="auto" w:fill="D9DCE1"/>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61"/>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5"/>
        </w:trPr>
        <w:tc>
          <w:tcPr>
            <w:tcW w:w="2260" w:type="dxa"/>
            <w:vAlign w:val="bottom"/>
            <w:tcBorders>
              <w:left w:val="single" w:sz="8" w:color="424E6A"/>
            </w:tcBorders>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Payout</w:t>
            </w: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gridSpan w:val="2"/>
            <w:vMerge w:val="restart"/>
          </w:tcPr>
          <w:p>
            <w:pPr>
              <w:jc w:val="right"/>
              <w:ind w:right="127"/>
              <w:spacing w:after="0" w:line="196"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2"/>
                <w:szCs w:val="2"/>
                <w:color w:val="auto"/>
              </w:rPr>
            </w:pPr>
          </w:p>
        </w:tc>
        <w:tc>
          <w:tcPr>
            <w:tcW w:w="780" w:type="dxa"/>
            <w:vAlign w:val="bottom"/>
            <w:gridSpan w:val="2"/>
            <w:vMerge w:val="restart"/>
          </w:tcPr>
          <w:p>
            <w:pPr>
              <w:jc w:val="right"/>
              <w:ind w:right="225"/>
              <w:spacing w:after="0" w:line="196" w:lineRule="exact"/>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2"/>
                <w:szCs w:val="2"/>
                <w:color w:val="auto"/>
              </w:rPr>
            </w:pPr>
          </w:p>
        </w:tc>
        <w:tc>
          <w:tcPr>
            <w:tcW w:w="580" w:type="dxa"/>
            <w:vAlign w:val="bottom"/>
            <w:tcBorders>
              <w:right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260" w:type="dxa"/>
            <w:vAlign w:val="bottom"/>
            <w:tcBorders>
              <w:left w:val="single" w:sz="8" w:color="424E6A"/>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vMerge w:val="continue"/>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continue"/>
          </w:tcPr>
          <w:p>
            <w:pPr>
              <w:spacing w:after="0"/>
              <w:rPr>
                <w:sz w:val="14"/>
                <w:szCs w:val="14"/>
                <w:color w:val="auto"/>
              </w:rPr>
            </w:pP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vMerge w:val="continue"/>
          </w:tcPr>
          <w:p>
            <w:pPr>
              <w:spacing w:after="0"/>
              <w:rPr>
                <w:sz w:val="14"/>
                <w:szCs w:val="14"/>
                <w:color w:val="auto"/>
              </w:rPr>
            </w:pPr>
          </w:p>
        </w:tc>
        <w:tc>
          <w:tcPr>
            <w:tcW w:w="10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w:t>
            </w:r>
          </w:p>
        </w:tc>
        <w:tc>
          <w:tcPr>
            <w:tcW w:w="118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Calculation</w:t>
            </w:r>
          </w:p>
        </w:tc>
        <w:tc>
          <w:tcPr>
            <w:tcW w:w="0" w:type="dxa"/>
            <w:vAlign w:val="bottom"/>
          </w:tcPr>
          <w:p>
            <w:pPr>
              <w:spacing w:after="0"/>
              <w:rPr>
                <w:sz w:val="1"/>
                <w:szCs w:val="1"/>
                <w:color w:val="auto"/>
              </w:rPr>
            </w:pPr>
          </w:p>
        </w:tc>
      </w:tr>
      <w:tr>
        <w:trPr>
          <w:trHeight w:val="68"/>
        </w:trPr>
        <w:tc>
          <w:tcPr>
            <w:tcW w:w="2260" w:type="dxa"/>
            <w:vAlign w:val="bottom"/>
            <w:tcBorders>
              <w:left w:val="single" w:sz="8" w:color="424E6A"/>
              <w:bottom w:val="single" w:sz="8" w:color="424E6A"/>
            </w:tcBorders>
          </w:tcPr>
          <w:p>
            <w:pPr>
              <w:spacing w:after="0"/>
              <w:rPr>
                <w:sz w:val="5"/>
                <w:szCs w:val="5"/>
                <w:color w:val="auto"/>
              </w:rPr>
            </w:pPr>
          </w:p>
        </w:tc>
        <w:tc>
          <w:tcPr>
            <w:tcW w:w="260" w:type="dxa"/>
            <w:vAlign w:val="bottom"/>
            <w:tcBorders>
              <w:bottom w:val="single" w:sz="8" w:color="424E6A"/>
            </w:tcBorders>
          </w:tcPr>
          <w:p>
            <w:pPr>
              <w:spacing w:after="0"/>
              <w:rPr>
                <w:sz w:val="5"/>
                <w:szCs w:val="5"/>
                <w:color w:val="auto"/>
              </w:rPr>
            </w:pPr>
          </w:p>
        </w:tc>
        <w:tc>
          <w:tcPr>
            <w:tcW w:w="900" w:type="dxa"/>
            <w:vAlign w:val="bottom"/>
            <w:tcBorders>
              <w:bottom w:val="single" w:sz="8" w:color="424E6A"/>
            </w:tcBorders>
          </w:tcPr>
          <w:p>
            <w:pPr>
              <w:spacing w:after="0"/>
              <w:rPr>
                <w:sz w:val="5"/>
                <w:szCs w:val="5"/>
                <w:color w:val="auto"/>
              </w:rPr>
            </w:pPr>
          </w:p>
        </w:tc>
        <w:tc>
          <w:tcPr>
            <w:tcW w:w="460" w:type="dxa"/>
            <w:vAlign w:val="bottom"/>
            <w:tcBorders>
              <w:bottom w:val="single" w:sz="8" w:color="424E6A"/>
            </w:tcBorders>
          </w:tcPr>
          <w:p>
            <w:pPr>
              <w:spacing w:after="0"/>
              <w:rPr>
                <w:sz w:val="5"/>
                <w:szCs w:val="5"/>
                <w:color w:val="auto"/>
              </w:rPr>
            </w:pPr>
          </w:p>
        </w:tc>
        <w:tc>
          <w:tcPr>
            <w:tcW w:w="360" w:type="dxa"/>
            <w:vAlign w:val="bottom"/>
            <w:tcBorders>
              <w:bottom w:val="single" w:sz="8" w:color="424E6A"/>
            </w:tcBorders>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300" w:type="dxa"/>
            <w:vAlign w:val="bottom"/>
            <w:tcBorders>
              <w:bottom w:val="single" w:sz="8" w:color="424E6A"/>
            </w:tcBorders>
          </w:tcPr>
          <w:p>
            <w:pPr>
              <w:spacing w:after="0"/>
              <w:rPr>
                <w:sz w:val="5"/>
                <w:szCs w:val="5"/>
                <w:color w:val="auto"/>
              </w:rPr>
            </w:pPr>
          </w:p>
        </w:tc>
        <w:tc>
          <w:tcPr>
            <w:tcW w:w="320" w:type="dxa"/>
            <w:vAlign w:val="bottom"/>
            <w:tcBorders>
              <w:bottom w:val="single" w:sz="8" w:color="424E6A"/>
            </w:tcBorders>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24E6A"/>
            </w:tcBorders>
            <w:vMerge w:val="continue"/>
          </w:tcPr>
          <w:p>
            <w:pPr>
              <w:spacing w:after="0"/>
              <w:rPr>
                <w:sz w:val="5"/>
                <w:szCs w:val="5"/>
                <w:color w:val="auto"/>
              </w:rPr>
            </w:pPr>
          </w:p>
        </w:tc>
        <w:tc>
          <w:tcPr>
            <w:tcW w:w="400" w:type="dxa"/>
            <w:vAlign w:val="bottom"/>
            <w:tcBorders>
              <w:bottom w:val="single" w:sz="8" w:color="424E6A"/>
            </w:tcBorders>
          </w:tcPr>
          <w:p>
            <w:pPr>
              <w:spacing w:after="0"/>
              <w:rPr>
                <w:sz w:val="5"/>
                <w:szCs w:val="5"/>
                <w:color w:val="auto"/>
              </w:rPr>
            </w:pPr>
          </w:p>
        </w:tc>
        <w:tc>
          <w:tcPr>
            <w:tcW w:w="38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auto"/>
            </w:tcBorders>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2440" w:type="dxa"/>
            <w:vAlign w:val="bottom"/>
            <w:gridSpan w:val="6"/>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2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shd w:val="clear" w:color="auto" w:fill="424E6A"/>
              </w:rPr>
              <w:t>Company Performance Metrics</w:t>
            </w:r>
          </w:p>
        </w:tc>
        <w:tc>
          <w:tcPr>
            <w:tcW w:w="2440" w:type="dxa"/>
            <w:vAlign w:val="bottom"/>
            <w:gridSpan w:val="6"/>
            <w:shd w:val="clear" w:color="auto" w:fill="424E6A"/>
          </w:tcPr>
          <w:p>
            <w:pPr>
              <w:ind w:left="100"/>
              <w:spacing w:after="0" w:line="297" w:lineRule="exact"/>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Weight </w:t>
            </w: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Threshold </w:t>
            </w: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Target</w:t>
            </w:r>
          </w:p>
        </w:tc>
        <w:tc>
          <w:tcPr>
            <w:tcW w:w="3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shd w:val="clear" w:color="auto" w:fill="424E6A"/>
              </w:rPr>
              <w:t>​ ​</w:t>
            </w:r>
          </w:p>
        </w:tc>
        <w:tc>
          <w:tcPr>
            <w:tcW w:w="3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shd w:val="clear" w:color="auto" w:fill="424E6A"/>
              </w:rPr>
              <w:t>Max</w:t>
            </w:r>
          </w:p>
        </w:tc>
        <w:tc>
          <w:tcPr>
            <w:tcW w:w="160" w:type="dxa"/>
            <w:vAlign w:val="bottom"/>
            <w:shd w:val="clear" w:color="auto" w:fill="424E6A"/>
          </w:tcPr>
          <w:p>
            <w:pPr>
              <w:spacing w:after="0"/>
              <w:rPr>
                <w:sz w:val="24"/>
                <w:szCs w:val="24"/>
                <w:color w:val="auto"/>
              </w:rPr>
            </w:pPr>
          </w:p>
        </w:tc>
        <w:tc>
          <w:tcPr>
            <w:tcW w:w="780" w:type="dxa"/>
            <w:vAlign w:val="bottom"/>
            <w:gridSpan w:val="2"/>
            <w:shd w:val="clear" w:color="auto" w:fill="424E6A"/>
          </w:tcPr>
          <w:p>
            <w:pPr>
              <w:ind w:left="20"/>
              <w:spacing w:after="0" w:line="297" w:lineRule="exact"/>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Result</w:t>
            </w:r>
          </w:p>
        </w:tc>
        <w:tc>
          <w:tcPr>
            <w:tcW w:w="100" w:type="dxa"/>
            <w:vAlign w:val="bottom"/>
            <w:shd w:val="clear" w:color="auto" w:fill="424E6A"/>
          </w:tcPr>
          <w:p>
            <w:pPr>
              <w:spacing w:after="0"/>
              <w:rPr>
                <w:sz w:val="24"/>
                <w:szCs w:val="24"/>
                <w:color w:val="auto"/>
              </w:rPr>
            </w:pPr>
          </w:p>
        </w:tc>
        <w:tc>
          <w:tcPr>
            <w:tcW w:w="1060" w:type="dxa"/>
            <w:vAlign w:val="bottom"/>
            <w:gridSpan w:val="4"/>
            <w:shd w:val="clear" w:color="auto" w:fill="424E6A"/>
          </w:tcPr>
          <w:p>
            <w:pPr>
              <w:ind w:left="60"/>
              <w:spacing w:after="0" w:line="297" w:lineRule="exact"/>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Payout %</w:t>
            </w:r>
          </w:p>
        </w:tc>
        <w:tc>
          <w:tcPr>
            <w:tcW w:w="800" w:type="dxa"/>
            <w:vAlign w:val="bottom"/>
            <w:tcBorders>
              <w:right w:val="single" w:sz="8" w:color="424E6A"/>
            </w:tcBorders>
            <w:shd w:val="clear" w:color="auto" w:fill="424E6A"/>
          </w:tcPr>
          <w:p>
            <w:pPr>
              <w:ind w:left="80"/>
              <w:spacing w:after="0" w:line="297" w:lineRule="exact"/>
              <w:rPr>
                <w:sz w:val="20"/>
                <w:szCs w:val="20"/>
                <w:color w:val="auto"/>
              </w:rPr>
            </w:pPr>
            <w:r>
              <w:rPr>
                <w:rFonts w:ascii="Arial" w:cs="Arial" w:eastAsia="Arial" w:hAnsi="Arial"/>
                <w:sz w:val="14"/>
                <w:szCs w:val="14"/>
                <w:b w:val="1"/>
                <w:bCs w:val="1"/>
                <w:color w:val="FFFFFF"/>
                <w:shd w:val="clear" w:color="auto" w:fill="424E6A"/>
              </w:rPr>
              <w:t xml:space="preserve">Wgtd % </w:t>
            </w:r>
            <w:r>
              <w:rPr>
                <w:rFonts w:ascii="Arial" w:cs="Arial" w:eastAsia="Arial" w:hAnsi="Arial"/>
                <w:sz w:val="28"/>
                <w:szCs w:val="28"/>
                <w:b w:val="1"/>
                <w:bCs w:val="1"/>
                <w:color w:val="FFFFFF"/>
                <w:vertAlign w:val="subscript"/>
                <w:shd w:val="clear" w:color="auto" w:fill="424E6A"/>
              </w:rPr>
              <w:t>​</w:t>
            </w:r>
          </w:p>
        </w:tc>
        <w:tc>
          <w:tcPr>
            <w:tcW w:w="0" w:type="dxa"/>
            <w:vAlign w:val="bottom"/>
          </w:tcPr>
          <w:p>
            <w:pPr>
              <w:spacing w:after="0"/>
              <w:rPr>
                <w:sz w:val="1"/>
                <w:szCs w:val="1"/>
                <w:color w:val="auto"/>
              </w:rPr>
            </w:pPr>
          </w:p>
        </w:tc>
      </w:tr>
      <w:tr>
        <w:trPr>
          <w:trHeight w:val="211"/>
        </w:trPr>
        <w:tc>
          <w:tcPr>
            <w:tcW w:w="226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D9DCE1"/>
          </w:tcPr>
          <w:p>
            <w:pPr>
              <w:spacing w:after="0"/>
              <w:rPr>
                <w:sz w:val="18"/>
                <w:szCs w:val="18"/>
                <w:color w:val="auto"/>
              </w:rPr>
            </w:pPr>
          </w:p>
        </w:tc>
        <w:tc>
          <w:tcPr>
            <w:tcW w:w="90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20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16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220" w:type="dxa"/>
            <w:vAlign w:val="bottom"/>
            <w:tcBorders>
              <w:right w:val="single" w:sz="8" w:color="D9DCE1"/>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80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attributable to PAA</w:t>
            </w:r>
          </w:p>
        </w:tc>
        <w:tc>
          <w:tcPr>
            <w:tcW w:w="260" w:type="dxa"/>
            <w:vAlign w:val="bottom"/>
            <w:shd w:val="clear" w:color="auto" w:fill="D9DCE1"/>
          </w:tcPr>
          <w:p>
            <w:pPr>
              <w:spacing w:after="0"/>
              <w:rPr>
                <w:sz w:val="18"/>
                <w:szCs w:val="18"/>
                <w:color w:val="auto"/>
              </w:rPr>
            </w:pPr>
          </w:p>
        </w:tc>
        <w:tc>
          <w:tcPr>
            <w:tcW w:w="90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20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16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220" w:type="dxa"/>
            <w:vAlign w:val="bottom"/>
            <w:tcBorders>
              <w:right w:val="single" w:sz="8" w:color="D9DCE1"/>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80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6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424E6A"/>
            </w:tcBorders>
            <w:gridSpan w:val="2"/>
            <w:shd w:val="clear" w:color="auto" w:fill="D9DCE1"/>
          </w:tcPr>
          <w:p>
            <w:pPr>
              <w:ind w:left="120"/>
              <w:spacing w:after="0"/>
              <w:rPr>
                <w:sz w:val="20"/>
                <w:szCs w:val="20"/>
                <w:color w:val="auto"/>
              </w:rPr>
            </w:pPr>
            <w:r>
              <w:rPr>
                <w:rFonts w:ascii="Arial" w:cs="Arial" w:eastAsia="Arial" w:hAnsi="Arial"/>
                <w:sz w:val="18"/>
                <w:szCs w:val="18"/>
                <w:color w:val="auto"/>
              </w:rPr>
              <w:t>​40%​​ ​ ​$2,475</w:t>
            </w:r>
          </w:p>
        </w:tc>
        <w:tc>
          <w:tcPr>
            <w:tcW w:w="820" w:type="dxa"/>
            <w:vAlign w:val="bottom"/>
            <w:tcBorders>
              <w:bottom w:val="single" w:sz="8" w:color="424E6A"/>
            </w:tcBorders>
            <w:gridSpan w:val="3"/>
            <w:shd w:val="clear" w:color="auto" w:fill="D9DCE1"/>
          </w:tcPr>
          <w:p>
            <w:pPr>
              <w:ind w:left="40"/>
              <w:spacing w:after="0"/>
              <w:rPr>
                <w:sz w:val="20"/>
                <w:szCs w:val="20"/>
                <w:color w:val="auto"/>
              </w:rPr>
            </w:pPr>
            <w:r>
              <w:rPr>
                <w:rFonts w:ascii="Arial" w:cs="Arial" w:eastAsia="Arial" w:hAnsi="Arial"/>
                <w:sz w:val="18"/>
                <w:szCs w:val="18"/>
                <w:color w:val="auto"/>
              </w:rPr>
              <w:t>​​ ​​$2,675</w:t>
            </w:r>
          </w:p>
        </w:tc>
        <w:tc>
          <w:tcPr>
            <w:tcW w:w="780" w:type="dxa"/>
            <w:vAlign w:val="bottom"/>
            <w:tcBorders>
              <w:bottom w:val="single" w:sz="8" w:color="424E6A"/>
            </w:tcBorders>
            <w:gridSpan w:val="3"/>
            <w:shd w:val="clear" w:color="auto" w:fill="D9DCE1"/>
          </w:tcPr>
          <w:p>
            <w:pPr>
              <w:ind w:left="40"/>
              <w:spacing w:after="0"/>
              <w:rPr>
                <w:sz w:val="20"/>
                <w:szCs w:val="20"/>
                <w:color w:val="auto"/>
              </w:rPr>
            </w:pPr>
            <w:r>
              <w:rPr>
                <w:rFonts w:ascii="Arial" w:cs="Arial" w:eastAsia="Arial" w:hAnsi="Arial"/>
                <w:sz w:val="18"/>
                <w:szCs w:val="18"/>
                <w:color w:val="auto"/>
              </w:rPr>
              <w:t>​ ​​$2,875</w:t>
            </w:r>
          </w:p>
        </w:tc>
        <w:tc>
          <w:tcPr>
            <w:tcW w:w="880" w:type="dxa"/>
            <w:vAlign w:val="bottom"/>
            <w:tcBorders>
              <w:bottom w:val="single" w:sz="8" w:color="424E6A"/>
            </w:tcBorders>
            <w:gridSpan w:val="3"/>
            <w:shd w:val="clear" w:color="auto" w:fill="D9DCE1"/>
          </w:tcPr>
          <w:p>
            <w:pPr>
              <w:ind w:left="20"/>
              <w:spacing w:after="0"/>
              <w:rPr>
                <w:sz w:val="20"/>
                <w:szCs w:val="20"/>
                <w:color w:val="auto"/>
              </w:rPr>
            </w:pPr>
            <w:r>
              <w:rPr>
                <w:rFonts w:ascii="Arial" w:cs="Arial" w:eastAsia="Arial" w:hAnsi="Arial"/>
                <w:sz w:val="18"/>
                <w:szCs w:val="18"/>
                <w:color w:val="auto"/>
              </w:rPr>
              <w:t>​ ​ ​$2,779</w:t>
            </w:r>
          </w:p>
        </w:tc>
        <w:tc>
          <w:tcPr>
            <w:tcW w:w="360" w:type="dxa"/>
            <w:vAlign w:val="bottom"/>
            <w:tcBorders>
              <w:bottom w:val="single" w:sz="8" w:color="424E6A"/>
            </w:tcBorders>
            <w:shd w:val="clear" w:color="auto" w:fill="D9DCE1"/>
          </w:tcPr>
          <w:p>
            <w:pPr>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424E6A"/>
            </w:tcBorders>
            <w:gridSpan w:val="3"/>
            <w:shd w:val="clear" w:color="auto" w:fill="D9DCE1"/>
          </w:tcPr>
          <w:p>
            <w:pPr>
              <w:jc w:val="right"/>
              <w:ind w:right="24"/>
              <w:spacing w:after="0"/>
              <w:rPr>
                <w:sz w:val="20"/>
                <w:szCs w:val="20"/>
                <w:color w:val="auto"/>
              </w:rPr>
            </w:pPr>
            <w:r>
              <w:rPr>
                <w:rFonts w:ascii="Arial" w:cs="Arial" w:eastAsia="Arial" w:hAnsi="Arial"/>
                <w:sz w:val="18"/>
                <w:szCs w:val="18"/>
                <w:color w:val="auto"/>
              </w:rPr>
              <w:t>​152% ​</w:t>
            </w:r>
          </w:p>
        </w:tc>
        <w:tc>
          <w:tcPr>
            <w:tcW w:w="800" w:type="dxa"/>
            <w:vAlign w:val="bottom"/>
            <w:tcBorders>
              <w:bottom w:val="single" w:sz="8" w:color="424E6A"/>
              <w:right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 61%​ ​</w:t>
            </w:r>
          </w:p>
        </w:tc>
        <w:tc>
          <w:tcPr>
            <w:tcW w:w="0" w:type="dxa"/>
            <w:vAlign w:val="bottom"/>
          </w:tcPr>
          <w:p>
            <w:pPr>
              <w:spacing w:after="0"/>
              <w:rPr>
                <w:sz w:val="1"/>
                <w:szCs w:val="1"/>
                <w:color w:val="auto"/>
              </w:rPr>
            </w:pPr>
          </w:p>
        </w:tc>
      </w:tr>
      <w:tr>
        <w:trPr>
          <w:trHeight w:val="250"/>
        </w:trPr>
        <w:tc>
          <w:tcPr>
            <w:tcW w:w="22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Implied DCF/CUE</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424E6A"/>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6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2.62</w:t>
            </w:r>
          </w:p>
        </w:tc>
        <w:tc>
          <w:tcPr>
            <w:tcW w:w="40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80" w:type="dxa"/>
            <w:vAlign w:val="bottom"/>
            <w:tcBorders>
              <w:bottom w:val="single" w:sz="8" w:color="424E6A"/>
            </w:tcBorders>
            <w:gridSpan w:val="2"/>
          </w:tcPr>
          <w:p>
            <w:pPr>
              <w:ind w:left="60"/>
              <w:spacing w:after="0"/>
              <w:rPr>
                <w:sz w:val="20"/>
                <w:szCs w:val="20"/>
                <w:color w:val="auto"/>
              </w:rPr>
            </w:pPr>
            <w:r>
              <w:rPr>
                <w:rFonts w:ascii="Arial" w:cs="Arial" w:eastAsia="Arial" w:hAnsi="Arial"/>
                <w:sz w:val="18"/>
                <w:szCs w:val="18"/>
                <w:color w:val="auto"/>
              </w:rPr>
              <w:t>2.49</w:t>
            </w:r>
          </w:p>
        </w:tc>
        <w:tc>
          <w:tcPr>
            <w:tcW w:w="36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424E6A"/>
            </w:tcBorders>
            <w:gridSpan w:val="3"/>
          </w:tcPr>
          <w:p>
            <w:pPr>
              <w:jc w:val="right"/>
              <w:ind w:right="2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127% </w:t>
            </w:r>
            <w:r>
              <w:rPr>
                <w:rFonts w:ascii="Arial" w:cs="Arial" w:eastAsia="Arial" w:hAnsi="Arial"/>
                <w:sz w:val="28"/>
                <w:szCs w:val="28"/>
                <w:color w:val="auto"/>
                <w:vertAlign w:val="subscript"/>
              </w:rPr>
              <w:t>​</w:t>
            </w:r>
          </w:p>
        </w:tc>
        <w:tc>
          <w:tcPr>
            <w:tcW w:w="800" w:type="dxa"/>
            <w:vAlign w:val="bottom"/>
            <w:tcBorders>
              <w:bottom w:val="single" w:sz="8" w:color="424E6A"/>
              <w:right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2260" w:type="dxa"/>
            <w:vAlign w:val="bottom"/>
            <w:tcBorders>
              <w:left w:val="single" w:sz="8" w:color="424E6A"/>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18"/>
                <w:szCs w:val="18"/>
                <w:color w:val="auto"/>
              </w:rPr>
              <w:t>Safety (TRIR)</w:t>
            </w:r>
            <w:r>
              <w:rPr>
                <w:rFonts w:ascii="Arial" w:cs="Arial" w:eastAsia="Arial" w:hAnsi="Arial"/>
                <w:sz w:val="23"/>
                <w:szCs w:val="23"/>
                <w:color w:val="auto"/>
                <w:vertAlign w:val="superscript"/>
              </w:rPr>
              <w:t>(1)</w:t>
            </w:r>
          </w:p>
        </w:tc>
        <w:tc>
          <w:tcPr>
            <w:tcW w:w="26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424E6A"/>
            </w:tcBorders>
            <w:shd w:val="clear" w:color="auto" w:fill="D9DCE1"/>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 ​</w:t>
            </w:r>
          </w:p>
        </w:tc>
        <w:tc>
          <w:tcPr>
            <w:tcW w:w="4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0.36</w:t>
            </w:r>
          </w:p>
        </w:tc>
        <w:tc>
          <w:tcPr>
            <w:tcW w:w="3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 ​ ​</w:t>
            </w:r>
          </w:p>
        </w:tc>
        <w:tc>
          <w:tcPr>
            <w:tcW w:w="480" w:type="dxa"/>
            <w:vAlign w:val="bottom"/>
            <w:tcBorders>
              <w:bottom w:val="single" w:sz="8" w:color="424E6A"/>
            </w:tcBorders>
            <w:gridSpan w:val="2"/>
            <w:shd w:val="clear" w:color="auto" w:fill="D9DCE1"/>
          </w:tcPr>
          <w:p>
            <w:pPr>
              <w:ind w:left="60"/>
              <w:spacing w:after="0"/>
              <w:rPr>
                <w:sz w:val="20"/>
                <w:szCs w:val="20"/>
                <w:color w:val="auto"/>
              </w:rPr>
            </w:pPr>
            <w:r>
              <w:rPr>
                <w:rFonts w:ascii="Arial" w:cs="Arial" w:eastAsia="Arial" w:hAnsi="Arial"/>
                <w:sz w:val="18"/>
                <w:szCs w:val="18"/>
                <w:color w:val="auto"/>
              </w:rPr>
              <w:t>0.25</w:t>
            </w:r>
          </w:p>
        </w:tc>
        <w:tc>
          <w:tcPr>
            <w:tcW w:w="360" w:type="dxa"/>
            <w:vAlign w:val="bottom"/>
            <w:tcBorders>
              <w:bottom w:val="single" w:sz="8" w:color="424E6A"/>
            </w:tcBorders>
            <w:shd w:val="clear" w:color="auto" w:fill="D9DCE1"/>
          </w:tcPr>
          <w:p>
            <w:pPr>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424E6A"/>
            </w:tcBorders>
            <w:gridSpan w:val="3"/>
            <w:shd w:val="clear" w:color="auto" w:fill="D9DCE1"/>
          </w:tcPr>
          <w:p>
            <w:pPr>
              <w:jc w:val="right"/>
              <w:ind w:right="2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 </w:t>
            </w:r>
            <w:r>
              <w:rPr>
                <w:rFonts w:ascii="Arial" w:cs="Arial" w:eastAsia="Arial" w:hAnsi="Arial"/>
                <w:sz w:val="28"/>
                <w:szCs w:val="28"/>
                <w:color w:val="auto"/>
                <w:vertAlign w:val="subscript"/>
              </w:rPr>
              <w:t>​</w:t>
            </w:r>
          </w:p>
        </w:tc>
        <w:tc>
          <w:tcPr>
            <w:tcW w:w="800" w:type="dxa"/>
            <w:vAlign w:val="bottom"/>
            <w:tcBorders>
              <w:bottom w:val="single" w:sz="8" w:color="424E6A"/>
              <w:right w:val="single" w:sz="8" w:color="424E6A"/>
            </w:tcBorders>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7.5%</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2260" w:type="dxa"/>
            <w:vAlign w:val="bottom"/>
            <w:tcBorders>
              <w:left w:val="single" w:sz="8" w:color="424E6A"/>
              <w:bottom w:val="single" w:sz="8" w:color="424E6A"/>
            </w:tcBorders>
          </w:tcPr>
          <w:p>
            <w:pPr>
              <w:ind w:left="60"/>
              <w:spacing w:after="0" w:line="250" w:lineRule="exact"/>
              <w:rPr>
                <w:sz w:val="20"/>
                <w:szCs w:val="20"/>
                <w:color w:val="auto"/>
              </w:rPr>
            </w:pPr>
            <w:r>
              <w:rPr>
                <w:rFonts w:ascii="Arial" w:cs="Arial" w:eastAsia="Arial" w:hAnsi="Arial"/>
                <w:sz w:val="18"/>
                <w:szCs w:val="18"/>
                <w:color w:val="auto"/>
              </w:rPr>
              <w:t>Environmental (FRR)</w:t>
            </w:r>
            <w:r>
              <w:rPr>
                <w:rFonts w:ascii="Arial" w:cs="Arial" w:eastAsia="Arial" w:hAnsi="Arial"/>
                <w:sz w:val="23"/>
                <w:szCs w:val="23"/>
                <w:color w:val="auto"/>
                <w:vertAlign w:val="superscript"/>
              </w:rPr>
              <w:t>(1)</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424E6A"/>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 ​</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w w:val="99"/>
              </w:rPr>
              <w:t>15</w:t>
            </w:r>
          </w:p>
        </w:tc>
        <w:tc>
          <w:tcPr>
            <w:tcW w:w="3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424E6A"/>
            </w:tcBorders>
          </w:tcPr>
          <w:p>
            <w:pPr>
              <w:spacing w:after="0"/>
              <w:rPr>
                <w:sz w:val="21"/>
                <w:szCs w:val="21"/>
                <w:color w:val="auto"/>
              </w:rPr>
            </w:pP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 ​ ​</w:t>
            </w:r>
          </w:p>
        </w:tc>
        <w:tc>
          <w:tcPr>
            <w:tcW w:w="480" w:type="dxa"/>
            <w:vAlign w:val="bottom"/>
            <w:tcBorders>
              <w:bottom w:val="single" w:sz="8" w:color="424E6A"/>
            </w:tcBorders>
            <w:gridSpan w:val="2"/>
          </w:tcPr>
          <w:p>
            <w:pPr>
              <w:ind w:left="22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424E6A"/>
            </w:tcBorders>
            <w:gridSpan w:val="3"/>
          </w:tcPr>
          <w:p>
            <w:pPr>
              <w:jc w:val="right"/>
              <w:ind w:right="2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 </w:t>
            </w:r>
            <w:r>
              <w:rPr>
                <w:rFonts w:ascii="Arial" w:cs="Arial" w:eastAsia="Arial" w:hAnsi="Arial"/>
                <w:sz w:val="28"/>
                <w:szCs w:val="28"/>
                <w:color w:val="auto"/>
                <w:vertAlign w:val="subscript"/>
              </w:rPr>
              <w:t>​</w:t>
            </w:r>
          </w:p>
        </w:tc>
        <w:tc>
          <w:tcPr>
            <w:tcW w:w="800" w:type="dxa"/>
            <w:vAlign w:val="bottom"/>
            <w:tcBorders>
              <w:bottom w:val="single" w:sz="8" w:color="424E6A"/>
              <w:right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8.9%</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18"/>
        </w:trPr>
        <w:tc>
          <w:tcPr>
            <w:tcW w:w="2260" w:type="dxa"/>
            <w:vAlign w:val="bottom"/>
            <w:tcBorders>
              <w:left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Company Performance</w:t>
            </w:r>
          </w:p>
        </w:tc>
        <w:tc>
          <w:tcPr>
            <w:tcW w:w="260" w:type="dxa"/>
            <w:vAlign w:val="bottom"/>
            <w:shd w:val="clear" w:color="auto" w:fill="D9DCE1"/>
          </w:tcPr>
          <w:p>
            <w:pPr>
              <w:spacing w:after="0"/>
              <w:rPr>
                <w:sz w:val="18"/>
                <w:szCs w:val="18"/>
                <w:color w:val="auto"/>
              </w:rPr>
            </w:pPr>
          </w:p>
        </w:tc>
        <w:tc>
          <w:tcPr>
            <w:tcW w:w="90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20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16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220" w:type="dxa"/>
            <w:vAlign w:val="bottom"/>
            <w:tcBorders>
              <w:right w:val="single" w:sz="8" w:color="D9DCE1"/>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80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60" w:type="dxa"/>
            <w:vAlign w:val="bottom"/>
            <w:tcBorders>
              <w:left w:val="single" w:sz="8" w:color="424E6A"/>
              <w:bottom w:val="single" w:sz="8" w:color="424E6A"/>
            </w:tcBorders>
            <w:shd w:val="clear" w:color="auto" w:fill="D9DCE1"/>
          </w:tcPr>
          <w:p>
            <w:pPr>
              <w:ind w:left="4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   ​​ ​ ​</w:t>
            </w:r>
          </w:p>
        </w:tc>
        <w:tc>
          <w:tcPr>
            <w:tcW w:w="460" w:type="dxa"/>
            <w:vAlign w:val="bottom"/>
            <w:tcBorders>
              <w:bottom w:val="single" w:sz="8" w:color="424E6A"/>
            </w:tcBorders>
            <w:shd w:val="clear" w:color="auto" w:fill="D9DCE1"/>
          </w:tcPr>
          <w:p>
            <w:pPr>
              <w:spacing w:after="0"/>
              <w:rPr>
                <w:sz w:val="23"/>
                <w:szCs w:val="23"/>
                <w:color w:val="auto"/>
              </w:rPr>
            </w:pPr>
          </w:p>
        </w:tc>
        <w:tc>
          <w:tcPr>
            <w:tcW w:w="3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424E6A"/>
            </w:tcBorders>
            <w:shd w:val="clear" w:color="auto" w:fill="D9DCE1"/>
          </w:tcPr>
          <w:p>
            <w:pPr>
              <w:spacing w:after="0"/>
              <w:rPr>
                <w:sz w:val="23"/>
                <w:szCs w:val="23"/>
                <w:color w:val="auto"/>
              </w:rPr>
            </w:pPr>
          </w:p>
        </w:tc>
        <w:tc>
          <w:tcPr>
            <w:tcW w:w="260" w:type="dxa"/>
            <w:vAlign w:val="bottom"/>
            <w:tcBorders>
              <w:bottom w:val="single" w:sz="8" w:color="424E6A"/>
            </w:tcBorders>
            <w:shd w:val="clear" w:color="auto" w:fill="D9DCE1"/>
          </w:tcPr>
          <w:p>
            <w:pPr>
              <w:spacing w:after="0"/>
              <w:rPr>
                <w:sz w:val="23"/>
                <w:szCs w:val="23"/>
                <w:color w:val="auto"/>
              </w:rPr>
            </w:pPr>
          </w:p>
        </w:tc>
        <w:tc>
          <w:tcPr>
            <w:tcW w:w="3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424E6A"/>
            </w:tcBorders>
            <w:shd w:val="clear" w:color="auto" w:fill="D9DCE1"/>
          </w:tcPr>
          <w:p>
            <w:pPr>
              <w:spacing w:after="0"/>
              <w:rPr>
                <w:sz w:val="23"/>
                <w:szCs w:val="23"/>
                <w:color w:val="auto"/>
              </w:rPr>
            </w:pPr>
          </w:p>
        </w:tc>
        <w:tc>
          <w:tcPr>
            <w:tcW w:w="160" w:type="dxa"/>
            <w:vAlign w:val="bottom"/>
            <w:tcBorders>
              <w:bottom w:val="single" w:sz="8" w:color="424E6A"/>
            </w:tcBorders>
            <w:shd w:val="clear" w:color="auto" w:fill="D9DCE1"/>
          </w:tcPr>
          <w:p>
            <w:pPr>
              <w:spacing w:after="0"/>
              <w:rPr>
                <w:sz w:val="23"/>
                <w:szCs w:val="23"/>
                <w:color w:val="auto"/>
              </w:rPr>
            </w:pPr>
          </w:p>
        </w:tc>
        <w:tc>
          <w:tcPr>
            <w:tcW w:w="4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 ​ ​</w:t>
            </w:r>
          </w:p>
        </w:tc>
        <w:tc>
          <w:tcPr>
            <w:tcW w:w="380" w:type="dxa"/>
            <w:vAlign w:val="bottom"/>
            <w:tcBorders>
              <w:bottom w:val="single" w:sz="8" w:color="424E6A"/>
            </w:tcBorders>
            <w:shd w:val="clear" w:color="auto" w:fill="D9DCE1"/>
          </w:tcPr>
          <w:p>
            <w:pPr>
              <w:spacing w:after="0"/>
              <w:rPr>
                <w:sz w:val="23"/>
                <w:szCs w:val="23"/>
                <w:color w:val="auto"/>
              </w:rPr>
            </w:pPr>
          </w:p>
        </w:tc>
        <w:tc>
          <w:tcPr>
            <w:tcW w:w="100" w:type="dxa"/>
            <w:vAlign w:val="bottom"/>
            <w:tcBorders>
              <w:bottom w:val="single" w:sz="8" w:color="424E6A"/>
            </w:tcBorders>
            <w:shd w:val="clear" w:color="auto" w:fill="D9DCE1"/>
          </w:tcPr>
          <w:p>
            <w:pPr>
              <w:spacing w:after="0"/>
              <w:rPr>
                <w:sz w:val="23"/>
                <w:szCs w:val="23"/>
                <w:color w:val="auto"/>
              </w:rPr>
            </w:pPr>
          </w:p>
        </w:tc>
        <w:tc>
          <w:tcPr>
            <w:tcW w:w="360" w:type="dxa"/>
            <w:vAlign w:val="bottom"/>
            <w:tcBorders>
              <w:bottom w:val="single" w:sz="8" w:color="424E6A"/>
            </w:tcBorders>
            <w:shd w:val="clear" w:color="auto" w:fill="D9DCE1"/>
          </w:tcPr>
          <w:p>
            <w:pPr>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right w:val="single" w:sz="8" w:color="D9DCE1"/>
            </w:tcBorders>
            <w:shd w:val="clear" w:color="auto" w:fill="D9DCE1"/>
          </w:tcPr>
          <w:p>
            <w:pPr>
              <w:jc w:val="right"/>
              <w:ind w:right="4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spacing w:after="0"/>
              <w:rPr>
                <w:sz w:val="23"/>
                <w:szCs w:val="23"/>
                <w:color w:val="auto"/>
              </w:rPr>
            </w:pPr>
          </w:p>
        </w:tc>
        <w:tc>
          <w:tcPr>
            <w:tcW w:w="380" w:type="dxa"/>
            <w:vAlign w:val="bottom"/>
            <w:tcBorders>
              <w:bottom w:val="single" w:sz="8" w:color="424E6A"/>
            </w:tcBorders>
            <w:shd w:val="clear" w:color="auto" w:fill="D9DCE1"/>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right w:val="single" w:sz="8" w:color="424E6A"/>
            </w:tcBorders>
            <w:shd w:val="clear" w:color="auto" w:fill="D9DCE1"/>
          </w:tcPr>
          <w:p>
            <w:pPr>
              <w:ind w:left="200"/>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128%</w:t>
            </w:r>
            <w:r>
              <w:rPr>
                <w:rFonts w:ascii="Arial" w:cs="Arial" w:eastAsia="Arial" w:hAnsi="Arial"/>
                <w:sz w:val="31"/>
                <w:szCs w:val="31"/>
                <w:color w:val="auto"/>
                <w:vertAlign w:val="subscript"/>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-1293495</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-1482725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69" w:lineRule="exact"/>
        <w:rPr>
          <w:sz w:val="20"/>
          <w:szCs w:val="20"/>
          <w:color w:val="auto"/>
        </w:rPr>
      </w:pPr>
    </w:p>
    <w:p>
      <w:pPr>
        <w:ind w:left="1620" w:right="579" w:hanging="360"/>
        <w:spacing w:after="0" w:line="228" w:lineRule="auto"/>
        <w:tabs>
          <w:tab w:leader="none" w:pos="16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The Compensation Committee approved a 25 basis point discretionary reduction in the payout for the TRIR metric due to motor vehicle fatalities, and a 25 basis point discretionary increase in the payout for the FRR metric due to the meaningful decrease in released volumes relative to the prior 5-year average.</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 (40% weight)</w:t>
      </w:r>
    </w:p>
    <w:p>
      <w:pPr>
        <w:spacing w:after="0" w:line="142"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As noted above, individual performance accounts for 40% of the annual bonus opportunity for our Named Executive Officers. Each officer’s individual contributions toward satisfaction of company goals and objectives is evaluated and payouts may range from 0-200% of target. During 2024, the executive leadership team executed well in an uncertain and volatile environment allowing Plains to successfully capture multiple upsides in the business and deliver results that exceeded plan. The individual payout scores for our NEOs for 2024 are set forth in the table below and take these factors into account, together with the specific items described for each NEO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1280" w:type="dxa"/>
            <w:vAlign w:val="bottom"/>
            <w:tcBorders>
              <w:top w:val="single" w:sz="8" w:color="auto"/>
              <w:left w:val="single" w:sz="8" w:color="auto"/>
            </w:tcBorders>
            <w:shd w:val="clear" w:color="auto" w:fill="424E6A"/>
          </w:tcPr>
          <w:p>
            <w:pPr>
              <w:spacing w:after="0"/>
              <w:rPr>
                <w:sz w:val="16"/>
                <w:szCs w:val="16"/>
                <w:color w:val="auto"/>
              </w:rPr>
            </w:pPr>
          </w:p>
        </w:tc>
        <w:tc>
          <w:tcPr>
            <w:tcW w:w="80" w:type="dxa"/>
            <w:vAlign w:val="bottom"/>
            <w:tcBorders>
              <w:top w:val="single" w:sz="8" w:color="auto"/>
              <w:right w:val="single" w:sz="8" w:color="auto"/>
            </w:tcBorders>
            <w:shd w:val="clear" w:color="auto" w:fill="424E6A"/>
          </w:tcPr>
          <w:p>
            <w:pPr>
              <w:spacing w:after="0"/>
              <w:rPr>
                <w:sz w:val="16"/>
                <w:szCs w:val="16"/>
                <w:color w:val="auto"/>
              </w:rPr>
            </w:pPr>
          </w:p>
        </w:tc>
        <w:tc>
          <w:tcPr>
            <w:tcW w:w="220" w:type="dxa"/>
            <w:vAlign w:val="bottom"/>
            <w:tcBorders>
              <w:top w:val="single" w:sz="8" w:color="auto"/>
            </w:tcBorders>
            <w:shd w:val="clear" w:color="auto" w:fill="424E6A"/>
          </w:tcPr>
          <w:p>
            <w:pPr>
              <w:spacing w:after="0"/>
              <w:rPr>
                <w:sz w:val="16"/>
                <w:szCs w:val="16"/>
                <w:color w:val="auto"/>
              </w:rPr>
            </w:pPr>
          </w:p>
        </w:tc>
        <w:tc>
          <w:tcPr>
            <w:tcW w:w="5680" w:type="dxa"/>
            <w:vAlign w:val="bottom"/>
            <w:tcBorders>
              <w:top w:val="single" w:sz="8" w:color="auto"/>
            </w:tcBorders>
            <w:shd w:val="clear" w:color="auto" w:fill="424E6A"/>
          </w:tcPr>
          <w:p>
            <w:pPr>
              <w:spacing w:after="0"/>
              <w:rPr>
                <w:sz w:val="16"/>
                <w:szCs w:val="16"/>
                <w:color w:val="auto"/>
              </w:rPr>
            </w:pPr>
          </w:p>
        </w:tc>
        <w:tc>
          <w:tcPr>
            <w:tcW w:w="100" w:type="dxa"/>
            <w:vAlign w:val="bottom"/>
            <w:tcBorders>
              <w:top w:val="single" w:sz="8" w:color="auto"/>
              <w:right w:val="single" w:sz="8" w:color="auto"/>
            </w:tcBorders>
            <w:shd w:val="clear" w:color="auto" w:fill="424E6A"/>
          </w:tcPr>
          <w:p>
            <w:pPr>
              <w:spacing w:after="0"/>
              <w:rPr>
                <w:sz w:val="16"/>
                <w:szCs w:val="16"/>
                <w:color w:val="auto"/>
              </w:rPr>
            </w:pPr>
          </w:p>
        </w:tc>
        <w:tc>
          <w:tcPr>
            <w:tcW w:w="860" w:type="dxa"/>
            <w:vAlign w:val="bottom"/>
            <w:tcBorders>
              <w:top w:val="single" w:sz="8" w:color="auto"/>
              <w:right w:val="single" w:sz="8" w:color="auto"/>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Payout</w:t>
            </w:r>
          </w:p>
        </w:tc>
      </w:tr>
      <w:tr>
        <w:trPr>
          <w:trHeight w:val="171"/>
        </w:trPr>
        <w:tc>
          <w:tcPr>
            <w:tcW w:w="1280" w:type="dxa"/>
            <w:vAlign w:val="bottom"/>
            <w:tcBorders>
              <w:left w:val="single" w:sz="8" w:color="auto"/>
              <w:bottom w:val="single" w:sz="8" w:color="auto"/>
            </w:tcBorders>
            <w:shd w:val="clear" w:color="auto" w:fill="424E6A"/>
          </w:tcPr>
          <w:p>
            <w:pPr>
              <w:ind w:left="460"/>
              <w:spacing w:after="0"/>
              <w:rPr>
                <w:sz w:val="20"/>
                <w:szCs w:val="20"/>
                <w:color w:val="auto"/>
              </w:rPr>
            </w:pPr>
            <w:r>
              <w:rPr>
                <w:rFonts w:ascii="Arial" w:cs="Arial" w:eastAsia="Arial" w:hAnsi="Arial"/>
                <w:sz w:val="14"/>
                <w:szCs w:val="14"/>
                <w:b w:val="1"/>
                <w:bCs w:val="1"/>
                <w:color w:val="FFFFFF"/>
              </w:rPr>
              <w:t>Name</w:t>
            </w:r>
          </w:p>
        </w:tc>
        <w:tc>
          <w:tcPr>
            <w:tcW w:w="80" w:type="dxa"/>
            <w:vAlign w:val="bottom"/>
            <w:tcBorders>
              <w:bottom w:val="single" w:sz="8" w:color="auto"/>
              <w:right w:val="single" w:sz="8" w:color="auto"/>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auto"/>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5680" w:type="dxa"/>
            <w:vAlign w:val="bottom"/>
            <w:tcBorders>
              <w:bottom w:val="single" w:sz="8" w:color="auto"/>
            </w:tcBorders>
            <w:shd w:val="clear" w:color="auto" w:fill="424E6A"/>
          </w:tcPr>
          <w:p>
            <w:pPr>
              <w:ind w:left="1440"/>
              <w:spacing w:after="0"/>
              <w:rPr>
                <w:sz w:val="20"/>
                <w:szCs w:val="20"/>
                <w:color w:val="auto"/>
              </w:rPr>
            </w:pPr>
            <w:r>
              <w:rPr>
                <w:rFonts w:ascii="Arial" w:cs="Arial" w:eastAsia="Arial" w:hAnsi="Arial"/>
                <w:sz w:val="14"/>
                <w:szCs w:val="14"/>
                <w:b w:val="1"/>
                <w:bCs w:val="1"/>
                <w:color w:val="FFFFFF"/>
              </w:rPr>
              <w:t>2024 Individual Performance Highlights</w:t>
            </w:r>
          </w:p>
        </w:tc>
        <w:tc>
          <w:tcPr>
            <w:tcW w:w="10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 Score</w:t>
            </w:r>
          </w:p>
        </w:tc>
      </w:tr>
      <w:tr>
        <w:trPr>
          <w:trHeight w:val="174"/>
        </w:trPr>
        <w:tc>
          <w:tcPr>
            <w:tcW w:w="1280" w:type="dxa"/>
            <w:vAlign w:val="bottom"/>
            <w:tcBorders>
              <w:left w:val="single" w:sz="8" w:color="auto"/>
            </w:tcBorders>
            <w:shd w:val="clear" w:color="auto" w:fill="D9DCE1"/>
          </w:tcPr>
          <w:p>
            <w:pPr>
              <w:ind w:left="60"/>
              <w:spacing w:after="0" w:line="174" w:lineRule="exact"/>
              <w:rPr>
                <w:sz w:val="20"/>
                <w:szCs w:val="20"/>
                <w:color w:val="auto"/>
              </w:rPr>
            </w:pPr>
            <w:r>
              <w:rPr>
                <w:rFonts w:ascii="Arial" w:cs="Arial" w:eastAsia="Arial" w:hAnsi="Arial"/>
                <w:sz w:val="17"/>
                <w:szCs w:val="17"/>
                <w:color w:val="auto"/>
              </w:rPr>
              <w:t>Willie Chiang</w:t>
            </w:r>
          </w:p>
        </w:tc>
        <w:tc>
          <w:tcPr>
            <w:tcW w:w="80" w:type="dxa"/>
            <w:vAlign w:val="bottom"/>
            <w:tcBorders>
              <w:right w:val="single" w:sz="8" w:color="auto"/>
            </w:tcBorders>
            <w:shd w:val="clear" w:color="auto" w:fill="D9DCE1"/>
          </w:tcPr>
          <w:p>
            <w:pPr>
              <w:spacing w:after="0"/>
              <w:rPr>
                <w:sz w:val="15"/>
                <w:szCs w:val="15"/>
                <w:color w:val="auto"/>
              </w:rPr>
            </w:pPr>
          </w:p>
        </w:tc>
        <w:tc>
          <w:tcPr>
            <w:tcW w:w="220" w:type="dxa"/>
            <w:vAlign w:val="bottom"/>
            <w:shd w:val="clear" w:color="auto" w:fill="D9DCE1"/>
          </w:tcPr>
          <w:p>
            <w:pPr>
              <w:ind w:left="100"/>
              <w:spacing w:after="0" w:line="174" w:lineRule="exact"/>
              <w:rPr>
                <w:sz w:val="20"/>
                <w:szCs w:val="20"/>
                <w:color w:val="auto"/>
              </w:rPr>
            </w:pPr>
            <w:r>
              <w:rPr>
                <w:rFonts w:ascii="Arial" w:cs="Arial" w:eastAsia="Arial" w:hAnsi="Arial"/>
                <w:sz w:val="17"/>
                <w:szCs w:val="17"/>
                <w:color w:val="auto"/>
              </w:rPr>
              <w:t>•</w:t>
            </w:r>
          </w:p>
        </w:tc>
        <w:tc>
          <w:tcPr>
            <w:tcW w:w="5680" w:type="dxa"/>
            <w:vAlign w:val="bottom"/>
            <w:shd w:val="clear" w:color="auto" w:fill="D9DCE1"/>
          </w:tcPr>
          <w:p>
            <w:pPr>
              <w:ind w:left="40"/>
              <w:spacing w:after="0" w:line="174" w:lineRule="exact"/>
              <w:rPr>
                <w:sz w:val="20"/>
                <w:szCs w:val="20"/>
                <w:color w:val="auto"/>
              </w:rPr>
            </w:pPr>
            <w:r>
              <w:rPr>
                <w:rFonts w:ascii="Arial" w:cs="Arial" w:eastAsia="Arial" w:hAnsi="Arial"/>
                <w:sz w:val="17"/>
                <w:szCs w:val="17"/>
                <w:color w:val="auto"/>
              </w:rPr>
              <w:t>Overall leadership, culture and tone setting</w:t>
            </w:r>
          </w:p>
        </w:tc>
        <w:tc>
          <w:tcPr>
            <w:tcW w:w="100" w:type="dxa"/>
            <w:vAlign w:val="bottom"/>
            <w:tcBorders>
              <w:right w:val="single" w:sz="8" w:color="auto"/>
            </w:tcBorders>
            <w:shd w:val="clear" w:color="auto" w:fill="D9DCE1"/>
          </w:tcPr>
          <w:p>
            <w:pPr>
              <w:spacing w:after="0"/>
              <w:rPr>
                <w:sz w:val="15"/>
                <w:szCs w:val="15"/>
                <w:color w:val="auto"/>
              </w:rPr>
            </w:pPr>
          </w:p>
        </w:tc>
        <w:tc>
          <w:tcPr>
            <w:tcW w:w="860" w:type="dxa"/>
            <w:vAlign w:val="bottom"/>
            <w:tcBorders>
              <w:right w:val="single" w:sz="8" w:color="auto"/>
            </w:tcBorders>
            <w:shd w:val="clear" w:color="auto" w:fill="D9DCE1"/>
          </w:tcPr>
          <w:p>
            <w:pPr>
              <w:ind w:left="100"/>
              <w:spacing w:after="0" w:line="174" w:lineRule="exact"/>
              <w:rPr>
                <w:sz w:val="20"/>
                <w:szCs w:val="20"/>
                <w:color w:val="auto"/>
              </w:rPr>
            </w:pPr>
            <w:r>
              <w:rPr>
                <w:rFonts w:ascii="Arial" w:cs="Arial" w:eastAsia="Arial" w:hAnsi="Arial"/>
                <w:sz w:val="17"/>
                <w:szCs w:val="17"/>
                <w:color w:val="auto"/>
              </w:rPr>
              <w:t>160%</w:t>
            </w: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Investor and rating agency engagement/messaging, capital allocation/​</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25"/>
        </w:trPr>
        <w:tc>
          <w:tcPr>
            <w:tcW w:w="1280" w:type="dxa"/>
            <w:vAlign w:val="bottom"/>
            <w:tcBorders>
              <w:left w:val="single" w:sz="8" w:color="auto"/>
            </w:tcBorders>
            <w:shd w:val="clear" w:color="auto" w:fill="D9DCE1"/>
          </w:tcPr>
          <w:p>
            <w:pPr>
              <w:spacing w:after="0"/>
              <w:rPr>
                <w:sz w:val="19"/>
                <w:szCs w:val="19"/>
                <w:color w:val="auto"/>
              </w:rPr>
            </w:pPr>
          </w:p>
        </w:tc>
        <w:tc>
          <w:tcPr>
            <w:tcW w:w="80" w:type="dxa"/>
            <w:vAlign w:val="bottom"/>
            <w:tcBorders>
              <w:right w:val="single" w:sz="8" w:color="auto"/>
            </w:tcBorders>
            <w:shd w:val="clear" w:color="auto" w:fill="D9DCE1"/>
          </w:tcPr>
          <w:p>
            <w:pPr>
              <w:spacing w:after="0"/>
              <w:rPr>
                <w:sz w:val="19"/>
                <w:szCs w:val="19"/>
                <w:color w:val="auto"/>
              </w:rPr>
            </w:pPr>
          </w:p>
        </w:tc>
        <w:tc>
          <w:tcPr>
            <w:tcW w:w="220" w:type="dxa"/>
            <w:vAlign w:val="bottom"/>
            <w:shd w:val="clear" w:color="auto" w:fill="D9DCE1"/>
          </w:tcPr>
          <w:p>
            <w:pPr>
              <w:spacing w:after="0"/>
              <w:rPr>
                <w:sz w:val="19"/>
                <w:szCs w:val="19"/>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discipline, ESG/sustainability</w:t>
            </w:r>
          </w:p>
        </w:tc>
        <w:tc>
          <w:tcPr>
            <w:tcW w:w="100" w:type="dxa"/>
            <w:vAlign w:val="bottom"/>
            <w:tcBorders>
              <w:right w:val="single" w:sz="8" w:color="auto"/>
            </w:tcBorders>
            <w:shd w:val="clear" w:color="auto" w:fill="D9DCE1"/>
          </w:tcPr>
          <w:p>
            <w:pPr>
              <w:spacing w:after="0"/>
              <w:rPr>
                <w:sz w:val="19"/>
                <w:szCs w:val="19"/>
                <w:color w:val="auto"/>
              </w:rPr>
            </w:pPr>
          </w:p>
        </w:tc>
        <w:tc>
          <w:tcPr>
            <w:tcW w:w="860" w:type="dxa"/>
            <w:vAlign w:val="bottom"/>
            <w:tcBorders>
              <w:right w:val="single" w:sz="8" w:color="auto"/>
            </w:tcBorders>
            <w:shd w:val="clear" w:color="auto" w:fill="D9DCE1"/>
          </w:tcPr>
          <w:p>
            <w:pPr>
              <w:spacing w:after="0"/>
              <w:rPr>
                <w:sz w:val="19"/>
                <w:szCs w:val="19"/>
                <w:color w:val="auto"/>
              </w:rPr>
            </w:pPr>
          </w:p>
        </w:tc>
      </w:tr>
      <w:tr>
        <w:trPr>
          <w:trHeight w:val="207"/>
        </w:trPr>
        <w:tc>
          <w:tcPr>
            <w:tcW w:w="1280" w:type="dxa"/>
            <w:vAlign w:val="bottom"/>
            <w:tcBorders>
              <w:left w:val="single" w:sz="8" w:color="auto"/>
            </w:tcBorders>
            <w:shd w:val="clear" w:color="auto" w:fill="D9DCE1"/>
          </w:tcPr>
          <w:p>
            <w:pPr>
              <w:spacing w:after="0"/>
              <w:rPr>
                <w:sz w:val="18"/>
                <w:szCs w:val="18"/>
                <w:color w:val="auto"/>
              </w:rPr>
            </w:pPr>
          </w:p>
        </w:tc>
        <w:tc>
          <w:tcPr>
            <w:tcW w:w="80" w:type="dxa"/>
            <w:vAlign w:val="bottom"/>
            <w:tcBorders>
              <w:right w:val="single" w:sz="8" w:color="auto"/>
            </w:tcBorders>
            <w:shd w:val="clear" w:color="auto" w:fill="D9DCE1"/>
          </w:tcPr>
          <w:p>
            <w:pPr>
              <w:spacing w:after="0"/>
              <w:rPr>
                <w:sz w:val="18"/>
                <w:szCs w:val="18"/>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Led strategic positioning for 2024+</w:t>
            </w:r>
          </w:p>
        </w:tc>
        <w:tc>
          <w:tcPr>
            <w:tcW w:w="100" w:type="dxa"/>
            <w:vAlign w:val="bottom"/>
            <w:tcBorders>
              <w:right w:val="single" w:sz="8" w:color="auto"/>
            </w:tcBorders>
            <w:shd w:val="clear" w:color="auto" w:fill="D9DCE1"/>
          </w:tcPr>
          <w:p>
            <w:pPr>
              <w:spacing w:after="0"/>
              <w:rPr>
                <w:sz w:val="18"/>
                <w:szCs w:val="18"/>
                <w:color w:val="auto"/>
              </w:rPr>
            </w:pPr>
          </w:p>
        </w:tc>
        <w:tc>
          <w:tcPr>
            <w:tcW w:w="860" w:type="dxa"/>
            <w:vAlign w:val="bottom"/>
            <w:tcBorders>
              <w:right w:val="single" w:sz="8" w:color="auto"/>
            </w:tcBorders>
            <w:shd w:val="clear" w:color="auto" w:fill="D9DCE1"/>
          </w:tcPr>
          <w:p>
            <w:pPr>
              <w:spacing w:after="0"/>
              <w:rPr>
                <w:sz w:val="18"/>
                <w:szCs w:val="18"/>
                <w:color w:val="auto"/>
              </w:rPr>
            </w:pPr>
          </w:p>
        </w:tc>
      </w:tr>
      <w:tr>
        <w:trPr>
          <w:trHeight w:val="211"/>
        </w:trPr>
        <w:tc>
          <w:tcPr>
            <w:tcW w:w="1280" w:type="dxa"/>
            <w:vAlign w:val="bottom"/>
            <w:tcBorders>
              <w:left w:val="single" w:sz="8" w:color="auto"/>
              <w:bottom w:val="single" w:sz="8" w:color="auto"/>
            </w:tcBorders>
            <w:shd w:val="clear" w:color="auto" w:fill="D9DCE1"/>
          </w:tcPr>
          <w:p>
            <w:pPr>
              <w:spacing w:after="0"/>
              <w:rPr>
                <w:sz w:val="18"/>
                <w:szCs w:val="18"/>
                <w:color w:val="auto"/>
              </w:rPr>
            </w:pPr>
          </w:p>
        </w:tc>
        <w:tc>
          <w:tcPr>
            <w:tcW w:w="80" w:type="dxa"/>
            <w:vAlign w:val="bottom"/>
            <w:tcBorders>
              <w:bottom w:val="single" w:sz="8" w:color="auto"/>
              <w:right w:val="single" w:sz="8" w:color="auto"/>
            </w:tcBorders>
            <w:shd w:val="clear" w:color="auto" w:fill="D9DCE1"/>
          </w:tcPr>
          <w:p>
            <w:pPr>
              <w:spacing w:after="0"/>
              <w:rPr>
                <w:sz w:val="18"/>
                <w:szCs w:val="18"/>
                <w:color w:val="auto"/>
              </w:rPr>
            </w:pPr>
          </w:p>
        </w:tc>
        <w:tc>
          <w:tcPr>
            <w:tcW w:w="5900" w:type="dxa"/>
            <w:vAlign w:val="bottom"/>
            <w:tcBorders>
              <w:bottom w:val="single" w:sz="8" w:color="auto"/>
            </w:tcBorders>
            <w:gridSpan w:val="2"/>
            <w:shd w:val="clear" w:color="auto" w:fill="D9DCE1"/>
          </w:tcPr>
          <w:p>
            <w:pPr>
              <w:ind w:left="100"/>
              <w:spacing w:after="0"/>
              <w:rPr>
                <w:sz w:val="20"/>
                <w:szCs w:val="20"/>
                <w:color w:val="auto"/>
              </w:rPr>
            </w:pPr>
            <w:r>
              <w:rPr>
                <w:rFonts w:ascii="Arial" w:cs="Arial" w:eastAsia="Arial" w:hAnsi="Arial"/>
                <w:sz w:val="17"/>
                <w:szCs w:val="17"/>
                <w:color w:val="auto"/>
              </w:rPr>
              <w:t>• Ongoing Board initiatives, leadership development/succession</w:t>
            </w:r>
          </w:p>
        </w:tc>
        <w:tc>
          <w:tcPr>
            <w:tcW w:w="100" w:type="dxa"/>
            <w:vAlign w:val="bottom"/>
            <w:tcBorders>
              <w:bottom w:val="single" w:sz="8" w:color="auto"/>
              <w:right w:val="single" w:sz="8" w:color="auto"/>
            </w:tcBorders>
            <w:shd w:val="clear" w:color="auto" w:fill="D9DCE1"/>
          </w:tcPr>
          <w:p>
            <w:pPr>
              <w:spacing w:after="0"/>
              <w:rPr>
                <w:sz w:val="18"/>
                <w:szCs w:val="18"/>
                <w:color w:val="auto"/>
              </w:rPr>
            </w:pPr>
          </w:p>
        </w:tc>
        <w:tc>
          <w:tcPr>
            <w:tcW w:w="860" w:type="dxa"/>
            <w:vAlign w:val="bottom"/>
            <w:tcBorders>
              <w:bottom w:val="single" w:sz="8" w:color="auto"/>
              <w:right w:val="single" w:sz="8" w:color="auto"/>
            </w:tcBorders>
            <w:shd w:val="clear" w:color="auto" w:fill="D9DCE1"/>
          </w:tcPr>
          <w:p>
            <w:pPr>
              <w:spacing w:after="0"/>
              <w:rPr>
                <w:sz w:val="18"/>
                <w:szCs w:val="18"/>
                <w:color w:val="auto"/>
              </w:rPr>
            </w:pPr>
          </w:p>
        </w:tc>
      </w:tr>
      <w:tr>
        <w:trPr>
          <w:trHeight w:val="201"/>
        </w:trPr>
        <w:tc>
          <w:tcPr>
            <w:tcW w:w="128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Harry Pefanis</w:t>
            </w:r>
          </w:p>
        </w:tc>
        <w:tc>
          <w:tcPr>
            <w:tcW w:w="8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680" w:type="dxa"/>
            <w:vAlign w:val="bottom"/>
          </w:tcPr>
          <w:p>
            <w:pPr>
              <w:ind w:left="40"/>
              <w:spacing w:after="0"/>
              <w:rPr>
                <w:sz w:val="20"/>
                <w:szCs w:val="20"/>
                <w:color w:val="auto"/>
              </w:rPr>
            </w:pPr>
            <w:r>
              <w:rPr>
                <w:rFonts w:ascii="Arial" w:cs="Arial" w:eastAsia="Arial" w:hAnsi="Arial"/>
                <w:sz w:val="17"/>
                <w:szCs w:val="17"/>
                <w:color w:val="auto"/>
              </w:rPr>
              <w:t>Significant role in key strategic decisions/initiatives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100%*</w:t>
            </w:r>
          </w:p>
        </w:tc>
      </w:tr>
      <w:tr>
        <w:trPr>
          <w:trHeight w:val="175"/>
        </w:trPr>
        <w:tc>
          <w:tcPr>
            <w:tcW w:w="128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5900" w:type="dxa"/>
            <w:vAlign w:val="bottom"/>
            <w:gridSpan w:val="2"/>
          </w:tcPr>
          <w:p>
            <w:pPr>
              <w:ind w:left="100"/>
              <w:spacing w:after="0" w:line="176" w:lineRule="exact"/>
              <w:rPr>
                <w:sz w:val="20"/>
                <w:szCs w:val="20"/>
                <w:color w:val="auto"/>
              </w:rPr>
            </w:pPr>
            <w:r>
              <w:rPr>
                <w:rFonts w:ascii="Arial" w:cs="Arial" w:eastAsia="Arial" w:hAnsi="Arial"/>
                <w:sz w:val="17"/>
                <w:szCs w:val="17"/>
                <w:color w:val="auto"/>
              </w:rPr>
              <w:t>• Leadership of long-term efficiency initiative</w:t>
            </w:r>
          </w:p>
        </w:tc>
        <w:tc>
          <w:tcPr>
            <w:tcW w:w="1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Mentored/developed key individuals and provided strategic/tactical advice</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25"/>
        </w:trPr>
        <w:tc>
          <w:tcPr>
            <w:tcW w:w="1280" w:type="dxa"/>
            <w:vAlign w:val="bottom"/>
            <w:tcBorders>
              <w:left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on commercial matters</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07"/>
        </w:trPr>
        <w:tc>
          <w:tcPr>
            <w:tcW w:w="128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Strategic positioning for 2024+</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25"/>
        </w:trPr>
        <w:tc>
          <w:tcPr>
            <w:tcW w:w="128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59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 Develop/maintain/enhance major commercial relationships</w:t>
            </w:r>
          </w:p>
        </w:tc>
        <w:tc>
          <w:tcPr>
            <w:tcW w:w="1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174"/>
        </w:trPr>
        <w:tc>
          <w:tcPr>
            <w:tcW w:w="1280" w:type="dxa"/>
            <w:vAlign w:val="bottom"/>
            <w:tcBorders>
              <w:left w:val="single" w:sz="8" w:color="auto"/>
            </w:tcBorders>
            <w:shd w:val="clear" w:color="auto" w:fill="D9DCE1"/>
          </w:tcPr>
          <w:p>
            <w:pPr>
              <w:ind w:left="60"/>
              <w:spacing w:after="0" w:line="174" w:lineRule="exact"/>
              <w:rPr>
                <w:sz w:val="20"/>
                <w:szCs w:val="20"/>
                <w:color w:val="auto"/>
              </w:rPr>
            </w:pPr>
            <w:r>
              <w:rPr>
                <w:rFonts w:ascii="Arial" w:cs="Arial" w:eastAsia="Arial" w:hAnsi="Arial"/>
                <w:sz w:val="17"/>
                <w:szCs w:val="17"/>
                <w:color w:val="auto"/>
              </w:rPr>
              <w:t>Al Swanson</w:t>
            </w:r>
          </w:p>
        </w:tc>
        <w:tc>
          <w:tcPr>
            <w:tcW w:w="80" w:type="dxa"/>
            <w:vAlign w:val="bottom"/>
            <w:tcBorders>
              <w:right w:val="single" w:sz="8" w:color="auto"/>
            </w:tcBorders>
            <w:shd w:val="clear" w:color="auto" w:fill="D9DCE1"/>
          </w:tcPr>
          <w:p>
            <w:pPr>
              <w:spacing w:after="0"/>
              <w:rPr>
                <w:sz w:val="15"/>
                <w:szCs w:val="15"/>
                <w:color w:val="auto"/>
              </w:rPr>
            </w:pPr>
          </w:p>
        </w:tc>
        <w:tc>
          <w:tcPr>
            <w:tcW w:w="220" w:type="dxa"/>
            <w:vAlign w:val="bottom"/>
            <w:shd w:val="clear" w:color="auto" w:fill="D9DCE1"/>
          </w:tcPr>
          <w:p>
            <w:pPr>
              <w:ind w:left="100"/>
              <w:spacing w:after="0" w:line="174" w:lineRule="exact"/>
              <w:rPr>
                <w:sz w:val="20"/>
                <w:szCs w:val="20"/>
                <w:color w:val="auto"/>
              </w:rPr>
            </w:pPr>
            <w:r>
              <w:rPr>
                <w:rFonts w:ascii="Arial" w:cs="Arial" w:eastAsia="Arial" w:hAnsi="Arial"/>
                <w:sz w:val="17"/>
                <w:szCs w:val="17"/>
                <w:color w:val="auto"/>
              </w:rPr>
              <w:t>•</w:t>
            </w:r>
          </w:p>
        </w:tc>
        <w:tc>
          <w:tcPr>
            <w:tcW w:w="5680" w:type="dxa"/>
            <w:vAlign w:val="bottom"/>
            <w:shd w:val="clear" w:color="auto" w:fill="D9DCE1"/>
          </w:tcPr>
          <w:p>
            <w:pPr>
              <w:ind w:left="40"/>
              <w:spacing w:after="0" w:line="174" w:lineRule="exact"/>
              <w:rPr>
                <w:sz w:val="20"/>
                <w:szCs w:val="20"/>
                <w:color w:val="auto"/>
              </w:rPr>
            </w:pPr>
            <w:r>
              <w:rPr>
                <w:rFonts w:ascii="Arial" w:cs="Arial" w:eastAsia="Arial" w:hAnsi="Arial"/>
                <w:sz w:val="17"/>
                <w:szCs w:val="17"/>
                <w:color w:val="auto"/>
              </w:rPr>
              <w:t>Finance group leadership in dynamic environment</w:t>
            </w:r>
          </w:p>
        </w:tc>
        <w:tc>
          <w:tcPr>
            <w:tcW w:w="100" w:type="dxa"/>
            <w:vAlign w:val="bottom"/>
            <w:tcBorders>
              <w:right w:val="single" w:sz="8" w:color="auto"/>
            </w:tcBorders>
            <w:shd w:val="clear" w:color="auto" w:fill="D9DCE1"/>
          </w:tcPr>
          <w:p>
            <w:pPr>
              <w:spacing w:after="0"/>
              <w:rPr>
                <w:sz w:val="15"/>
                <w:szCs w:val="15"/>
                <w:color w:val="auto"/>
              </w:rPr>
            </w:pPr>
          </w:p>
        </w:tc>
        <w:tc>
          <w:tcPr>
            <w:tcW w:w="860" w:type="dxa"/>
            <w:vAlign w:val="bottom"/>
            <w:tcBorders>
              <w:right w:val="single" w:sz="8" w:color="auto"/>
            </w:tcBorders>
            <w:shd w:val="clear" w:color="auto" w:fill="D9DCE1"/>
          </w:tcPr>
          <w:p>
            <w:pPr>
              <w:ind w:left="100"/>
              <w:spacing w:after="0" w:line="174" w:lineRule="exact"/>
              <w:rPr>
                <w:sz w:val="20"/>
                <w:szCs w:val="20"/>
                <w:color w:val="auto"/>
              </w:rPr>
            </w:pPr>
            <w:r>
              <w:rPr>
                <w:rFonts w:ascii="Arial" w:cs="Arial" w:eastAsia="Arial" w:hAnsi="Arial"/>
                <w:sz w:val="17"/>
                <w:szCs w:val="17"/>
                <w:color w:val="auto"/>
              </w:rPr>
              <w:t>155%</w:t>
            </w: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w w:val="99"/>
              </w:rPr>
              <w:t>• Driver of organizational focus on maximizing free cash flow and maintaining</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capital discipline, financial flexibility and strong committed liquidity</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Key role in refining financial strategy for 2025+, including capital allocation</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16"/>
        </w:trPr>
        <w:tc>
          <w:tcPr>
            <w:tcW w:w="1280" w:type="dxa"/>
            <w:vAlign w:val="bottom"/>
            <w:tcBorders>
              <w:left w:val="single" w:sz="8" w:color="auto"/>
            </w:tcBorders>
            <w:shd w:val="clear" w:color="auto" w:fill="D9DCE1"/>
          </w:tcPr>
          <w:p>
            <w:pPr>
              <w:spacing w:after="0"/>
              <w:rPr>
                <w:sz w:val="18"/>
                <w:szCs w:val="18"/>
                <w:color w:val="auto"/>
              </w:rPr>
            </w:pPr>
          </w:p>
        </w:tc>
        <w:tc>
          <w:tcPr>
            <w:tcW w:w="8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framework/leverage targets</w:t>
            </w:r>
          </w:p>
        </w:tc>
        <w:tc>
          <w:tcPr>
            <w:tcW w:w="100" w:type="dxa"/>
            <w:vAlign w:val="bottom"/>
            <w:tcBorders>
              <w:right w:val="single" w:sz="8" w:color="auto"/>
            </w:tcBorders>
            <w:shd w:val="clear" w:color="auto" w:fill="D9DCE1"/>
          </w:tcPr>
          <w:p>
            <w:pPr>
              <w:spacing w:after="0"/>
              <w:rPr>
                <w:sz w:val="18"/>
                <w:szCs w:val="18"/>
                <w:color w:val="auto"/>
              </w:rPr>
            </w:pPr>
          </w:p>
        </w:tc>
        <w:tc>
          <w:tcPr>
            <w:tcW w:w="860" w:type="dxa"/>
            <w:vAlign w:val="bottom"/>
            <w:tcBorders>
              <w:right w:val="single" w:sz="8" w:color="auto"/>
            </w:tcBorders>
            <w:shd w:val="clear" w:color="auto" w:fill="D9DCE1"/>
          </w:tcPr>
          <w:p>
            <w:pPr>
              <w:spacing w:after="0"/>
              <w:rPr>
                <w:sz w:val="18"/>
                <w:szCs w:val="18"/>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Leadership for accessing debt capital markets in June 2024 and</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January 2025</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Facilitated effort to improve credit ratings, including Moody’s upgrade in</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32"/>
        </w:trPr>
        <w:tc>
          <w:tcPr>
            <w:tcW w:w="1280" w:type="dxa"/>
            <w:vAlign w:val="bottom"/>
            <w:tcBorders>
              <w:left w:val="single" w:sz="8" w:color="auto"/>
              <w:bottom w:val="single" w:sz="8" w:color="auto"/>
            </w:tcBorders>
            <w:shd w:val="clear" w:color="auto" w:fill="D9DCE1"/>
          </w:tcPr>
          <w:p>
            <w:pPr>
              <w:spacing w:after="0"/>
              <w:rPr>
                <w:sz w:val="20"/>
                <w:szCs w:val="20"/>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p>
        </w:tc>
        <w:tc>
          <w:tcPr>
            <w:tcW w:w="220" w:type="dxa"/>
            <w:vAlign w:val="bottom"/>
            <w:tcBorders>
              <w:bottom w:val="single" w:sz="8" w:color="auto"/>
            </w:tcBorders>
            <w:shd w:val="clear" w:color="auto" w:fill="D9DCE1"/>
          </w:tcPr>
          <w:p>
            <w:pPr>
              <w:spacing w:after="0"/>
              <w:rPr>
                <w:sz w:val="20"/>
                <w:szCs w:val="20"/>
                <w:color w:val="auto"/>
              </w:rPr>
            </w:pPr>
          </w:p>
        </w:tc>
        <w:tc>
          <w:tcPr>
            <w:tcW w:w="56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auto"/>
              <w:right w:val="single" w:sz="8" w:color="auto"/>
            </w:tcBorders>
            <w:shd w:val="clear" w:color="auto" w:fill="D9DCE1"/>
          </w:tcPr>
          <w:p>
            <w:pPr>
              <w:spacing w:after="0"/>
              <w:rPr>
                <w:sz w:val="20"/>
                <w:szCs w:val="20"/>
                <w:color w:val="auto"/>
              </w:rPr>
            </w:pPr>
          </w:p>
        </w:tc>
        <w:tc>
          <w:tcPr>
            <w:tcW w:w="860" w:type="dxa"/>
            <w:vAlign w:val="bottom"/>
            <w:tcBorders>
              <w:bottom w:val="single" w:sz="8" w:color="auto"/>
              <w:right w:val="single" w:sz="8" w:color="auto"/>
            </w:tcBorders>
            <w:shd w:val="clear" w:color="auto" w:fill="D9DCE1"/>
          </w:tcPr>
          <w:p>
            <w:pPr>
              <w:spacing w:after="0"/>
              <w:rPr>
                <w:sz w:val="20"/>
                <w:szCs w:val="20"/>
                <w:color w:val="auto"/>
              </w:rPr>
            </w:pPr>
          </w:p>
        </w:tc>
      </w:tr>
      <w:tr>
        <w:trPr>
          <w:trHeight w:val="180"/>
        </w:trPr>
        <w:tc>
          <w:tcPr>
            <w:tcW w:w="1280" w:type="dxa"/>
            <w:vAlign w:val="bottom"/>
            <w:tcBorders>
              <w:left w:val="single" w:sz="8" w:color="auto"/>
            </w:tcBorders>
          </w:tcPr>
          <w:p>
            <w:pPr>
              <w:ind w:left="60"/>
              <w:spacing w:after="0" w:line="180" w:lineRule="exact"/>
              <w:rPr>
                <w:sz w:val="20"/>
                <w:szCs w:val="20"/>
                <w:color w:val="auto"/>
              </w:rPr>
            </w:pPr>
            <w:r>
              <w:rPr>
                <w:rFonts w:ascii="Arial" w:cs="Arial" w:eastAsia="Arial" w:hAnsi="Arial"/>
                <w:sz w:val="17"/>
                <w:szCs w:val="17"/>
                <w:color w:val="auto"/>
              </w:rPr>
              <w:t>Richard McGee</w:t>
            </w:r>
          </w:p>
        </w:tc>
        <w:tc>
          <w:tcPr>
            <w:tcW w:w="80" w:type="dxa"/>
            <w:vAlign w:val="bottom"/>
            <w:tcBorders>
              <w:right w:val="single" w:sz="8" w:color="auto"/>
            </w:tcBorders>
          </w:tcPr>
          <w:p>
            <w:pPr>
              <w:spacing w:after="0"/>
              <w:rPr>
                <w:sz w:val="15"/>
                <w:szCs w:val="15"/>
                <w:color w:val="auto"/>
              </w:rPr>
            </w:pPr>
          </w:p>
        </w:tc>
        <w:tc>
          <w:tcPr>
            <w:tcW w:w="220" w:type="dxa"/>
            <w:vAlign w:val="bottom"/>
          </w:tcPr>
          <w:p>
            <w:pPr>
              <w:ind w:left="100"/>
              <w:spacing w:after="0" w:line="180" w:lineRule="exact"/>
              <w:rPr>
                <w:sz w:val="20"/>
                <w:szCs w:val="20"/>
                <w:color w:val="auto"/>
              </w:rPr>
            </w:pPr>
            <w:r>
              <w:rPr>
                <w:rFonts w:ascii="Arial" w:cs="Arial" w:eastAsia="Arial" w:hAnsi="Arial"/>
                <w:sz w:val="17"/>
                <w:szCs w:val="17"/>
                <w:color w:val="auto"/>
              </w:rPr>
              <w:t>•</w:t>
            </w:r>
          </w:p>
        </w:tc>
        <w:tc>
          <w:tcPr>
            <w:tcW w:w="5680" w:type="dxa"/>
            <w:vAlign w:val="bottom"/>
          </w:tcPr>
          <w:p>
            <w:pPr>
              <w:ind w:left="40"/>
              <w:spacing w:after="0" w:line="180" w:lineRule="exact"/>
              <w:rPr>
                <w:sz w:val="20"/>
                <w:szCs w:val="20"/>
                <w:color w:val="auto"/>
              </w:rPr>
            </w:pPr>
            <w:r>
              <w:rPr>
                <w:rFonts w:ascii="Arial" w:cs="Arial" w:eastAsia="Arial" w:hAnsi="Arial"/>
                <w:sz w:val="17"/>
                <w:szCs w:val="17"/>
                <w:color w:val="auto"/>
              </w:rPr>
              <w:t>Legal/Land and HR group oversight/leadership during very active year</w:t>
            </w:r>
          </w:p>
        </w:tc>
        <w:tc>
          <w:tcPr>
            <w:tcW w:w="1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140%</w:t>
            </w: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Leadership/oversight of legal efforts in support of key acquisition,</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divestiture, JV and other transactions and key commercial arrangements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Oversight of effort to manage/mitigate/resolve Line 901 and other litigation</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25"/>
        </w:trPr>
        <w:tc>
          <w:tcPr>
            <w:tcW w:w="1280" w:type="dxa"/>
            <w:vAlign w:val="bottom"/>
            <w:tcBorders>
              <w:left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exposure</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29"/>
        </w:trPr>
        <w:tc>
          <w:tcPr>
            <w:tcW w:w="128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59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 Key role in various Board/governance/HR/compensation initiatives</w:t>
            </w:r>
          </w:p>
        </w:tc>
        <w:tc>
          <w:tcPr>
            <w:tcW w:w="1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169"/>
        </w:trPr>
        <w:tc>
          <w:tcPr>
            <w:tcW w:w="1280" w:type="dxa"/>
            <w:vAlign w:val="bottom"/>
            <w:tcBorders>
              <w:left w:val="single" w:sz="8" w:color="auto"/>
            </w:tcBorders>
            <w:shd w:val="clear" w:color="auto" w:fill="D9DCE1"/>
          </w:tcPr>
          <w:p>
            <w:pPr>
              <w:ind w:left="60"/>
              <w:spacing w:after="0" w:line="169" w:lineRule="exact"/>
              <w:rPr>
                <w:sz w:val="20"/>
                <w:szCs w:val="20"/>
                <w:color w:val="auto"/>
              </w:rPr>
            </w:pPr>
            <w:r>
              <w:rPr>
                <w:rFonts w:ascii="Arial" w:cs="Arial" w:eastAsia="Arial" w:hAnsi="Arial"/>
                <w:sz w:val="17"/>
                <w:szCs w:val="17"/>
                <w:color w:val="auto"/>
              </w:rPr>
              <w:t>Chris Chandler</w:t>
            </w:r>
          </w:p>
        </w:tc>
        <w:tc>
          <w:tcPr>
            <w:tcW w:w="80" w:type="dxa"/>
            <w:vAlign w:val="bottom"/>
            <w:tcBorders>
              <w:right w:val="single" w:sz="8" w:color="auto"/>
            </w:tcBorders>
            <w:shd w:val="clear" w:color="auto" w:fill="D9DCE1"/>
          </w:tcPr>
          <w:p>
            <w:pPr>
              <w:spacing w:after="0"/>
              <w:rPr>
                <w:sz w:val="14"/>
                <w:szCs w:val="14"/>
                <w:color w:val="auto"/>
              </w:rPr>
            </w:pPr>
          </w:p>
        </w:tc>
        <w:tc>
          <w:tcPr>
            <w:tcW w:w="220" w:type="dxa"/>
            <w:vAlign w:val="bottom"/>
            <w:shd w:val="clear" w:color="auto" w:fill="D9DCE1"/>
          </w:tcPr>
          <w:p>
            <w:pPr>
              <w:ind w:left="100"/>
              <w:spacing w:after="0" w:line="169" w:lineRule="exact"/>
              <w:rPr>
                <w:sz w:val="20"/>
                <w:szCs w:val="20"/>
                <w:color w:val="auto"/>
              </w:rPr>
            </w:pPr>
            <w:r>
              <w:rPr>
                <w:rFonts w:ascii="Arial" w:cs="Arial" w:eastAsia="Arial" w:hAnsi="Arial"/>
                <w:sz w:val="17"/>
                <w:szCs w:val="17"/>
                <w:color w:val="auto"/>
              </w:rPr>
              <w:t>•</w:t>
            </w:r>
          </w:p>
        </w:tc>
        <w:tc>
          <w:tcPr>
            <w:tcW w:w="5680" w:type="dxa"/>
            <w:vAlign w:val="bottom"/>
            <w:shd w:val="clear" w:color="auto" w:fill="D9DCE1"/>
          </w:tcPr>
          <w:p>
            <w:pPr>
              <w:ind w:left="40"/>
              <w:spacing w:after="0" w:line="169" w:lineRule="exact"/>
              <w:rPr>
                <w:sz w:val="20"/>
                <w:szCs w:val="20"/>
                <w:color w:val="auto"/>
              </w:rPr>
            </w:pPr>
            <w:r>
              <w:rPr>
                <w:rFonts w:ascii="Arial" w:cs="Arial" w:eastAsia="Arial" w:hAnsi="Arial"/>
                <w:sz w:val="17"/>
                <w:szCs w:val="17"/>
                <w:color w:val="auto"/>
              </w:rPr>
              <w:t>Overall leadership of operations organization</w:t>
            </w:r>
          </w:p>
        </w:tc>
        <w:tc>
          <w:tcPr>
            <w:tcW w:w="100" w:type="dxa"/>
            <w:vAlign w:val="bottom"/>
            <w:tcBorders>
              <w:right w:val="single" w:sz="8" w:color="auto"/>
            </w:tcBorders>
            <w:shd w:val="clear" w:color="auto" w:fill="D9DCE1"/>
          </w:tcPr>
          <w:p>
            <w:pPr>
              <w:spacing w:after="0"/>
              <w:rPr>
                <w:sz w:val="14"/>
                <w:szCs w:val="14"/>
                <w:color w:val="auto"/>
              </w:rPr>
            </w:pPr>
          </w:p>
        </w:tc>
        <w:tc>
          <w:tcPr>
            <w:tcW w:w="860" w:type="dxa"/>
            <w:vAlign w:val="bottom"/>
            <w:tcBorders>
              <w:right w:val="single" w:sz="8" w:color="auto"/>
            </w:tcBorders>
            <w:shd w:val="clear" w:color="auto" w:fill="D9DCE1"/>
          </w:tcPr>
          <w:p>
            <w:pPr>
              <w:ind w:left="100"/>
              <w:spacing w:after="0" w:line="169" w:lineRule="exact"/>
              <w:rPr>
                <w:sz w:val="20"/>
                <w:szCs w:val="20"/>
                <w:color w:val="auto"/>
              </w:rPr>
            </w:pPr>
            <w:r>
              <w:rPr>
                <w:rFonts w:ascii="Arial" w:cs="Arial" w:eastAsia="Arial" w:hAnsi="Arial"/>
                <w:sz w:val="17"/>
                <w:szCs w:val="17"/>
                <w:color w:val="auto"/>
              </w:rPr>
              <w:t>175%</w:t>
            </w:r>
          </w:p>
        </w:tc>
      </w:tr>
      <w:tr>
        <w:trPr>
          <w:trHeight w:val="221"/>
        </w:trPr>
        <w:tc>
          <w:tcPr>
            <w:tcW w:w="1280" w:type="dxa"/>
            <w:vAlign w:val="bottom"/>
            <w:tcBorders>
              <w:left w:val="single" w:sz="8" w:color="auto"/>
            </w:tcBorders>
            <w:shd w:val="clear" w:color="auto" w:fill="D9DCE1"/>
          </w:tcPr>
          <w:p>
            <w:pPr>
              <w:spacing w:after="0"/>
              <w:rPr>
                <w:sz w:val="19"/>
                <w:szCs w:val="19"/>
                <w:color w:val="auto"/>
              </w:rPr>
            </w:pPr>
          </w:p>
        </w:tc>
        <w:tc>
          <w:tcPr>
            <w:tcW w:w="80" w:type="dxa"/>
            <w:vAlign w:val="bottom"/>
            <w:tcBorders>
              <w:right w:val="single" w:sz="8" w:color="auto"/>
            </w:tcBorders>
            <w:shd w:val="clear" w:color="auto" w:fill="D9DCE1"/>
          </w:tcPr>
          <w:p>
            <w:pPr>
              <w:spacing w:after="0"/>
              <w:rPr>
                <w:sz w:val="19"/>
                <w:szCs w:val="19"/>
                <w:color w:val="auto"/>
              </w:rPr>
            </w:pPr>
          </w:p>
        </w:tc>
        <w:tc>
          <w:tcPr>
            <w:tcW w:w="220" w:type="dxa"/>
            <w:vAlign w:val="bottom"/>
            <w:shd w:val="clear" w:color="auto" w:fill="D9DCE1"/>
          </w:tcPr>
          <w:p>
            <w:pPr>
              <w:spacing w:after="0"/>
              <w:rPr>
                <w:sz w:val="19"/>
                <w:szCs w:val="19"/>
                <w:color w:val="auto"/>
              </w:rPr>
            </w:pPr>
          </w:p>
        </w:tc>
        <w:tc>
          <w:tcPr>
            <w:tcW w:w="5680" w:type="dxa"/>
            <w:vAlign w:val="bottom"/>
            <w:shd w:val="clear" w:color="auto" w:fill="D9DCE1"/>
          </w:tcPr>
          <w:p>
            <w:pPr>
              <w:ind w:left="40"/>
              <w:spacing w:after="0" w:line="221" w:lineRule="exact"/>
              <w:rPr>
                <w:sz w:val="20"/>
                <w:szCs w:val="20"/>
                <w:color w:val="auto"/>
              </w:rPr>
            </w:pPr>
            <w:r>
              <w:rPr>
                <w:rFonts w:ascii="Arial" w:cs="Arial" w:eastAsia="Arial" w:hAnsi="Arial"/>
                <w:sz w:val="17"/>
                <w:szCs w:val="17"/>
                <w:color w:val="auto"/>
              </w:rPr>
              <w:t>• No Tier 1 or Tier 2 process safety events and 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consecutive year of</w:t>
            </w:r>
          </w:p>
        </w:tc>
        <w:tc>
          <w:tcPr>
            <w:tcW w:w="100" w:type="dxa"/>
            <w:vAlign w:val="bottom"/>
            <w:tcBorders>
              <w:right w:val="single" w:sz="8" w:color="auto"/>
            </w:tcBorders>
            <w:shd w:val="clear" w:color="auto" w:fill="D9DCE1"/>
          </w:tcPr>
          <w:p>
            <w:pPr>
              <w:spacing w:after="0"/>
              <w:rPr>
                <w:sz w:val="19"/>
                <w:szCs w:val="19"/>
                <w:color w:val="auto"/>
              </w:rPr>
            </w:pPr>
          </w:p>
        </w:tc>
        <w:tc>
          <w:tcPr>
            <w:tcW w:w="860" w:type="dxa"/>
            <w:vAlign w:val="bottom"/>
            <w:tcBorders>
              <w:right w:val="single" w:sz="8" w:color="auto"/>
            </w:tcBorders>
            <w:shd w:val="clear" w:color="auto" w:fill="D9DCE1"/>
          </w:tcPr>
          <w:p>
            <w:pPr>
              <w:spacing w:after="0"/>
              <w:rPr>
                <w:sz w:val="19"/>
                <w:szCs w:val="19"/>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220"/>
              <w:spacing w:after="0"/>
              <w:rPr>
                <w:sz w:val="20"/>
                <w:szCs w:val="20"/>
                <w:color w:val="auto"/>
              </w:rPr>
            </w:pPr>
            <w:r>
              <w:rPr>
                <w:rFonts w:ascii="Arial" w:cs="Arial" w:eastAsia="Arial" w:hAnsi="Arial"/>
                <w:sz w:val="17"/>
                <w:szCs w:val="17"/>
                <w:color w:val="auto"/>
                <w:w w:val="99"/>
              </w:rPr>
              <w:t>record operations organization personal and process safety performance</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 Significant progress on measurement, automation and optimization</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25"/>
        </w:trPr>
        <w:tc>
          <w:tcPr>
            <w:tcW w:w="1280" w:type="dxa"/>
            <w:vAlign w:val="bottom"/>
            <w:tcBorders>
              <w:left w:val="single" w:sz="8" w:color="auto"/>
            </w:tcBorders>
            <w:shd w:val="clear" w:color="auto" w:fill="D9DCE1"/>
          </w:tcPr>
          <w:p>
            <w:pPr>
              <w:spacing w:after="0"/>
              <w:rPr>
                <w:sz w:val="19"/>
                <w:szCs w:val="19"/>
                <w:color w:val="auto"/>
              </w:rPr>
            </w:pPr>
          </w:p>
        </w:tc>
        <w:tc>
          <w:tcPr>
            <w:tcW w:w="80" w:type="dxa"/>
            <w:vAlign w:val="bottom"/>
            <w:tcBorders>
              <w:right w:val="single" w:sz="8" w:color="auto"/>
            </w:tcBorders>
            <w:shd w:val="clear" w:color="auto" w:fill="D9DCE1"/>
          </w:tcPr>
          <w:p>
            <w:pPr>
              <w:spacing w:after="0"/>
              <w:rPr>
                <w:sz w:val="19"/>
                <w:szCs w:val="19"/>
                <w:color w:val="auto"/>
              </w:rPr>
            </w:pPr>
          </w:p>
        </w:tc>
        <w:tc>
          <w:tcPr>
            <w:tcW w:w="220" w:type="dxa"/>
            <w:vAlign w:val="bottom"/>
            <w:shd w:val="clear" w:color="auto" w:fill="D9DCE1"/>
          </w:tcPr>
          <w:p>
            <w:pPr>
              <w:spacing w:after="0"/>
              <w:rPr>
                <w:sz w:val="19"/>
                <w:szCs w:val="19"/>
                <w:color w:val="auto"/>
              </w:rPr>
            </w:pPr>
          </w:p>
        </w:tc>
        <w:tc>
          <w:tcPr>
            <w:tcW w:w="5680" w:type="dxa"/>
            <w:vAlign w:val="bottom"/>
            <w:shd w:val="clear" w:color="auto" w:fill="D9DCE1"/>
          </w:tcPr>
          <w:p>
            <w:pPr>
              <w:ind w:left="220"/>
              <w:spacing w:after="0"/>
              <w:rPr>
                <w:sz w:val="20"/>
                <w:szCs w:val="20"/>
                <w:color w:val="auto"/>
              </w:rPr>
            </w:pPr>
            <w:r>
              <w:rPr>
                <w:rFonts w:ascii="Arial" w:cs="Arial" w:eastAsia="Arial" w:hAnsi="Arial"/>
                <w:sz w:val="17"/>
                <w:szCs w:val="17"/>
                <w:color w:val="auto"/>
              </w:rPr>
              <w:t>initiatives and rollout of industry operations excellence program</w:t>
            </w:r>
          </w:p>
        </w:tc>
        <w:tc>
          <w:tcPr>
            <w:tcW w:w="100" w:type="dxa"/>
            <w:vAlign w:val="bottom"/>
            <w:tcBorders>
              <w:right w:val="single" w:sz="8" w:color="auto"/>
            </w:tcBorders>
            <w:shd w:val="clear" w:color="auto" w:fill="D9DCE1"/>
          </w:tcPr>
          <w:p>
            <w:pPr>
              <w:spacing w:after="0"/>
              <w:rPr>
                <w:sz w:val="19"/>
                <w:szCs w:val="19"/>
                <w:color w:val="auto"/>
              </w:rPr>
            </w:pPr>
          </w:p>
        </w:tc>
        <w:tc>
          <w:tcPr>
            <w:tcW w:w="860" w:type="dxa"/>
            <w:vAlign w:val="bottom"/>
            <w:tcBorders>
              <w:right w:val="single" w:sz="8" w:color="auto"/>
            </w:tcBorders>
            <w:shd w:val="clear" w:color="auto" w:fill="D9DCE1"/>
          </w:tcPr>
          <w:p>
            <w:pPr>
              <w:spacing w:after="0"/>
              <w:rPr>
                <w:sz w:val="19"/>
                <w:szCs w:val="19"/>
                <w:color w:val="auto"/>
              </w:rPr>
            </w:pPr>
          </w:p>
        </w:tc>
      </w:tr>
      <w:tr>
        <w:trPr>
          <w:trHeight w:val="207"/>
        </w:trPr>
        <w:tc>
          <w:tcPr>
            <w:tcW w:w="1280" w:type="dxa"/>
            <w:vAlign w:val="bottom"/>
            <w:tcBorders>
              <w:left w:val="single" w:sz="8" w:color="auto"/>
            </w:tcBorders>
            <w:shd w:val="clear" w:color="auto" w:fill="D9DCE1"/>
          </w:tcPr>
          <w:p>
            <w:pPr>
              <w:spacing w:after="0"/>
              <w:rPr>
                <w:sz w:val="18"/>
                <w:szCs w:val="18"/>
                <w:color w:val="auto"/>
              </w:rPr>
            </w:pPr>
          </w:p>
        </w:tc>
        <w:tc>
          <w:tcPr>
            <w:tcW w:w="80" w:type="dxa"/>
            <w:vAlign w:val="bottom"/>
            <w:tcBorders>
              <w:right w:val="single" w:sz="8" w:color="auto"/>
            </w:tcBorders>
            <w:shd w:val="clear" w:color="auto" w:fill="D9DCE1"/>
          </w:tcPr>
          <w:p>
            <w:pPr>
              <w:spacing w:after="0"/>
              <w:rPr>
                <w:sz w:val="18"/>
                <w:szCs w:val="18"/>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Progressed PFS Phase 1 Debottleneck Project for completion in 2Q25</w:t>
            </w:r>
          </w:p>
        </w:tc>
        <w:tc>
          <w:tcPr>
            <w:tcW w:w="100" w:type="dxa"/>
            <w:vAlign w:val="bottom"/>
            <w:tcBorders>
              <w:right w:val="single" w:sz="8" w:color="auto"/>
            </w:tcBorders>
            <w:shd w:val="clear" w:color="auto" w:fill="D9DCE1"/>
          </w:tcPr>
          <w:p>
            <w:pPr>
              <w:spacing w:after="0"/>
              <w:rPr>
                <w:sz w:val="18"/>
                <w:szCs w:val="18"/>
                <w:color w:val="auto"/>
              </w:rPr>
            </w:pPr>
          </w:p>
        </w:tc>
        <w:tc>
          <w:tcPr>
            <w:tcW w:w="860" w:type="dxa"/>
            <w:vAlign w:val="bottom"/>
            <w:tcBorders>
              <w:right w:val="single" w:sz="8" w:color="auto"/>
            </w:tcBorders>
            <w:shd w:val="clear" w:color="auto" w:fill="D9DCE1"/>
          </w:tcPr>
          <w:p>
            <w:pPr>
              <w:spacing w:after="0"/>
              <w:rPr>
                <w:sz w:val="18"/>
                <w:szCs w:val="18"/>
                <w:color w:val="auto"/>
              </w:rPr>
            </w:pPr>
          </w:p>
        </w:tc>
      </w:tr>
      <w:tr>
        <w:trPr>
          <w:trHeight w:val="216"/>
        </w:trPr>
        <w:tc>
          <w:tcPr>
            <w:tcW w:w="1280" w:type="dxa"/>
            <w:vAlign w:val="bottom"/>
            <w:tcBorders>
              <w:left w:val="single" w:sz="8" w:color="auto"/>
            </w:tcBorders>
            <w:shd w:val="clear" w:color="auto" w:fill="D9DCE1"/>
          </w:tcPr>
          <w:p>
            <w:pPr>
              <w:spacing w:after="0"/>
              <w:rPr>
                <w:sz w:val="18"/>
                <w:szCs w:val="18"/>
                <w:color w:val="auto"/>
              </w:rPr>
            </w:pPr>
          </w:p>
        </w:tc>
        <w:tc>
          <w:tcPr>
            <w:tcW w:w="80" w:type="dxa"/>
            <w:vAlign w:val="bottom"/>
            <w:tcBorders>
              <w:right w:val="single" w:sz="8" w:color="auto"/>
            </w:tcBorders>
            <w:shd w:val="clear" w:color="auto" w:fill="D9DCE1"/>
          </w:tcPr>
          <w:p>
            <w:pPr>
              <w:spacing w:after="0"/>
              <w:rPr>
                <w:sz w:val="18"/>
                <w:szCs w:val="18"/>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Leadership role in various key initiatives:</w:t>
            </w:r>
          </w:p>
        </w:tc>
        <w:tc>
          <w:tcPr>
            <w:tcW w:w="100" w:type="dxa"/>
            <w:vAlign w:val="bottom"/>
            <w:tcBorders>
              <w:right w:val="single" w:sz="8" w:color="auto"/>
            </w:tcBorders>
            <w:shd w:val="clear" w:color="auto" w:fill="D9DCE1"/>
          </w:tcPr>
          <w:p>
            <w:pPr>
              <w:spacing w:after="0"/>
              <w:rPr>
                <w:sz w:val="18"/>
                <w:szCs w:val="18"/>
                <w:color w:val="auto"/>
              </w:rPr>
            </w:pPr>
          </w:p>
        </w:tc>
        <w:tc>
          <w:tcPr>
            <w:tcW w:w="860" w:type="dxa"/>
            <w:vAlign w:val="bottom"/>
            <w:tcBorders>
              <w:right w:val="single" w:sz="8" w:color="auto"/>
            </w:tcBorders>
            <w:shd w:val="clear" w:color="auto" w:fill="D9DCE1"/>
          </w:tcPr>
          <w:p>
            <w:pPr>
              <w:spacing w:after="0"/>
              <w:rPr>
                <w:sz w:val="18"/>
                <w:szCs w:val="18"/>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 Projects supporting wax crude strategy</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 Organizational efficiency and cost optimization initiatives</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189"/>
        </w:trPr>
        <w:tc>
          <w:tcPr>
            <w:tcW w:w="1280" w:type="dxa"/>
            <w:vAlign w:val="bottom"/>
            <w:tcBorders>
              <w:left w:val="single" w:sz="8" w:color="auto"/>
            </w:tcBorders>
            <w:shd w:val="clear" w:color="auto" w:fill="D9DCE1"/>
          </w:tcPr>
          <w:p>
            <w:pPr>
              <w:spacing w:after="0"/>
              <w:rPr>
                <w:sz w:val="16"/>
                <w:szCs w:val="16"/>
                <w:color w:val="auto"/>
              </w:rPr>
            </w:pPr>
          </w:p>
        </w:tc>
        <w:tc>
          <w:tcPr>
            <w:tcW w:w="80" w:type="dxa"/>
            <w:vAlign w:val="bottom"/>
            <w:tcBorders>
              <w:right w:val="single" w:sz="8" w:color="auto"/>
            </w:tcBorders>
            <w:shd w:val="clear" w:color="auto" w:fill="D9DCE1"/>
          </w:tcPr>
          <w:p>
            <w:pPr>
              <w:spacing w:after="0"/>
              <w:rPr>
                <w:sz w:val="16"/>
                <w:szCs w:val="16"/>
                <w:color w:val="auto"/>
              </w:rPr>
            </w:pPr>
          </w:p>
        </w:tc>
        <w:tc>
          <w:tcPr>
            <w:tcW w:w="220" w:type="dxa"/>
            <w:vAlign w:val="bottom"/>
            <w:shd w:val="clear" w:color="auto" w:fill="D9DCE1"/>
          </w:tcPr>
          <w:p>
            <w:pPr>
              <w:spacing w:after="0"/>
              <w:rPr>
                <w:sz w:val="16"/>
                <w:szCs w:val="16"/>
                <w:color w:val="auto"/>
              </w:rPr>
            </w:pPr>
          </w:p>
        </w:tc>
        <w:tc>
          <w:tcPr>
            <w:tcW w:w="5680" w:type="dxa"/>
            <w:vAlign w:val="bottom"/>
            <w:shd w:val="clear" w:color="auto" w:fill="D9DCE1"/>
          </w:tcPr>
          <w:p>
            <w:pPr>
              <w:ind w:left="40"/>
              <w:spacing w:after="0" w:line="189" w:lineRule="exact"/>
              <w:rPr>
                <w:sz w:val="20"/>
                <w:szCs w:val="20"/>
                <w:color w:val="auto"/>
              </w:rPr>
            </w:pPr>
            <w:r>
              <w:rPr>
                <w:rFonts w:ascii="Arial" w:cs="Arial" w:eastAsia="Arial" w:hAnsi="Arial"/>
                <w:sz w:val="17"/>
                <w:szCs w:val="17"/>
                <w:color w:val="auto"/>
              </w:rPr>
              <w:t>• Optimization of idle assets to capture NGL market opportunities</w:t>
            </w:r>
          </w:p>
        </w:tc>
        <w:tc>
          <w:tcPr>
            <w:tcW w:w="100" w:type="dxa"/>
            <w:vAlign w:val="bottom"/>
            <w:tcBorders>
              <w:right w:val="single" w:sz="8" w:color="auto"/>
            </w:tcBorders>
            <w:shd w:val="clear" w:color="auto" w:fill="D9DCE1"/>
          </w:tcPr>
          <w:p>
            <w:pPr>
              <w:spacing w:after="0"/>
              <w:rPr>
                <w:sz w:val="16"/>
                <w:szCs w:val="16"/>
                <w:color w:val="auto"/>
              </w:rPr>
            </w:pPr>
          </w:p>
        </w:tc>
        <w:tc>
          <w:tcPr>
            <w:tcW w:w="860" w:type="dxa"/>
            <w:vAlign w:val="bottom"/>
            <w:tcBorders>
              <w:right w:val="single" w:sz="8" w:color="auto"/>
            </w:tcBorders>
            <w:shd w:val="clear" w:color="auto" w:fill="D9DCE1"/>
          </w:tcPr>
          <w:p>
            <w:pPr>
              <w:spacing w:after="0"/>
              <w:rPr>
                <w:sz w:val="16"/>
                <w:szCs w:val="16"/>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40"/>
              <w:spacing w:after="0"/>
              <w:rPr>
                <w:sz w:val="20"/>
                <w:szCs w:val="20"/>
                <w:color w:val="auto"/>
              </w:rPr>
            </w:pPr>
            <w:r>
              <w:rPr>
                <w:rFonts w:ascii="Arial" w:cs="Arial" w:eastAsia="Arial" w:hAnsi="Arial"/>
                <w:sz w:val="17"/>
                <w:szCs w:val="17"/>
                <w:color w:val="auto"/>
              </w:rPr>
              <w:t>• Plains’ participation in permitting/community engagement team for 2024</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5680" w:type="dxa"/>
            <w:vAlign w:val="bottom"/>
            <w:shd w:val="clear" w:color="auto" w:fill="D9DCE1"/>
          </w:tcPr>
          <w:p>
            <w:pPr>
              <w:ind w:left="220"/>
              <w:spacing w:after="0"/>
              <w:rPr>
                <w:sz w:val="20"/>
                <w:szCs w:val="20"/>
                <w:color w:val="auto"/>
              </w:rPr>
            </w:pPr>
            <w:r>
              <w:rPr>
                <w:rFonts w:ascii="Arial" w:cs="Arial" w:eastAsia="Arial" w:hAnsi="Arial"/>
                <w:sz w:val="17"/>
                <w:szCs w:val="17"/>
                <w:color w:val="auto"/>
              </w:rPr>
              <w:t>NPC study topic review</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03"/>
        </w:trPr>
        <w:tc>
          <w:tcPr>
            <w:tcW w:w="1280" w:type="dxa"/>
            <w:vAlign w:val="bottom"/>
            <w:tcBorders>
              <w:left w:val="single" w:sz="8" w:color="auto"/>
            </w:tcBorders>
            <w:shd w:val="clear" w:color="auto" w:fill="D9DCE1"/>
          </w:tcPr>
          <w:p>
            <w:pPr>
              <w:spacing w:after="0"/>
              <w:rPr>
                <w:sz w:val="17"/>
                <w:szCs w:val="17"/>
                <w:color w:val="auto"/>
              </w:rPr>
            </w:pPr>
          </w:p>
        </w:tc>
        <w:tc>
          <w:tcPr>
            <w:tcW w:w="80" w:type="dxa"/>
            <w:vAlign w:val="bottom"/>
            <w:tcBorders>
              <w:right w:val="single" w:sz="8" w:color="auto"/>
            </w:tcBorders>
            <w:shd w:val="clear" w:color="auto" w:fill="D9DCE1"/>
          </w:tcPr>
          <w:p>
            <w:pPr>
              <w:spacing w:after="0"/>
              <w:rPr>
                <w:sz w:val="17"/>
                <w:szCs w:val="17"/>
                <w:color w:val="auto"/>
              </w:rPr>
            </w:pPr>
          </w:p>
        </w:tc>
        <w:tc>
          <w:tcPr>
            <w:tcW w:w="5900" w:type="dxa"/>
            <w:vAlign w:val="bottom"/>
            <w:gridSpan w:val="2"/>
            <w:shd w:val="clear" w:color="auto" w:fill="D9DCE1"/>
          </w:tcPr>
          <w:p>
            <w:pPr>
              <w:ind w:left="100"/>
              <w:spacing w:after="0"/>
              <w:rPr>
                <w:sz w:val="20"/>
                <w:szCs w:val="20"/>
                <w:color w:val="auto"/>
              </w:rPr>
            </w:pPr>
            <w:r>
              <w:rPr>
                <w:rFonts w:ascii="Arial" w:cs="Arial" w:eastAsia="Arial" w:hAnsi="Arial"/>
                <w:sz w:val="17"/>
                <w:szCs w:val="17"/>
                <w:color w:val="auto"/>
              </w:rPr>
              <w:t>• Oversight of Government Affairs and Community/Stakeholder Relations</w:t>
            </w:r>
          </w:p>
        </w:tc>
        <w:tc>
          <w:tcPr>
            <w:tcW w:w="100" w:type="dxa"/>
            <w:vAlign w:val="bottom"/>
            <w:tcBorders>
              <w:right w:val="single" w:sz="8" w:color="auto"/>
            </w:tcBorders>
            <w:shd w:val="clear" w:color="auto" w:fill="D9DCE1"/>
          </w:tcPr>
          <w:p>
            <w:pPr>
              <w:spacing w:after="0"/>
              <w:rPr>
                <w:sz w:val="17"/>
                <w:szCs w:val="17"/>
                <w:color w:val="auto"/>
              </w:rPr>
            </w:pPr>
          </w:p>
        </w:tc>
        <w:tc>
          <w:tcPr>
            <w:tcW w:w="860" w:type="dxa"/>
            <w:vAlign w:val="bottom"/>
            <w:tcBorders>
              <w:right w:val="single" w:sz="8" w:color="auto"/>
            </w:tcBorders>
            <w:shd w:val="clear" w:color="auto" w:fill="D9DCE1"/>
          </w:tcPr>
          <w:p>
            <w:pPr>
              <w:spacing w:after="0"/>
              <w:rPr>
                <w:sz w:val="17"/>
                <w:szCs w:val="17"/>
                <w:color w:val="auto"/>
              </w:rPr>
            </w:pPr>
          </w:p>
        </w:tc>
      </w:tr>
      <w:tr>
        <w:trPr>
          <w:trHeight w:val="232"/>
        </w:trPr>
        <w:tc>
          <w:tcPr>
            <w:tcW w:w="1280" w:type="dxa"/>
            <w:vAlign w:val="bottom"/>
            <w:tcBorders>
              <w:left w:val="single" w:sz="8" w:color="auto"/>
              <w:bottom w:val="single" w:sz="8" w:color="auto"/>
            </w:tcBorders>
            <w:shd w:val="clear" w:color="auto" w:fill="D9DCE1"/>
          </w:tcPr>
          <w:p>
            <w:pPr>
              <w:spacing w:after="0"/>
              <w:rPr>
                <w:sz w:val="20"/>
                <w:szCs w:val="20"/>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p>
        </w:tc>
        <w:tc>
          <w:tcPr>
            <w:tcW w:w="220" w:type="dxa"/>
            <w:vAlign w:val="bottom"/>
            <w:tcBorders>
              <w:bottom w:val="single" w:sz="8" w:color="auto"/>
            </w:tcBorders>
            <w:shd w:val="clear" w:color="auto" w:fill="D9DCE1"/>
          </w:tcPr>
          <w:p>
            <w:pPr>
              <w:spacing w:after="0"/>
              <w:rPr>
                <w:sz w:val="20"/>
                <w:szCs w:val="20"/>
                <w:color w:val="auto"/>
              </w:rPr>
            </w:pPr>
          </w:p>
        </w:tc>
        <w:tc>
          <w:tcPr>
            <w:tcW w:w="56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organizations</w:t>
            </w:r>
          </w:p>
        </w:tc>
        <w:tc>
          <w:tcPr>
            <w:tcW w:w="100" w:type="dxa"/>
            <w:vAlign w:val="bottom"/>
            <w:tcBorders>
              <w:bottom w:val="single" w:sz="8" w:color="auto"/>
              <w:right w:val="single" w:sz="8" w:color="auto"/>
            </w:tcBorders>
            <w:shd w:val="clear" w:color="auto" w:fill="D9DCE1"/>
          </w:tcPr>
          <w:p>
            <w:pPr>
              <w:spacing w:after="0"/>
              <w:rPr>
                <w:sz w:val="20"/>
                <w:szCs w:val="20"/>
                <w:color w:val="auto"/>
              </w:rPr>
            </w:pPr>
          </w:p>
        </w:tc>
        <w:tc>
          <w:tcPr>
            <w:tcW w:w="860" w:type="dxa"/>
            <w:vAlign w:val="bottom"/>
            <w:tcBorders>
              <w:bottom w:val="single" w:sz="8" w:color="auto"/>
              <w:right w:val="single" w:sz="8" w:color="auto"/>
            </w:tcBorders>
            <w:shd w:val="clear" w:color="auto" w:fill="D9DCE1"/>
          </w:tcPr>
          <w:p>
            <w:pPr>
              <w:spacing w:after="0"/>
              <w:rPr>
                <w:sz w:val="20"/>
                <w:szCs w:val="20"/>
                <w:color w:val="auto"/>
              </w:rPr>
            </w:pPr>
          </w:p>
        </w:tc>
      </w:tr>
      <w:tr>
        <w:trPr>
          <w:trHeight w:val="180"/>
        </w:trPr>
        <w:tc>
          <w:tcPr>
            <w:tcW w:w="1280" w:type="dxa"/>
            <w:vAlign w:val="bottom"/>
            <w:tcBorders>
              <w:left w:val="single" w:sz="8" w:color="auto"/>
            </w:tcBorders>
          </w:tcPr>
          <w:p>
            <w:pPr>
              <w:ind w:left="60"/>
              <w:spacing w:after="0" w:line="180" w:lineRule="exact"/>
              <w:rPr>
                <w:sz w:val="20"/>
                <w:szCs w:val="20"/>
                <w:color w:val="auto"/>
              </w:rPr>
            </w:pPr>
            <w:r>
              <w:rPr>
                <w:rFonts w:ascii="Arial" w:cs="Arial" w:eastAsia="Arial" w:hAnsi="Arial"/>
                <w:sz w:val="17"/>
                <w:szCs w:val="17"/>
                <w:color w:val="auto"/>
              </w:rPr>
              <w:t>Jeremy Goebel</w:t>
            </w:r>
          </w:p>
        </w:tc>
        <w:tc>
          <w:tcPr>
            <w:tcW w:w="80" w:type="dxa"/>
            <w:vAlign w:val="bottom"/>
            <w:tcBorders>
              <w:right w:val="single" w:sz="8" w:color="auto"/>
            </w:tcBorders>
          </w:tcPr>
          <w:p>
            <w:pPr>
              <w:spacing w:after="0"/>
              <w:rPr>
                <w:sz w:val="15"/>
                <w:szCs w:val="15"/>
                <w:color w:val="auto"/>
              </w:rPr>
            </w:pPr>
          </w:p>
        </w:tc>
        <w:tc>
          <w:tcPr>
            <w:tcW w:w="220" w:type="dxa"/>
            <w:vAlign w:val="bottom"/>
          </w:tcPr>
          <w:p>
            <w:pPr>
              <w:ind w:left="100"/>
              <w:spacing w:after="0" w:line="180" w:lineRule="exact"/>
              <w:rPr>
                <w:sz w:val="20"/>
                <w:szCs w:val="20"/>
                <w:color w:val="auto"/>
              </w:rPr>
            </w:pPr>
            <w:r>
              <w:rPr>
                <w:rFonts w:ascii="Arial" w:cs="Arial" w:eastAsia="Arial" w:hAnsi="Arial"/>
                <w:sz w:val="17"/>
                <w:szCs w:val="17"/>
                <w:color w:val="auto"/>
              </w:rPr>
              <w:t>•</w:t>
            </w:r>
          </w:p>
        </w:tc>
        <w:tc>
          <w:tcPr>
            <w:tcW w:w="5680" w:type="dxa"/>
            <w:vAlign w:val="bottom"/>
          </w:tcPr>
          <w:p>
            <w:pPr>
              <w:ind w:left="40"/>
              <w:spacing w:after="0" w:line="180" w:lineRule="exact"/>
              <w:rPr>
                <w:sz w:val="20"/>
                <w:szCs w:val="20"/>
                <w:color w:val="auto"/>
              </w:rPr>
            </w:pPr>
            <w:r>
              <w:rPr>
                <w:rFonts w:ascii="Arial" w:cs="Arial" w:eastAsia="Arial" w:hAnsi="Arial"/>
                <w:sz w:val="17"/>
                <w:szCs w:val="17"/>
                <w:color w:val="auto"/>
              </w:rPr>
              <w:t>Overall commercial organization leadership</w:t>
            </w:r>
          </w:p>
        </w:tc>
        <w:tc>
          <w:tcPr>
            <w:tcW w:w="1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175%</w:t>
            </w: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Led key commercial strategies that drove financial overperformance vs.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25"/>
        </w:trPr>
        <w:tc>
          <w:tcPr>
            <w:tcW w:w="1280" w:type="dxa"/>
            <w:vAlign w:val="bottom"/>
            <w:tcBorders>
              <w:left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plan</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07"/>
        </w:trPr>
        <w:tc>
          <w:tcPr>
            <w:tcW w:w="128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Solid execution enabled capture of unforecasted market opportunities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Led key business development initiatives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 Numerous bolt-on transactions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 Long-haul recontracting</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 Increased Permian dedicated acreage by ~225,000 acres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tcPr>
          <w:p>
            <w:pPr>
              <w:ind w:left="40"/>
              <w:spacing w:after="0"/>
              <w:rPr>
                <w:sz w:val="20"/>
                <w:szCs w:val="20"/>
                <w:color w:val="auto"/>
              </w:rPr>
            </w:pPr>
            <w:r>
              <w:rPr>
                <w:rFonts w:ascii="Arial" w:cs="Arial" w:eastAsia="Arial" w:hAnsi="Arial"/>
                <w:sz w:val="17"/>
                <w:szCs w:val="17"/>
                <w:color w:val="auto"/>
              </w:rPr>
              <w:t>• Significant additional volume capture (Permian and elsewhere)</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2"/>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680" w:type="dxa"/>
            <w:vAlign w:val="bottom"/>
          </w:tcPr>
          <w:p>
            <w:pPr>
              <w:ind w:left="40"/>
              <w:spacing w:after="0"/>
              <w:rPr>
                <w:sz w:val="20"/>
                <w:szCs w:val="20"/>
                <w:color w:val="auto"/>
              </w:rPr>
            </w:pPr>
            <w:r>
              <w:rPr>
                <w:rFonts w:ascii="Arial" w:cs="Arial" w:eastAsia="Arial" w:hAnsi="Arial"/>
                <w:sz w:val="17"/>
                <w:szCs w:val="17"/>
                <w:color w:val="auto"/>
              </w:rPr>
              <w:t>Drove NGL strategy/execution</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 Oversight of emerging energy effort</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25"/>
        </w:trPr>
        <w:tc>
          <w:tcPr>
            <w:tcW w:w="128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59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 Significant role in attractive positioning of business for 2025+</w:t>
            </w:r>
          </w:p>
        </w:tc>
        <w:tc>
          <w:tcPr>
            <w:tcW w:w="1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bl>
    <w:p>
      <w:pPr>
        <w:spacing w:after="0" w:line="62" w:lineRule="exact"/>
        <w:rPr>
          <w:sz w:val="20"/>
          <w:szCs w:val="20"/>
          <w:color w:val="auto"/>
        </w:rPr>
      </w:pPr>
    </w:p>
    <w:p>
      <w:pPr>
        <w:ind w:left="5240" w:right="2759" w:hanging="3980"/>
        <w:spacing w:after="0" w:line="741" w:lineRule="auto"/>
        <w:tabs>
          <w:tab w:leader="none" w:pos="16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Pefanis requested a 100% cap/limit for his individual payout score.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After applying the individual performance scores set forth in the table above ranging from 100% to 175%, the total formulaic bonus payout calculation for our NEOs ranged from 117% to 147%,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102870</wp:posOffset>
            </wp:positionV>
            <wp:extent cx="5203190" cy="514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03190" cy="514350"/>
                    </a:xfrm>
                    <a:prstGeom prst="rect">
                      <a:avLst/>
                    </a:prstGeom>
                    <a:noFill/>
                  </pic:spPr>
                </pic:pic>
              </a:graphicData>
            </a:graphic>
          </wp:anchor>
        </w:drawing>
      </w:r>
    </w:p>
    <w:p>
      <w:pPr>
        <w:spacing w:after="0" w:line="122"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1560" w:type="dxa"/>
            <w:vAlign w:val="bottom"/>
            <w:tcBorders>
              <w:top w:val="single" w:sz="8" w:color="424E6A"/>
              <w:left w:val="single" w:sz="8" w:color="424E6A"/>
            </w:tcBorders>
          </w:tcPr>
          <w:p>
            <w:pPr>
              <w:spacing w:after="0"/>
              <w:rPr>
                <w:sz w:val="23"/>
                <w:szCs w:val="23"/>
                <w:color w:val="auto"/>
              </w:rPr>
            </w:pPr>
          </w:p>
        </w:tc>
        <w:tc>
          <w:tcPr>
            <w:tcW w:w="460" w:type="dxa"/>
            <w:vAlign w:val="bottom"/>
            <w:tcBorders>
              <w:top w:val="single" w:sz="8" w:color="424E6A"/>
            </w:tcBorders>
          </w:tcPr>
          <w:p>
            <w:pPr>
              <w:spacing w:after="0"/>
              <w:rPr>
                <w:sz w:val="23"/>
                <w:szCs w:val="23"/>
                <w:color w:val="auto"/>
              </w:rPr>
            </w:pPr>
          </w:p>
        </w:tc>
        <w:tc>
          <w:tcPr>
            <w:tcW w:w="780" w:type="dxa"/>
            <w:vAlign w:val="bottom"/>
            <w:tcBorders>
              <w:top w:val="single" w:sz="8" w:color="424E6A"/>
            </w:tcBorders>
          </w:tcPr>
          <w:p>
            <w:pPr>
              <w:spacing w:after="0"/>
              <w:rPr>
                <w:sz w:val="23"/>
                <w:szCs w:val="23"/>
                <w:color w:val="auto"/>
              </w:rPr>
            </w:pPr>
          </w:p>
        </w:tc>
        <w:tc>
          <w:tcPr>
            <w:tcW w:w="40" w:type="dxa"/>
            <w:vAlign w:val="bottom"/>
            <w:tcBorders>
              <w:top w:val="single" w:sz="8" w:color="424E6A"/>
            </w:tcBorders>
          </w:tcPr>
          <w:p>
            <w:pPr>
              <w:spacing w:after="0"/>
              <w:rPr>
                <w:sz w:val="23"/>
                <w:szCs w:val="23"/>
                <w:color w:val="auto"/>
              </w:rPr>
            </w:pPr>
          </w:p>
        </w:tc>
        <w:tc>
          <w:tcPr>
            <w:tcW w:w="120" w:type="dxa"/>
            <w:vAlign w:val="bottom"/>
            <w:tcBorders>
              <w:top w:val="single" w:sz="8" w:color="424E6A"/>
            </w:tcBorders>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1520" w:type="dxa"/>
            <w:vAlign w:val="bottom"/>
            <w:tcBorders>
              <w:top w:val="single" w:sz="8" w:color="424E6A"/>
            </w:tcBorders>
            <w:gridSpan w:val="3"/>
          </w:tcPr>
          <w:p>
            <w:pPr>
              <w:ind w:left="140"/>
              <w:spacing w:after="0"/>
              <w:rPr>
                <w:sz w:val="20"/>
                <w:szCs w:val="20"/>
                <w:color w:val="auto"/>
              </w:rPr>
            </w:pPr>
            <w:r>
              <w:rPr>
                <w:rFonts w:ascii="Arial" w:cs="Arial" w:eastAsia="Arial" w:hAnsi="Arial"/>
                <w:sz w:val="14"/>
                <w:szCs w:val="14"/>
                <w:b w:val="1"/>
                <w:bCs w:val="1"/>
                <w:color w:val="FFFFFF"/>
              </w:rPr>
              <w:t>Company Results</w:t>
            </w:r>
          </w:p>
        </w:tc>
        <w:tc>
          <w:tcPr>
            <w:tcW w:w="220" w:type="dxa"/>
            <w:vAlign w:val="bottom"/>
            <w:tcBorders>
              <w:top w:val="single" w:sz="8" w:color="424E6A"/>
            </w:tcBorders>
          </w:tcPr>
          <w:p>
            <w:pPr>
              <w:jc w:val="right"/>
              <w:ind w:right="8"/>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top w:val="single" w:sz="8" w:color="424E6A"/>
            </w:tcBorders>
            <w:gridSpan w:val="2"/>
          </w:tcPr>
          <w:p>
            <w:pPr>
              <w:ind w:left="120"/>
              <w:spacing w:after="0"/>
              <w:rPr>
                <w:sz w:val="20"/>
                <w:szCs w:val="20"/>
                <w:color w:val="auto"/>
              </w:rPr>
            </w:pPr>
            <w:r>
              <w:rPr>
                <w:rFonts w:ascii="Arial" w:cs="Arial" w:eastAsia="Arial" w:hAnsi="Arial"/>
                <w:sz w:val="14"/>
                <w:szCs w:val="14"/>
                <w:b w:val="1"/>
                <w:bCs w:val="1"/>
                <w:color w:val="FFFFFF"/>
              </w:rPr>
              <w:t>Individual Results</w:t>
            </w:r>
          </w:p>
        </w:tc>
        <w:tc>
          <w:tcPr>
            <w:tcW w:w="120" w:type="dxa"/>
            <w:vAlign w:val="bottom"/>
            <w:tcBorders>
              <w:top w:val="single" w:sz="8" w:color="424E6A"/>
            </w:tcBorders>
            <w:gridSpan w:val="2"/>
          </w:tcPr>
          <w:p>
            <w:pPr>
              <w:jc w:val="right"/>
              <w:ind w:right="40"/>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top w:val="single" w:sz="8" w:color="424E6A"/>
            </w:tcBorders>
          </w:tcPr>
          <w:p>
            <w:pPr>
              <w:jc w:val="center"/>
              <w:ind w:right="25"/>
              <w:spacing w:after="0"/>
              <w:rPr>
                <w:sz w:val="20"/>
                <w:szCs w:val="20"/>
                <w:color w:val="auto"/>
              </w:rPr>
            </w:pPr>
            <w:r>
              <w:rPr>
                <w:rFonts w:ascii="Arial" w:cs="Arial" w:eastAsia="Arial" w:hAnsi="Arial"/>
                <w:sz w:val="14"/>
                <w:szCs w:val="14"/>
                <w:b w:val="1"/>
                <w:bCs w:val="1"/>
                <w:color w:val="FFFFFF"/>
              </w:rPr>
              <w:t>Percent of</w:t>
            </w:r>
          </w:p>
        </w:tc>
        <w:tc>
          <w:tcPr>
            <w:tcW w:w="1060" w:type="dxa"/>
            <w:vAlign w:val="bottom"/>
            <w:tcBorders>
              <w:top w:val="single" w:sz="8" w:color="424E6A"/>
            </w:tcBorders>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1560" w:type="dxa"/>
            <w:vAlign w:val="bottom"/>
            <w:tcBorders>
              <w:left w:val="single" w:sz="8" w:color="424E6A"/>
            </w:tcBorders>
          </w:tcPr>
          <w:p>
            <w:pPr>
              <w:spacing w:after="0"/>
              <w:rPr>
                <w:sz w:val="4"/>
                <w:szCs w:val="4"/>
                <w:color w:val="auto"/>
              </w:rPr>
            </w:pPr>
          </w:p>
        </w:tc>
        <w:tc>
          <w:tcPr>
            <w:tcW w:w="1240" w:type="dxa"/>
            <w:vAlign w:val="bottom"/>
            <w:gridSpan w:val="2"/>
            <w:vMerge w:val="restart"/>
          </w:tcPr>
          <w:p>
            <w:pPr>
              <w:jc w:val="center"/>
              <w:ind w:left="184"/>
              <w:spacing w:after="0" w:line="148" w:lineRule="exact"/>
              <w:rPr>
                <w:sz w:val="20"/>
                <w:szCs w:val="20"/>
                <w:color w:val="auto"/>
              </w:rPr>
            </w:pPr>
            <w:r>
              <w:rPr>
                <w:rFonts w:ascii="Arial" w:cs="Arial" w:eastAsia="Arial" w:hAnsi="Arial"/>
                <w:sz w:val="14"/>
                <w:szCs w:val="14"/>
                <w:b w:val="1"/>
                <w:bCs w:val="1"/>
                <w:color w:val="FFFFFF"/>
              </w:rPr>
              <w:t>2024 Target</w:t>
            </w: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restart"/>
          </w:tcPr>
          <w:p>
            <w:pPr>
              <w:jc w:val="center"/>
              <w:ind w:right="25"/>
              <w:spacing w:after="0" w:line="148" w:lineRule="exact"/>
              <w:rPr>
                <w:sz w:val="20"/>
                <w:szCs w:val="20"/>
                <w:color w:val="auto"/>
              </w:rPr>
            </w:pPr>
            <w:r>
              <w:rPr>
                <w:rFonts w:ascii="Arial" w:cs="Arial" w:eastAsia="Arial" w:hAnsi="Arial"/>
                <w:sz w:val="14"/>
                <w:szCs w:val="14"/>
                <w:b w:val="1"/>
                <w:bCs w:val="1"/>
                <w:color w:val="FFFFFF"/>
                <w:w w:val="98"/>
              </w:rPr>
              <w:t>Target</w:t>
            </w:r>
          </w:p>
        </w:tc>
        <w:tc>
          <w:tcPr>
            <w:tcW w:w="106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FFFFFF"/>
              </w:rPr>
              <w:t>2024 Actual</w:t>
            </w:r>
          </w:p>
        </w:tc>
        <w:tc>
          <w:tcPr>
            <w:tcW w:w="0" w:type="dxa"/>
            <w:vAlign w:val="bottom"/>
          </w:tcPr>
          <w:p>
            <w:pPr>
              <w:spacing w:after="0"/>
              <w:rPr>
                <w:sz w:val="1"/>
                <w:szCs w:val="1"/>
                <w:color w:val="auto"/>
              </w:rPr>
            </w:pPr>
          </w:p>
        </w:tc>
      </w:tr>
      <w:tr>
        <w:trPr>
          <w:trHeight w:val="79"/>
        </w:trPr>
        <w:tc>
          <w:tcPr>
            <w:tcW w:w="1560" w:type="dxa"/>
            <w:vAlign w:val="bottom"/>
            <w:tcBorders>
              <w:left w:val="single" w:sz="8" w:color="424E6A"/>
            </w:tcBorders>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620" w:type="dxa"/>
            <w:vAlign w:val="bottom"/>
            <w:shd w:val="clear" w:color="auto" w:fill="424E6A"/>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20" w:type="dxa"/>
            <w:vAlign w:val="bottom"/>
            <w:tcBorders>
              <w:left w:val="single" w:sz="8" w:color="424E6A"/>
            </w:tcBorders>
            <w:gridSpan w:val="2"/>
            <w:vMerge w:val="restart"/>
          </w:tcPr>
          <w:p>
            <w:pPr>
              <w:ind w:left="60"/>
              <w:spacing w:after="0"/>
              <w:rPr>
                <w:sz w:val="20"/>
                <w:szCs w:val="20"/>
                <w:color w:val="auto"/>
              </w:rPr>
            </w:pPr>
            <w:r>
              <w:rPr>
                <w:rFonts w:ascii="Arial" w:cs="Arial" w:eastAsia="Arial" w:hAnsi="Arial"/>
                <w:sz w:val="14"/>
                <w:szCs w:val="14"/>
                <w:b w:val="1"/>
                <w:bCs w:val="1"/>
                <w:color w:val="FFFFFF"/>
              </w:rPr>
              <w:t xml:space="preserve">Named Executive Officer </w:t>
            </w:r>
            <w:r>
              <w:rPr>
                <w:rFonts w:ascii="Arial" w:cs="Arial" w:eastAsia="Arial" w:hAnsi="Arial"/>
                <w:sz w:val="28"/>
                <w:szCs w:val="28"/>
                <w:b w:val="1"/>
                <w:bCs w:val="1"/>
                <w:color w:val="FFFFFF"/>
                <w:vertAlign w:val="subscript"/>
              </w:rPr>
              <w:t>​​</w:t>
            </w:r>
          </w:p>
        </w:tc>
        <w:tc>
          <w:tcPr>
            <w:tcW w:w="78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FFFFFF"/>
              </w:rPr>
              <w:t>Bonus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shd w:val="clear" w:color="auto" w:fill="424E6A"/>
          </w:tcPr>
          <w:p>
            <w:pPr>
              <w:spacing w:after="0" w:line="158" w:lineRule="exact"/>
              <w:rPr>
                <w:sz w:val="20"/>
                <w:szCs w:val="20"/>
                <w:color w:val="auto"/>
              </w:rPr>
            </w:pPr>
            <w:r>
              <w:rPr>
                <w:rFonts w:ascii="Arial" w:cs="Arial" w:eastAsia="Arial" w:hAnsi="Arial"/>
                <w:sz w:val="14"/>
                <w:szCs w:val="14"/>
                <w:b w:val="1"/>
                <w:bCs w:val="1"/>
                <w:color w:val="FFFFFF"/>
              </w:rPr>
              <w:t>Company</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FFFFFF"/>
              </w:rPr>
              <w:t>Individual</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25"/>
              <w:spacing w:after="0" w:line="158" w:lineRule="exact"/>
              <w:rPr>
                <w:sz w:val="20"/>
                <w:szCs w:val="20"/>
                <w:color w:val="auto"/>
              </w:rPr>
            </w:pPr>
            <w:r>
              <w:rPr>
                <w:rFonts w:ascii="Arial" w:cs="Arial" w:eastAsia="Arial" w:hAnsi="Arial"/>
                <w:sz w:val="14"/>
                <w:szCs w:val="14"/>
                <w:b w:val="1"/>
                <w:bCs w:val="1"/>
                <w:color w:val="FFFFFF"/>
              </w:rPr>
              <w:t>Bonus</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FFFFFF"/>
              </w:rPr>
              <w:t>Bonus</w:t>
            </w:r>
          </w:p>
        </w:tc>
        <w:tc>
          <w:tcPr>
            <w:tcW w:w="0" w:type="dxa"/>
            <w:vAlign w:val="bottom"/>
          </w:tcPr>
          <w:p>
            <w:pPr>
              <w:spacing w:after="0"/>
              <w:rPr>
                <w:sz w:val="1"/>
                <w:szCs w:val="1"/>
                <w:color w:val="auto"/>
              </w:rPr>
            </w:pPr>
          </w:p>
        </w:tc>
      </w:tr>
      <w:tr>
        <w:trPr>
          <w:trHeight w:val="216"/>
        </w:trPr>
        <w:tc>
          <w:tcPr>
            <w:tcW w:w="2020" w:type="dxa"/>
            <w:vAlign w:val="bottom"/>
            <w:tcBorders>
              <w:left w:val="single" w:sz="8" w:color="424E6A"/>
              <w:bottom w:val="single" w:sz="8" w:color="424E6A"/>
            </w:tcBorders>
            <w:gridSpan w:val="2"/>
            <w:vMerge w:val="continue"/>
          </w:tcPr>
          <w:p>
            <w:pPr>
              <w:spacing w:after="0"/>
              <w:rPr>
                <w:sz w:val="18"/>
                <w:szCs w:val="18"/>
                <w:color w:val="auto"/>
              </w:rPr>
            </w:pPr>
          </w:p>
        </w:tc>
        <w:tc>
          <w:tcPr>
            <w:tcW w:w="780" w:type="dxa"/>
            <w:vAlign w:val="bottom"/>
            <w:tcBorders>
              <w:bottom w:val="single" w:sz="8" w:color="424E6A"/>
            </w:tcBorders>
          </w:tcPr>
          <w:p>
            <w:pPr>
              <w:jc w:val="center"/>
              <w:ind w:right="76"/>
              <w:spacing w:after="0"/>
              <w:rPr>
                <w:sz w:val="20"/>
                <w:szCs w:val="20"/>
                <w:color w:val="auto"/>
              </w:rPr>
            </w:pPr>
            <w:r>
              <w:rPr>
                <w:rFonts w:ascii="Arial" w:cs="Arial" w:eastAsia="Arial" w:hAnsi="Arial"/>
                <w:sz w:val="14"/>
                <w:szCs w:val="14"/>
                <w:b w:val="1"/>
                <w:bCs w:val="1"/>
                <w:color w:val="FFFFFF"/>
              </w:rPr>
              <w:t>Amount</w:t>
            </w:r>
          </w:p>
        </w:tc>
        <w:tc>
          <w:tcPr>
            <w:tcW w:w="80" w:type="dxa"/>
            <w:vAlign w:val="bottom"/>
            <w:tcBorders>
              <w:bottom w:val="single" w:sz="8" w:color="424E6A"/>
            </w:tcBorders>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spacing w:after="0"/>
              <w:rPr>
                <w:sz w:val="18"/>
                <w:szCs w:val="18"/>
                <w:color w:val="auto"/>
              </w:rPr>
            </w:pPr>
          </w:p>
        </w:tc>
        <w:tc>
          <w:tcPr>
            <w:tcW w:w="620" w:type="dxa"/>
            <w:vAlign w:val="bottom"/>
            <w:tcBorders>
              <w:bottom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Score</w:t>
            </w:r>
          </w:p>
        </w:tc>
        <w:tc>
          <w:tcPr>
            <w:tcW w:w="900" w:type="dxa"/>
            <w:vAlign w:val="bottom"/>
            <w:tcBorders>
              <w:bottom w:val="single" w:sz="8" w:color="424E6A"/>
            </w:tcBorders>
            <w:gridSpan w:val="2"/>
          </w:tcPr>
          <w:p>
            <w:pPr>
              <w:ind w:left="20"/>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Weight </w:t>
            </w:r>
            <w:r>
              <w:rPr>
                <w:rFonts w:ascii="Arial" w:cs="Arial" w:eastAsia="Arial" w:hAnsi="Arial"/>
                <w:sz w:val="25"/>
                <w:szCs w:val="25"/>
                <w:b w:val="1"/>
                <w:bCs w:val="1"/>
                <w:color w:val="FFFFFF"/>
                <w:vertAlign w:val="subscript"/>
              </w:rPr>
              <w:t>​​</w:t>
            </w:r>
          </w:p>
        </w:tc>
        <w:tc>
          <w:tcPr>
            <w:tcW w:w="220" w:type="dxa"/>
            <w:vAlign w:val="bottom"/>
            <w:tcBorders>
              <w:bottom w:val="single" w:sz="8" w:color="424E6A"/>
            </w:tcBorders>
          </w:tcPr>
          <w:p>
            <w:pPr>
              <w:jc w:val="right"/>
              <w:ind w:right="8"/>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bottom w:val="single" w:sz="8" w:color="424E6A"/>
            </w:tcBorders>
            <w:gridSpan w:val="2"/>
          </w:tcPr>
          <w:p>
            <w:pPr>
              <w:ind w:left="60"/>
              <w:spacing w:after="0" w:line="216" w:lineRule="exact"/>
              <w:rPr>
                <w:sz w:val="20"/>
                <w:szCs w:val="20"/>
                <w:color w:val="auto"/>
              </w:rPr>
            </w:pPr>
            <w:r>
              <w:rPr>
                <w:rFonts w:ascii="Arial" w:cs="Arial" w:eastAsia="Arial" w:hAnsi="Arial"/>
                <w:sz w:val="13"/>
                <w:szCs w:val="13"/>
                <w:b w:val="1"/>
                <w:bCs w:val="1"/>
                <w:color w:val="FFFFFF"/>
              </w:rPr>
              <w:t xml:space="preserve">Score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Weight </w:t>
            </w:r>
            <w:r>
              <w:rPr>
                <w:rFonts w:ascii="Arial" w:cs="Arial" w:eastAsia="Arial" w:hAnsi="Arial"/>
                <w:sz w:val="25"/>
                <w:szCs w:val="25"/>
                <w:b w:val="1"/>
                <w:bCs w:val="1"/>
                <w:color w:val="FFFFFF"/>
                <w:vertAlign w:val="subscript"/>
              </w:rPr>
              <w:t>​​</w:t>
            </w:r>
          </w:p>
        </w:tc>
        <w:tc>
          <w:tcPr>
            <w:tcW w:w="120" w:type="dxa"/>
            <w:vAlign w:val="bottom"/>
            <w:tcBorders>
              <w:bottom w:val="single" w:sz="8" w:color="424E6A"/>
            </w:tcBorders>
            <w:gridSpan w:val="2"/>
          </w:tcPr>
          <w:p>
            <w:pPr>
              <w:jc w:val="right"/>
              <w:ind w:right="40"/>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rPr>
              <w:t>Earned</w:t>
            </w:r>
          </w:p>
        </w:tc>
        <w:tc>
          <w:tcPr>
            <w:tcW w:w="106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w w:val="95"/>
              </w:rPr>
              <w:t>Amount</w:t>
            </w:r>
            <w:r>
              <w:rPr>
                <w:rFonts w:ascii="Arial" w:cs="Arial" w:eastAsia="Arial" w:hAnsi="Arial"/>
                <w:sz w:val="17"/>
                <w:szCs w:val="17"/>
                <w:b w:val="1"/>
                <w:bCs w:val="1"/>
                <w:color w:val="FFFFFF"/>
                <w:w w:val="95"/>
                <w:vertAlign w:val="superscript"/>
              </w:rPr>
              <w:t>(1)</w:t>
            </w:r>
          </w:p>
        </w:tc>
        <w:tc>
          <w:tcPr>
            <w:tcW w:w="0" w:type="dxa"/>
            <w:vAlign w:val="bottom"/>
          </w:tcPr>
          <w:p>
            <w:pPr>
              <w:spacing w:after="0"/>
              <w:rPr>
                <w:sz w:val="1"/>
                <w:szCs w:val="1"/>
                <w:color w:val="auto"/>
              </w:rPr>
            </w:pPr>
          </w:p>
        </w:tc>
      </w:tr>
      <w:tr>
        <w:trPr>
          <w:trHeight w:val="250"/>
        </w:trPr>
        <w:tc>
          <w:tcPr>
            <w:tcW w:w="1560" w:type="dxa"/>
            <w:vAlign w:val="bottom"/>
            <w:tcBorders>
              <w:left w:val="single" w:sz="8" w:color="D9DCE1"/>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400" w:type="dxa"/>
            <w:vAlign w:val="bottom"/>
            <w:tcBorders>
              <w:bottom w:val="single" w:sz="8" w:color="424E6A"/>
            </w:tcBorders>
            <w:gridSpan w:val="5"/>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$2,125,000 </w:t>
            </w:r>
            <w:r>
              <w:rPr>
                <w:rFonts w:ascii="Arial" w:cs="Arial" w:eastAsia="Arial" w:hAnsi="Arial"/>
                <w:sz w:val="28"/>
                <w:szCs w:val="28"/>
                <w:color w:val="auto"/>
                <w:vertAlign w:val="subscript"/>
              </w:rPr>
              <w:t>​​</w:t>
            </w:r>
          </w:p>
        </w:tc>
        <w:tc>
          <w:tcPr>
            <w:tcW w:w="960" w:type="dxa"/>
            <w:vAlign w:val="bottom"/>
            <w:tcBorders>
              <w:bottom w:val="single" w:sz="8" w:color="424E6A"/>
            </w:tcBorders>
            <w:gridSpan w:val="2"/>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160%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shd w:val="clear" w:color="auto" w:fill="D9DCE1"/>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141% </w:t>
            </w:r>
            <w:r>
              <w:rPr>
                <w:rFonts w:ascii="Arial" w:cs="Arial" w:eastAsia="Arial" w:hAnsi="Arial"/>
                <w:sz w:val="28"/>
                <w:szCs w:val="28"/>
                <w:color w:val="auto"/>
                <w:vertAlign w:val="subscript"/>
              </w:rPr>
              <w:t>​ ​</w:t>
            </w:r>
            <w:r>
              <w:rPr>
                <w:rFonts w:ascii="Arial" w:cs="Arial" w:eastAsia="Arial" w:hAnsi="Arial"/>
                <w:sz w:val="15"/>
                <w:szCs w:val="15"/>
                <w:color w:val="auto"/>
              </w:rPr>
              <w:t>$2,995,000</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Harry Pefanis</w:t>
            </w:r>
          </w:p>
        </w:tc>
        <w:tc>
          <w:tcPr>
            <w:tcW w:w="1400" w:type="dxa"/>
            <w:vAlign w:val="bottom"/>
            <w:tcBorders>
              <w:bottom w:val="single" w:sz="8" w:color="424E6A"/>
            </w:tcBorders>
            <w:gridSpan w:val="5"/>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$1,200,000 </w:t>
            </w:r>
            <w:r>
              <w:rPr>
                <w:rFonts w:ascii="Arial" w:cs="Arial" w:eastAsia="Arial" w:hAnsi="Arial"/>
                <w:sz w:val="28"/>
                <w:szCs w:val="28"/>
                <w:color w:val="auto"/>
                <w:vertAlign w:val="subscript"/>
              </w:rPr>
              <w:t>​​</w:t>
            </w:r>
          </w:p>
        </w:tc>
        <w:tc>
          <w:tcPr>
            <w:tcW w:w="960" w:type="dxa"/>
            <w:vAlign w:val="bottom"/>
            <w:tcBorders>
              <w:bottom w:val="single" w:sz="8" w:color="424E6A"/>
            </w:tcBorders>
            <w:gridSpan w:val="2"/>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117% </w:t>
            </w:r>
            <w:r>
              <w:rPr>
                <w:rFonts w:ascii="Arial" w:cs="Arial" w:eastAsia="Arial" w:hAnsi="Arial"/>
                <w:sz w:val="28"/>
                <w:szCs w:val="28"/>
                <w:color w:val="auto"/>
                <w:vertAlign w:val="subscript"/>
              </w:rPr>
              <w:t>​ ​</w:t>
            </w:r>
            <w:r>
              <w:rPr>
                <w:rFonts w:ascii="Arial" w:cs="Arial" w:eastAsia="Arial" w:hAnsi="Arial"/>
                <w:sz w:val="15"/>
                <w:szCs w:val="15"/>
                <w:color w:val="auto"/>
              </w:rPr>
              <w:t>$1,405,000</w:t>
            </w:r>
          </w:p>
        </w:tc>
        <w:tc>
          <w:tcPr>
            <w:tcW w:w="0" w:type="dxa"/>
            <w:vAlign w:val="bottom"/>
          </w:tcPr>
          <w:p>
            <w:pPr>
              <w:spacing w:after="0"/>
              <w:rPr>
                <w:sz w:val="1"/>
                <w:szCs w:val="1"/>
                <w:color w:val="auto"/>
              </w:rPr>
            </w:pPr>
          </w:p>
        </w:tc>
      </w:tr>
      <w:tr>
        <w:trPr>
          <w:trHeight w:val="250"/>
        </w:trPr>
        <w:tc>
          <w:tcPr>
            <w:tcW w:w="1560" w:type="dxa"/>
            <w:vAlign w:val="bottom"/>
            <w:tcBorders>
              <w:left w:val="single" w:sz="8" w:color="D9DCE1"/>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46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825,000</w:t>
            </w:r>
          </w:p>
        </w:tc>
        <w:tc>
          <w:tcPr>
            <w:tcW w:w="160" w:type="dxa"/>
            <w:vAlign w:val="bottom"/>
            <w:tcBorders>
              <w:bottom w:val="single" w:sz="8" w:color="424E6A"/>
            </w:tcBorders>
            <w:gridSpan w:val="3"/>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gridSpan w:val="2"/>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155%</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shd w:val="clear" w:color="auto" w:fill="D9DCE1"/>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139% </w:t>
            </w:r>
            <w:r>
              <w:rPr>
                <w:rFonts w:ascii="Arial" w:cs="Arial" w:eastAsia="Arial" w:hAnsi="Arial"/>
                <w:sz w:val="28"/>
                <w:szCs w:val="28"/>
                <w:color w:val="auto"/>
                <w:vertAlign w:val="subscript"/>
              </w:rPr>
              <w:t>​ ​</w:t>
            </w:r>
            <w:r>
              <w:rPr>
                <w:rFonts w:ascii="Arial" w:cs="Arial" w:eastAsia="Arial" w:hAnsi="Arial"/>
                <w:sz w:val="15"/>
                <w:szCs w:val="15"/>
                <w:color w:val="auto"/>
              </w:rPr>
              <w:t>$1,150,000</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Richard McGee</w:t>
            </w:r>
          </w:p>
        </w:tc>
        <w:tc>
          <w:tcPr>
            <w:tcW w:w="46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825,000</w:t>
            </w:r>
          </w:p>
        </w:tc>
        <w:tc>
          <w:tcPr>
            <w:tcW w:w="160" w:type="dxa"/>
            <w:vAlign w:val="bottom"/>
            <w:tcBorders>
              <w:bottom w:val="single" w:sz="8" w:color="424E6A"/>
            </w:tcBorders>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gridSpan w:val="2"/>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140%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133% </w:t>
            </w:r>
            <w:r>
              <w:rPr>
                <w:rFonts w:ascii="Arial" w:cs="Arial" w:eastAsia="Arial" w:hAnsi="Arial"/>
                <w:sz w:val="28"/>
                <w:szCs w:val="28"/>
                <w:color w:val="auto"/>
                <w:vertAlign w:val="subscript"/>
              </w:rPr>
              <w:t>​ ​</w:t>
            </w:r>
            <w:r>
              <w:rPr>
                <w:rFonts w:ascii="Arial" w:cs="Arial" w:eastAsia="Arial" w:hAnsi="Arial"/>
                <w:sz w:val="15"/>
                <w:szCs w:val="15"/>
                <w:color w:val="auto"/>
              </w:rPr>
              <w:t>$1,100,000</w:t>
            </w:r>
          </w:p>
        </w:tc>
        <w:tc>
          <w:tcPr>
            <w:tcW w:w="0" w:type="dxa"/>
            <w:vAlign w:val="bottom"/>
          </w:tcPr>
          <w:p>
            <w:pPr>
              <w:spacing w:after="0"/>
              <w:rPr>
                <w:sz w:val="1"/>
                <w:szCs w:val="1"/>
                <w:color w:val="auto"/>
              </w:rPr>
            </w:pPr>
          </w:p>
        </w:tc>
      </w:tr>
      <w:tr>
        <w:trPr>
          <w:trHeight w:val="250"/>
        </w:trPr>
        <w:tc>
          <w:tcPr>
            <w:tcW w:w="1560" w:type="dxa"/>
            <w:vAlign w:val="bottom"/>
            <w:tcBorders>
              <w:left w:val="single" w:sz="8" w:color="D9DCE1"/>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46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tcBorders>
              <w:bottom w:val="single" w:sz="8" w:color="424E6A"/>
            </w:tcBorders>
            <w:gridSpan w:val="3"/>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gridSpan w:val="2"/>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175%</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shd w:val="clear" w:color="auto" w:fill="D9DCE1"/>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147% </w:t>
            </w:r>
            <w:r>
              <w:rPr>
                <w:rFonts w:ascii="Arial" w:cs="Arial" w:eastAsia="Arial" w:hAnsi="Arial"/>
                <w:sz w:val="28"/>
                <w:szCs w:val="28"/>
                <w:color w:val="auto"/>
                <w:vertAlign w:val="subscript"/>
              </w:rPr>
              <w:t>​ ​</w:t>
            </w:r>
            <w:r>
              <w:rPr>
                <w:rFonts w:ascii="Arial" w:cs="Arial" w:eastAsia="Arial" w:hAnsi="Arial"/>
                <w:sz w:val="15"/>
                <w:szCs w:val="15"/>
                <w:color w:val="auto"/>
              </w:rPr>
              <w:t>$1,325,000</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Jeremy Goebel</w:t>
            </w:r>
          </w:p>
        </w:tc>
        <w:tc>
          <w:tcPr>
            <w:tcW w:w="46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tcBorders>
              <w:bottom w:val="single" w:sz="8" w:color="424E6A"/>
            </w:tcBorders>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gridSpan w:val="2"/>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175%</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147% </w:t>
            </w:r>
            <w:r>
              <w:rPr>
                <w:rFonts w:ascii="Arial" w:cs="Arial" w:eastAsia="Arial" w:hAnsi="Arial"/>
                <w:sz w:val="28"/>
                <w:szCs w:val="28"/>
                <w:color w:val="auto"/>
                <w:vertAlign w:val="subscript"/>
              </w:rPr>
              <w:t>​ ​</w:t>
            </w:r>
            <w:r>
              <w:rPr>
                <w:rFonts w:ascii="Arial" w:cs="Arial" w:eastAsia="Arial" w:hAnsi="Arial"/>
                <w:sz w:val="15"/>
                <w:szCs w:val="15"/>
                <w:color w:val="auto"/>
              </w:rPr>
              <w:t>$1,325,000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620" w:hanging="360"/>
        <w:spacing w:after="0"/>
        <w:tabs>
          <w:tab w:leader="none" w:pos="162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Final amounts paid were rounded to the nearest multiple of $5,000.</w:t>
      </w:r>
    </w:p>
    <w:p>
      <w:pPr>
        <w:spacing w:after="0" w:line="139" w:lineRule="exact"/>
        <w:rPr>
          <w:sz w:val="20"/>
          <w:szCs w:val="20"/>
          <w:color w:val="auto"/>
        </w:rPr>
      </w:pPr>
    </w:p>
    <w:p>
      <w:pPr>
        <w:jc w:val="both"/>
        <w:ind w:left="1260" w:right="439" w:firstLine="360"/>
        <w:spacing w:after="0" w:line="259"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Based on Meridian’s compensation comparison study and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market-based review by the Compensation Committee in February 2024, the annual LTIP targets for all NEOs other than Mr. Pefanis were increased. The 2024 annual LTIP targets for the Named Executive Officers, expressed as a percentage of base salary, and the value of the 2024 annual LTIP awards to the Named Executive Officers are set forth in the table below:</w:t>
      </w:r>
    </w:p>
    <w:p>
      <w:pPr>
        <w:spacing w:after="0" w:line="158"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580" w:type="dxa"/>
            <w:vAlign w:val="bottom"/>
            <w:tcBorders>
              <w:left w:val="single" w:sz="8" w:color="424E6A"/>
              <w:right w:val="single" w:sz="8" w:color="424E6A"/>
            </w:tcBorders>
            <w:shd w:val="clear" w:color="auto" w:fill="424E6A"/>
          </w:tcPr>
          <w:p>
            <w:pPr>
              <w:spacing w:after="0"/>
              <w:rPr>
                <w:sz w:val="21"/>
                <w:szCs w:val="21"/>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LTIP</w:t>
            </w:r>
          </w:p>
        </w:tc>
        <w:tc>
          <w:tcPr>
            <w:tcW w:w="14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96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62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320" w:type="dxa"/>
            <w:vAlign w:val="bottom"/>
            <w:shd w:val="clear" w:color="auto" w:fill="424E6A"/>
          </w:tcPr>
          <w:p>
            <w:pPr>
              <w:spacing w:after="0"/>
              <w:rPr>
                <w:sz w:val="21"/>
                <w:szCs w:val="21"/>
                <w:color w:val="auto"/>
              </w:rPr>
            </w:pPr>
          </w:p>
        </w:tc>
        <w:tc>
          <w:tcPr>
            <w:tcW w:w="76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200" w:type="dxa"/>
            <w:vAlign w:val="bottom"/>
            <w:tcBorders>
              <w:right w:val="single" w:sz="8" w:color="424E6A"/>
            </w:tcBorders>
            <w:shd w:val="clear" w:color="auto" w:fill="424E6A"/>
          </w:tcPr>
          <w:p>
            <w:pPr>
              <w:spacing w:after="0"/>
              <w:rPr>
                <w:sz w:val="21"/>
                <w:szCs w:val="21"/>
                <w:color w:val="auto"/>
              </w:rPr>
            </w:pPr>
          </w:p>
        </w:tc>
      </w:tr>
      <w:tr>
        <w:trPr>
          <w:trHeight w:val="162"/>
        </w:trPr>
        <w:tc>
          <w:tcPr>
            <w:tcW w:w="158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Award Target</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9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440" w:type="dxa"/>
            <w:vAlign w:val="bottom"/>
            <w:shd w:val="clear" w:color="auto" w:fill="424E6A"/>
          </w:tcPr>
          <w:p>
            <w:pPr>
              <w:spacing w:after="0"/>
              <w:rPr>
                <w:sz w:val="14"/>
                <w:szCs w:val="14"/>
                <w:color w:val="auto"/>
              </w:rPr>
            </w:pPr>
          </w:p>
        </w:tc>
        <w:tc>
          <w:tcPr>
            <w:tcW w:w="62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37"/>
              <w:spacing w:after="0"/>
              <w:rPr>
                <w:sz w:val="20"/>
                <w:szCs w:val="20"/>
                <w:color w:val="auto"/>
              </w:rPr>
            </w:pPr>
            <w:r>
              <w:rPr>
                <w:rFonts w:ascii="Arial" w:cs="Arial" w:eastAsia="Arial" w:hAnsi="Arial"/>
                <w:sz w:val="14"/>
                <w:szCs w:val="14"/>
                <w:b w:val="1"/>
                <w:bCs w:val="1"/>
                <w:color w:val="FFFFFF"/>
              </w:rPr>
              <w:t>Performance-</w:t>
            </w:r>
          </w:p>
        </w:tc>
      </w:tr>
      <w:tr>
        <w:trPr>
          <w:trHeight w:val="162"/>
        </w:trPr>
        <w:tc>
          <w:tcPr>
            <w:tcW w:w="158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Value (as</w:t>
            </w:r>
          </w:p>
        </w:tc>
        <w:tc>
          <w:tcPr>
            <w:tcW w:w="140" w:type="dxa"/>
            <w:vAlign w:val="bottom"/>
            <w:tcBorders>
              <w:right w:val="single" w:sz="8" w:color="424E6A"/>
            </w:tcBorders>
            <w:shd w:val="clear" w:color="auto" w:fill="424E6A"/>
          </w:tcPr>
          <w:p>
            <w:pPr>
              <w:spacing w:after="0"/>
              <w:rPr>
                <w:sz w:val="14"/>
                <w:szCs w:val="14"/>
                <w:color w:val="auto"/>
              </w:rPr>
            </w:pPr>
          </w:p>
        </w:tc>
        <w:tc>
          <w:tcPr>
            <w:tcW w:w="11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2024 Annual</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2024 Annual</w:t>
            </w: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Time-Based</w:t>
            </w: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57"/>
              <w:spacing w:after="0"/>
              <w:rPr>
                <w:sz w:val="20"/>
                <w:szCs w:val="20"/>
                <w:color w:val="auto"/>
              </w:rPr>
            </w:pPr>
            <w:r>
              <w:rPr>
                <w:rFonts w:ascii="Arial" w:cs="Arial" w:eastAsia="Arial" w:hAnsi="Arial"/>
                <w:sz w:val="14"/>
                <w:szCs w:val="14"/>
                <w:b w:val="1"/>
                <w:bCs w:val="1"/>
                <w:color w:val="FFFFFF"/>
                <w:w w:val="99"/>
              </w:rPr>
              <w:t>Based</w:t>
            </w:r>
          </w:p>
        </w:tc>
      </w:tr>
      <w:tr>
        <w:trPr>
          <w:trHeight w:val="162"/>
        </w:trPr>
        <w:tc>
          <w:tcPr>
            <w:tcW w:w="15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Named Executive</w:t>
            </w: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a percentage of</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960" w:type="dxa"/>
            <w:vAlign w:val="bottom"/>
            <w:shd w:val="clear" w:color="auto" w:fill="424E6A"/>
          </w:tcPr>
          <w:p>
            <w:pPr>
              <w:jc w:val="center"/>
              <w:ind w:right="106"/>
              <w:spacing w:after="0"/>
              <w:rPr>
                <w:sz w:val="20"/>
                <w:szCs w:val="20"/>
                <w:color w:val="auto"/>
              </w:rPr>
            </w:pPr>
            <w:r>
              <w:rPr>
                <w:rFonts w:ascii="Arial" w:cs="Arial" w:eastAsia="Arial" w:hAnsi="Arial"/>
                <w:sz w:val="14"/>
                <w:szCs w:val="14"/>
                <w:b w:val="1"/>
                <w:bCs w:val="1"/>
                <w:color w:val="FFFFFF"/>
              </w:rPr>
              <w:t>LTIP Award</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57"/>
              <w:spacing w:after="0"/>
              <w:rPr>
                <w:sz w:val="20"/>
                <w:szCs w:val="20"/>
                <w:color w:val="auto"/>
              </w:rPr>
            </w:pPr>
            <w:r>
              <w:rPr>
                <w:rFonts w:ascii="Arial" w:cs="Arial" w:eastAsia="Arial" w:hAnsi="Arial"/>
                <w:sz w:val="14"/>
                <w:szCs w:val="14"/>
                <w:b w:val="1"/>
                <w:bCs w:val="1"/>
                <w:color w:val="FFFFFF"/>
              </w:rPr>
              <w:t>Phantom Units</w:t>
            </w:r>
          </w:p>
        </w:tc>
      </w:tr>
      <w:tr>
        <w:trPr>
          <w:trHeight w:val="212"/>
        </w:trPr>
        <w:tc>
          <w:tcPr>
            <w:tcW w:w="15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Officer</w:t>
            </w:r>
          </w:p>
        </w:tc>
        <w:tc>
          <w:tcPr>
            <w:tcW w:w="118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base salary)</w:t>
            </w:r>
          </w:p>
        </w:tc>
        <w:tc>
          <w:tcPr>
            <w:tcW w:w="140" w:type="dxa"/>
            <w:vAlign w:val="bottom"/>
            <w:tcBorders>
              <w:right w:val="single" w:sz="8" w:color="424E6A"/>
            </w:tcBorders>
            <w:shd w:val="clear" w:color="auto" w:fill="424E6A"/>
          </w:tcPr>
          <w:p>
            <w:pPr>
              <w:spacing w:after="0"/>
              <w:rPr>
                <w:sz w:val="18"/>
                <w:szCs w:val="18"/>
                <w:color w:val="auto"/>
              </w:rPr>
            </w:pPr>
          </w:p>
        </w:tc>
        <w:tc>
          <w:tcPr>
            <w:tcW w:w="1180" w:type="dxa"/>
            <w:vAlign w:val="bottom"/>
            <w:gridSpan w:val="2"/>
            <w:shd w:val="clear" w:color="auto" w:fill="424E6A"/>
          </w:tcPr>
          <w:p>
            <w:pPr>
              <w:jc w:val="center"/>
              <w:ind w:left="2"/>
              <w:spacing w:after="0"/>
              <w:rPr>
                <w:sz w:val="20"/>
                <w:szCs w:val="20"/>
                <w:color w:val="auto"/>
              </w:rPr>
            </w:pPr>
            <w:r>
              <w:rPr>
                <w:rFonts w:ascii="Arial" w:cs="Arial" w:eastAsia="Arial" w:hAnsi="Arial"/>
                <w:sz w:val="14"/>
                <w:szCs w:val="14"/>
                <w:b w:val="1"/>
                <w:bCs w:val="1"/>
                <w:color w:val="FFFFFF"/>
              </w:rPr>
              <w:t>Target Value ($)</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4"/>
              </w:rPr>
              <w:t>Granted</w:t>
            </w:r>
            <w:r>
              <w:rPr>
                <w:rFonts w:ascii="Arial" w:cs="Arial" w:eastAsia="Arial" w:hAnsi="Arial"/>
                <w:sz w:val="17"/>
                <w:szCs w:val="17"/>
                <w:b w:val="1"/>
                <w:bCs w:val="1"/>
                <w:color w:val="FFFFFF"/>
                <w:w w:val="94"/>
                <w:vertAlign w:val="superscript"/>
              </w:rPr>
              <w:t>(1)</w:t>
            </w:r>
          </w:p>
        </w:tc>
        <w:tc>
          <w:tcPr>
            <w:tcW w:w="2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20" w:type="dxa"/>
            <w:vAlign w:val="bottom"/>
            <w:shd w:val="clear" w:color="auto" w:fill="424E6A"/>
          </w:tcPr>
          <w:p>
            <w:pPr>
              <w:spacing w:after="0"/>
              <w:rPr>
                <w:sz w:val="18"/>
                <w:szCs w:val="18"/>
                <w:color w:val="auto"/>
              </w:rPr>
            </w:pPr>
          </w:p>
        </w:tc>
        <w:tc>
          <w:tcPr>
            <w:tcW w:w="760" w:type="dxa"/>
            <w:vAlign w:val="bottom"/>
            <w:shd w:val="clear" w:color="auto" w:fill="424E6A"/>
          </w:tcPr>
          <w:p>
            <w:pPr>
              <w:jc w:val="center"/>
              <w:ind w:right="219"/>
              <w:spacing w:after="0"/>
              <w:rPr>
                <w:sz w:val="20"/>
                <w:szCs w:val="20"/>
                <w:color w:val="auto"/>
              </w:rPr>
            </w:pPr>
            <w:r>
              <w:rPr>
                <w:rFonts w:ascii="Arial" w:cs="Arial" w:eastAsia="Arial" w:hAnsi="Arial"/>
                <w:sz w:val="14"/>
                <w:szCs w:val="14"/>
                <w:b w:val="1"/>
                <w:bCs w:val="1"/>
                <w:color w:val="FFFFFF"/>
              </w:rPr>
              <w:t>(50%)</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00" w:type="dxa"/>
            <w:vAlign w:val="bottom"/>
            <w:tcBorders>
              <w:right w:val="single" w:sz="8" w:color="424E6A"/>
            </w:tcBorders>
            <w:shd w:val="clear" w:color="auto" w:fill="424E6A"/>
          </w:tcPr>
          <w:p>
            <w:pPr>
              <w:jc w:val="center"/>
              <w:ind w:right="17"/>
              <w:spacing w:after="0"/>
              <w:rPr>
                <w:sz w:val="20"/>
                <w:szCs w:val="20"/>
                <w:color w:val="auto"/>
              </w:rPr>
            </w:pPr>
            <w:r>
              <w:rPr>
                <w:rFonts w:ascii="Arial" w:cs="Arial" w:eastAsia="Arial" w:hAnsi="Arial"/>
                <w:sz w:val="14"/>
                <w:szCs w:val="14"/>
                <w:b w:val="1"/>
                <w:bCs w:val="1"/>
                <w:color w:val="FFFFFF"/>
              </w:rPr>
              <w:t>(50%)</w:t>
            </w:r>
          </w:p>
        </w:tc>
      </w:tr>
      <w:tr>
        <w:trPr>
          <w:trHeight w:val="257"/>
        </w:trPr>
        <w:tc>
          <w:tcPr>
            <w:tcW w:w="158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80" w:type="dxa"/>
            <w:vAlign w:val="bottom"/>
            <w:tcBorders>
              <w:bottom w:val="single" w:sz="8" w:color="424E6A"/>
            </w:tcBorders>
            <w:shd w:val="clear" w:color="auto" w:fill="D9DCE1"/>
          </w:tcPr>
          <w:p>
            <w:pPr>
              <w:ind w:left="4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750%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gridSpan w:val="2"/>
            <w:shd w:val="clear" w:color="auto" w:fill="D9DCE1"/>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$6,375,000</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357,750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2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178,875</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178,875</w:t>
            </w:r>
          </w:p>
        </w:tc>
      </w:tr>
      <w:tr>
        <w:trPr>
          <w:trHeight w:val="250"/>
        </w:trPr>
        <w:tc>
          <w:tcPr>
            <w:tcW w:w="15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Harry Pefanis</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n/a</w:t>
            </w:r>
            <w:r>
              <w:rPr>
                <w:rFonts w:ascii="Arial" w:cs="Arial" w:eastAsia="Arial" w:hAnsi="Arial"/>
                <w:sz w:val="19"/>
                <w:szCs w:val="19"/>
                <w:color w:val="auto"/>
                <w:vertAlign w:val="superscript"/>
              </w:rPr>
              <w:t>(2)</w:t>
            </w:r>
            <w:r>
              <w:rPr>
                <w:rFonts w:ascii="Arial" w:cs="Arial" w:eastAsia="Arial" w:hAnsi="Arial"/>
                <w:sz w:val="28"/>
                <w:szCs w:val="28"/>
                <w:color w:val="auto"/>
                <w:vertAlign w:val="subscript"/>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8"/>
                <w:szCs w:val="18"/>
                <w:color w:val="auto"/>
                <w:w w:val="95"/>
              </w:rPr>
              <w:t>n/a</w:t>
            </w:r>
            <w:r>
              <w:rPr>
                <w:rFonts w:ascii="Arial" w:cs="Arial" w:eastAsia="Arial" w:hAnsi="Arial"/>
                <w:sz w:val="23"/>
                <w:szCs w:val="23"/>
                <w:color w:val="auto"/>
                <w:w w:val="95"/>
                <w:vertAlign w:val="superscript"/>
              </w:rPr>
              <w:t>(2)</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424E6A"/>
            </w:tcBorders>
          </w:tcPr>
          <w:p>
            <w:pPr>
              <w:ind w:left="320"/>
              <w:spacing w:after="0" w:line="250" w:lineRule="exact"/>
              <w:rPr>
                <w:sz w:val="20"/>
                <w:szCs w:val="20"/>
                <w:color w:val="auto"/>
              </w:rPr>
            </w:pPr>
            <w:r>
              <w:rPr>
                <w:rFonts w:ascii="Arial" w:cs="Arial" w:eastAsia="Arial" w:hAnsi="Arial"/>
                <w:sz w:val="18"/>
                <w:szCs w:val="18"/>
                <w:color w:val="auto"/>
                <w:w w:val="95"/>
              </w:rPr>
              <w:t>n/a</w:t>
            </w:r>
            <w:r>
              <w:rPr>
                <w:rFonts w:ascii="Arial" w:cs="Arial" w:eastAsia="Arial" w:hAnsi="Arial"/>
                <w:sz w:val="23"/>
                <w:szCs w:val="23"/>
                <w:color w:val="auto"/>
                <w:w w:val="95"/>
                <w:vertAlign w:val="superscript"/>
              </w:rPr>
              <w:t>(2)</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spacing w:after="0" w:line="250"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r>
      <w:tr>
        <w:trPr>
          <w:trHeight w:val="250"/>
        </w:trPr>
        <w:tc>
          <w:tcPr>
            <w:tcW w:w="158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180" w:type="dxa"/>
            <w:vAlign w:val="bottom"/>
            <w:tcBorders>
              <w:bottom w:val="single" w:sz="8" w:color="424E6A"/>
            </w:tcBorders>
            <w:shd w:val="clear" w:color="auto" w:fill="D9DCE1"/>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gridSpan w:val="2"/>
            <w:shd w:val="clear" w:color="auto" w:fill="D9DCE1"/>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$1,925,000</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108,000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54,000</w:t>
            </w:r>
          </w:p>
        </w:tc>
      </w:tr>
      <w:tr>
        <w:trPr>
          <w:trHeight w:val="250"/>
        </w:trPr>
        <w:tc>
          <w:tcPr>
            <w:tcW w:w="15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Richard McGee</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$1,925,000</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108,000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54,000</w:t>
            </w:r>
          </w:p>
        </w:tc>
      </w:tr>
      <w:tr>
        <w:trPr>
          <w:trHeight w:val="250"/>
        </w:trPr>
        <w:tc>
          <w:tcPr>
            <w:tcW w:w="158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180" w:type="dxa"/>
            <w:vAlign w:val="bottom"/>
            <w:tcBorders>
              <w:bottom w:val="single" w:sz="8" w:color="424E6A"/>
            </w:tcBorders>
            <w:shd w:val="clear" w:color="auto" w:fill="D9DCE1"/>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425%</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gridSpan w:val="2"/>
            <w:shd w:val="clear" w:color="auto" w:fill="D9DCE1"/>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$2,550,000</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143,100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71,550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71,550</w:t>
            </w:r>
          </w:p>
        </w:tc>
      </w:tr>
      <w:tr>
        <w:trPr>
          <w:trHeight w:val="250"/>
        </w:trPr>
        <w:tc>
          <w:tcPr>
            <w:tcW w:w="15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Jeremy Goebel</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425%</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$2,550,000</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143,100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71,550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71,550</w:t>
            </w:r>
          </w:p>
        </w:tc>
      </w:tr>
    </w:tbl>
    <w:p>
      <w:pPr>
        <w:spacing w:after="0" w:line="157" w:lineRule="exact"/>
        <w:rPr>
          <w:sz w:val="20"/>
          <w:szCs w:val="20"/>
          <w:color w:val="auto"/>
        </w:rPr>
      </w:pPr>
    </w:p>
    <w:p>
      <w:pPr>
        <w:ind w:left="1620" w:right="819" w:hanging="360"/>
        <w:spacing w:after="0" w:line="222"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2024 distribution ($17.82).</w:t>
      </w:r>
    </w:p>
    <w:p>
      <w:pPr>
        <w:spacing w:after="0" w:line="193" w:lineRule="exact"/>
        <w:rPr>
          <w:rFonts w:ascii="Arial" w:cs="Arial" w:eastAsia="Arial" w:hAnsi="Arial"/>
          <w:sz w:val="27"/>
          <w:szCs w:val="27"/>
          <w:color w:val="auto"/>
          <w:vertAlign w:val="superscript"/>
        </w:rPr>
      </w:pPr>
    </w:p>
    <w:p>
      <w:pPr>
        <w:ind w:left="1620" w:right="579" w:hanging="360"/>
        <w:spacing w:after="0" w:line="210"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2024 long-term incentive program.</w:t>
      </w:r>
    </w:p>
    <w:p>
      <w:pPr>
        <w:spacing w:after="0" w:line="12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2024 time-based phantom units will vest (become payable 1-for-1 in PAA common units) on the August 2027 distribution date. The performance-based phantom units will potentially vest on the August 2027 distribution date at a scaled payout range of between 0% to 200% based on:</w:t>
      </w:r>
    </w:p>
    <w:p>
      <w:pPr>
        <w:spacing w:after="0" w:line="103" w:lineRule="exact"/>
        <w:rPr>
          <w:sz w:val="20"/>
          <w:szCs w:val="20"/>
          <w:color w:val="auto"/>
        </w:rPr>
      </w:pPr>
    </w:p>
    <w:p>
      <w:pPr>
        <w:ind w:left="1980" w:right="499" w:hanging="360"/>
        <w:spacing w:after="0" w:line="259"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Relative TSR with Negative TSR Modifier (50% weighting)</w:t>
      </w:r>
      <w:r>
        <w:rPr>
          <w:rFonts w:ascii="Arial" w:cs="Arial" w:eastAsia="Arial" w:hAnsi="Arial"/>
          <w:sz w:val="18"/>
          <w:szCs w:val="18"/>
          <w:color w:val="auto"/>
        </w:rPr>
        <w:t>: PAA’s TSR measured over the three-year period ending June 30, 2027 compared to the TSR of the TSR Comparator Peer Group identified on page 31 (if PAA’s relative TSR results in a payout of over 100%, but actual TSR is negative, the payout on this portion of the award will be reduced by 25 basis points, but not below 100%); and</w:t>
      </w:r>
    </w:p>
    <w:p>
      <w:pPr>
        <w:spacing w:after="0" w:line="111" w:lineRule="exact"/>
        <w:rPr>
          <w:rFonts w:ascii="Arial" w:cs="Arial" w:eastAsia="Arial" w:hAnsi="Arial"/>
          <w:sz w:val="18"/>
          <w:szCs w:val="18"/>
          <w:color w:val="auto"/>
        </w:rPr>
      </w:pPr>
    </w:p>
    <w:p>
      <w:pPr>
        <w:ind w:left="1980" w:right="479" w:hanging="360"/>
        <w:spacing w:after="0" w:line="262"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DCF per CUE with Leverage Modifier (50% weighting)</w:t>
      </w:r>
      <w:r>
        <w:rPr>
          <w:rFonts w:ascii="Arial" w:cs="Arial" w:eastAsia="Arial" w:hAnsi="Arial"/>
          <w:sz w:val="18"/>
          <w:szCs w:val="18"/>
          <w:color w:val="auto"/>
        </w:rPr>
        <w:t>: PAA achieving cumulative DCF per CUE of $7.75 over the three-year period ending June 30, 2027 (payout may be decreased by 25 basis points if PAA’s leverage ratio as of June 30, 2027 is higher than the leverage ratio that equals the upper end of our then applicable leverage guidance range).</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7"/>
          <w:szCs w:val="17"/>
          <w:color w:val="auto"/>
        </w:rPr>
        <w:t>DERs associated with the time-based phantom units will accrue for the first year and such accrued amount will be paid in cash in a lump sum on the August 2025 distribution date; beginning in November 2025, DERs on such time-based phantom units will be paid quarterly until the associated phantom units vest. DERs associated with the performance-based phantom units will accrue during the three-year performance period and be paid in cash in a lump sum on the August 2027 distribution date with respect to the number of such phantom units, if any, that vest on such date. See the “Grants of Plan Based Awards Table” below for additional information regarding the 2024 annual grants.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5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PAA and PAGP including unvested long-term equity awards. As of March 24, 2025, the Named Executive Officers beneficially owned, in the aggregate, approximately 13.2 million units of equity interests in PAA and/or PAGP with an approximate market value of $265 million, and all executive officers and directors beneficially owned, in the aggregate, approximately 56.2 million units of equity interests in PAA and/or PAGP with an approximate market value of $1.1 billion.</w:t>
      </w:r>
    </w:p>
    <w:p>
      <w:pPr>
        <w:spacing w:after="0" w:line="115"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i w:val="1"/>
          <w:iCs w:val="1"/>
          <w:color w:val="auto"/>
        </w:rPr>
        <w:t xml:space="preserve">Equity Ownership Guidelines. </w:t>
      </w:r>
      <w:r>
        <w:rPr>
          <w:rFonts w:ascii="Arial" w:cs="Arial" w:eastAsia="Arial" w:hAnsi="Arial"/>
          <w:sz w:val="18"/>
          <w:szCs w:val="18"/>
          <w:color w:val="auto"/>
        </w:rPr>
        <w:t>We maintain Equity Ownership Guidelines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2180" w:type="dxa"/>
            <w:vAlign w:val="bottom"/>
            <w:tcBorders>
              <w:left w:val="single" w:sz="8" w:color="424E6A"/>
            </w:tcBorders>
            <w:shd w:val="clear" w:color="auto" w:fill="424E6A"/>
          </w:tcPr>
          <w:p>
            <w:pPr>
              <w:spacing w:after="0"/>
              <w:rPr>
                <w:sz w:val="21"/>
                <w:szCs w:val="21"/>
                <w:color w:val="auto"/>
              </w:rPr>
            </w:pPr>
          </w:p>
        </w:tc>
        <w:tc>
          <w:tcPr>
            <w:tcW w:w="1460" w:type="dxa"/>
            <w:vAlign w:val="bottom"/>
            <w:tcBorders>
              <w:right w:val="single" w:sz="8" w:color="424E6A"/>
            </w:tcBorders>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27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Multiple of Base Salary or</w:t>
            </w:r>
          </w:p>
        </w:tc>
        <w:tc>
          <w:tcPr>
            <w:tcW w:w="560" w:type="dxa"/>
            <w:vAlign w:val="bottom"/>
            <w:tcBorders>
              <w:right w:val="single" w:sz="8" w:color="424E6A"/>
            </w:tcBorders>
            <w:shd w:val="clear" w:color="auto" w:fill="424E6A"/>
          </w:tcPr>
          <w:p>
            <w:pPr>
              <w:spacing w:after="0"/>
              <w:rPr>
                <w:sz w:val="21"/>
                <w:szCs w:val="21"/>
                <w:color w:val="auto"/>
              </w:rPr>
            </w:pPr>
          </w:p>
        </w:tc>
      </w:tr>
      <w:tr>
        <w:trPr>
          <w:trHeight w:val="212"/>
        </w:trPr>
        <w:tc>
          <w:tcPr>
            <w:tcW w:w="218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Title</w:t>
            </w:r>
          </w:p>
        </w:tc>
        <w:tc>
          <w:tcPr>
            <w:tcW w:w="2020" w:type="dxa"/>
            <w:vAlign w:val="bottom"/>
            <w:gridSpan w:val="2"/>
            <w:shd w:val="clear" w:color="auto" w:fill="424E6A"/>
          </w:tcPr>
          <w:p>
            <w:pPr>
              <w:jc w:val="center"/>
              <w:ind w:left="733"/>
              <w:spacing w:after="0"/>
              <w:rPr>
                <w:sz w:val="20"/>
                <w:szCs w:val="20"/>
                <w:color w:val="auto"/>
              </w:rPr>
            </w:pPr>
            <w:r>
              <w:rPr>
                <w:rFonts w:ascii="Arial" w:cs="Arial" w:eastAsia="Arial" w:hAnsi="Arial"/>
                <w:sz w:val="14"/>
                <w:szCs w:val="14"/>
                <w:b w:val="1"/>
                <w:bCs w:val="1"/>
                <w:color w:val="FFFFFF"/>
              </w:rPr>
              <w:t>​ ​</w:t>
            </w:r>
          </w:p>
        </w:tc>
        <w:tc>
          <w:tcPr>
            <w:tcW w:w="27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Cash Retainer</w:t>
            </w:r>
          </w:p>
        </w:tc>
        <w:tc>
          <w:tcPr>
            <w:tcW w:w="560" w:type="dxa"/>
            <w:vAlign w:val="bottom"/>
            <w:tcBorders>
              <w:right w:val="single" w:sz="8" w:color="424E6A"/>
            </w:tcBorders>
            <w:shd w:val="clear" w:color="auto" w:fill="424E6A"/>
          </w:tcPr>
          <w:p>
            <w:pPr>
              <w:ind w:left="500"/>
              <w:spacing w:after="0"/>
              <w:rPr>
                <w:sz w:val="20"/>
                <w:szCs w:val="20"/>
                <w:color w:val="auto"/>
              </w:rPr>
            </w:pPr>
            <w:r>
              <w:rPr>
                <w:rFonts w:ascii="Arial" w:cs="Arial" w:eastAsia="Arial" w:hAnsi="Arial"/>
                <w:sz w:val="14"/>
                <w:szCs w:val="14"/>
                <w:b w:val="1"/>
                <w:bCs w:val="1"/>
                <w:color w:val="FFFFFF"/>
              </w:rPr>
              <w:t>​</w:t>
            </w:r>
          </w:p>
        </w:tc>
      </w:tr>
      <w:tr>
        <w:trPr>
          <w:trHeight w:val="256"/>
        </w:trPr>
        <w:tc>
          <w:tcPr>
            <w:tcW w:w="218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CEO</w:t>
            </w:r>
          </w:p>
        </w:tc>
        <w:tc>
          <w:tcPr>
            <w:tcW w:w="1460" w:type="dxa"/>
            <w:vAlign w:val="bottom"/>
            <w:tcBorders>
              <w:bottom w:val="single" w:sz="8" w:color="424E6A"/>
              <w:right w:val="single" w:sz="8" w:color="424E6A"/>
            </w:tcBorders>
            <w:shd w:val="clear" w:color="auto" w:fill="D9DCE1"/>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​6x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President</w:t>
            </w:r>
          </w:p>
        </w:tc>
        <w:tc>
          <w:tcPr>
            <w:tcW w:w="1460" w:type="dxa"/>
            <w:vAlign w:val="bottom"/>
            <w:tcBorders>
              <w:bottom w:val="single" w:sz="8" w:color="424E6A"/>
              <w:right w:val="single" w:sz="8" w:color="424E6A"/>
            </w:tcBorders>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​5x</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EVP</w:t>
            </w:r>
          </w:p>
        </w:tc>
        <w:tc>
          <w:tcPr>
            <w:tcW w:w="1460" w:type="dxa"/>
            <w:vAlign w:val="bottom"/>
            <w:tcBorders>
              <w:bottom w:val="single" w:sz="8" w:color="424E6A"/>
              <w:right w:val="single" w:sz="8" w:color="424E6A"/>
            </w:tcBorders>
            <w:shd w:val="clear" w:color="auto" w:fill="D9DCE1"/>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​3x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SVP</w:t>
            </w:r>
          </w:p>
        </w:tc>
        <w:tc>
          <w:tcPr>
            <w:tcW w:w="1460" w:type="dxa"/>
            <w:vAlign w:val="bottom"/>
            <w:tcBorders>
              <w:bottom w:val="single" w:sz="8" w:color="424E6A"/>
              <w:right w:val="single" w:sz="8" w:color="424E6A"/>
            </w:tcBorders>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​1x</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w:t>
            </w:r>
          </w:p>
        </w:tc>
        <w:tc>
          <w:tcPr>
            <w:tcW w:w="1460" w:type="dxa"/>
            <w:vAlign w:val="bottom"/>
            <w:tcBorders>
              <w:bottom w:val="single" w:sz="8" w:color="424E6A"/>
              <w:right w:val="single" w:sz="8" w:color="424E6A"/>
            </w:tcBorders>
            <w:shd w:val="clear" w:color="auto" w:fill="D9DCE1"/>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​5x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399" w:firstLine="360"/>
        <w:spacing w:after="0" w:line="255" w:lineRule="auto"/>
        <w:rPr>
          <w:sz w:val="20"/>
          <w:szCs w:val="20"/>
          <w:color w:val="auto"/>
        </w:rPr>
      </w:pPr>
      <w:r>
        <w:rPr>
          <w:rFonts w:ascii="Arial" w:cs="Arial" w:eastAsia="Arial" w:hAnsi="Arial"/>
          <w:sz w:val="18"/>
          <w:szCs w:val="18"/>
          <w:color w:val="auto"/>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and Ms. DeSanctis whose compliance date is August 2027. All current executive officers and directors are either on track to meet or have already met the applicable guidelines on their respective compliance dates. Executive officers and directors are required to hold 100% of units/​ shares acquired upon vesting of phantom units or phantom shares until ownership guidelines are met (“hold until met” requirement).</w:t>
      </w:r>
    </w:p>
    <w:p>
      <w:pPr>
        <w:spacing w:after="0" w:line="11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i w:val="1"/>
          <w:iCs w:val="1"/>
          <w:color w:val="auto"/>
        </w:rPr>
        <w:t xml:space="preserve">Anti-Hedging and Pledging Policies. </w:t>
      </w:r>
      <w:r>
        <w:rPr>
          <w:rFonts w:ascii="Arial" w:cs="Arial" w:eastAsia="Arial" w:hAnsi="Arial"/>
          <w:sz w:val="18"/>
          <w:szCs w:val="18"/>
          <w:color w:val="auto"/>
        </w:rPr>
        <w:t>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as marginable securities in a margin account.</w:t>
      </w:r>
    </w:p>
    <w:p>
      <w:pPr>
        <w:spacing w:after="0" w:line="11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Insider Trading Policies</w:t>
      </w:r>
      <w:r>
        <w:rPr>
          <w:rFonts w:ascii="Arial" w:cs="Arial" w:eastAsia="Arial" w:hAnsi="Arial"/>
          <w:sz w:val="18"/>
          <w:szCs w:val="18"/>
          <w:color w:val="auto"/>
        </w:rPr>
        <w:t>. We are committed to promoting high standards of ethical business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compliance with applicable laws, rules and regulations. As part of this commitment, we have adopted Insider Trading Policies governing the purchase, sale, gifting and other dispositions of our securities by our directors, officers and employees. We believe that our Insider Trading Policies are reasonably designed to promote compliance with insider trading laws, rules and regulations, and applicable stock exchange listing standards. Copies of our Insider Trading Policies were filed as Exhibits 19.1 and 19.2 to our 2024 Annual Report. In addition, with regard to the Company’s trading in its own securities, it is the Company’s policy and practice to comply with U.S. federal securities laws as well as applicable stock exchange rules and regulations.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Since November 2020, we have had in place a Clawback Policy to further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executive officers with the interests of our unitholders, incentivize appropriate behaviors and discourage excessive risk taking. The Clawback Policy was amended and restated in November 2023 to conform to Nasdaq listing standards adopted pursuant to the Dodd-Frank Wall Street Reform and Consumer Protection Act. As amended and restated, the Clawback Policy includes the following clawback triggers and related recoveries:</w:t>
      </w:r>
    </w:p>
    <w:p>
      <w:pPr>
        <w:spacing w:after="0" w:line="67" w:lineRule="exact"/>
        <w:rPr>
          <w:sz w:val="20"/>
          <w:szCs w:val="20"/>
          <w:color w:val="auto"/>
        </w:rPr>
      </w:pPr>
    </w:p>
    <w:p>
      <w:pPr>
        <w:ind w:left="1800" w:right="899" w:hanging="180"/>
        <w:spacing w:after="0" w:line="318"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Material financial restatements that result in over-payment of incentive-based compensation (Company must seek recovery of any excess compensation awarded or paid); and</w:t>
      </w:r>
    </w:p>
    <w:p>
      <w:pPr>
        <w:spacing w:after="0" w:line="8" w:lineRule="exact"/>
        <w:rPr>
          <w:rFonts w:ascii="Arial" w:cs="Arial" w:eastAsia="Arial" w:hAnsi="Arial"/>
          <w:sz w:val="17"/>
          <w:szCs w:val="17"/>
          <w:color w:val="auto"/>
        </w:rPr>
      </w:pPr>
    </w:p>
    <w:p>
      <w:pPr>
        <w:ind w:left="1800" w:right="439" w:hanging="180"/>
        <w:spacing w:after="0" w:line="262"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time-based equity awards granted or paid during the 3-year period prior to discovery of the misconduct).</w:t>
      </w:r>
    </w:p>
    <w:p>
      <w:pPr>
        <w:spacing w:after="0" w:line="10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i w:val="1"/>
          <w:iCs w:val="1"/>
          <w:color w:val="auto"/>
        </w:rPr>
        <w:t xml:space="preserve">Change in Control and Other Accelerated Vesting Triggers. </w:t>
      </w:r>
      <w:r>
        <w:rPr>
          <w:rFonts w:ascii="Arial" w:cs="Arial" w:eastAsia="Arial" w:hAnsi="Arial"/>
          <w:sz w:val="17"/>
          <w:szCs w:val="17"/>
          <w:color w:val="auto"/>
        </w:rPr>
        <w:t>Our long-term incentive plan grants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for accelerated vesting upon a change of control (as defined in such agreements), but such vesting becomes operative only if the change in control is accompanied by a “change in status” ​(which includes termination of employment under certain circumstances). We believe this “double trigger” arrangement is appropriate because it provides assurance to the executive but does not offer a windfall to the executive when there has been no real change in employment status in connection with a change of control. In addition, the provisions in Mr. Pefanis’ legacy employment agreement provide for a severance payment if he terminates employment within three months following a change in control.</w:t>
      </w:r>
    </w:p>
    <w:p>
      <w:pPr>
        <w:spacing w:after="0" w:line="4"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Mr. Pefanis agreed to a conditional waiver of these provisions with respect to all prior qualifying transactions.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 Our long-term incentive plan grants for our NEOs also provide for accelerated vesting in the event their employment is terminated as a result of death, disability, termination without cause or retirement on terms and timing that are approved by the CEO (or by the Board in the case of the CEO). See “— Potential Payments Upon Termination or Change-in-Control.”</w:t>
      </w:r>
    </w:p>
    <w:p>
      <w:pPr>
        <w:spacing w:after="0" w:line="103" w:lineRule="exact"/>
        <w:rPr>
          <w:sz w:val="20"/>
          <w:szCs w:val="20"/>
          <w:color w:val="auto"/>
        </w:rPr>
      </w:pPr>
    </w:p>
    <w:p>
      <w:pPr>
        <w:jc w:val="center"/>
        <w:ind w:right="-680"/>
        <w:spacing w:after="0"/>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p>
    <w:p>
      <w:pPr>
        <w:spacing w:after="0" w:line="14" w:lineRule="exact"/>
        <w:rPr>
          <w:sz w:val="20"/>
          <w:szCs w:val="20"/>
          <w:color w:val="auto"/>
        </w:rPr>
      </w:pPr>
    </w:p>
    <w:p>
      <w:pPr>
        <w:ind w:left="1260" w:right="559"/>
        <w:spacing w:after="0" w:line="266" w:lineRule="auto"/>
        <w:rPr>
          <w:sz w:val="20"/>
          <w:szCs w:val="20"/>
          <w:color w:val="auto"/>
        </w:rPr>
      </w:pPr>
      <w:r>
        <w:rPr>
          <w:rFonts w:ascii="Arial" w:cs="Arial" w:eastAsia="Arial" w:hAnsi="Arial"/>
          <w:sz w:val="18"/>
          <w:szCs w:val="18"/>
          <w:color w:val="auto"/>
        </w:rPr>
        <w:t>Revenue Code, we are a limited partnership and do not fall within the definition of a “corporation” under Section 162(m).</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5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94" w:lineRule="exact"/>
        <w:rPr>
          <w:sz w:val="20"/>
          <w:szCs w:val="20"/>
          <w:color w:val="auto"/>
        </w:rPr>
      </w:pPr>
    </w:p>
    <w:p>
      <w:pPr>
        <w:ind w:left="1260" w:right="599" w:firstLine="360"/>
        <w:spacing w:after="0" w:line="271"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89"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both the passage of time and the achievement of performance</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p>
    <w:p>
      <w:pPr>
        <w:spacing w:after="0" w:line="10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60" w:right="659" w:firstLine="360"/>
        <w:spacing w:after="0" w:line="282" w:lineRule="auto"/>
        <w:rPr>
          <w:sz w:val="20"/>
          <w:szCs w:val="20"/>
          <w:color w:val="auto"/>
        </w:rPr>
      </w:pPr>
      <w:r>
        <w:rPr>
          <w:rFonts w:ascii="Arial" w:cs="Arial" w:eastAsia="Arial" w:hAnsi="Arial"/>
          <w:sz w:val="17"/>
          <w:szCs w:val="17"/>
          <w:color w:val="auto"/>
        </w:rPr>
        <w:t>The following table sets forth certain compensation information for our Named Executive Officers. As a result of his request to not participate in the 2024 long-term incentive program, Mr. Pefanis is not one of our three most highly compensated executive officers for 2024, but he has been included as a Named Executive Officer given the significance of his role as President of Plains.</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2880" w:type="dxa"/>
            <w:vAlign w:val="bottom"/>
            <w:tcBorders>
              <w:left w:val="single" w:sz="8" w:color="424E6A"/>
              <w:right w:val="single" w:sz="8" w:color="424E6A"/>
            </w:tcBorders>
            <w:shd w:val="clear" w:color="auto" w:fill="424E6A"/>
          </w:tcPr>
          <w:p>
            <w:pPr>
              <w:spacing w:after="0"/>
              <w:rPr>
                <w:sz w:val="21"/>
                <w:szCs w:val="21"/>
                <w:color w:val="auto"/>
              </w:rPr>
            </w:pPr>
          </w:p>
        </w:tc>
        <w:tc>
          <w:tcPr>
            <w:tcW w:w="500" w:type="dxa"/>
            <w:vAlign w:val="bottom"/>
            <w:tcBorders>
              <w:right w:val="single" w:sz="8" w:color="424E6A"/>
            </w:tcBorders>
            <w:shd w:val="clear" w:color="auto" w:fill="424E6A"/>
          </w:tcPr>
          <w:p>
            <w:pPr>
              <w:spacing w:after="0"/>
              <w:rPr>
                <w:sz w:val="21"/>
                <w:szCs w:val="21"/>
                <w:color w:val="auto"/>
              </w:rPr>
            </w:pPr>
          </w:p>
        </w:tc>
        <w:tc>
          <w:tcPr>
            <w:tcW w:w="74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740" w:type="dxa"/>
            <w:vAlign w:val="bottom"/>
            <w:tcBorders>
              <w:right w:val="single" w:sz="8" w:color="424E6A"/>
            </w:tcBorders>
            <w:shd w:val="clear" w:color="auto" w:fill="424E6A"/>
          </w:tcPr>
          <w:p>
            <w:pPr>
              <w:spacing w:after="0"/>
              <w:rPr>
                <w:sz w:val="21"/>
                <w:szCs w:val="21"/>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Non-Equity</w:t>
            </w:r>
          </w:p>
        </w:tc>
        <w:tc>
          <w:tcPr>
            <w:tcW w:w="100" w:type="dxa"/>
            <w:vAlign w:val="bottom"/>
            <w:tcBorders>
              <w:right w:val="single" w:sz="8" w:color="424E6A"/>
            </w:tcBorders>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90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70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880" w:type="dxa"/>
            <w:vAlign w:val="bottom"/>
            <w:tcBorders>
              <w:left w:val="single" w:sz="8" w:color="424E6A"/>
              <w:right w:val="single" w:sz="8" w:color="424E6A"/>
            </w:tcBorders>
            <w:shd w:val="clear" w:color="auto" w:fill="424E6A"/>
          </w:tcPr>
          <w:p>
            <w:pPr>
              <w:spacing w:after="0"/>
              <w:rPr>
                <w:sz w:val="14"/>
                <w:szCs w:val="14"/>
                <w:color w:val="auto"/>
              </w:rPr>
            </w:pPr>
          </w:p>
        </w:tc>
        <w:tc>
          <w:tcPr>
            <w:tcW w:w="500" w:type="dxa"/>
            <w:vAlign w:val="bottom"/>
            <w:tcBorders>
              <w:righ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0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Borders>
              <w:left w:val="single" w:sz="8" w:color="424E6A"/>
              <w:right w:val="single" w:sz="8" w:color="424E6A"/>
            </w:tcBorders>
            <w:shd w:val="clear" w:color="auto" w:fill="424E6A"/>
          </w:tcPr>
          <w:p>
            <w:pPr>
              <w:spacing w:after="0"/>
              <w:rPr>
                <w:sz w:val="14"/>
                <w:szCs w:val="14"/>
                <w:color w:val="auto"/>
              </w:rPr>
            </w:pPr>
          </w:p>
        </w:tc>
        <w:tc>
          <w:tcPr>
            <w:tcW w:w="500" w:type="dxa"/>
            <w:vAlign w:val="bottom"/>
            <w:tcBorders>
              <w:righ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w w:val="99"/>
              </w:rPr>
              <w:t>Stock</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w:t>
            </w:r>
          </w:p>
        </w:tc>
        <w:tc>
          <w:tcPr>
            <w:tcW w:w="10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 and Current Principal</w:t>
            </w:r>
          </w:p>
        </w:tc>
        <w:tc>
          <w:tcPr>
            <w:tcW w:w="500" w:type="dxa"/>
            <w:vAlign w:val="bottom"/>
            <w:tcBorders>
              <w:righ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Salary</w:t>
            </w:r>
          </w:p>
        </w:tc>
        <w:tc>
          <w:tcPr>
            <w:tcW w:w="120" w:type="dxa"/>
            <w:vAlign w:val="bottom"/>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w w:val="98"/>
              </w:rPr>
              <w:t>Awards</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jc w:val="center"/>
              <w:ind w:right="1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2"/>
        </w:trPr>
        <w:tc>
          <w:tcPr>
            <w:tcW w:w="28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Position</w:t>
            </w:r>
          </w:p>
        </w:tc>
        <w:tc>
          <w:tcPr>
            <w:tcW w:w="50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Year</w:t>
            </w:r>
          </w:p>
        </w:tc>
        <w:tc>
          <w:tcPr>
            <w:tcW w:w="740" w:type="dxa"/>
            <w:vAlign w:val="bottom"/>
            <w:tcBorders>
              <w:right w:val="single" w:sz="8" w:color="424E6A"/>
            </w:tcBorders>
            <w:shd w:val="clear" w:color="auto" w:fill="424E6A"/>
          </w:tcPr>
          <w:p>
            <w:pPr>
              <w:ind w:left="22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120" w:type="dxa"/>
            <w:vAlign w:val="bottom"/>
            <w:shd w:val="clear" w:color="auto" w:fill="424E6A"/>
          </w:tcPr>
          <w:p>
            <w:pPr>
              <w:spacing w:after="0"/>
              <w:rPr>
                <w:sz w:val="18"/>
                <w:szCs w:val="18"/>
                <w:color w:val="auto"/>
              </w:rPr>
            </w:pPr>
          </w:p>
        </w:tc>
        <w:tc>
          <w:tcPr>
            <w:tcW w:w="740" w:type="dxa"/>
            <w:vAlign w:val="bottom"/>
            <w:tcBorders>
              <w:right w:val="single" w:sz="8" w:color="424E6A"/>
            </w:tcBorders>
            <w:shd w:val="clear" w:color="auto" w:fill="424E6A"/>
          </w:tcPr>
          <w:p>
            <w:pPr>
              <w:jc w:val="center"/>
              <w:ind w:right="84"/>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17"/>
                <w:szCs w:val="17"/>
                <w:b w:val="1"/>
                <w:bCs w:val="1"/>
                <w:color w:val="FFFFFF"/>
                <w:w w:val="83"/>
                <w:vertAlign w:val="superscript"/>
              </w:rPr>
              <w:t>(2)</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(3)</w:t>
            </w:r>
          </w:p>
        </w:tc>
        <w:tc>
          <w:tcPr>
            <w:tcW w:w="280" w:type="dxa"/>
            <w:vAlign w:val="bottom"/>
            <w:gridSpan w:val="2"/>
            <w:shd w:val="clear" w:color="auto" w:fill="424E6A"/>
          </w:tcPr>
          <w:p>
            <w:pPr>
              <w:jc w:val="right"/>
              <w:ind w:right="21"/>
              <w:spacing w:after="0"/>
              <w:rPr>
                <w:sz w:val="20"/>
                <w:szCs w:val="20"/>
                <w:color w:val="auto"/>
              </w:rPr>
            </w:pPr>
            <w:r>
              <w:rPr>
                <w:rFonts w:ascii="Arial" w:cs="Arial" w:eastAsia="Arial" w:hAnsi="Arial"/>
                <w:sz w:val="14"/>
                <w:szCs w:val="14"/>
                <w:b w:val="1"/>
                <w:bCs w:val="1"/>
                <w:color w:val="FFFFFF"/>
              </w:rPr>
              <w:t>​ ​</w:t>
            </w:r>
          </w:p>
        </w:tc>
        <w:tc>
          <w:tcPr>
            <w:tcW w:w="90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17"/>
                <w:szCs w:val="17"/>
                <w:b w:val="1"/>
                <w:bCs w:val="1"/>
                <w:color w:val="FFFFFF"/>
                <w:w w:val="83"/>
                <w:vertAlign w:val="superscript"/>
              </w:rPr>
              <w:t>(4)</w:t>
            </w:r>
          </w:p>
        </w:tc>
        <w:tc>
          <w:tcPr>
            <w:tcW w:w="30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700" w:type="dxa"/>
            <w:vAlign w:val="bottom"/>
            <w:tcBorders>
              <w:right w:val="single" w:sz="8" w:color="424E6A"/>
            </w:tcBorders>
            <w:shd w:val="clear" w:color="auto" w:fill="424E6A"/>
          </w:tcPr>
          <w:p>
            <w:pPr>
              <w:jc w:val="right"/>
              <w:ind w:right="2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28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Willie Chiang,</w:t>
            </w:r>
          </w:p>
        </w:tc>
        <w:tc>
          <w:tcPr>
            <w:tcW w:w="500" w:type="dxa"/>
            <w:vAlign w:val="bottom"/>
            <w:tcBorders>
              <w:bottom w:val="single" w:sz="8" w:color="424E6A"/>
              <w:right w:val="single" w:sz="8" w:color="424E6A"/>
            </w:tcBorders>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2024</w:t>
            </w:r>
          </w:p>
        </w:tc>
        <w:tc>
          <w:tcPr>
            <w:tcW w:w="740" w:type="dxa"/>
            <w:vAlign w:val="bottom"/>
            <w:tcBorders>
              <w:bottom w:val="single" w:sz="8" w:color="424E6A"/>
              <w:right w:val="single" w:sz="8" w:color="424E6A"/>
            </w:tcBorders>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837,500</w:t>
            </w:r>
          </w:p>
        </w:tc>
        <w:tc>
          <w:tcPr>
            <w:tcW w:w="860" w:type="dxa"/>
            <w:vAlign w:val="bottom"/>
            <w:tcBorders>
              <w:bottom w:val="single" w:sz="8" w:color="424E6A"/>
              <w:right w:val="single" w:sz="8" w:color="424E6A"/>
            </w:tcBorders>
            <w:gridSpan w:val="2"/>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4,657,905</w:t>
            </w:r>
          </w:p>
        </w:tc>
        <w:tc>
          <w:tcPr>
            <w:tcW w:w="1060" w:type="dxa"/>
            <w:vAlign w:val="bottom"/>
            <w:tcBorders>
              <w:bottom w:val="single" w:sz="8" w:color="424E6A"/>
            </w:tcBorders>
          </w:tcPr>
          <w:p>
            <w:pPr>
              <w:ind w:left="1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2,995,000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1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21,540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right w:val="single" w:sz="8" w:color="424E6A"/>
            </w:tcBorders>
            <w:gridSpan w:val="2"/>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8,511,945</w:t>
            </w:r>
          </w:p>
        </w:tc>
        <w:tc>
          <w:tcPr>
            <w:tcW w:w="0" w:type="dxa"/>
            <w:vAlign w:val="bottom"/>
          </w:tcPr>
          <w:p>
            <w:pPr>
              <w:spacing w:after="0"/>
              <w:rPr>
                <w:sz w:val="1"/>
                <w:szCs w:val="1"/>
                <w:color w:val="auto"/>
              </w:rPr>
            </w:pPr>
          </w:p>
        </w:tc>
      </w:tr>
      <w:tr>
        <w:trPr>
          <w:trHeight w:val="225"/>
        </w:trPr>
        <w:tc>
          <w:tcPr>
            <w:tcW w:w="288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Chairman and Chief</w:t>
            </w:r>
          </w:p>
        </w:tc>
        <w:tc>
          <w:tcPr>
            <w:tcW w:w="50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2023</w:t>
            </w:r>
          </w:p>
        </w:tc>
        <w:tc>
          <w:tcPr>
            <w:tcW w:w="74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800,000</w:t>
            </w:r>
          </w:p>
        </w:tc>
        <w:tc>
          <w:tcPr>
            <w:tcW w:w="860" w:type="dxa"/>
            <w:vAlign w:val="bottom"/>
            <w:tcBorders>
              <w:right w:val="single" w:sz="8" w:color="424E6A"/>
            </w:tcBorders>
            <w:gridSpan w:val="2"/>
          </w:tcPr>
          <w:p>
            <w:pPr>
              <w:ind w:left="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3,658,279</w:t>
            </w:r>
          </w:p>
        </w:tc>
        <w:tc>
          <w:tcPr>
            <w:tcW w:w="1060" w:type="dxa"/>
            <w:vAlign w:val="bottom"/>
          </w:tcPr>
          <w:p>
            <w:pPr>
              <w:ind w:left="18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2,975,000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Pr>
          <w:p>
            <w:pPr>
              <w:ind w:left="1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tcPr>
          <w:p>
            <w:pPr>
              <w:ind w:left="2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7,453,919</w:t>
            </w:r>
          </w:p>
        </w:tc>
        <w:tc>
          <w:tcPr>
            <w:tcW w:w="0" w:type="dxa"/>
            <w:vAlign w:val="bottom"/>
          </w:tcPr>
          <w:p>
            <w:pPr>
              <w:spacing w:after="0"/>
              <w:rPr>
                <w:sz w:val="1"/>
                <w:szCs w:val="1"/>
                <w:color w:val="auto"/>
              </w:rPr>
            </w:pPr>
          </w:p>
        </w:tc>
      </w:tr>
      <w:tr>
        <w:trPr>
          <w:trHeight w:val="39"/>
        </w:trPr>
        <w:tc>
          <w:tcPr>
            <w:tcW w:w="288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Executive Officer</w:t>
            </w:r>
          </w:p>
        </w:tc>
        <w:tc>
          <w:tcPr>
            <w:tcW w:w="500" w:type="dxa"/>
            <w:vAlign w:val="bottom"/>
            <w:tcBorders>
              <w:bottom w:val="single" w:sz="8" w:color="424E6A"/>
              <w:right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060" w:type="dxa"/>
            <w:vAlign w:val="bottom"/>
            <w:tcBorders>
              <w:bottom w:val="single" w:sz="8" w:color="424E6A"/>
            </w:tcBorders>
          </w:tcPr>
          <w:p>
            <w:pPr>
              <w:spacing w:after="0"/>
              <w:rPr>
                <w:sz w:val="3"/>
                <w:szCs w:val="3"/>
                <w:color w:val="auto"/>
              </w:rPr>
            </w:pPr>
          </w:p>
        </w:tc>
        <w:tc>
          <w:tcPr>
            <w:tcW w:w="10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900" w:type="dxa"/>
            <w:vAlign w:val="bottom"/>
            <w:tcBorders>
              <w:bottom w:val="single" w:sz="8" w:color="424E6A"/>
            </w:tcBorders>
          </w:tcPr>
          <w:p>
            <w:pPr>
              <w:spacing w:after="0"/>
              <w:rPr>
                <w:sz w:val="3"/>
                <w:szCs w:val="3"/>
                <w:color w:val="auto"/>
              </w:rPr>
            </w:pPr>
          </w:p>
        </w:tc>
        <w:tc>
          <w:tcPr>
            <w:tcW w:w="12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7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tcBorders>
              <w:left w:val="single" w:sz="8" w:color="424E6A"/>
              <w:right w:val="single" w:sz="8" w:color="424E6A"/>
            </w:tcBorders>
            <w:vMerge w:val="continue"/>
          </w:tcPr>
          <w:p>
            <w:pPr>
              <w:spacing w:after="0"/>
              <w:rPr>
                <w:sz w:val="13"/>
                <w:szCs w:val="13"/>
                <w:color w:val="auto"/>
              </w:rPr>
            </w:pPr>
          </w:p>
        </w:tc>
        <w:tc>
          <w:tcPr>
            <w:tcW w:w="50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4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750,000</w:t>
            </w:r>
          </w:p>
        </w:tc>
        <w:tc>
          <w:tcPr>
            <w:tcW w:w="860" w:type="dxa"/>
            <w:vAlign w:val="bottom"/>
            <w:tcBorders>
              <w:right w:val="single" w:sz="8" w:color="424E6A"/>
            </w:tcBorders>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3,927,000</w:t>
            </w:r>
          </w:p>
        </w:tc>
        <w:tc>
          <w:tcPr>
            <w:tcW w:w="1060" w:type="dxa"/>
            <w:vAlign w:val="bottom"/>
            <w:vMerge w:val="restart"/>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3,600,000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8,296,140</w:t>
            </w:r>
          </w:p>
        </w:tc>
        <w:tc>
          <w:tcPr>
            <w:tcW w:w="0" w:type="dxa"/>
            <w:vAlign w:val="bottom"/>
          </w:tcPr>
          <w:p>
            <w:pPr>
              <w:spacing w:after="0"/>
              <w:rPr>
                <w:sz w:val="1"/>
                <w:szCs w:val="1"/>
                <w:color w:val="auto"/>
              </w:rPr>
            </w:pPr>
          </w:p>
        </w:tc>
      </w:tr>
      <w:tr>
        <w:trPr>
          <w:trHeight w:val="81"/>
        </w:trPr>
        <w:tc>
          <w:tcPr>
            <w:tcW w:w="2880" w:type="dxa"/>
            <w:vAlign w:val="bottom"/>
            <w:tcBorders>
              <w:left w:val="single" w:sz="8" w:color="424E6A"/>
              <w:bottom w:val="single" w:sz="8" w:color="424E6A"/>
              <w:right w:val="single" w:sz="8" w:color="424E6A"/>
            </w:tcBorders>
          </w:tcPr>
          <w:p>
            <w:pPr>
              <w:spacing w:after="0"/>
              <w:rPr>
                <w:sz w:val="7"/>
                <w:szCs w:val="7"/>
                <w:color w:val="auto"/>
              </w:rPr>
            </w:pPr>
          </w:p>
        </w:tc>
        <w:tc>
          <w:tcPr>
            <w:tcW w:w="500" w:type="dxa"/>
            <w:vAlign w:val="bottom"/>
            <w:tcBorders>
              <w:bottom w:val="single" w:sz="8" w:color="424E6A"/>
              <w:right w:val="single" w:sz="8" w:color="424E6A"/>
            </w:tcBorders>
            <w:vMerge w:val="continue"/>
          </w:tcPr>
          <w:p>
            <w:pPr>
              <w:spacing w:after="0"/>
              <w:rPr>
                <w:sz w:val="7"/>
                <w:szCs w:val="7"/>
                <w:color w:val="auto"/>
              </w:rPr>
            </w:pPr>
          </w:p>
        </w:tc>
        <w:tc>
          <w:tcPr>
            <w:tcW w:w="740" w:type="dxa"/>
            <w:vAlign w:val="bottom"/>
            <w:tcBorders>
              <w:bottom w:val="single" w:sz="8" w:color="424E6A"/>
              <w:right w:val="single" w:sz="8" w:color="424E6A"/>
            </w:tcBorders>
            <w:vMerge w:val="continue"/>
          </w:tcPr>
          <w:p>
            <w:pPr>
              <w:spacing w:after="0"/>
              <w:rPr>
                <w:sz w:val="7"/>
                <w:szCs w:val="7"/>
                <w:color w:val="auto"/>
              </w:rPr>
            </w:pPr>
          </w:p>
        </w:tc>
        <w:tc>
          <w:tcPr>
            <w:tcW w:w="860" w:type="dxa"/>
            <w:vAlign w:val="bottom"/>
            <w:tcBorders>
              <w:bottom w:val="single" w:sz="8" w:color="424E6A"/>
              <w:right w:val="single" w:sz="8" w:color="424E6A"/>
            </w:tcBorders>
            <w:gridSpan w:val="2"/>
            <w:vMerge w:val="continue"/>
          </w:tcPr>
          <w:p>
            <w:pPr>
              <w:spacing w:after="0"/>
              <w:rPr>
                <w:sz w:val="7"/>
                <w:szCs w:val="7"/>
                <w:color w:val="auto"/>
              </w:rPr>
            </w:pPr>
          </w:p>
        </w:tc>
        <w:tc>
          <w:tcPr>
            <w:tcW w:w="1060" w:type="dxa"/>
            <w:vAlign w:val="bottom"/>
            <w:tcBorders>
              <w:bottom w:val="single" w:sz="8" w:color="424E6A"/>
            </w:tcBorders>
            <w:vMerge w:val="continue"/>
          </w:tcPr>
          <w:p>
            <w:pPr>
              <w:spacing w:after="0"/>
              <w:rPr>
                <w:sz w:val="7"/>
                <w:szCs w:val="7"/>
                <w:color w:val="auto"/>
              </w:rPr>
            </w:pPr>
          </w:p>
        </w:tc>
        <w:tc>
          <w:tcPr>
            <w:tcW w:w="10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900" w:type="dxa"/>
            <w:vAlign w:val="bottom"/>
            <w:tcBorders>
              <w:bottom w:val="single" w:sz="8" w:color="424E6A"/>
            </w:tcBorders>
            <w:vMerge w:val="continue"/>
          </w:tcPr>
          <w:p>
            <w:pPr>
              <w:spacing w:after="0"/>
              <w:rPr>
                <w:sz w:val="7"/>
                <w:szCs w:val="7"/>
                <w:color w:val="auto"/>
              </w:rPr>
            </w:pPr>
          </w:p>
        </w:tc>
        <w:tc>
          <w:tcPr>
            <w:tcW w:w="120" w:type="dxa"/>
            <w:vAlign w:val="bottom"/>
            <w:tcBorders>
              <w:bottom w:val="single" w:sz="8" w:color="424E6A"/>
              <w:right w:val="single" w:sz="8" w:color="424E6A"/>
            </w:tcBorders>
            <w:vMerge w:val="continue"/>
          </w:tcPr>
          <w:p>
            <w:pPr>
              <w:spacing w:after="0"/>
              <w:rPr>
                <w:sz w:val="7"/>
                <w:szCs w:val="7"/>
                <w:color w:val="auto"/>
              </w:rPr>
            </w:pPr>
          </w:p>
        </w:tc>
        <w:tc>
          <w:tcPr>
            <w:tcW w:w="880" w:type="dxa"/>
            <w:vAlign w:val="bottom"/>
            <w:tcBorders>
              <w:bottom w:val="single" w:sz="8" w:color="424E6A"/>
              <w:right w:val="single" w:sz="8" w:color="424E6A"/>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88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spacing w:after="0"/>
              <w:rPr>
                <w:sz w:val="24"/>
                <w:szCs w:val="24"/>
                <w:color w:val="auto"/>
              </w:rPr>
            </w:pPr>
          </w:p>
        </w:tc>
        <w:tc>
          <w:tcPr>
            <w:tcW w:w="10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jc w:val="right"/>
              <w:ind w:right="21"/>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Harry Pefanis,</w:t>
            </w:r>
          </w:p>
        </w:tc>
        <w:tc>
          <w:tcPr>
            <w:tcW w:w="50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4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1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424E6A"/>
              <w:bottom w:val="single" w:sz="8" w:color="424E6A"/>
              <w:right w:val="single" w:sz="8" w:color="424E6A"/>
            </w:tcBorders>
          </w:tcPr>
          <w:p>
            <w:pPr>
              <w:ind w:left="5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424E6A"/>
              <w:bottom w:val="single" w:sz="8" w:color="424E6A"/>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1,405,000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424E6A"/>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2,026,540</w:t>
            </w:r>
          </w:p>
        </w:tc>
        <w:tc>
          <w:tcPr>
            <w:tcW w:w="0" w:type="dxa"/>
            <w:vAlign w:val="bottom"/>
          </w:tcPr>
          <w:p>
            <w:pPr>
              <w:spacing w:after="0"/>
              <w:rPr>
                <w:sz w:val="1"/>
                <w:szCs w:val="1"/>
                <w:color w:val="auto"/>
              </w:rPr>
            </w:pPr>
          </w:p>
        </w:tc>
      </w:tr>
      <w:tr>
        <w:trPr>
          <w:trHeight w:val="263"/>
        </w:trPr>
        <w:tc>
          <w:tcPr>
            <w:tcW w:w="288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President</w:t>
            </w:r>
          </w:p>
        </w:tc>
        <w:tc>
          <w:tcPr>
            <w:tcW w:w="500" w:type="dxa"/>
            <w:vAlign w:val="bottom"/>
            <w:tcBorders>
              <w:bottom w:val="single" w:sz="8" w:color="424E6A"/>
              <w:right w:val="single" w:sz="8" w:color="424E6A"/>
            </w:tcBorders>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2023</w:t>
            </w:r>
          </w:p>
        </w:tc>
        <w:tc>
          <w:tcPr>
            <w:tcW w:w="740" w:type="dxa"/>
            <w:vAlign w:val="bottom"/>
            <w:tcBorders>
              <w:bottom w:val="single" w:sz="8" w:color="424E6A"/>
              <w:right w:val="single" w:sz="8" w:color="424E6A"/>
            </w:tcBorders>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600,000</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1,425,000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20,640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right w:val="single" w:sz="8" w:color="424E6A"/>
            </w:tcBorders>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2,045,640</w:t>
            </w:r>
          </w:p>
        </w:tc>
        <w:tc>
          <w:tcPr>
            <w:tcW w:w="0" w:type="dxa"/>
            <w:vAlign w:val="bottom"/>
          </w:tcPr>
          <w:p>
            <w:pPr>
              <w:spacing w:after="0"/>
              <w:rPr>
                <w:sz w:val="1"/>
                <w:szCs w:val="1"/>
                <w:color w:val="auto"/>
              </w:rPr>
            </w:pPr>
          </w:p>
        </w:tc>
      </w:tr>
      <w:tr>
        <w:trPr>
          <w:trHeight w:val="237"/>
        </w:trPr>
        <w:tc>
          <w:tcPr>
            <w:tcW w:w="2880" w:type="dxa"/>
            <w:vAlign w:val="bottom"/>
            <w:tcBorders>
              <w:left w:val="single" w:sz="8" w:color="424E6A"/>
              <w:bottom w:val="single" w:sz="8" w:color="424E6A"/>
              <w:right w:val="single" w:sz="8" w:color="424E6A"/>
            </w:tcBorders>
          </w:tcPr>
          <w:p>
            <w:pPr>
              <w:spacing w:after="0"/>
              <w:rPr>
                <w:sz w:val="20"/>
                <w:szCs w:val="20"/>
                <w:color w:val="auto"/>
              </w:rPr>
            </w:pPr>
          </w:p>
        </w:tc>
        <w:tc>
          <w:tcPr>
            <w:tcW w:w="500" w:type="dxa"/>
            <w:vAlign w:val="bottom"/>
            <w:tcBorders>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40" w:type="dxa"/>
            <w:vAlign w:val="bottom"/>
            <w:tcBorders>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2,105,000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2,674,140</w:t>
            </w:r>
          </w:p>
        </w:tc>
        <w:tc>
          <w:tcPr>
            <w:tcW w:w="0" w:type="dxa"/>
            <w:vAlign w:val="bottom"/>
          </w:tcPr>
          <w:p>
            <w:pPr>
              <w:spacing w:after="0"/>
              <w:rPr>
                <w:sz w:val="1"/>
                <w:szCs w:val="1"/>
                <w:color w:val="auto"/>
              </w:rPr>
            </w:pPr>
          </w:p>
        </w:tc>
      </w:tr>
      <w:tr>
        <w:trPr>
          <w:trHeight w:val="295"/>
        </w:trPr>
        <w:tc>
          <w:tcPr>
            <w:tcW w:w="288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spacing w:after="0"/>
              <w:rPr>
                <w:sz w:val="24"/>
                <w:szCs w:val="24"/>
                <w:color w:val="auto"/>
              </w:rPr>
            </w:pPr>
          </w:p>
        </w:tc>
        <w:tc>
          <w:tcPr>
            <w:tcW w:w="10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jc w:val="right"/>
              <w:ind w:right="21"/>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Al Swanson,</w:t>
            </w:r>
          </w:p>
        </w:tc>
        <w:tc>
          <w:tcPr>
            <w:tcW w:w="50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4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top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1,406,160</w:t>
            </w:r>
          </w:p>
        </w:tc>
        <w:tc>
          <w:tcPr>
            <w:tcW w:w="1060" w:type="dxa"/>
            <w:vAlign w:val="bottom"/>
            <w:tcBorders>
              <w:top w:val="single" w:sz="8" w:color="424E6A"/>
              <w:bottom w:val="single" w:sz="8" w:color="424E6A"/>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1,150,000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424E6A"/>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3,127,700</w:t>
            </w:r>
          </w:p>
        </w:tc>
        <w:tc>
          <w:tcPr>
            <w:tcW w:w="0" w:type="dxa"/>
            <w:vAlign w:val="bottom"/>
          </w:tcPr>
          <w:p>
            <w:pPr>
              <w:spacing w:after="0"/>
              <w:rPr>
                <w:sz w:val="1"/>
                <w:szCs w:val="1"/>
                <w:color w:val="auto"/>
              </w:rPr>
            </w:pPr>
          </w:p>
        </w:tc>
      </w:tr>
      <w:tr>
        <w:trPr>
          <w:trHeight w:val="225"/>
        </w:trPr>
        <w:tc>
          <w:tcPr>
            <w:tcW w:w="288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0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2023</w:t>
            </w:r>
          </w:p>
        </w:tc>
        <w:tc>
          <w:tcPr>
            <w:tcW w:w="74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gridSpan w:val="2"/>
          </w:tcPr>
          <w:p>
            <w:pPr>
              <w:ind w:left="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1,153,018</w:t>
            </w:r>
          </w:p>
        </w:tc>
        <w:tc>
          <w:tcPr>
            <w:tcW w:w="1060" w:type="dxa"/>
            <w:vAlign w:val="bottom"/>
          </w:tcPr>
          <w:p>
            <w:pPr>
              <w:ind w:left="18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1,180,000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Pr>
          <w:p>
            <w:pPr>
              <w:ind w:left="1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tcPr>
          <w:p>
            <w:pPr>
              <w:ind w:left="2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2,903,658</w:t>
            </w:r>
          </w:p>
        </w:tc>
        <w:tc>
          <w:tcPr>
            <w:tcW w:w="0" w:type="dxa"/>
            <w:vAlign w:val="bottom"/>
          </w:tcPr>
          <w:p>
            <w:pPr>
              <w:spacing w:after="0"/>
              <w:rPr>
                <w:sz w:val="1"/>
                <w:szCs w:val="1"/>
                <w:color w:val="auto"/>
              </w:rPr>
            </w:pPr>
          </w:p>
        </w:tc>
      </w:tr>
      <w:tr>
        <w:trPr>
          <w:trHeight w:val="39"/>
        </w:trPr>
        <w:tc>
          <w:tcPr>
            <w:tcW w:w="288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Chief Financial Officer</w:t>
            </w:r>
          </w:p>
        </w:tc>
        <w:tc>
          <w:tcPr>
            <w:tcW w:w="500" w:type="dxa"/>
            <w:vAlign w:val="bottom"/>
            <w:tcBorders>
              <w:bottom w:val="single" w:sz="8" w:color="424E6A"/>
              <w:right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060" w:type="dxa"/>
            <w:vAlign w:val="bottom"/>
            <w:tcBorders>
              <w:bottom w:val="single" w:sz="8" w:color="424E6A"/>
            </w:tcBorders>
          </w:tcPr>
          <w:p>
            <w:pPr>
              <w:spacing w:after="0"/>
              <w:rPr>
                <w:sz w:val="3"/>
                <w:szCs w:val="3"/>
                <w:color w:val="auto"/>
              </w:rPr>
            </w:pPr>
          </w:p>
        </w:tc>
        <w:tc>
          <w:tcPr>
            <w:tcW w:w="10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900" w:type="dxa"/>
            <w:vAlign w:val="bottom"/>
            <w:tcBorders>
              <w:bottom w:val="single" w:sz="8" w:color="424E6A"/>
            </w:tcBorders>
          </w:tcPr>
          <w:p>
            <w:pPr>
              <w:spacing w:after="0"/>
              <w:rPr>
                <w:sz w:val="3"/>
                <w:szCs w:val="3"/>
                <w:color w:val="auto"/>
              </w:rPr>
            </w:pPr>
          </w:p>
        </w:tc>
        <w:tc>
          <w:tcPr>
            <w:tcW w:w="12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7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tcBorders>
              <w:left w:val="single" w:sz="8" w:color="424E6A"/>
              <w:right w:val="single" w:sz="8" w:color="424E6A"/>
            </w:tcBorders>
            <w:vMerge w:val="continue"/>
          </w:tcPr>
          <w:p>
            <w:pPr>
              <w:spacing w:after="0"/>
              <w:rPr>
                <w:sz w:val="13"/>
                <w:szCs w:val="13"/>
                <w:color w:val="auto"/>
              </w:rPr>
            </w:pPr>
          </w:p>
        </w:tc>
        <w:tc>
          <w:tcPr>
            <w:tcW w:w="50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4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860" w:type="dxa"/>
            <w:vAlign w:val="bottom"/>
            <w:tcBorders>
              <w:right w:val="single" w:sz="8" w:color="424E6A"/>
            </w:tcBorders>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1,237,005</w:t>
            </w:r>
          </w:p>
        </w:tc>
        <w:tc>
          <w:tcPr>
            <w:tcW w:w="1060" w:type="dxa"/>
            <w:vAlign w:val="bottom"/>
            <w:vMerge w:val="restart"/>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3,218,645</w:t>
            </w:r>
          </w:p>
        </w:tc>
        <w:tc>
          <w:tcPr>
            <w:tcW w:w="0" w:type="dxa"/>
            <w:vAlign w:val="bottom"/>
          </w:tcPr>
          <w:p>
            <w:pPr>
              <w:spacing w:after="0"/>
              <w:rPr>
                <w:sz w:val="1"/>
                <w:szCs w:val="1"/>
                <w:color w:val="auto"/>
              </w:rPr>
            </w:pPr>
          </w:p>
        </w:tc>
      </w:tr>
      <w:tr>
        <w:trPr>
          <w:trHeight w:val="80"/>
        </w:trPr>
        <w:tc>
          <w:tcPr>
            <w:tcW w:w="2880" w:type="dxa"/>
            <w:vAlign w:val="bottom"/>
            <w:tcBorders>
              <w:left w:val="single" w:sz="8" w:color="424E6A"/>
              <w:bottom w:val="single" w:sz="8" w:color="424E6A"/>
              <w:right w:val="single" w:sz="8" w:color="424E6A"/>
            </w:tcBorders>
          </w:tcPr>
          <w:p>
            <w:pPr>
              <w:spacing w:after="0"/>
              <w:rPr>
                <w:sz w:val="7"/>
                <w:szCs w:val="7"/>
                <w:color w:val="auto"/>
              </w:rPr>
            </w:pPr>
          </w:p>
        </w:tc>
        <w:tc>
          <w:tcPr>
            <w:tcW w:w="500" w:type="dxa"/>
            <w:vAlign w:val="bottom"/>
            <w:tcBorders>
              <w:bottom w:val="single" w:sz="8" w:color="424E6A"/>
              <w:right w:val="single" w:sz="8" w:color="424E6A"/>
            </w:tcBorders>
            <w:vMerge w:val="continue"/>
          </w:tcPr>
          <w:p>
            <w:pPr>
              <w:spacing w:after="0"/>
              <w:rPr>
                <w:sz w:val="7"/>
                <w:szCs w:val="7"/>
                <w:color w:val="auto"/>
              </w:rPr>
            </w:pPr>
          </w:p>
        </w:tc>
        <w:tc>
          <w:tcPr>
            <w:tcW w:w="740" w:type="dxa"/>
            <w:vAlign w:val="bottom"/>
            <w:tcBorders>
              <w:bottom w:val="single" w:sz="8" w:color="424E6A"/>
              <w:right w:val="single" w:sz="8" w:color="424E6A"/>
            </w:tcBorders>
            <w:vMerge w:val="continue"/>
          </w:tcPr>
          <w:p>
            <w:pPr>
              <w:spacing w:after="0"/>
              <w:rPr>
                <w:sz w:val="7"/>
                <w:szCs w:val="7"/>
                <w:color w:val="auto"/>
              </w:rPr>
            </w:pPr>
          </w:p>
        </w:tc>
        <w:tc>
          <w:tcPr>
            <w:tcW w:w="860" w:type="dxa"/>
            <w:vAlign w:val="bottom"/>
            <w:tcBorders>
              <w:bottom w:val="single" w:sz="8" w:color="424E6A"/>
              <w:right w:val="single" w:sz="8" w:color="424E6A"/>
            </w:tcBorders>
            <w:gridSpan w:val="2"/>
            <w:vMerge w:val="continue"/>
          </w:tcPr>
          <w:p>
            <w:pPr>
              <w:spacing w:after="0"/>
              <w:rPr>
                <w:sz w:val="7"/>
                <w:szCs w:val="7"/>
                <w:color w:val="auto"/>
              </w:rPr>
            </w:pPr>
          </w:p>
        </w:tc>
        <w:tc>
          <w:tcPr>
            <w:tcW w:w="1060" w:type="dxa"/>
            <w:vAlign w:val="bottom"/>
            <w:tcBorders>
              <w:bottom w:val="single" w:sz="8" w:color="424E6A"/>
            </w:tcBorders>
            <w:vMerge w:val="continue"/>
          </w:tcPr>
          <w:p>
            <w:pPr>
              <w:spacing w:after="0"/>
              <w:rPr>
                <w:sz w:val="7"/>
                <w:szCs w:val="7"/>
                <w:color w:val="auto"/>
              </w:rPr>
            </w:pPr>
          </w:p>
        </w:tc>
        <w:tc>
          <w:tcPr>
            <w:tcW w:w="10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900" w:type="dxa"/>
            <w:vAlign w:val="bottom"/>
            <w:tcBorders>
              <w:bottom w:val="single" w:sz="8" w:color="424E6A"/>
            </w:tcBorders>
            <w:vMerge w:val="continue"/>
          </w:tcPr>
          <w:p>
            <w:pPr>
              <w:spacing w:after="0"/>
              <w:rPr>
                <w:sz w:val="7"/>
                <w:szCs w:val="7"/>
                <w:color w:val="auto"/>
              </w:rPr>
            </w:pPr>
          </w:p>
        </w:tc>
        <w:tc>
          <w:tcPr>
            <w:tcW w:w="120" w:type="dxa"/>
            <w:vAlign w:val="bottom"/>
            <w:tcBorders>
              <w:bottom w:val="single" w:sz="8" w:color="424E6A"/>
              <w:right w:val="single" w:sz="8" w:color="424E6A"/>
            </w:tcBorders>
            <w:vMerge w:val="continue"/>
          </w:tcPr>
          <w:p>
            <w:pPr>
              <w:spacing w:after="0"/>
              <w:rPr>
                <w:sz w:val="7"/>
                <w:szCs w:val="7"/>
                <w:color w:val="auto"/>
              </w:rPr>
            </w:pPr>
          </w:p>
        </w:tc>
        <w:tc>
          <w:tcPr>
            <w:tcW w:w="880" w:type="dxa"/>
            <w:vAlign w:val="bottom"/>
            <w:tcBorders>
              <w:bottom w:val="single" w:sz="8" w:color="424E6A"/>
              <w:right w:val="single" w:sz="8" w:color="424E6A"/>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288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spacing w:after="0"/>
              <w:rPr>
                <w:sz w:val="24"/>
                <w:szCs w:val="24"/>
                <w:color w:val="auto"/>
              </w:rPr>
            </w:pPr>
          </w:p>
        </w:tc>
        <w:tc>
          <w:tcPr>
            <w:tcW w:w="10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jc w:val="right"/>
              <w:ind w:right="21"/>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8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Richard McGee,</w:t>
            </w:r>
          </w:p>
        </w:tc>
        <w:tc>
          <w:tcPr>
            <w:tcW w:w="50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4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top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1,406,160</w:t>
            </w:r>
          </w:p>
        </w:tc>
        <w:tc>
          <w:tcPr>
            <w:tcW w:w="1060" w:type="dxa"/>
            <w:vAlign w:val="bottom"/>
            <w:tcBorders>
              <w:top w:val="single" w:sz="8" w:color="424E6A"/>
              <w:bottom w:val="single" w:sz="8" w:color="424E6A"/>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1,100,000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424E6A"/>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3,077,700</w:t>
            </w:r>
          </w:p>
        </w:tc>
        <w:tc>
          <w:tcPr>
            <w:tcW w:w="0" w:type="dxa"/>
            <w:vAlign w:val="bottom"/>
          </w:tcPr>
          <w:p>
            <w:pPr>
              <w:spacing w:after="0"/>
              <w:rPr>
                <w:sz w:val="1"/>
                <w:szCs w:val="1"/>
                <w:color w:val="auto"/>
              </w:rPr>
            </w:pPr>
          </w:p>
        </w:tc>
      </w:tr>
      <w:tr>
        <w:trPr>
          <w:trHeight w:val="225"/>
        </w:trPr>
        <w:tc>
          <w:tcPr>
            <w:tcW w:w="288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w:t>
            </w:r>
          </w:p>
        </w:tc>
        <w:tc>
          <w:tcPr>
            <w:tcW w:w="50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2023</w:t>
            </w:r>
          </w:p>
        </w:tc>
        <w:tc>
          <w:tcPr>
            <w:tcW w:w="74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gridSpan w:val="2"/>
          </w:tcPr>
          <w:p>
            <w:pPr>
              <w:ind w:left="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1,153,018</w:t>
            </w:r>
          </w:p>
        </w:tc>
        <w:tc>
          <w:tcPr>
            <w:tcW w:w="1060" w:type="dxa"/>
            <w:vAlign w:val="bottom"/>
          </w:tcPr>
          <w:p>
            <w:pPr>
              <w:ind w:left="18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1,180,000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Pr>
          <w:p>
            <w:pPr>
              <w:ind w:left="1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tcPr>
          <w:p>
            <w:pPr>
              <w:ind w:left="2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2,903,658</w:t>
            </w:r>
          </w:p>
        </w:tc>
        <w:tc>
          <w:tcPr>
            <w:tcW w:w="0" w:type="dxa"/>
            <w:vAlign w:val="bottom"/>
          </w:tcPr>
          <w:p>
            <w:pPr>
              <w:spacing w:after="0"/>
              <w:rPr>
                <w:sz w:val="1"/>
                <w:szCs w:val="1"/>
                <w:color w:val="auto"/>
              </w:rPr>
            </w:pPr>
          </w:p>
        </w:tc>
      </w:tr>
      <w:tr>
        <w:trPr>
          <w:trHeight w:val="39"/>
        </w:trPr>
        <w:tc>
          <w:tcPr>
            <w:tcW w:w="288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General Counsel and Secretary</w:t>
            </w:r>
          </w:p>
        </w:tc>
        <w:tc>
          <w:tcPr>
            <w:tcW w:w="500" w:type="dxa"/>
            <w:vAlign w:val="bottom"/>
            <w:tcBorders>
              <w:bottom w:val="single" w:sz="8" w:color="424E6A"/>
              <w:right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060" w:type="dxa"/>
            <w:vAlign w:val="bottom"/>
            <w:tcBorders>
              <w:bottom w:val="single" w:sz="8" w:color="424E6A"/>
            </w:tcBorders>
          </w:tcPr>
          <w:p>
            <w:pPr>
              <w:spacing w:after="0"/>
              <w:rPr>
                <w:sz w:val="3"/>
                <w:szCs w:val="3"/>
                <w:color w:val="auto"/>
              </w:rPr>
            </w:pPr>
          </w:p>
        </w:tc>
        <w:tc>
          <w:tcPr>
            <w:tcW w:w="10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900" w:type="dxa"/>
            <w:vAlign w:val="bottom"/>
            <w:tcBorders>
              <w:bottom w:val="single" w:sz="8" w:color="424E6A"/>
            </w:tcBorders>
          </w:tcPr>
          <w:p>
            <w:pPr>
              <w:spacing w:after="0"/>
              <w:rPr>
                <w:sz w:val="3"/>
                <w:szCs w:val="3"/>
                <w:color w:val="auto"/>
              </w:rPr>
            </w:pPr>
          </w:p>
        </w:tc>
        <w:tc>
          <w:tcPr>
            <w:tcW w:w="12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7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tcBorders>
              <w:left w:val="single" w:sz="8" w:color="424E6A"/>
              <w:right w:val="single" w:sz="8" w:color="424E6A"/>
            </w:tcBorders>
            <w:vMerge w:val="continue"/>
          </w:tcPr>
          <w:p>
            <w:pPr>
              <w:spacing w:after="0"/>
              <w:rPr>
                <w:sz w:val="13"/>
                <w:szCs w:val="13"/>
                <w:color w:val="auto"/>
              </w:rPr>
            </w:pPr>
          </w:p>
        </w:tc>
        <w:tc>
          <w:tcPr>
            <w:tcW w:w="50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4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860" w:type="dxa"/>
            <w:vAlign w:val="bottom"/>
            <w:tcBorders>
              <w:right w:val="single" w:sz="8" w:color="424E6A"/>
            </w:tcBorders>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1,237,005</w:t>
            </w:r>
          </w:p>
        </w:tc>
        <w:tc>
          <w:tcPr>
            <w:tcW w:w="1060" w:type="dxa"/>
            <w:vAlign w:val="bottom"/>
            <w:vMerge w:val="restart"/>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1,515,000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3,283,645</w:t>
            </w:r>
          </w:p>
        </w:tc>
        <w:tc>
          <w:tcPr>
            <w:tcW w:w="0" w:type="dxa"/>
            <w:vAlign w:val="bottom"/>
          </w:tcPr>
          <w:p>
            <w:pPr>
              <w:spacing w:after="0"/>
              <w:rPr>
                <w:sz w:val="1"/>
                <w:szCs w:val="1"/>
                <w:color w:val="auto"/>
              </w:rPr>
            </w:pPr>
          </w:p>
        </w:tc>
      </w:tr>
      <w:tr>
        <w:trPr>
          <w:trHeight w:val="80"/>
        </w:trPr>
        <w:tc>
          <w:tcPr>
            <w:tcW w:w="2880" w:type="dxa"/>
            <w:vAlign w:val="bottom"/>
            <w:tcBorders>
              <w:left w:val="single" w:sz="8" w:color="424E6A"/>
              <w:bottom w:val="single" w:sz="8" w:color="424E6A"/>
              <w:right w:val="single" w:sz="8" w:color="424E6A"/>
            </w:tcBorders>
          </w:tcPr>
          <w:p>
            <w:pPr>
              <w:spacing w:after="0"/>
              <w:rPr>
                <w:sz w:val="7"/>
                <w:szCs w:val="7"/>
                <w:color w:val="auto"/>
              </w:rPr>
            </w:pPr>
          </w:p>
        </w:tc>
        <w:tc>
          <w:tcPr>
            <w:tcW w:w="500" w:type="dxa"/>
            <w:vAlign w:val="bottom"/>
            <w:tcBorders>
              <w:bottom w:val="single" w:sz="8" w:color="424E6A"/>
              <w:right w:val="single" w:sz="8" w:color="424E6A"/>
            </w:tcBorders>
            <w:vMerge w:val="continue"/>
          </w:tcPr>
          <w:p>
            <w:pPr>
              <w:spacing w:after="0"/>
              <w:rPr>
                <w:sz w:val="7"/>
                <w:szCs w:val="7"/>
                <w:color w:val="auto"/>
              </w:rPr>
            </w:pPr>
          </w:p>
        </w:tc>
        <w:tc>
          <w:tcPr>
            <w:tcW w:w="740" w:type="dxa"/>
            <w:vAlign w:val="bottom"/>
            <w:tcBorders>
              <w:bottom w:val="single" w:sz="8" w:color="424E6A"/>
              <w:right w:val="single" w:sz="8" w:color="424E6A"/>
            </w:tcBorders>
            <w:vMerge w:val="continue"/>
          </w:tcPr>
          <w:p>
            <w:pPr>
              <w:spacing w:after="0"/>
              <w:rPr>
                <w:sz w:val="7"/>
                <w:szCs w:val="7"/>
                <w:color w:val="auto"/>
              </w:rPr>
            </w:pPr>
          </w:p>
        </w:tc>
        <w:tc>
          <w:tcPr>
            <w:tcW w:w="860" w:type="dxa"/>
            <w:vAlign w:val="bottom"/>
            <w:tcBorders>
              <w:bottom w:val="single" w:sz="8" w:color="424E6A"/>
              <w:right w:val="single" w:sz="8" w:color="424E6A"/>
            </w:tcBorders>
            <w:gridSpan w:val="2"/>
            <w:vMerge w:val="continue"/>
          </w:tcPr>
          <w:p>
            <w:pPr>
              <w:spacing w:after="0"/>
              <w:rPr>
                <w:sz w:val="7"/>
                <w:szCs w:val="7"/>
                <w:color w:val="auto"/>
              </w:rPr>
            </w:pPr>
          </w:p>
        </w:tc>
        <w:tc>
          <w:tcPr>
            <w:tcW w:w="1060" w:type="dxa"/>
            <w:vAlign w:val="bottom"/>
            <w:tcBorders>
              <w:bottom w:val="single" w:sz="8" w:color="424E6A"/>
            </w:tcBorders>
            <w:vMerge w:val="continue"/>
          </w:tcPr>
          <w:p>
            <w:pPr>
              <w:spacing w:after="0"/>
              <w:rPr>
                <w:sz w:val="7"/>
                <w:szCs w:val="7"/>
                <w:color w:val="auto"/>
              </w:rPr>
            </w:pPr>
          </w:p>
        </w:tc>
        <w:tc>
          <w:tcPr>
            <w:tcW w:w="10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900" w:type="dxa"/>
            <w:vAlign w:val="bottom"/>
            <w:tcBorders>
              <w:bottom w:val="single" w:sz="8" w:color="424E6A"/>
            </w:tcBorders>
            <w:vMerge w:val="continue"/>
          </w:tcPr>
          <w:p>
            <w:pPr>
              <w:spacing w:after="0"/>
              <w:rPr>
                <w:sz w:val="7"/>
                <w:szCs w:val="7"/>
                <w:color w:val="auto"/>
              </w:rPr>
            </w:pPr>
          </w:p>
        </w:tc>
        <w:tc>
          <w:tcPr>
            <w:tcW w:w="120" w:type="dxa"/>
            <w:vAlign w:val="bottom"/>
            <w:tcBorders>
              <w:bottom w:val="single" w:sz="8" w:color="424E6A"/>
              <w:right w:val="single" w:sz="8" w:color="424E6A"/>
            </w:tcBorders>
            <w:vMerge w:val="continue"/>
          </w:tcPr>
          <w:p>
            <w:pPr>
              <w:spacing w:after="0"/>
              <w:rPr>
                <w:sz w:val="7"/>
                <w:szCs w:val="7"/>
                <w:color w:val="auto"/>
              </w:rPr>
            </w:pPr>
          </w:p>
        </w:tc>
        <w:tc>
          <w:tcPr>
            <w:tcW w:w="880" w:type="dxa"/>
            <w:vAlign w:val="bottom"/>
            <w:tcBorders>
              <w:bottom w:val="single" w:sz="8" w:color="424E6A"/>
              <w:right w:val="single" w:sz="8" w:color="424E6A"/>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88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spacing w:after="0"/>
              <w:rPr>
                <w:sz w:val="24"/>
                <w:szCs w:val="24"/>
                <w:color w:val="auto"/>
              </w:rPr>
            </w:pPr>
          </w:p>
        </w:tc>
        <w:tc>
          <w:tcPr>
            <w:tcW w:w="10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jc w:val="right"/>
              <w:ind w:right="21"/>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Chris Chandler,</w:t>
            </w:r>
          </w:p>
        </w:tc>
        <w:tc>
          <w:tcPr>
            <w:tcW w:w="50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4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860" w:type="dxa"/>
            <w:vAlign w:val="bottom"/>
            <w:tcBorders>
              <w:top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1,863,162</w:t>
            </w:r>
          </w:p>
        </w:tc>
        <w:tc>
          <w:tcPr>
            <w:tcW w:w="1060" w:type="dxa"/>
            <w:vAlign w:val="bottom"/>
            <w:tcBorders>
              <w:top w:val="single" w:sz="8" w:color="424E6A"/>
              <w:bottom w:val="single" w:sz="8" w:color="424E6A"/>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1,325,000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424E6A"/>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3,809,702</w:t>
            </w:r>
          </w:p>
        </w:tc>
        <w:tc>
          <w:tcPr>
            <w:tcW w:w="0" w:type="dxa"/>
            <w:vAlign w:val="bottom"/>
          </w:tcPr>
          <w:p>
            <w:pPr>
              <w:spacing w:after="0"/>
              <w:rPr>
                <w:sz w:val="1"/>
                <w:szCs w:val="1"/>
                <w:color w:val="auto"/>
              </w:rPr>
            </w:pPr>
          </w:p>
        </w:tc>
      </w:tr>
      <w:tr>
        <w:trPr>
          <w:trHeight w:val="225"/>
        </w:trPr>
        <w:tc>
          <w:tcPr>
            <w:tcW w:w="288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0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2023</w:t>
            </w:r>
          </w:p>
        </w:tc>
        <w:tc>
          <w:tcPr>
            <w:tcW w:w="74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600,000</w:t>
            </w:r>
          </w:p>
        </w:tc>
        <w:tc>
          <w:tcPr>
            <w:tcW w:w="860" w:type="dxa"/>
            <w:vAlign w:val="bottom"/>
            <w:tcBorders>
              <w:right w:val="single" w:sz="8" w:color="424E6A"/>
            </w:tcBorders>
            <w:gridSpan w:val="2"/>
          </w:tcPr>
          <w:p>
            <w:pPr>
              <w:ind w:left="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1,485,999</w:t>
            </w:r>
          </w:p>
        </w:tc>
        <w:tc>
          <w:tcPr>
            <w:tcW w:w="1060" w:type="dxa"/>
            <w:vAlign w:val="bottom"/>
          </w:tcPr>
          <w:p>
            <w:pPr>
              <w:ind w:left="18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1,340,000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Pr>
          <w:p>
            <w:pPr>
              <w:ind w:left="1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tcPr>
          <w:p>
            <w:pPr>
              <w:ind w:left="2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3,446,639</w:t>
            </w:r>
          </w:p>
        </w:tc>
        <w:tc>
          <w:tcPr>
            <w:tcW w:w="0" w:type="dxa"/>
            <w:vAlign w:val="bottom"/>
          </w:tcPr>
          <w:p>
            <w:pPr>
              <w:spacing w:after="0"/>
              <w:rPr>
                <w:sz w:val="1"/>
                <w:szCs w:val="1"/>
                <w:color w:val="auto"/>
              </w:rPr>
            </w:pPr>
          </w:p>
        </w:tc>
      </w:tr>
      <w:tr>
        <w:trPr>
          <w:trHeight w:val="39"/>
        </w:trPr>
        <w:tc>
          <w:tcPr>
            <w:tcW w:w="288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Chief Operating Officer</w:t>
            </w:r>
          </w:p>
        </w:tc>
        <w:tc>
          <w:tcPr>
            <w:tcW w:w="500" w:type="dxa"/>
            <w:vAlign w:val="bottom"/>
            <w:tcBorders>
              <w:bottom w:val="single" w:sz="8" w:color="424E6A"/>
              <w:right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060" w:type="dxa"/>
            <w:vAlign w:val="bottom"/>
            <w:tcBorders>
              <w:bottom w:val="single" w:sz="8" w:color="424E6A"/>
            </w:tcBorders>
          </w:tcPr>
          <w:p>
            <w:pPr>
              <w:spacing w:after="0"/>
              <w:rPr>
                <w:sz w:val="3"/>
                <w:szCs w:val="3"/>
                <w:color w:val="auto"/>
              </w:rPr>
            </w:pPr>
          </w:p>
        </w:tc>
        <w:tc>
          <w:tcPr>
            <w:tcW w:w="10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900" w:type="dxa"/>
            <w:vAlign w:val="bottom"/>
            <w:tcBorders>
              <w:bottom w:val="single" w:sz="8" w:color="424E6A"/>
            </w:tcBorders>
          </w:tcPr>
          <w:p>
            <w:pPr>
              <w:spacing w:after="0"/>
              <w:rPr>
                <w:sz w:val="3"/>
                <w:szCs w:val="3"/>
                <w:color w:val="auto"/>
              </w:rPr>
            </w:pPr>
          </w:p>
        </w:tc>
        <w:tc>
          <w:tcPr>
            <w:tcW w:w="12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7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tcBorders>
              <w:left w:val="single" w:sz="8" w:color="424E6A"/>
              <w:right w:val="single" w:sz="8" w:color="424E6A"/>
            </w:tcBorders>
            <w:vMerge w:val="continue"/>
          </w:tcPr>
          <w:p>
            <w:pPr>
              <w:spacing w:after="0"/>
              <w:rPr>
                <w:sz w:val="13"/>
                <w:szCs w:val="13"/>
                <w:color w:val="auto"/>
              </w:rPr>
            </w:pPr>
          </w:p>
        </w:tc>
        <w:tc>
          <w:tcPr>
            <w:tcW w:w="50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4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4,081,569</w:t>
            </w:r>
          </w:p>
        </w:tc>
        <w:tc>
          <w:tcPr>
            <w:tcW w:w="1060" w:type="dxa"/>
            <w:vAlign w:val="bottom"/>
            <w:vMerge w:val="restart"/>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c>
          <w:tcPr>
            <w:tcW w:w="0" w:type="dxa"/>
            <w:vAlign w:val="bottom"/>
          </w:tcPr>
          <w:p>
            <w:pPr>
              <w:spacing w:after="0"/>
              <w:rPr>
                <w:sz w:val="1"/>
                <w:szCs w:val="1"/>
                <w:color w:val="auto"/>
              </w:rPr>
            </w:pPr>
          </w:p>
        </w:tc>
      </w:tr>
      <w:tr>
        <w:trPr>
          <w:trHeight w:val="81"/>
        </w:trPr>
        <w:tc>
          <w:tcPr>
            <w:tcW w:w="2880" w:type="dxa"/>
            <w:vAlign w:val="bottom"/>
            <w:tcBorders>
              <w:left w:val="single" w:sz="8" w:color="424E6A"/>
              <w:bottom w:val="single" w:sz="8" w:color="424E6A"/>
              <w:right w:val="single" w:sz="8" w:color="424E6A"/>
            </w:tcBorders>
          </w:tcPr>
          <w:p>
            <w:pPr>
              <w:spacing w:after="0"/>
              <w:rPr>
                <w:sz w:val="7"/>
                <w:szCs w:val="7"/>
                <w:color w:val="auto"/>
              </w:rPr>
            </w:pPr>
          </w:p>
        </w:tc>
        <w:tc>
          <w:tcPr>
            <w:tcW w:w="500" w:type="dxa"/>
            <w:vAlign w:val="bottom"/>
            <w:tcBorders>
              <w:bottom w:val="single" w:sz="8" w:color="424E6A"/>
              <w:right w:val="single" w:sz="8" w:color="424E6A"/>
            </w:tcBorders>
            <w:vMerge w:val="continue"/>
          </w:tcPr>
          <w:p>
            <w:pPr>
              <w:spacing w:after="0"/>
              <w:rPr>
                <w:sz w:val="7"/>
                <w:szCs w:val="7"/>
                <w:color w:val="auto"/>
              </w:rPr>
            </w:pPr>
          </w:p>
        </w:tc>
        <w:tc>
          <w:tcPr>
            <w:tcW w:w="740" w:type="dxa"/>
            <w:vAlign w:val="bottom"/>
            <w:tcBorders>
              <w:bottom w:val="single" w:sz="8" w:color="424E6A"/>
              <w:right w:val="single" w:sz="8" w:color="424E6A"/>
            </w:tcBorders>
            <w:vMerge w:val="continue"/>
          </w:tcPr>
          <w:p>
            <w:pPr>
              <w:spacing w:after="0"/>
              <w:rPr>
                <w:sz w:val="7"/>
                <w:szCs w:val="7"/>
                <w:color w:val="auto"/>
              </w:rPr>
            </w:pPr>
          </w:p>
        </w:tc>
        <w:tc>
          <w:tcPr>
            <w:tcW w:w="860" w:type="dxa"/>
            <w:vAlign w:val="bottom"/>
            <w:tcBorders>
              <w:bottom w:val="single" w:sz="8" w:color="424E6A"/>
              <w:right w:val="single" w:sz="8" w:color="424E6A"/>
            </w:tcBorders>
            <w:gridSpan w:val="2"/>
            <w:vMerge w:val="continue"/>
          </w:tcPr>
          <w:p>
            <w:pPr>
              <w:spacing w:after="0"/>
              <w:rPr>
                <w:sz w:val="7"/>
                <w:szCs w:val="7"/>
                <w:color w:val="auto"/>
              </w:rPr>
            </w:pPr>
          </w:p>
        </w:tc>
        <w:tc>
          <w:tcPr>
            <w:tcW w:w="1060" w:type="dxa"/>
            <w:vAlign w:val="bottom"/>
            <w:tcBorders>
              <w:bottom w:val="single" w:sz="8" w:color="424E6A"/>
            </w:tcBorders>
            <w:vMerge w:val="continue"/>
          </w:tcPr>
          <w:p>
            <w:pPr>
              <w:spacing w:after="0"/>
              <w:rPr>
                <w:sz w:val="7"/>
                <w:szCs w:val="7"/>
                <w:color w:val="auto"/>
              </w:rPr>
            </w:pPr>
          </w:p>
        </w:tc>
        <w:tc>
          <w:tcPr>
            <w:tcW w:w="10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900" w:type="dxa"/>
            <w:vAlign w:val="bottom"/>
            <w:tcBorders>
              <w:bottom w:val="single" w:sz="8" w:color="424E6A"/>
            </w:tcBorders>
            <w:vMerge w:val="continue"/>
          </w:tcPr>
          <w:p>
            <w:pPr>
              <w:spacing w:after="0"/>
              <w:rPr>
                <w:sz w:val="7"/>
                <w:szCs w:val="7"/>
                <w:color w:val="auto"/>
              </w:rPr>
            </w:pPr>
          </w:p>
        </w:tc>
        <w:tc>
          <w:tcPr>
            <w:tcW w:w="120" w:type="dxa"/>
            <w:vAlign w:val="bottom"/>
            <w:tcBorders>
              <w:bottom w:val="single" w:sz="8" w:color="424E6A"/>
              <w:right w:val="single" w:sz="8" w:color="424E6A"/>
            </w:tcBorders>
            <w:vMerge w:val="continue"/>
          </w:tcPr>
          <w:p>
            <w:pPr>
              <w:spacing w:after="0"/>
              <w:rPr>
                <w:sz w:val="7"/>
                <w:szCs w:val="7"/>
                <w:color w:val="auto"/>
              </w:rPr>
            </w:pPr>
          </w:p>
        </w:tc>
        <w:tc>
          <w:tcPr>
            <w:tcW w:w="880" w:type="dxa"/>
            <w:vAlign w:val="bottom"/>
            <w:tcBorders>
              <w:bottom w:val="single" w:sz="8" w:color="424E6A"/>
              <w:right w:val="single" w:sz="8" w:color="424E6A"/>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88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right w:val="single" w:sz="8" w:color="424E6A"/>
            </w:tcBorders>
            <w:shd w:val="clear" w:color="auto" w:fill="D9DCE1"/>
          </w:tcPr>
          <w:p>
            <w:pPr>
              <w:spacing w:after="0"/>
              <w:rPr>
                <w:sz w:val="24"/>
                <w:szCs w:val="24"/>
                <w:color w:val="auto"/>
              </w:rPr>
            </w:pPr>
          </w:p>
        </w:tc>
        <w:tc>
          <w:tcPr>
            <w:tcW w:w="10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jc w:val="right"/>
              <w:ind w:right="21"/>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8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Jeremy Goebel,</w:t>
            </w:r>
          </w:p>
        </w:tc>
        <w:tc>
          <w:tcPr>
            <w:tcW w:w="50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4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860" w:type="dxa"/>
            <w:vAlign w:val="bottom"/>
            <w:tcBorders>
              <w:top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1,863,162</w:t>
            </w:r>
          </w:p>
        </w:tc>
        <w:tc>
          <w:tcPr>
            <w:tcW w:w="1060" w:type="dxa"/>
            <w:vAlign w:val="bottom"/>
            <w:tcBorders>
              <w:top w:val="single" w:sz="8" w:color="424E6A"/>
              <w:bottom w:val="single" w:sz="8" w:color="424E6A"/>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1,325,000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424E6A"/>
              <w:bottom w:val="single" w:sz="8" w:color="424E6A"/>
            </w:tcBorders>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3,809,702</w:t>
            </w:r>
          </w:p>
        </w:tc>
        <w:tc>
          <w:tcPr>
            <w:tcW w:w="0" w:type="dxa"/>
            <w:vAlign w:val="bottom"/>
          </w:tcPr>
          <w:p>
            <w:pPr>
              <w:spacing w:after="0"/>
              <w:rPr>
                <w:sz w:val="1"/>
                <w:szCs w:val="1"/>
                <w:color w:val="auto"/>
              </w:rPr>
            </w:pPr>
          </w:p>
        </w:tc>
      </w:tr>
      <w:tr>
        <w:trPr>
          <w:trHeight w:val="225"/>
        </w:trPr>
        <w:tc>
          <w:tcPr>
            <w:tcW w:w="288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0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2023</w:t>
            </w:r>
          </w:p>
        </w:tc>
        <w:tc>
          <w:tcPr>
            <w:tcW w:w="740" w:type="dxa"/>
            <w:vAlign w:val="bottom"/>
            <w:tcBorders>
              <w:right w:val="single" w:sz="8" w:color="424E6A"/>
            </w:tcBorders>
          </w:tcPr>
          <w:p>
            <w:pPr>
              <w:ind w:left="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600,000</w:t>
            </w:r>
          </w:p>
        </w:tc>
        <w:tc>
          <w:tcPr>
            <w:tcW w:w="860" w:type="dxa"/>
            <w:vAlign w:val="bottom"/>
            <w:tcBorders>
              <w:right w:val="single" w:sz="8" w:color="424E6A"/>
            </w:tcBorders>
            <w:gridSpan w:val="2"/>
          </w:tcPr>
          <w:p>
            <w:pPr>
              <w:ind w:left="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1,485,999</w:t>
            </w:r>
          </w:p>
        </w:tc>
        <w:tc>
          <w:tcPr>
            <w:tcW w:w="1060" w:type="dxa"/>
            <w:vAlign w:val="bottom"/>
          </w:tcPr>
          <w:p>
            <w:pPr>
              <w:ind w:left="18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1,340,000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tcPr>
          <w:p>
            <w:pPr>
              <w:ind w:left="1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tcPr>
          <w:p>
            <w:pPr>
              <w:ind w:left="2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3,446,639</w:t>
            </w:r>
          </w:p>
        </w:tc>
        <w:tc>
          <w:tcPr>
            <w:tcW w:w="0" w:type="dxa"/>
            <w:vAlign w:val="bottom"/>
          </w:tcPr>
          <w:p>
            <w:pPr>
              <w:spacing w:after="0"/>
              <w:rPr>
                <w:sz w:val="1"/>
                <w:szCs w:val="1"/>
                <w:color w:val="auto"/>
              </w:rPr>
            </w:pPr>
          </w:p>
        </w:tc>
      </w:tr>
      <w:tr>
        <w:trPr>
          <w:trHeight w:val="39"/>
        </w:trPr>
        <w:tc>
          <w:tcPr>
            <w:tcW w:w="288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Chief Commercial Officer</w:t>
            </w:r>
          </w:p>
        </w:tc>
        <w:tc>
          <w:tcPr>
            <w:tcW w:w="500" w:type="dxa"/>
            <w:vAlign w:val="bottom"/>
            <w:tcBorders>
              <w:bottom w:val="single" w:sz="8" w:color="424E6A"/>
              <w:right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740" w:type="dxa"/>
            <w:vAlign w:val="bottom"/>
            <w:tcBorders>
              <w:bottom w:val="single" w:sz="8" w:color="424E6A"/>
              <w:right w:val="single" w:sz="8" w:color="424E6A"/>
            </w:tcBorders>
          </w:tcPr>
          <w:p>
            <w:pPr>
              <w:spacing w:after="0"/>
              <w:rPr>
                <w:sz w:val="3"/>
                <w:szCs w:val="3"/>
                <w:color w:val="auto"/>
              </w:rPr>
            </w:pPr>
          </w:p>
        </w:tc>
        <w:tc>
          <w:tcPr>
            <w:tcW w:w="1060" w:type="dxa"/>
            <w:vAlign w:val="bottom"/>
            <w:tcBorders>
              <w:bottom w:val="single" w:sz="8" w:color="424E6A"/>
            </w:tcBorders>
          </w:tcPr>
          <w:p>
            <w:pPr>
              <w:spacing w:after="0"/>
              <w:rPr>
                <w:sz w:val="3"/>
                <w:szCs w:val="3"/>
                <w:color w:val="auto"/>
              </w:rPr>
            </w:pPr>
          </w:p>
        </w:tc>
        <w:tc>
          <w:tcPr>
            <w:tcW w:w="10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900" w:type="dxa"/>
            <w:vAlign w:val="bottom"/>
            <w:tcBorders>
              <w:bottom w:val="single" w:sz="8" w:color="424E6A"/>
            </w:tcBorders>
          </w:tcPr>
          <w:p>
            <w:pPr>
              <w:spacing w:after="0"/>
              <w:rPr>
                <w:sz w:val="3"/>
                <w:szCs w:val="3"/>
                <w:color w:val="auto"/>
              </w:rPr>
            </w:pPr>
          </w:p>
        </w:tc>
        <w:tc>
          <w:tcPr>
            <w:tcW w:w="120" w:type="dxa"/>
            <w:vAlign w:val="bottom"/>
            <w:tcBorders>
              <w:bottom w:val="single" w:sz="8" w:color="424E6A"/>
              <w:right w:val="single" w:sz="8" w:color="424E6A"/>
            </w:tcBorders>
          </w:tcPr>
          <w:p>
            <w:pPr>
              <w:spacing w:after="0"/>
              <w:rPr>
                <w:sz w:val="3"/>
                <w:szCs w:val="3"/>
                <w:color w:val="auto"/>
              </w:rPr>
            </w:pPr>
          </w:p>
        </w:tc>
        <w:tc>
          <w:tcPr>
            <w:tcW w:w="180" w:type="dxa"/>
            <w:vAlign w:val="bottom"/>
            <w:tcBorders>
              <w:bottom w:val="single" w:sz="8" w:color="424E6A"/>
            </w:tcBorders>
          </w:tcPr>
          <w:p>
            <w:pPr>
              <w:spacing w:after="0"/>
              <w:rPr>
                <w:sz w:val="3"/>
                <w:szCs w:val="3"/>
                <w:color w:val="auto"/>
              </w:rPr>
            </w:pPr>
          </w:p>
        </w:tc>
        <w:tc>
          <w:tcPr>
            <w:tcW w:w="7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tcBorders>
              <w:left w:val="single" w:sz="8" w:color="424E6A"/>
              <w:right w:val="single" w:sz="8" w:color="424E6A"/>
            </w:tcBorders>
            <w:vMerge w:val="continue"/>
          </w:tcPr>
          <w:p>
            <w:pPr>
              <w:spacing w:after="0"/>
              <w:rPr>
                <w:sz w:val="13"/>
                <w:szCs w:val="13"/>
                <w:color w:val="auto"/>
              </w:rPr>
            </w:pPr>
          </w:p>
        </w:tc>
        <w:tc>
          <w:tcPr>
            <w:tcW w:w="50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4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4,081,569</w:t>
            </w:r>
          </w:p>
        </w:tc>
        <w:tc>
          <w:tcPr>
            <w:tcW w:w="1060" w:type="dxa"/>
            <w:vAlign w:val="bottom"/>
            <w:vMerge w:val="restart"/>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c>
          <w:tcPr>
            <w:tcW w:w="0" w:type="dxa"/>
            <w:vAlign w:val="bottom"/>
          </w:tcPr>
          <w:p>
            <w:pPr>
              <w:spacing w:after="0"/>
              <w:rPr>
                <w:sz w:val="1"/>
                <w:szCs w:val="1"/>
                <w:color w:val="auto"/>
              </w:rPr>
            </w:pPr>
          </w:p>
        </w:tc>
      </w:tr>
      <w:tr>
        <w:trPr>
          <w:trHeight w:val="80"/>
        </w:trPr>
        <w:tc>
          <w:tcPr>
            <w:tcW w:w="2880" w:type="dxa"/>
            <w:vAlign w:val="bottom"/>
            <w:tcBorders>
              <w:left w:val="single" w:sz="8" w:color="424E6A"/>
              <w:bottom w:val="single" w:sz="8" w:color="424E6A"/>
              <w:right w:val="single" w:sz="8" w:color="424E6A"/>
            </w:tcBorders>
          </w:tcPr>
          <w:p>
            <w:pPr>
              <w:spacing w:after="0"/>
              <w:rPr>
                <w:sz w:val="7"/>
                <w:szCs w:val="7"/>
                <w:color w:val="auto"/>
              </w:rPr>
            </w:pPr>
          </w:p>
        </w:tc>
        <w:tc>
          <w:tcPr>
            <w:tcW w:w="500" w:type="dxa"/>
            <w:vAlign w:val="bottom"/>
            <w:tcBorders>
              <w:bottom w:val="single" w:sz="8" w:color="424E6A"/>
              <w:right w:val="single" w:sz="8" w:color="424E6A"/>
            </w:tcBorders>
            <w:vMerge w:val="continue"/>
          </w:tcPr>
          <w:p>
            <w:pPr>
              <w:spacing w:after="0"/>
              <w:rPr>
                <w:sz w:val="7"/>
                <w:szCs w:val="7"/>
                <w:color w:val="auto"/>
              </w:rPr>
            </w:pPr>
          </w:p>
        </w:tc>
        <w:tc>
          <w:tcPr>
            <w:tcW w:w="740" w:type="dxa"/>
            <w:vAlign w:val="bottom"/>
            <w:tcBorders>
              <w:bottom w:val="single" w:sz="8" w:color="424E6A"/>
              <w:right w:val="single" w:sz="8" w:color="424E6A"/>
            </w:tcBorders>
            <w:vMerge w:val="continue"/>
          </w:tcPr>
          <w:p>
            <w:pPr>
              <w:spacing w:after="0"/>
              <w:rPr>
                <w:sz w:val="7"/>
                <w:szCs w:val="7"/>
                <w:color w:val="auto"/>
              </w:rPr>
            </w:pPr>
          </w:p>
        </w:tc>
        <w:tc>
          <w:tcPr>
            <w:tcW w:w="860" w:type="dxa"/>
            <w:vAlign w:val="bottom"/>
            <w:tcBorders>
              <w:bottom w:val="single" w:sz="8" w:color="424E6A"/>
              <w:right w:val="single" w:sz="8" w:color="424E6A"/>
            </w:tcBorders>
            <w:gridSpan w:val="2"/>
            <w:vMerge w:val="continue"/>
          </w:tcPr>
          <w:p>
            <w:pPr>
              <w:spacing w:after="0"/>
              <w:rPr>
                <w:sz w:val="7"/>
                <w:szCs w:val="7"/>
                <w:color w:val="auto"/>
              </w:rPr>
            </w:pPr>
          </w:p>
        </w:tc>
        <w:tc>
          <w:tcPr>
            <w:tcW w:w="1060" w:type="dxa"/>
            <w:vAlign w:val="bottom"/>
            <w:tcBorders>
              <w:bottom w:val="single" w:sz="8" w:color="424E6A"/>
            </w:tcBorders>
            <w:vMerge w:val="continue"/>
          </w:tcPr>
          <w:p>
            <w:pPr>
              <w:spacing w:after="0"/>
              <w:rPr>
                <w:sz w:val="7"/>
                <w:szCs w:val="7"/>
                <w:color w:val="auto"/>
              </w:rPr>
            </w:pPr>
          </w:p>
        </w:tc>
        <w:tc>
          <w:tcPr>
            <w:tcW w:w="10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900" w:type="dxa"/>
            <w:vAlign w:val="bottom"/>
            <w:tcBorders>
              <w:bottom w:val="single" w:sz="8" w:color="424E6A"/>
            </w:tcBorders>
            <w:vMerge w:val="continue"/>
          </w:tcPr>
          <w:p>
            <w:pPr>
              <w:spacing w:after="0"/>
              <w:rPr>
                <w:sz w:val="7"/>
                <w:szCs w:val="7"/>
                <w:color w:val="auto"/>
              </w:rPr>
            </w:pPr>
          </w:p>
        </w:tc>
        <w:tc>
          <w:tcPr>
            <w:tcW w:w="120" w:type="dxa"/>
            <w:vAlign w:val="bottom"/>
            <w:tcBorders>
              <w:bottom w:val="single" w:sz="8" w:color="424E6A"/>
              <w:right w:val="single" w:sz="8" w:color="424E6A"/>
            </w:tcBorders>
            <w:vMerge w:val="continue"/>
          </w:tcPr>
          <w:p>
            <w:pPr>
              <w:spacing w:after="0"/>
              <w:rPr>
                <w:sz w:val="7"/>
                <w:szCs w:val="7"/>
                <w:color w:val="auto"/>
              </w:rPr>
            </w:pPr>
          </w:p>
        </w:tc>
        <w:tc>
          <w:tcPr>
            <w:tcW w:w="880" w:type="dxa"/>
            <w:vAlign w:val="bottom"/>
            <w:tcBorders>
              <w:bottom w:val="single" w:sz="8" w:color="424E6A"/>
              <w:right w:val="single" w:sz="8" w:color="424E6A"/>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879" w:hanging="360"/>
        <w:spacing w:after="0" w:line="210"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As described above in CD&amp;A, Mr. Chiang’s annual base salary was increased effective April 1, 2024. The amount shown in the table for 2024 for Mr. Chiang reflects a blended rate.</w:t>
      </w:r>
    </w:p>
    <w:p>
      <w:pPr>
        <w:spacing w:after="0" w:line="60" w:lineRule="exact"/>
        <w:rPr>
          <w:rFonts w:ascii="Arial" w:cs="Arial" w:eastAsia="Arial" w:hAnsi="Arial"/>
          <w:sz w:val="27"/>
          <w:szCs w:val="27"/>
          <w:color w:val="auto"/>
          <w:vertAlign w:val="superscript"/>
        </w:rPr>
      </w:pPr>
    </w:p>
    <w:p>
      <w:pPr>
        <w:ind w:left="1620" w:right="439" w:hanging="360"/>
        <w:spacing w:after="0" w:line="238"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Grant date fair values are presented for (i) phantom unit grants awarded to Messrs. Chiang, Swanson, McGee, Chandler and Goebel in August 2022, 2023 and 2024, and (ii) a portion of phantom unit grants awarded to Messrs. Chandler and Goebel in November 2019, which were amended in February 2022. Dollar amounts in the table represent the aggregate grant date fair value of phantom units awarded based on the probable outcome of underlying performance conditions pursuant to FASB ASC Topic 718. See Note 17 to our Consolidated Financial Statements included in our 2024 Annual Report for further discussion regarding the calculation of grant date fair values.</w:t>
      </w:r>
    </w:p>
    <w:p>
      <w:pPr>
        <w:spacing w:after="0" w:line="10" w:lineRule="exact"/>
        <w:rPr>
          <w:rFonts w:ascii="Arial" w:cs="Arial" w:eastAsia="Arial" w:hAnsi="Arial"/>
          <w:sz w:val="27"/>
          <w:szCs w:val="27"/>
          <w:color w:val="auto"/>
          <w:vertAlign w:val="superscript"/>
        </w:rPr>
      </w:pPr>
    </w:p>
    <w:p>
      <w:pPr>
        <w:ind w:left="1620" w:right="459"/>
        <w:spacing w:after="0" w:line="269" w:lineRule="auto"/>
        <w:rPr>
          <w:rFonts w:ascii="Arial" w:cs="Arial" w:eastAsia="Arial" w:hAnsi="Arial"/>
          <w:sz w:val="27"/>
          <w:szCs w:val="27"/>
          <w:color w:val="auto"/>
          <w:vertAlign w:val="superscript"/>
        </w:rPr>
      </w:pPr>
      <w:r>
        <w:rPr>
          <w:rFonts w:ascii="Arial" w:cs="Arial" w:eastAsia="Arial" w:hAnsi="Arial"/>
          <w:sz w:val="17"/>
          <w:szCs w:val="17"/>
          <w:color w:val="auto"/>
        </w:rPr>
        <w:t>For phantom unit grants awarded to Messrs. Chandler and Goebel in November 2019, 50% were deemed probable of vesting on the grant date. The probability-based grant date fair value of the phantom unit grants awarded in November 2019 was $3,901,500; the maximum grant date fair value of phantom unit grants awarded in November 2019, assuming that the highest level of performance conditions will be met, was $6,865,000 for each of Messrs. Chandler and Goebel. The November 2019 phantom unit grants were amended in February 2022 to replace the original DCF/​ CUE metric in the performance-based portion of the award with a relative TSR metric. As a result of the amendment, 100% of the grants were deemed probable of vesting on the amendment date. The amounts presented for each of Messrs. Chandler and Goebel for 2022 include aggregate incremental fair value of $2,486,671 resulting from the amendment of the performance-based portion of the November 2019 awards. The incremental fair value represents the net increase in fair value of the amended awards relative to the fair value on the original grant date.</w:t>
      </w:r>
    </w:p>
    <w:p>
      <w:pPr>
        <w:spacing w:after="0" w:line="3" w:lineRule="exact"/>
        <w:rPr>
          <w:rFonts w:ascii="Arial" w:cs="Arial" w:eastAsia="Arial" w:hAnsi="Arial"/>
          <w:sz w:val="27"/>
          <w:szCs w:val="27"/>
          <w:color w:val="auto"/>
          <w:vertAlign w:val="superscript"/>
        </w:rPr>
      </w:pPr>
    </w:p>
    <w:p>
      <w:pPr>
        <w:jc w:val="both"/>
        <w:ind w:left="1620" w:right="759"/>
        <w:spacing w:after="0" w:line="272" w:lineRule="auto"/>
        <w:rPr>
          <w:rFonts w:ascii="Arial" w:cs="Arial" w:eastAsia="Arial" w:hAnsi="Arial"/>
          <w:sz w:val="27"/>
          <w:szCs w:val="27"/>
          <w:color w:val="auto"/>
          <w:vertAlign w:val="superscript"/>
        </w:rPr>
      </w:pPr>
      <w:r>
        <w:rPr>
          <w:rFonts w:ascii="Arial" w:cs="Arial" w:eastAsia="Arial" w:hAnsi="Arial"/>
          <w:sz w:val="17"/>
          <w:szCs w:val="17"/>
          <w:color w:val="auto"/>
        </w:rPr>
        <w:t>For phantom unit grants awarded in August 2022, 75% were deemed probable of vesting on the grant date. The maximum grant date fair value of phantom unit grants awarded in August 2022, assuming that the highest level of performance conditions will be met, was $7,854,000 for</w:t>
      </w:r>
    </w:p>
    <w:p>
      <w:pPr>
        <w:spacing w:after="0" w:line="1" w:lineRule="exact"/>
        <w:rPr>
          <w:rFonts w:ascii="Arial" w:cs="Arial" w:eastAsia="Arial" w:hAnsi="Arial"/>
          <w:sz w:val="27"/>
          <w:szCs w:val="27"/>
          <w:color w:val="auto"/>
          <w:vertAlign w:val="superscript"/>
        </w:rPr>
      </w:pPr>
    </w:p>
    <w:p>
      <w:pPr>
        <w:ind w:left="1620" w:right="899"/>
        <w:spacing w:after="0" w:line="263" w:lineRule="auto"/>
        <w:rPr>
          <w:rFonts w:ascii="Arial" w:cs="Arial" w:eastAsia="Arial" w:hAnsi="Arial"/>
          <w:sz w:val="27"/>
          <w:szCs w:val="27"/>
          <w:color w:val="auto"/>
          <w:vertAlign w:val="superscript"/>
        </w:rPr>
      </w:pPr>
      <w:r>
        <w:rPr>
          <w:rFonts w:ascii="Arial" w:cs="Arial" w:eastAsia="Arial" w:hAnsi="Arial"/>
          <w:sz w:val="18"/>
          <w:szCs w:val="18"/>
          <w:color w:val="auto"/>
        </w:rPr>
        <w:t>Mr. Chiang, $2,474,010 for each of Messrs. Swanson and McGee, and $3,189,795 for each of Messrs. Chandler and Goebel.</w:t>
      </w:r>
    </w:p>
    <w:p>
      <w:pPr>
        <w:jc w:val="both"/>
        <w:ind w:left="1620" w:right="759"/>
        <w:spacing w:after="0" w:line="272" w:lineRule="auto"/>
        <w:rPr>
          <w:rFonts w:ascii="Arial" w:cs="Arial" w:eastAsia="Arial" w:hAnsi="Arial"/>
          <w:sz w:val="27"/>
          <w:szCs w:val="27"/>
          <w:color w:val="auto"/>
          <w:vertAlign w:val="superscript"/>
        </w:rPr>
      </w:pPr>
      <w:r>
        <w:rPr>
          <w:rFonts w:ascii="Arial" w:cs="Arial" w:eastAsia="Arial" w:hAnsi="Arial"/>
          <w:sz w:val="17"/>
          <w:szCs w:val="17"/>
          <w:color w:val="auto"/>
        </w:rPr>
        <w:t>For phantom unit grants awarded in August 2023, 75% were deemed probable of vesting on the grant date. The maximum grant date fair value of phantom unit grants awarded in August 2023, assuming that the highest level of performance conditions will be met, was $4,877,705 for</w:t>
      </w:r>
    </w:p>
    <w:p>
      <w:pPr>
        <w:spacing w:after="0" w:line="1" w:lineRule="exact"/>
        <w:rPr>
          <w:rFonts w:ascii="Arial" w:cs="Arial" w:eastAsia="Arial" w:hAnsi="Arial"/>
          <w:sz w:val="27"/>
          <w:szCs w:val="27"/>
          <w:color w:val="auto"/>
          <w:vertAlign w:val="superscript"/>
        </w:rPr>
      </w:pPr>
    </w:p>
    <w:p>
      <w:pPr>
        <w:ind w:left="1620" w:right="899"/>
        <w:spacing w:after="0" w:line="255" w:lineRule="auto"/>
        <w:rPr>
          <w:rFonts w:ascii="Arial" w:cs="Arial" w:eastAsia="Arial" w:hAnsi="Arial"/>
          <w:sz w:val="27"/>
          <w:szCs w:val="27"/>
          <w:color w:val="auto"/>
          <w:vertAlign w:val="superscript"/>
        </w:rPr>
      </w:pPr>
      <w:r>
        <w:rPr>
          <w:rFonts w:ascii="Arial" w:cs="Arial" w:eastAsia="Arial" w:hAnsi="Arial"/>
          <w:sz w:val="18"/>
          <w:szCs w:val="18"/>
          <w:color w:val="auto"/>
        </w:rPr>
        <w:t>Mr. Chiang, $1,537,358 for each of Messrs. Swanson and McGee, and $1,981,333 for each of Messrs. Chandler and Goebel.</w:t>
      </w:r>
    </w:p>
    <w:p>
      <w:pPr>
        <w:spacing w:after="0" w:line="1" w:lineRule="exact"/>
        <w:rPr>
          <w:rFonts w:ascii="Arial" w:cs="Arial" w:eastAsia="Arial" w:hAnsi="Arial"/>
          <w:sz w:val="27"/>
          <w:szCs w:val="27"/>
          <w:color w:val="auto"/>
          <w:vertAlign w:val="superscript"/>
        </w:rPr>
      </w:pPr>
    </w:p>
    <w:p>
      <w:pPr>
        <w:jc w:val="both"/>
        <w:ind w:left="1620" w:right="759"/>
        <w:spacing w:after="0" w:line="272" w:lineRule="auto"/>
        <w:rPr>
          <w:rFonts w:ascii="Arial" w:cs="Arial" w:eastAsia="Arial" w:hAnsi="Arial"/>
          <w:sz w:val="27"/>
          <w:szCs w:val="27"/>
          <w:color w:val="auto"/>
          <w:vertAlign w:val="superscript"/>
        </w:rPr>
      </w:pPr>
      <w:r>
        <w:rPr>
          <w:rFonts w:ascii="Arial" w:cs="Arial" w:eastAsia="Arial" w:hAnsi="Arial"/>
          <w:sz w:val="17"/>
          <w:szCs w:val="17"/>
          <w:color w:val="auto"/>
        </w:rPr>
        <w:t>For phantom unit grants awarded in August 2024, 75% were deemed probable of vesting on the grant date. The maximum grant date fair value of phantom unit grants awarded in August 2024, assuming that the highest level of performance conditions will be met, was $6,210,540 for</w:t>
      </w:r>
    </w:p>
    <w:p>
      <w:pPr>
        <w:spacing w:after="0" w:line="1" w:lineRule="exact"/>
        <w:rPr>
          <w:rFonts w:ascii="Arial" w:cs="Arial" w:eastAsia="Arial" w:hAnsi="Arial"/>
          <w:sz w:val="27"/>
          <w:szCs w:val="27"/>
          <w:color w:val="auto"/>
          <w:vertAlign w:val="superscript"/>
        </w:rPr>
      </w:pPr>
    </w:p>
    <w:p>
      <w:pPr>
        <w:ind w:left="1620" w:right="899"/>
        <w:spacing w:after="0" w:line="263" w:lineRule="auto"/>
        <w:rPr>
          <w:rFonts w:ascii="Arial" w:cs="Arial" w:eastAsia="Arial" w:hAnsi="Arial"/>
          <w:sz w:val="27"/>
          <w:szCs w:val="27"/>
          <w:color w:val="auto"/>
          <w:vertAlign w:val="superscript"/>
        </w:rPr>
      </w:pPr>
      <w:r>
        <w:rPr>
          <w:rFonts w:ascii="Arial" w:cs="Arial" w:eastAsia="Arial" w:hAnsi="Arial"/>
          <w:sz w:val="18"/>
          <w:szCs w:val="18"/>
          <w:color w:val="auto"/>
        </w:rPr>
        <w:t>Mr. Chiang, $1,874,880 for each of Messrs. Swanson and McGee, and $2,484,216 for each of Messrs. Chandler and Goebel.</w:t>
      </w:r>
    </w:p>
    <w:p>
      <w:pPr>
        <w:ind w:left="1620" w:right="559"/>
        <w:spacing w:after="0" w:line="262" w:lineRule="auto"/>
        <w:rPr>
          <w:rFonts w:ascii="Arial" w:cs="Arial" w:eastAsia="Arial" w:hAnsi="Arial"/>
          <w:sz w:val="27"/>
          <w:szCs w:val="27"/>
          <w:color w:val="auto"/>
          <w:vertAlign w:val="superscript"/>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 As a result, Mr. Pefanis was not granted equity awards for the reporting years.</w:t>
      </w:r>
    </w:p>
    <w:p>
      <w:pPr>
        <w:spacing w:after="0" w:line="108"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Amounts paid for 2024 were rounded to the nearest multiple of $5,000. See “2024 Compensation Elements — Annual Cash Incentive Awards” above for additional information.</w:t>
      </w:r>
    </w:p>
    <w:p>
      <w:pPr>
        <w:spacing w:after="0" w:line="114" w:lineRule="exact"/>
        <w:rPr>
          <w:rFonts w:ascii="Arial" w:cs="Arial" w:eastAsia="Arial" w:hAnsi="Arial"/>
          <w:sz w:val="27"/>
          <w:szCs w:val="27"/>
          <w:color w:val="auto"/>
          <w:vertAlign w:val="superscript"/>
        </w:rPr>
      </w:pPr>
    </w:p>
    <w:p>
      <w:pPr>
        <w:ind w:left="1620" w:right="479" w:hanging="360"/>
        <w:spacing w:after="0" w:line="228"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2024 includes $20,700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left="1260" w:right="840" w:firstLine="360"/>
        <w:spacing w:after="0" w:line="28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109220</wp:posOffset>
            </wp:positionV>
            <wp:extent cx="43180" cy="7029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702945"/>
                    </a:xfrm>
                    <a:prstGeom prst="rect">
                      <a:avLst/>
                    </a:prstGeom>
                    <a:noFill/>
                  </pic:spPr>
                </pic:pic>
              </a:graphicData>
            </a:graphic>
          </wp:anchor>
        </w:drawing>
      </w:r>
    </w:p>
    <w:p>
      <w:pPr>
        <w:spacing w:after="0" w:line="152" w:lineRule="exact"/>
        <w:rPr>
          <w:sz w:val="20"/>
          <w:szCs w:val="20"/>
          <w:color w:val="auto"/>
        </w:rPr>
      </w:pPr>
    </w:p>
    <w:tbl>
      <w:tblPr>
        <w:tblLayout w:type="fixed"/>
        <w:tblInd w:w="510" w:type="dxa"/>
        <w:tblCellMar>
          <w:top w:w="0" w:type="dxa"/>
          <w:left w:w="0" w:type="dxa"/>
          <w:bottom w:w="0" w:type="dxa"/>
          <w:right w:w="0" w:type="dxa"/>
        </w:tblCellMar>
      </w:tblPr>
      <w:tr>
        <w:trPr>
          <w:trHeight w:val="247"/>
        </w:trPr>
        <w:tc>
          <w:tcPr>
            <w:tcW w:w="1080" w:type="dxa"/>
            <w:vAlign w:val="bottom"/>
            <w:tcBorders>
              <w:lef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720" w:type="dxa"/>
            <w:vAlign w:val="bottom"/>
            <w:shd w:val="clear" w:color="auto" w:fill="424E6A"/>
          </w:tcPr>
          <w:p>
            <w:pPr>
              <w:spacing w:after="0"/>
              <w:rPr>
                <w:sz w:val="21"/>
                <w:szCs w:val="21"/>
                <w:color w:val="auto"/>
              </w:rPr>
            </w:pPr>
          </w:p>
        </w:tc>
        <w:tc>
          <w:tcPr>
            <w:tcW w:w="2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16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260" w:type="dxa"/>
            <w:vAlign w:val="bottom"/>
            <w:shd w:val="clear" w:color="auto" w:fill="424E6A"/>
          </w:tcPr>
          <w:p>
            <w:pPr>
              <w:spacing w:after="0"/>
              <w:rPr>
                <w:sz w:val="21"/>
                <w:szCs w:val="21"/>
                <w:color w:val="auto"/>
              </w:rPr>
            </w:pPr>
          </w:p>
        </w:tc>
        <w:tc>
          <w:tcPr>
            <w:tcW w:w="320" w:type="dxa"/>
            <w:vAlign w:val="bottom"/>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26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300" w:type="dxa"/>
            <w:vAlign w:val="bottom"/>
            <w:shd w:val="clear" w:color="auto" w:fill="424E6A"/>
          </w:tcPr>
          <w:p>
            <w:pPr>
              <w:spacing w:after="0"/>
              <w:rPr>
                <w:sz w:val="21"/>
                <w:szCs w:val="21"/>
                <w:color w:val="auto"/>
              </w:rPr>
            </w:pPr>
          </w:p>
        </w:tc>
        <w:tc>
          <w:tcPr>
            <w:tcW w:w="74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080" w:type="dxa"/>
            <w:vAlign w:val="bottom"/>
            <w:tcBorders>
              <w:lef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40" w:type="dxa"/>
            <w:vAlign w:val="bottom"/>
            <w:shd w:val="clear" w:color="auto" w:fill="424E6A"/>
          </w:tcPr>
          <w:p>
            <w:pPr>
              <w:spacing w:after="0"/>
              <w:rPr>
                <w:sz w:val="16"/>
                <w:szCs w:val="16"/>
                <w:color w:val="auto"/>
              </w:rPr>
            </w:pPr>
          </w:p>
        </w:tc>
        <w:tc>
          <w:tcPr>
            <w:tcW w:w="560" w:type="dxa"/>
            <w:vAlign w:val="bottom"/>
            <w:shd w:val="clear" w:color="auto" w:fill="424E6A"/>
          </w:tcPr>
          <w:p>
            <w:pPr>
              <w:spacing w:after="0"/>
              <w:rPr>
                <w:sz w:val="16"/>
                <w:szCs w:val="16"/>
                <w:color w:val="auto"/>
              </w:rPr>
            </w:pPr>
          </w:p>
        </w:tc>
        <w:tc>
          <w:tcPr>
            <w:tcW w:w="220" w:type="dxa"/>
            <w:vAlign w:val="bottom"/>
            <w:tcBorders>
              <w:right w:val="single" w:sz="8" w:color="424E6A"/>
            </w:tcBorders>
            <w:shd w:val="clear" w:color="auto" w:fill="424E6A"/>
          </w:tcPr>
          <w:p>
            <w:pPr>
              <w:spacing w:after="0"/>
              <w:rPr>
                <w:sz w:val="16"/>
                <w:szCs w:val="16"/>
                <w:color w:val="auto"/>
              </w:rPr>
            </w:pPr>
          </w:p>
        </w:tc>
        <w:tc>
          <w:tcPr>
            <w:tcW w:w="60" w:type="dxa"/>
            <w:vAlign w:val="bottom"/>
            <w:shd w:val="clear" w:color="auto" w:fill="424E6A"/>
          </w:tcPr>
          <w:p>
            <w:pPr>
              <w:spacing w:after="0"/>
              <w:rPr>
                <w:sz w:val="16"/>
                <w:szCs w:val="16"/>
                <w:color w:val="auto"/>
              </w:rPr>
            </w:pPr>
          </w:p>
        </w:tc>
        <w:tc>
          <w:tcPr>
            <w:tcW w:w="2680" w:type="dxa"/>
            <w:vAlign w:val="bottom"/>
            <w:gridSpan w:val="10"/>
            <w:shd w:val="clear" w:color="auto" w:fill="424E6A"/>
          </w:tcPr>
          <w:p>
            <w:pPr>
              <w:ind w:left="120"/>
              <w:spacing w:after="0"/>
              <w:rPr>
                <w:sz w:val="20"/>
                <w:szCs w:val="20"/>
                <w:color w:val="auto"/>
              </w:rPr>
            </w:pPr>
            <w:r>
              <w:rPr>
                <w:rFonts w:ascii="Arial" w:cs="Arial" w:eastAsia="Arial" w:hAnsi="Arial"/>
                <w:sz w:val="14"/>
                <w:szCs w:val="14"/>
                <w:b w:val="1"/>
                <w:bCs w:val="1"/>
                <w:color w:val="FFFFFF"/>
              </w:rPr>
              <w:t>Estimated Future Payouts Under</w:t>
            </w:r>
          </w:p>
        </w:tc>
        <w:tc>
          <w:tcPr>
            <w:tcW w:w="2280" w:type="dxa"/>
            <w:vAlign w:val="bottom"/>
            <w:gridSpan w:val="7"/>
            <w:shd w:val="clear" w:color="auto" w:fill="424E6A"/>
          </w:tcPr>
          <w:p>
            <w:pPr>
              <w:jc w:val="right"/>
              <w:spacing w:after="0"/>
              <w:rPr>
                <w:sz w:val="20"/>
                <w:szCs w:val="20"/>
                <w:color w:val="auto"/>
              </w:rPr>
            </w:pPr>
            <w:r>
              <w:rPr>
                <w:rFonts w:ascii="Arial" w:cs="Arial" w:eastAsia="Arial" w:hAnsi="Arial"/>
                <w:sz w:val="14"/>
                <w:szCs w:val="14"/>
                <w:b w:val="1"/>
                <w:bCs w:val="1"/>
                <w:color w:val="FFFFFF"/>
              </w:rPr>
              <w:t>Estimated Future Payouts Under</w:t>
            </w:r>
          </w:p>
        </w:tc>
        <w:tc>
          <w:tcPr>
            <w:tcW w:w="20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6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60" w:type="dxa"/>
            <w:vAlign w:val="bottom"/>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2680" w:type="dxa"/>
            <w:vAlign w:val="bottom"/>
            <w:gridSpan w:val="10"/>
            <w:shd w:val="clear" w:color="auto" w:fill="424E6A"/>
          </w:tcPr>
          <w:p>
            <w:pPr>
              <w:ind w:left="100"/>
              <w:spacing w:after="0" w:line="162" w:lineRule="exact"/>
              <w:rPr>
                <w:sz w:val="20"/>
                <w:szCs w:val="20"/>
                <w:color w:val="auto"/>
              </w:rPr>
            </w:pPr>
            <w:r>
              <w:rPr>
                <w:rFonts w:ascii="Arial" w:cs="Arial" w:eastAsia="Arial" w:hAnsi="Arial"/>
                <w:sz w:val="11"/>
                <w:szCs w:val="11"/>
                <w:b w:val="1"/>
                <w:bCs w:val="1"/>
                <w:color w:val="FFFFFF"/>
              </w:rPr>
              <w:t xml:space="preserve">Non-Equity Incentive Plan Awards  </w:t>
            </w:r>
            <w:r>
              <w:rPr>
                <w:rFonts w:ascii="Arial" w:cs="Arial" w:eastAsia="Arial" w:hAnsi="Arial"/>
                <w:sz w:val="18"/>
                <w:szCs w:val="18"/>
                <w:b w:val="1"/>
                <w:bCs w:val="1"/>
                <w:color w:val="FFFFFF"/>
                <w:vertAlign w:val="subscript"/>
              </w:rPr>
              <w:t>​ ​</w:t>
            </w:r>
          </w:p>
        </w:tc>
        <w:tc>
          <w:tcPr>
            <w:tcW w:w="2280" w:type="dxa"/>
            <w:vAlign w:val="bottom"/>
            <w:gridSpan w:val="7"/>
            <w:shd w:val="clear" w:color="auto" w:fill="424E6A"/>
          </w:tcPr>
          <w:p>
            <w:pPr>
              <w:ind w:left="140"/>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2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lef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40" w:type="dxa"/>
            <w:vAlign w:val="bottom"/>
            <w:shd w:val="clear" w:color="auto" w:fill="424E6A"/>
          </w:tcPr>
          <w:p>
            <w:pPr>
              <w:spacing w:after="0"/>
              <w:rPr>
                <w:sz w:val="5"/>
                <w:szCs w:val="5"/>
                <w:color w:val="auto"/>
              </w:rPr>
            </w:pPr>
          </w:p>
        </w:tc>
        <w:tc>
          <w:tcPr>
            <w:tcW w:w="560" w:type="dxa"/>
            <w:vAlign w:val="bottom"/>
            <w:shd w:val="clear" w:color="auto" w:fill="424E6A"/>
          </w:tcPr>
          <w:p>
            <w:pPr>
              <w:spacing w:after="0"/>
              <w:rPr>
                <w:sz w:val="5"/>
                <w:szCs w:val="5"/>
                <w:color w:val="auto"/>
              </w:rPr>
            </w:pPr>
          </w:p>
        </w:tc>
        <w:tc>
          <w:tcPr>
            <w:tcW w:w="220" w:type="dxa"/>
            <w:vAlign w:val="bottom"/>
            <w:tcBorders>
              <w:right w:val="single" w:sz="8" w:color="424E6A"/>
            </w:tcBorders>
            <w:shd w:val="clear" w:color="auto" w:fill="424E6A"/>
          </w:tcPr>
          <w:p>
            <w:pPr>
              <w:spacing w:after="0"/>
              <w:rPr>
                <w:sz w:val="5"/>
                <w:szCs w:val="5"/>
                <w:color w:val="auto"/>
              </w:rPr>
            </w:pPr>
          </w:p>
        </w:tc>
        <w:tc>
          <w:tcPr>
            <w:tcW w:w="60" w:type="dxa"/>
            <w:vAlign w:val="bottom"/>
            <w:shd w:val="clear" w:color="auto" w:fill="424E6A"/>
          </w:tcPr>
          <w:p>
            <w:pPr>
              <w:spacing w:after="0"/>
              <w:rPr>
                <w:sz w:val="5"/>
                <w:szCs w:val="5"/>
                <w:color w:val="auto"/>
              </w:rPr>
            </w:pPr>
          </w:p>
        </w:tc>
        <w:tc>
          <w:tcPr>
            <w:tcW w:w="720" w:type="dxa"/>
            <w:vAlign w:val="bottom"/>
            <w:shd w:val="clear" w:color="auto" w:fill="424E6A"/>
          </w:tcPr>
          <w:p>
            <w:pPr>
              <w:spacing w:after="0"/>
              <w:rPr>
                <w:sz w:val="5"/>
                <w:szCs w:val="5"/>
                <w:color w:val="auto"/>
              </w:rPr>
            </w:pPr>
          </w:p>
        </w:tc>
        <w:tc>
          <w:tcPr>
            <w:tcW w:w="20" w:type="dxa"/>
            <w:vAlign w:val="bottom"/>
            <w:shd w:val="clear" w:color="auto" w:fill="424E6A"/>
          </w:tcPr>
          <w:p>
            <w:pPr>
              <w:spacing w:after="0"/>
              <w:rPr>
                <w:sz w:val="5"/>
                <w:szCs w:val="5"/>
                <w:color w:val="auto"/>
              </w:rPr>
            </w:pPr>
          </w:p>
        </w:tc>
        <w:tc>
          <w:tcPr>
            <w:tcW w:w="120" w:type="dxa"/>
            <w:vAlign w:val="bottom"/>
            <w:tcBorders>
              <w:right w:val="single" w:sz="8" w:color="424E6A"/>
            </w:tcBorders>
            <w:shd w:val="clear" w:color="auto" w:fill="424E6A"/>
          </w:tcPr>
          <w:p>
            <w:pPr>
              <w:spacing w:after="0"/>
              <w:rPr>
                <w:sz w:val="5"/>
                <w:szCs w:val="5"/>
                <w:color w:val="auto"/>
              </w:rPr>
            </w:pPr>
          </w:p>
        </w:tc>
        <w:tc>
          <w:tcPr>
            <w:tcW w:w="160" w:type="dxa"/>
            <w:vAlign w:val="bottom"/>
            <w:shd w:val="clear" w:color="auto" w:fill="424E6A"/>
          </w:tcPr>
          <w:p>
            <w:pPr>
              <w:spacing w:after="0"/>
              <w:rPr>
                <w:sz w:val="5"/>
                <w:szCs w:val="5"/>
                <w:color w:val="auto"/>
              </w:rPr>
            </w:pPr>
          </w:p>
        </w:tc>
        <w:tc>
          <w:tcPr>
            <w:tcW w:w="400" w:type="dxa"/>
            <w:vAlign w:val="bottom"/>
            <w:shd w:val="clear" w:color="auto" w:fill="424E6A"/>
          </w:tcPr>
          <w:p>
            <w:pPr>
              <w:spacing w:after="0"/>
              <w:rPr>
                <w:sz w:val="5"/>
                <w:szCs w:val="5"/>
                <w:color w:val="auto"/>
              </w:rPr>
            </w:pPr>
          </w:p>
        </w:tc>
        <w:tc>
          <w:tcPr>
            <w:tcW w:w="300" w:type="dxa"/>
            <w:vAlign w:val="bottom"/>
            <w:tcBorders>
              <w:right w:val="single" w:sz="8" w:color="424E6A"/>
            </w:tcBorders>
            <w:shd w:val="clear" w:color="auto" w:fill="424E6A"/>
          </w:tcPr>
          <w:p>
            <w:pPr>
              <w:spacing w:after="0"/>
              <w:rPr>
                <w:sz w:val="5"/>
                <w:szCs w:val="5"/>
                <w:color w:val="auto"/>
              </w:rPr>
            </w:pPr>
          </w:p>
        </w:tc>
        <w:tc>
          <w:tcPr>
            <w:tcW w:w="260" w:type="dxa"/>
            <w:vAlign w:val="bottom"/>
            <w:shd w:val="clear" w:color="auto" w:fill="424E6A"/>
          </w:tcPr>
          <w:p>
            <w:pPr>
              <w:spacing w:after="0"/>
              <w:rPr>
                <w:sz w:val="5"/>
                <w:szCs w:val="5"/>
                <w:color w:val="auto"/>
              </w:rPr>
            </w:pPr>
          </w:p>
        </w:tc>
        <w:tc>
          <w:tcPr>
            <w:tcW w:w="320" w:type="dxa"/>
            <w:vAlign w:val="bottom"/>
            <w:shd w:val="clear" w:color="auto" w:fill="424E6A"/>
          </w:tcPr>
          <w:p>
            <w:pPr>
              <w:spacing w:after="0"/>
              <w:rPr>
                <w:sz w:val="5"/>
                <w:szCs w:val="5"/>
                <w:color w:val="auto"/>
              </w:rPr>
            </w:pPr>
          </w:p>
        </w:tc>
        <w:tc>
          <w:tcPr>
            <w:tcW w:w="30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700" w:type="dxa"/>
            <w:vAlign w:val="bottom"/>
            <w:shd w:val="clear" w:color="auto" w:fill="424E6A"/>
          </w:tcPr>
          <w:p>
            <w:pPr>
              <w:spacing w:after="0"/>
              <w:rPr>
                <w:sz w:val="5"/>
                <w:szCs w:val="5"/>
                <w:color w:val="auto"/>
              </w:rPr>
            </w:pPr>
          </w:p>
        </w:tc>
        <w:tc>
          <w:tcPr>
            <w:tcW w:w="140" w:type="dxa"/>
            <w:vAlign w:val="bottom"/>
            <w:tcBorders>
              <w:right w:val="single" w:sz="8" w:color="424E6A"/>
            </w:tcBorders>
            <w:shd w:val="clear" w:color="auto" w:fill="424E6A"/>
          </w:tcPr>
          <w:p>
            <w:pPr>
              <w:spacing w:after="0"/>
              <w:rPr>
                <w:sz w:val="5"/>
                <w:szCs w:val="5"/>
                <w:color w:val="auto"/>
              </w:rPr>
            </w:pPr>
          </w:p>
        </w:tc>
        <w:tc>
          <w:tcPr>
            <w:tcW w:w="480" w:type="dxa"/>
            <w:vAlign w:val="bottom"/>
            <w:shd w:val="clear" w:color="auto" w:fill="424E6A"/>
          </w:tcPr>
          <w:p>
            <w:pPr>
              <w:spacing w:after="0"/>
              <w:rPr>
                <w:sz w:val="5"/>
                <w:szCs w:val="5"/>
                <w:color w:val="auto"/>
              </w:rPr>
            </w:pPr>
          </w:p>
        </w:tc>
        <w:tc>
          <w:tcPr>
            <w:tcW w:w="260" w:type="dxa"/>
            <w:vAlign w:val="bottom"/>
            <w:tcBorders>
              <w:right w:val="single" w:sz="8" w:color="424E6A"/>
            </w:tcBorders>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200" w:type="dxa"/>
            <w:vAlign w:val="bottom"/>
            <w:shd w:val="clear" w:color="auto" w:fill="424E6A"/>
          </w:tcPr>
          <w:p>
            <w:pPr>
              <w:spacing w:after="0"/>
              <w:rPr>
                <w:sz w:val="5"/>
                <w:szCs w:val="5"/>
                <w:color w:val="auto"/>
              </w:rPr>
            </w:pPr>
          </w:p>
        </w:tc>
        <w:tc>
          <w:tcPr>
            <w:tcW w:w="400" w:type="dxa"/>
            <w:vAlign w:val="bottom"/>
            <w:shd w:val="clear" w:color="auto" w:fill="424E6A"/>
          </w:tcPr>
          <w:p>
            <w:pPr>
              <w:spacing w:after="0"/>
              <w:rPr>
                <w:sz w:val="5"/>
                <w:szCs w:val="5"/>
                <w:color w:val="auto"/>
              </w:rPr>
            </w:pPr>
          </w:p>
        </w:tc>
        <w:tc>
          <w:tcPr>
            <w:tcW w:w="20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020" w:type="dxa"/>
            <w:vAlign w:val="bottom"/>
            <w:gridSpan w:val="2"/>
            <w:vMerge w:val="restart"/>
            <w:shd w:val="clear" w:color="auto" w:fill="424E6A"/>
          </w:tcPr>
          <w:p>
            <w:pPr>
              <w:jc w:val="right"/>
              <w:ind w:right="128"/>
              <w:spacing w:after="0" w:line="139" w:lineRule="exact"/>
              <w:rPr>
                <w:sz w:val="20"/>
                <w:szCs w:val="20"/>
                <w:color w:val="auto"/>
              </w:rPr>
            </w:pPr>
            <w:r>
              <w:rPr>
                <w:rFonts w:ascii="Arial" w:cs="Arial" w:eastAsia="Arial" w:hAnsi="Arial"/>
                <w:sz w:val="14"/>
                <w:szCs w:val="14"/>
                <w:b w:val="1"/>
                <w:bCs w:val="1"/>
                <w:color w:val="FFFFFF"/>
              </w:rPr>
              <w:t>Shares of</w:t>
            </w:r>
          </w:p>
        </w:tc>
        <w:tc>
          <w:tcPr>
            <w:tcW w:w="12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040" w:type="dxa"/>
            <w:vAlign w:val="bottom"/>
            <w:gridSpan w:val="2"/>
            <w:vMerge w:val="restart"/>
            <w:shd w:val="clear" w:color="auto" w:fill="424E6A"/>
          </w:tcPr>
          <w:p>
            <w:pPr>
              <w:jc w:val="center"/>
              <w:spacing w:after="0" w:line="139" w:lineRule="exact"/>
              <w:rPr>
                <w:sz w:val="20"/>
                <w:szCs w:val="20"/>
                <w:color w:val="auto"/>
              </w:rPr>
            </w:pPr>
            <w:r>
              <w:rPr>
                <w:rFonts w:ascii="Arial" w:cs="Arial" w:eastAsia="Arial" w:hAnsi="Arial"/>
                <w:sz w:val="14"/>
                <w:szCs w:val="14"/>
                <w:b w:val="1"/>
                <w:bCs w:val="1"/>
                <w:color w:val="FFFFFF"/>
              </w:rPr>
              <w:t>Of Stock and</w:t>
            </w:r>
          </w:p>
        </w:tc>
        <w:tc>
          <w:tcPr>
            <w:tcW w:w="100" w:type="dxa"/>
            <w:vAlign w:val="bottom"/>
            <w:tcBorders>
              <w:right w:val="single" w:sz="8" w:color="424E6A"/>
            </w:tcBorders>
            <w:shd w:val="clear" w:color="auto" w:fill="424E6A"/>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80" w:type="dxa"/>
            <w:vAlign w:val="bottom"/>
            <w:tcBorders>
              <w:left w:val="single" w:sz="8" w:color="424E6A"/>
            </w:tcBorders>
            <w:shd w:val="clear" w:color="auto" w:fill="424E6A"/>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40" w:type="dxa"/>
            <w:vAlign w:val="bottom"/>
            <w:shd w:val="clear" w:color="auto" w:fill="424E6A"/>
          </w:tcPr>
          <w:p>
            <w:pPr>
              <w:spacing w:after="0"/>
              <w:rPr>
                <w:sz w:val="6"/>
                <w:szCs w:val="6"/>
                <w:color w:val="auto"/>
              </w:rPr>
            </w:pPr>
          </w:p>
        </w:tc>
        <w:tc>
          <w:tcPr>
            <w:tcW w:w="560" w:type="dxa"/>
            <w:vAlign w:val="bottom"/>
            <w:shd w:val="clear" w:color="auto" w:fill="424E6A"/>
          </w:tcPr>
          <w:p>
            <w:pPr>
              <w:spacing w:after="0"/>
              <w:rPr>
                <w:sz w:val="6"/>
                <w:szCs w:val="6"/>
                <w:color w:val="auto"/>
              </w:rPr>
            </w:pPr>
          </w:p>
        </w:tc>
        <w:tc>
          <w:tcPr>
            <w:tcW w:w="220" w:type="dxa"/>
            <w:vAlign w:val="bottom"/>
            <w:tcBorders>
              <w:right w:val="single" w:sz="8" w:color="424E6A"/>
            </w:tcBorders>
            <w:shd w:val="clear" w:color="auto" w:fill="424E6A"/>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020" w:type="dxa"/>
            <w:vAlign w:val="bottom"/>
            <w:gridSpan w:val="2"/>
            <w:vMerge w:val="continue"/>
            <w:shd w:val="clear" w:color="auto" w:fill="424E6A"/>
          </w:tcPr>
          <w:p>
            <w:pPr>
              <w:spacing w:after="0"/>
              <w:rPr>
                <w:sz w:val="6"/>
                <w:szCs w:val="6"/>
                <w:color w:val="auto"/>
              </w:rPr>
            </w:pPr>
          </w:p>
        </w:tc>
        <w:tc>
          <w:tcPr>
            <w:tcW w:w="120" w:type="dxa"/>
            <w:vAlign w:val="bottom"/>
            <w:tcBorders>
              <w:right w:val="single" w:sz="8" w:color="424E6A"/>
            </w:tcBorders>
            <w:shd w:val="clear" w:color="auto" w:fill="424E6A"/>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040" w:type="dxa"/>
            <w:vAlign w:val="bottom"/>
            <w:gridSpan w:val="2"/>
            <w:vMerge w:val="continue"/>
            <w:shd w:val="clear" w:color="auto" w:fill="424E6A"/>
          </w:tcPr>
          <w:p>
            <w:pPr>
              <w:spacing w:after="0"/>
              <w:rPr>
                <w:sz w:val="6"/>
                <w:szCs w:val="6"/>
                <w:color w:val="auto"/>
              </w:rPr>
            </w:pPr>
          </w:p>
        </w:tc>
        <w:tc>
          <w:tcPr>
            <w:tcW w:w="100" w:type="dxa"/>
            <w:vAlign w:val="bottom"/>
            <w:tcBorders>
              <w:right w:val="single" w:sz="8" w:color="424E6A"/>
            </w:tcBorders>
            <w:shd w:val="clear" w:color="auto" w:fill="424E6A"/>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6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FFFFFF"/>
              </w:rPr>
              <w:t>Target</w:t>
            </w:r>
          </w:p>
        </w:tc>
        <w:tc>
          <w:tcPr>
            <w:tcW w:w="960" w:type="dxa"/>
            <w:vAlign w:val="bottom"/>
            <w:gridSpan w:val="4"/>
          </w:tcPr>
          <w:p>
            <w:pPr>
              <w:ind w:left="100"/>
              <w:spacing w:after="0"/>
              <w:rPr>
                <w:sz w:val="20"/>
                <w:szCs w:val="20"/>
                <w:color w:val="auto"/>
              </w:rPr>
            </w:pPr>
            <w:r>
              <w:rPr>
                <w:rFonts w:ascii="Arial" w:cs="Arial" w:eastAsia="Arial" w:hAnsi="Arial"/>
                <w:sz w:val="14"/>
                <w:szCs w:val="14"/>
                <w:b w:val="1"/>
                <w:bCs w:val="1"/>
                <w:color w:val="FFFFFF"/>
              </w:rPr>
              <w:t>Maximum</w:t>
            </w: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140" w:type="dxa"/>
            <w:vAlign w:val="bottom"/>
          </w:tcPr>
          <w:p>
            <w:pPr>
              <w:spacing w:after="0"/>
              <w:rPr>
                <w:sz w:val="14"/>
                <w:szCs w:val="14"/>
                <w:color w:val="auto"/>
              </w:rPr>
            </w:pPr>
          </w:p>
        </w:tc>
        <w:tc>
          <w:tcPr>
            <w:tcW w:w="7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FFFFFF"/>
              </w:rPr>
              <w:t>Target</w:t>
            </w:r>
          </w:p>
        </w:tc>
        <w:tc>
          <w:tcPr>
            <w:tcW w:w="100" w:type="dxa"/>
            <w:vAlign w:val="bottom"/>
          </w:tcPr>
          <w:p>
            <w:pPr>
              <w:spacing w:after="0"/>
              <w:rPr>
                <w:sz w:val="14"/>
                <w:szCs w:val="14"/>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FFFFFF"/>
                <w:w w:val="99"/>
              </w:rPr>
              <w:t>Maximum</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80" w:type="dxa"/>
            <w:vAlign w:val="bottom"/>
            <w:tcBorders>
              <w:left w:val="single" w:sz="8" w:color="424E6A"/>
              <w:bottom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000" w:type="dxa"/>
            <w:vAlign w:val="bottom"/>
            <w:tcBorders>
              <w:bottom w:val="single" w:sz="8" w:color="424E6A"/>
              <w:right w:val="single" w:sz="8" w:color="424E6A"/>
            </w:tcBorders>
            <w:gridSpan w:val="4"/>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Grant Date </w:t>
            </w:r>
            <w:r>
              <w:rPr>
                <w:rFonts w:ascii="Arial" w:cs="Arial" w:eastAsia="Arial" w:hAnsi="Arial"/>
                <w:sz w:val="22"/>
                <w:szCs w:val="22"/>
                <w:b w:val="1"/>
                <w:bCs w:val="1"/>
                <w:color w:val="FFFFFF"/>
                <w:vertAlign w:val="subscript"/>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b w:val="1"/>
                <w:bCs w:val="1"/>
                <w:color w:val="FFFFFF"/>
              </w:rPr>
              <w:t>​</w:t>
            </w:r>
          </w:p>
        </w:tc>
        <w:tc>
          <w:tcPr>
            <w:tcW w:w="72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7"/>
                <w:szCs w:val="17"/>
                <w:color w:val="auto"/>
              </w:rPr>
            </w:pP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380" w:type="dxa"/>
            <w:vAlign w:val="bottom"/>
            <w:tcBorders>
              <w:bottom w:val="single" w:sz="8" w:color="424E6A"/>
            </w:tcBorders>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700" w:type="dxa"/>
            <w:vAlign w:val="bottom"/>
            <w:tcBorders>
              <w:bottom w:val="single" w:sz="8" w:color="424E6A"/>
            </w:tcBorders>
          </w:tcPr>
          <w:p>
            <w:pPr>
              <w:ind w:left="2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480" w:type="dxa"/>
            <w:vAlign w:val="bottom"/>
            <w:tcBorders>
              <w:bottom w:val="single" w:sz="8" w:color="424E6A"/>
            </w:tcBorders>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t>
            </w:r>
          </w:p>
        </w:tc>
        <w:tc>
          <w:tcPr>
            <w:tcW w:w="26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tcPr>
          <w:p>
            <w:pPr>
              <w:spacing w:after="0"/>
              <w:rPr>
                <w:sz w:val="17"/>
                <w:szCs w:val="17"/>
                <w:color w:val="auto"/>
              </w:rPr>
            </w:pPr>
          </w:p>
        </w:tc>
        <w:tc>
          <w:tcPr>
            <w:tcW w:w="40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424E6A"/>
          </w:tcPr>
          <w:p>
            <w:pPr>
              <w:spacing w:after="0"/>
              <w:rPr>
                <w:sz w:val="17"/>
                <w:szCs w:val="17"/>
                <w:color w:val="auto"/>
              </w:rPr>
            </w:pPr>
          </w:p>
        </w:tc>
        <w:tc>
          <w:tcPr>
            <w:tcW w:w="680" w:type="dxa"/>
            <w:vAlign w:val="bottom"/>
            <w:tcBorders>
              <w:bottom w:val="single" w:sz="8" w:color="424E6A"/>
            </w:tcBorders>
            <w:shd w:val="clear" w:color="auto" w:fill="424E6A"/>
          </w:tcPr>
          <w:p>
            <w:pPr>
              <w:jc w:val="right"/>
              <w:ind w:right="288"/>
              <w:spacing w:after="0"/>
              <w:rPr>
                <w:sz w:val="20"/>
                <w:szCs w:val="20"/>
                <w:color w:val="auto"/>
              </w:rPr>
            </w:pPr>
            <w:r>
              <w:rPr>
                <w:rFonts w:ascii="Arial" w:cs="Arial" w:eastAsia="Arial" w:hAnsi="Arial"/>
                <w:sz w:val="14"/>
                <w:szCs w:val="14"/>
                <w:b w:val="1"/>
                <w:bCs w:val="1"/>
                <w:color w:val="FFFFFF"/>
                <w:w w:val="96"/>
              </w:rPr>
              <w:t>(#)</w:t>
            </w:r>
            <w:r>
              <w:rPr>
                <w:rFonts w:ascii="Arial" w:cs="Arial" w:eastAsia="Arial" w:hAnsi="Arial"/>
                <w:sz w:val="17"/>
                <w:szCs w:val="17"/>
                <w:b w:val="1"/>
                <w:bCs w:val="1"/>
                <w:color w:val="FFFFFF"/>
                <w:w w:val="96"/>
                <w:vertAlign w:val="superscript"/>
              </w:rPr>
              <w:t>(2)</w:t>
            </w:r>
          </w:p>
        </w:tc>
        <w:tc>
          <w:tcPr>
            <w:tcW w:w="200" w:type="dxa"/>
            <w:vAlign w:val="bottom"/>
            <w:tcBorders>
              <w:bottom w:val="single" w:sz="8" w:color="424E6A"/>
            </w:tcBorders>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00" w:type="dxa"/>
            <w:vAlign w:val="bottom"/>
            <w:tcBorders>
              <w:bottom w:val="single" w:sz="8" w:color="424E6A"/>
            </w:tcBorders>
            <w:shd w:val="clear" w:color="auto" w:fill="424E6A"/>
          </w:tcPr>
          <w:p>
            <w:pPr>
              <w:spacing w:after="0"/>
              <w:rPr>
                <w:sz w:val="17"/>
                <w:szCs w:val="17"/>
                <w:color w:val="auto"/>
              </w:rPr>
            </w:pPr>
          </w:p>
        </w:tc>
        <w:tc>
          <w:tcPr>
            <w:tcW w:w="740" w:type="dxa"/>
            <w:vAlign w:val="bottom"/>
            <w:tcBorders>
              <w:bottom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10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Willie Chiang</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​2/21/24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​2,125,000</w:t>
            </w:r>
            <w:r>
              <w:rPr>
                <w:rFonts w:ascii="Arial" w:cs="Arial" w:eastAsia="Arial" w:hAnsi="Arial"/>
                <w:sz w:val="25"/>
                <w:szCs w:val="25"/>
                <w:color w:val="auto"/>
                <w:vertAlign w:val="subscript"/>
              </w:rPr>
              <w:t>​​</w:t>
            </w:r>
          </w:p>
        </w:tc>
        <w:tc>
          <w:tcPr>
            <w:tcW w:w="88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4,250,000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​8/15/24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​178,875</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​357,750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​178,875</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4,657,905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Harry Pefanis</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​2/21/24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​1,200,000</w:t>
            </w:r>
            <w:r>
              <w:rPr>
                <w:rFonts w:ascii="Arial" w:cs="Arial" w:eastAsia="Arial" w:hAnsi="Arial"/>
                <w:sz w:val="25"/>
                <w:szCs w:val="25"/>
                <w:color w:val="auto"/>
                <w:vertAlign w:val="subscript"/>
              </w:rPr>
              <w:t>​​</w:t>
            </w:r>
          </w:p>
        </w:tc>
        <w:tc>
          <w:tcPr>
            <w:tcW w:w="88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2,400,000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Al Swanson</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​2/21/24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88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​8/15/24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54,000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​108,000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54,000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1,406,160</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68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Richard McGee</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​2/21/24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88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​8/15/24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54,000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​108,000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54,000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1,406,160</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Chris Chandler</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​2/21/24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88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​8/15/24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71,550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​143,100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71,550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1,863,162</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68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Jeremy Goebel</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​2/21/24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88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​8/15/24</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71,550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​143,100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71,550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1,863,162</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-2931160</wp:posOffset>
            </wp:positionV>
            <wp:extent cx="4629150" cy="29317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29150" cy="2931795"/>
                    </a:xfrm>
                    <a:prstGeom prst="rect">
                      <a:avLst/>
                    </a:prstGeom>
                    <a:noFill/>
                  </pic:spPr>
                </pic:pic>
              </a:graphicData>
            </a:graphic>
          </wp:anchor>
        </w:drawing>
      </w:r>
    </w:p>
    <w:p>
      <w:pPr>
        <w:spacing w:after="0" w:line="177" w:lineRule="exact"/>
        <w:rPr>
          <w:sz w:val="20"/>
          <w:szCs w:val="20"/>
          <w:color w:val="auto"/>
        </w:rPr>
      </w:pPr>
    </w:p>
    <w:p>
      <w:pPr>
        <w:ind w:left="1620" w:right="760" w:hanging="360"/>
        <w:spacing w:after="0" w:line="24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performance-based phantom units granted in August 2024. These phantom units will potentially vest on the August 2027 distribution date at a scaled payout range of between 0% and 200% based on: (i) with respect to 50% of the performance-based award, PAA’s TSR over the three-year period ending June 30, 2027 relative to the TSR of the TSR Comparator Peer Group described on page 31 (payout may be reduced if absolute TSR is negative); and (ii) with respect to the other 50% of the performance-based award, PAA achieving cumulative DCF per CUE of $7.75 over the three-year period ending June 30, 2027 (payout may be decreased by 25 basis points if PAA’s leverage ratio as of June 30, 2027 is greater than the upper end of our leverage guidance range). DERs associated with these performance-based awards will accrue during the three-year performance period and be paid in cash in a lump sum on the August 2027 distribution date with respect to the number of such phantom units, if any, that vest on such date.</w:t>
      </w:r>
    </w:p>
    <w:p>
      <w:pPr>
        <w:spacing w:after="0" w:line="70" w:lineRule="exact"/>
        <w:rPr>
          <w:rFonts w:ascii="Arial" w:cs="Arial" w:eastAsia="Arial" w:hAnsi="Arial"/>
          <w:sz w:val="27"/>
          <w:szCs w:val="27"/>
          <w:color w:val="auto"/>
          <w:vertAlign w:val="superscript"/>
        </w:rPr>
      </w:pPr>
    </w:p>
    <w:p>
      <w:pPr>
        <w:ind w:left="1620" w:right="760" w:hanging="360"/>
        <w:spacing w:after="0" w:line="23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2024. These phantom units will vest on the August 2027 distribution date. DERs associated with these time-based awards will accrue for the first year and such accrued amount will be paid in cash in a lump sum on the August 2025 distribution date; beginning in November 2025, DERs on such time-based portion will be paid quarterly until the associated phantom units vest.</w:t>
      </w:r>
    </w:p>
    <w:p>
      <w:pPr>
        <w:spacing w:after="0" w:line="74" w:lineRule="exact"/>
        <w:rPr>
          <w:rFonts w:ascii="Arial" w:cs="Arial" w:eastAsia="Arial" w:hAnsi="Arial"/>
          <w:sz w:val="27"/>
          <w:szCs w:val="27"/>
          <w:color w:val="auto"/>
          <w:vertAlign w:val="superscript"/>
        </w:rPr>
      </w:pPr>
    </w:p>
    <w:p>
      <w:pPr>
        <w:ind w:left="1620" w:right="760" w:hanging="360"/>
        <w:spacing w:after="0" w:line="237"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August 2024 based on the probable outcome of underlying performance conditions pursuant to FASB ASC Topic 718. For phantom unit grants awarded in August 2024, 75% were deemed probable of vesting on the grant date. The maximum grant date fair value of phantom unit grants awarded in August 2024, assuming that the highest level of performance conditions will be met, was $6,210,540 for Mr. Chiang, $1,874,880 for each of Messrs. Swanson and McGee, and $2,484,216 for each of Messrs. Chandler and Goebel.</w:t>
      </w: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5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5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9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current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current employment agreement related to termination, change of control and related payment obligations. In connection with Mr. Pefanis’ previously announced retirement as President, which will become effective June 1, 2025, his employment agreement will be amended and restated to provide that from and after his retirement, he will serve as a Senior Advisor to the CEO until the date of the 2028 annual meeting and that he will receive an annual base salary of $325,000.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for each of our</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as of December 31, 2024:</w:t>
      </w:r>
    </w:p>
    <w:p>
      <w:pPr>
        <w:spacing w:after="0" w:line="185" w:lineRule="exact"/>
        <w:rPr>
          <w:sz w:val="20"/>
          <w:szCs w:val="20"/>
          <w:color w:val="auto"/>
        </w:rPr>
      </w:pPr>
    </w:p>
    <w:tbl>
      <w:tblPr>
        <w:tblLayout w:type="fixed"/>
        <w:tblInd w:w="1270" w:type="dxa"/>
        <w:tblCellMar>
          <w:top w:w="0" w:type="dxa"/>
          <w:left w:w="0" w:type="dxa"/>
          <w:bottom w:w="0" w:type="dxa"/>
          <w:right w:w="0" w:type="dxa"/>
        </w:tblCellMar>
      </w:tblPr>
      <w:tr>
        <w:trPr>
          <w:trHeight w:val="291"/>
        </w:trPr>
        <w:tc>
          <w:tcPr>
            <w:tcW w:w="2040" w:type="dxa"/>
            <w:vAlign w:val="bottom"/>
            <w:tcBorders>
              <w:left w:val="single" w:sz="8" w:color="424E6A"/>
              <w:bottom w:val="single" w:sz="8" w:color="424E6A"/>
            </w:tcBorders>
            <w:shd w:val="clear" w:color="auto" w:fill="424E6A"/>
          </w:tcPr>
          <w:p>
            <w:pPr>
              <w:spacing w:after="0"/>
              <w:rPr>
                <w:sz w:val="24"/>
                <w:szCs w:val="24"/>
                <w:color w:val="auto"/>
              </w:rPr>
            </w:pPr>
          </w:p>
        </w:tc>
        <w:tc>
          <w:tcPr>
            <w:tcW w:w="820" w:type="dxa"/>
            <w:vAlign w:val="bottom"/>
            <w:tcBorders>
              <w:bottom w:val="single" w:sz="8" w:color="424E6A"/>
              <w:right w:val="single" w:sz="8" w:color="424E6A"/>
            </w:tcBorders>
            <w:shd w:val="clear" w:color="auto" w:fill="424E6A"/>
          </w:tcPr>
          <w:p>
            <w:pPr>
              <w:spacing w:after="0"/>
              <w:rPr>
                <w:sz w:val="24"/>
                <w:szCs w:val="24"/>
                <w:color w:val="auto"/>
              </w:rPr>
            </w:pPr>
          </w:p>
        </w:tc>
        <w:tc>
          <w:tcPr>
            <w:tcW w:w="80" w:type="dxa"/>
            <w:vAlign w:val="bottom"/>
            <w:tcBorders>
              <w:bottom w:val="single" w:sz="8" w:color="auto"/>
            </w:tcBorders>
            <w:shd w:val="clear" w:color="auto" w:fill="424E6A"/>
          </w:tcPr>
          <w:p>
            <w:pPr>
              <w:spacing w:after="0"/>
              <w:rPr>
                <w:sz w:val="24"/>
                <w:szCs w:val="24"/>
                <w:color w:val="auto"/>
              </w:rPr>
            </w:pPr>
          </w:p>
        </w:tc>
        <w:tc>
          <w:tcPr>
            <w:tcW w:w="260" w:type="dxa"/>
            <w:vAlign w:val="bottom"/>
            <w:tcBorders>
              <w:bottom w:val="single" w:sz="8" w:color="auto"/>
            </w:tcBorders>
            <w:shd w:val="clear" w:color="auto" w:fill="424E6A"/>
          </w:tcPr>
          <w:p>
            <w:pPr>
              <w:spacing w:after="0"/>
              <w:rPr>
                <w:sz w:val="24"/>
                <w:szCs w:val="24"/>
                <w:color w:val="auto"/>
              </w:rPr>
            </w:pPr>
          </w:p>
        </w:tc>
        <w:tc>
          <w:tcPr>
            <w:tcW w:w="740" w:type="dxa"/>
            <w:vAlign w:val="bottom"/>
            <w:tcBorders>
              <w:bottom w:val="single" w:sz="8" w:color="auto"/>
            </w:tcBorders>
            <w:shd w:val="clear" w:color="auto" w:fill="424E6A"/>
          </w:tcPr>
          <w:p>
            <w:pPr>
              <w:spacing w:after="0"/>
              <w:rPr>
                <w:sz w:val="24"/>
                <w:szCs w:val="24"/>
                <w:color w:val="auto"/>
              </w:rPr>
            </w:pPr>
          </w:p>
        </w:tc>
        <w:tc>
          <w:tcPr>
            <w:tcW w:w="240" w:type="dxa"/>
            <w:vAlign w:val="bottom"/>
            <w:tcBorders>
              <w:bottom w:val="single" w:sz="8" w:color="auto"/>
              <w:right w:val="single" w:sz="8" w:color="424E6A"/>
            </w:tcBorders>
            <w:shd w:val="clear" w:color="auto" w:fill="424E6A"/>
          </w:tcPr>
          <w:p>
            <w:pPr>
              <w:spacing w:after="0"/>
              <w:rPr>
                <w:sz w:val="24"/>
                <w:szCs w:val="24"/>
                <w:color w:val="auto"/>
              </w:rPr>
            </w:pPr>
          </w:p>
        </w:tc>
        <w:tc>
          <w:tcPr>
            <w:tcW w:w="260" w:type="dxa"/>
            <w:vAlign w:val="bottom"/>
            <w:tcBorders>
              <w:bottom w:val="single" w:sz="8" w:color="auto"/>
            </w:tcBorders>
            <w:shd w:val="clear" w:color="auto" w:fill="424E6A"/>
          </w:tcPr>
          <w:p>
            <w:pPr>
              <w:spacing w:after="0"/>
              <w:rPr>
                <w:sz w:val="24"/>
                <w:szCs w:val="24"/>
                <w:color w:val="auto"/>
              </w:rPr>
            </w:pPr>
          </w:p>
        </w:tc>
        <w:tc>
          <w:tcPr>
            <w:tcW w:w="2160" w:type="dxa"/>
            <w:vAlign w:val="bottom"/>
            <w:tcBorders>
              <w:bottom w:val="single" w:sz="8" w:color="auto"/>
            </w:tcBorders>
            <w:gridSpan w:val="5"/>
            <w:shd w:val="clear" w:color="auto" w:fill="424E6A"/>
          </w:tcPr>
          <w:p>
            <w:pPr>
              <w:jc w:val="right"/>
              <w:ind w:right="560"/>
              <w:spacing w:after="0"/>
              <w:rPr>
                <w:sz w:val="20"/>
                <w:szCs w:val="20"/>
                <w:color w:val="auto"/>
              </w:rPr>
            </w:pPr>
            <w:r>
              <w:rPr>
                <w:rFonts w:ascii="Arial" w:cs="Arial" w:eastAsia="Arial" w:hAnsi="Arial"/>
                <w:sz w:val="14"/>
                <w:szCs w:val="14"/>
                <w:b w:val="1"/>
                <w:bCs w:val="1"/>
                <w:color w:val="FFFFFF"/>
              </w:rPr>
              <w:t>Unit Awards</w:t>
            </w:r>
          </w:p>
        </w:tc>
        <w:tc>
          <w:tcPr>
            <w:tcW w:w="240" w:type="dxa"/>
            <w:vAlign w:val="bottom"/>
            <w:tcBorders>
              <w:bottom w:val="single" w:sz="8" w:color="auto"/>
              <w:right w:val="single" w:sz="8" w:color="424E6A"/>
            </w:tcBorders>
            <w:shd w:val="clear" w:color="auto" w:fill="424E6A"/>
          </w:tcPr>
          <w:p>
            <w:pPr>
              <w:spacing w:after="0"/>
              <w:rPr>
                <w:sz w:val="24"/>
                <w:szCs w:val="24"/>
                <w:color w:val="auto"/>
              </w:rPr>
            </w:pPr>
          </w:p>
        </w:tc>
        <w:tc>
          <w:tcPr>
            <w:tcW w:w="180" w:type="dxa"/>
            <w:vAlign w:val="bottom"/>
            <w:tcBorders>
              <w:bottom w:val="single" w:sz="8" w:color="auto"/>
            </w:tcBorders>
            <w:shd w:val="clear" w:color="auto" w:fill="424E6A"/>
          </w:tcPr>
          <w:p>
            <w:pPr>
              <w:spacing w:after="0"/>
              <w:rPr>
                <w:sz w:val="24"/>
                <w:szCs w:val="24"/>
                <w:color w:val="auto"/>
              </w:rPr>
            </w:pPr>
          </w:p>
        </w:tc>
        <w:tc>
          <w:tcPr>
            <w:tcW w:w="220" w:type="dxa"/>
            <w:vAlign w:val="bottom"/>
            <w:tcBorders>
              <w:bottom w:val="single" w:sz="8" w:color="auto"/>
            </w:tcBorders>
            <w:shd w:val="clear" w:color="auto" w:fill="424E6A"/>
          </w:tcPr>
          <w:p>
            <w:pPr>
              <w:spacing w:after="0"/>
              <w:rPr>
                <w:sz w:val="24"/>
                <w:szCs w:val="24"/>
                <w:color w:val="auto"/>
              </w:rPr>
            </w:pPr>
          </w:p>
        </w:tc>
        <w:tc>
          <w:tcPr>
            <w:tcW w:w="880" w:type="dxa"/>
            <w:vAlign w:val="bottom"/>
            <w:tcBorders>
              <w:bottom w:val="single" w:sz="8" w:color="auto"/>
            </w:tcBorders>
            <w:shd w:val="clear" w:color="auto" w:fill="424E6A"/>
          </w:tcPr>
          <w:p>
            <w:pPr>
              <w:spacing w:after="0"/>
              <w:rPr>
                <w:sz w:val="24"/>
                <w:szCs w:val="24"/>
                <w:color w:val="auto"/>
              </w:rPr>
            </w:pPr>
          </w:p>
        </w:tc>
        <w:tc>
          <w:tcPr>
            <w:tcW w:w="100" w:type="dxa"/>
            <w:vAlign w:val="bottom"/>
            <w:tcBorders>
              <w:bottom w:val="single" w:sz="8" w:color="auto"/>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40" w:type="dxa"/>
            <w:vAlign w:val="bottom"/>
            <w:tcBorders>
              <w:left w:val="single" w:sz="8" w:color="424E6A"/>
            </w:tcBorders>
            <w:shd w:val="clear" w:color="auto" w:fill="424E6A"/>
          </w:tcPr>
          <w:p>
            <w:pPr>
              <w:spacing w:after="0"/>
              <w:rPr>
                <w:sz w:val="15"/>
                <w:szCs w:val="15"/>
                <w:color w:val="auto"/>
              </w:rPr>
            </w:pPr>
          </w:p>
        </w:tc>
        <w:tc>
          <w:tcPr>
            <w:tcW w:w="820" w:type="dxa"/>
            <w:vAlign w:val="bottom"/>
            <w:tcBorders>
              <w:right w:val="single" w:sz="8" w:color="424E6A"/>
            </w:tcBorders>
            <w:shd w:val="clear" w:color="auto" w:fill="424E6A"/>
          </w:tcPr>
          <w:p>
            <w:pPr>
              <w:spacing w:after="0"/>
              <w:rPr>
                <w:sz w:val="15"/>
                <w:szCs w:val="15"/>
                <w:color w:val="auto"/>
              </w:rPr>
            </w:pPr>
          </w:p>
        </w:tc>
        <w:tc>
          <w:tcPr>
            <w:tcW w:w="80" w:type="dxa"/>
            <w:vAlign w:val="bottom"/>
            <w:shd w:val="clear" w:color="auto" w:fill="424E6A"/>
          </w:tcPr>
          <w:p>
            <w:pPr>
              <w:spacing w:after="0"/>
              <w:rPr>
                <w:sz w:val="15"/>
                <w:szCs w:val="15"/>
                <w:color w:val="auto"/>
              </w:rPr>
            </w:pPr>
          </w:p>
        </w:tc>
        <w:tc>
          <w:tcPr>
            <w:tcW w:w="260" w:type="dxa"/>
            <w:vAlign w:val="bottom"/>
            <w:shd w:val="clear" w:color="auto" w:fill="424E6A"/>
          </w:tcPr>
          <w:p>
            <w:pPr>
              <w:spacing w:after="0"/>
              <w:rPr>
                <w:sz w:val="15"/>
                <w:szCs w:val="15"/>
                <w:color w:val="auto"/>
              </w:rPr>
            </w:pPr>
          </w:p>
        </w:tc>
        <w:tc>
          <w:tcPr>
            <w:tcW w:w="74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26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880" w:type="dxa"/>
            <w:vAlign w:val="bottom"/>
            <w:shd w:val="clear" w:color="auto" w:fill="424E6A"/>
          </w:tcPr>
          <w:p>
            <w:pPr>
              <w:jc w:val="center"/>
              <w:ind w:right="159"/>
              <w:spacing w:after="0"/>
              <w:rPr>
                <w:sz w:val="20"/>
                <w:szCs w:val="20"/>
                <w:color w:val="auto"/>
              </w:rPr>
            </w:pPr>
            <w:r>
              <w:rPr>
                <w:rFonts w:ascii="Arial" w:cs="Arial" w:eastAsia="Arial" w:hAnsi="Arial"/>
                <w:sz w:val="14"/>
                <w:szCs w:val="14"/>
                <w:b w:val="1"/>
                <w:bCs w:val="1"/>
                <w:color w:val="FFFFFF"/>
              </w:rPr>
              <w:t>Equity</w:t>
            </w:r>
          </w:p>
        </w:tc>
        <w:tc>
          <w:tcPr>
            <w:tcW w:w="10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60"/>
              <w:spacing w:after="0"/>
              <w:rPr>
                <w:sz w:val="20"/>
                <w:szCs w:val="20"/>
                <w:color w:val="auto"/>
              </w:rPr>
            </w:pPr>
            <w:r>
              <w:rPr>
                <w:rFonts w:ascii="Arial" w:cs="Arial" w:eastAsia="Arial" w:hAnsi="Arial"/>
                <w:sz w:val="14"/>
                <w:szCs w:val="14"/>
                <w:b w:val="1"/>
                <w:bCs w:val="1"/>
                <w:color w:val="FFFFFF"/>
              </w:rPr>
              <w:t>Equity</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9"/>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9"/>
              <w:spacing w:after="0"/>
              <w:rPr>
                <w:sz w:val="20"/>
                <w:szCs w:val="20"/>
                <w:color w:val="auto"/>
              </w:rPr>
            </w:pPr>
            <w:r>
              <w:rPr>
                <w:rFonts w:ascii="Arial" w:cs="Arial" w:eastAsia="Arial" w:hAnsi="Arial"/>
                <w:sz w:val="14"/>
                <w:szCs w:val="14"/>
                <w:b w:val="1"/>
                <w:bCs w:val="1"/>
                <w:color w:val="FFFFFF"/>
              </w:rPr>
              <w:t>Market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Market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Payout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w w:val="99"/>
              </w:rPr>
              <w:t>Value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Unearned</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Unearned</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Shares or</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60"/>
              <w:spacing w:after="0"/>
              <w:rPr>
                <w:sz w:val="20"/>
                <w:szCs w:val="20"/>
                <w:color w:val="auto"/>
              </w:rPr>
            </w:pPr>
            <w:r>
              <w:rPr>
                <w:rFonts w:ascii="Arial" w:cs="Arial" w:eastAsia="Arial" w:hAnsi="Arial"/>
                <w:sz w:val="14"/>
                <w:szCs w:val="14"/>
                <w:b w:val="1"/>
                <w:bCs w:val="1"/>
                <w:color w:val="FFFFFF"/>
              </w:rPr>
              <w:t>Shares,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9"/>
              <w:spacing w:after="0"/>
              <w:rPr>
                <w:sz w:val="20"/>
                <w:szCs w:val="20"/>
                <w:color w:val="auto"/>
              </w:rPr>
            </w:pPr>
            <w:r>
              <w:rPr>
                <w:rFonts w:ascii="Arial" w:cs="Arial" w:eastAsia="Arial" w:hAnsi="Arial"/>
                <w:sz w:val="14"/>
                <w:szCs w:val="14"/>
                <w:b w:val="1"/>
                <w:bCs w:val="1"/>
                <w:color w:val="FFFFFF"/>
              </w:rPr>
              <w:t>Shares,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 or</w:t>
            </w: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Units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or</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9"/>
              <w:spacing w:after="0"/>
              <w:rPr>
                <w:sz w:val="20"/>
                <w:szCs w:val="20"/>
                <w:color w:val="auto"/>
              </w:rPr>
            </w:pPr>
            <w:r>
              <w:rPr>
                <w:rFonts w:ascii="Arial" w:cs="Arial" w:eastAsia="Arial" w:hAnsi="Arial"/>
                <w:sz w:val="14"/>
                <w:szCs w:val="14"/>
                <w:b w:val="1"/>
                <w:bCs w:val="1"/>
                <w:color w:val="FFFFFF"/>
              </w:rPr>
              <w:t>Units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of Stock</w:t>
            </w:r>
          </w:p>
        </w:tc>
        <w:tc>
          <w:tcPr>
            <w:tcW w:w="240" w:type="dxa"/>
            <w:vAlign w:val="bottom"/>
            <w:tcBorders>
              <w:right w:val="single" w:sz="8" w:color="424E6A"/>
            </w:tcBorders>
            <w:shd w:val="clear" w:color="auto" w:fill="424E6A"/>
          </w:tcPr>
          <w:p>
            <w:pPr>
              <w:spacing w:after="0"/>
              <w:rPr>
                <w:sz w:val="14"/>
                <w:szCs w:val="14"/>
                <w:color w:val="auto"/>
              </w:rPr>
            </w:pPr>
          </w:p>
        </w:tc>
        <w:tc>
          <w:tcPr>
            <w:tcW w:w="1020" w:type="dxa"/>
            <w:vAlign w:val="bottom"/>
            <w:gridSpan w:val="2"/>
            <w:shd w:val="clear" w:color="auto" w:fill="424E6A"/>
          </w:tcPr>
          <w:p>
            <w:pPr>
              <w:jc w:val="center"/>
              <w:ind w:left="92"/>
              <w:spacing w:after="0"/>
              <w:rPr>
                <w:sz w:val="20"/>
                <w:szCs w:val="20"/>
                <w:color w:val="auto"/>
              </w:rPr>
            </w:pPr>
            <w:r>
              <w:rPr>
                <w:rFonts w:ascii="Arial" w:cs="Arial" w:eastAsia="Arial" w:hAnsi="Arial"/>
                <w:sz w:val="14"/>
                <w:szCs w:val="14"/>
                <w:b w:val="1"/>
                <w:bCs w:val="1"/>
                <w:color w:val="FFFFFF"/>
              </w:rPr>
              <w:t>Stock That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vMerge w:val="restart"/>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2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Have Not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tcBorders>
              <w:left w:val="single" w:sz="8" w:color="424E6A"/>
            </w:tcBorders>
            <w:vMerge w:val="continue"/>
            <w:shd w:val="clear" w:color="auto" w:fill="424E6A"/>
          </w:tcPr>
          <w:p>
            <w:pPr>
              <w:spacing w:after="0"/>
              <w:rPr>
                <w:sz w:val="18"/>
                <w:szCs w:val="18"/>
                <w:color w:val="auto"/>
              </w:rPr>
            </w:pPr>
          </w:p>
        </w:tc>
        <w:tc>
          <w:tcPr>
            <w:tcW w:w="820" w:type="dxa"/>
            <w:vAlign w:val="bottom"/>
            <w:tcBorders>
              <w:right w:val="single" w:sz="8" w:color="424E6A"/>
            </w:tcBorders>
            <w:shd w:val="clear" w:color="auto" w:fill="424E6A"/>
          </w:tcPr>
          <w:p>
            <w:pPr>
              <w:spacing w:after="0"/>
              <w:rPr>
                <w:sz w:val="18"/>
                <w:szCs w:val="18"/>
                <w:color w:val="auto"/>
              </w:rPr>
            </w:pP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Not Vested (#)</w:t>
            </w:r>
          </w:p>
        </w:tc>
        <w:tc>
          <w:tcPr>
            <w:tcW w:w="24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020" w:type="dxa"/>
            <w:vAlign w:val="bottom"/>
            <w:gridSpan w:val="2"/>
            <w:shd w:val="clear" w:color="auto" w:fill="424E6A"/>
          </w:tcPr>
          <w:p>
            <w:pPr>
              <w:ind w:left="10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Vested ($)</w:t>
            </w:r>
            <w:r>
              <w:rPr>
                <w:rFonts w:ascii="Arial" w:cs="Arial" w:eastAsia="Arial" w:hAnsi="Arial"/>
                <w:sz w:val="14"/>
                <w:szCs w:val="14"/>
                <w:b w:val="1"/>
                <w:bCs w:val="1"/>
                <w:color w:val="FFFFFF"/>
                <w:vertAlign w:val="superscript"/>
              </w:rPr>
              <w:t>(1)</w:t>
            </w:r>
          </w:p>
        </w:tc>
        <w:tc>
          <w:tcPr>
            <w:tcW w:w="24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160" w:type="dxa"/>
            <w:vAlign w:val="bottom"/>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Not Vested (#)</w:t>
            </w:r>
          </w:p>
        </w:tc>
        <w:tc>
          <w:tcPr>
            <w:tcW w:w="24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Not Vested ($)</w:t>
            </w:r>
            <w:r>
              <w:rPr>
                <w:rFonts w:ascii="Arial" w:cs="Arial" w:eastAsia="Arial" w:hAnsi="Arial"/>
                <w:sz w:val="17"/>
                <w:szCs w:val="17"/>
                <w:b w:val="1"/>
                <w:bCs w:val="1"/>
                <w:color w:val="FFFFFF"/>
                <w:w w:val="98"/>
                <w:vertAlign w:val="superscript"/>
              </w:rPr>
              <w:t>(1)</w:t>
            </w:r>
          </w:p>
        </w:tc>
        <w:tc>
          <w:tcPr>
            <w:tcW w:w="10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424E6A"/>
            </w:tcBorders>
          </w:tcPr>
          <w:p>
            <w:pPr>
              <w:ind w:left="60"/>
              <w:spacing w:after="0" w:line="189" w:lineRule="exact"/>
              <w:rPr>
                <w:sz w:val="20"/>
                <w:szCs w:val="20"/>
                <w:color w:val="auto"/>
              </w:rPr>
            </w:pPr>
            <w:r>
              <w:rPr>
                <w:rFonts w:ascii="Arial" w:cs="Arial" w:eastAsia="Arial" w:hAnsi="Arial"/>
                <w:sz w:val="18"/>
                <w:szCs w:val="18"/>
                <w:color w:val="auto"/>
              </w:rPr>
              <w:t>Willie Chiang</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500,000</w:t>
            </w:r>
            <w:r>
              <w:rPr>
                <w:rFonts w:ascii="Arial" w:cs="Arial" w:eastAsia="Arial" w:hAnsi="Arial"/>
                <w:sz w:val="21"/>
                <w:szCs w:val="21"/>
                <w:color w:val="auto"/>
                <w:vertAlign w:val="superscript"/>
              </w:rPr>
              <w:t>(2)</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9" w:lineRule="exact"/>
              <w:rPr>
                <w:sz w:val="20"/>
                <w:szCs w:val="20"/>
                <w:color w:val="auto"/>
              </w:rPr>
            </w:pPr>
            <w:r>
              <w:rPr>
                <w:rFonts w:ascii="Arial" w:cs="Arial" w:eastAsia="Arial" w:hAnsi="Arial"/>
                <w:sz w:val="18"/>
                <w:szCs w:val="18"/>
                <w:color w:val="auto"/>
              </w:rPr>
              <w:t>8,540,000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220,000</w:t>
            </w:r>
            <w:r>
              <w:rPr>
                <w:rFonts w:ascii="Arial" w:cs="Arial" w:eastAsia="Arial" w:hAnsi="Arial"/>
                <w:sz w:val="21"/>
                <w:szCs w:val="21"/>
                <w:color w:val="auto"/>
                <w:vertAlign w:val="superscript"/>
              </w:rPr>
              <w:t>(4)</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3,757,600</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220,000</w:t>
            </w:r>
            <w:r>
              <w:rPr>
                <w:rFonts w:ascii="Arial" w:cs="Arial" w:eastAsia="Arial" w:hAnsi="Arial"/>
                <w:sz w:val="21"/>
                <w:szCs w:val="21"/>
                <w:color w:val="auto"/>
                <w:vertAlign w:val="superscript"/>
              </w:rPr>
              <w:t>(5)</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3,757,600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162,050</w:t>
            </w:r>
            <w:r>
              <w:rPr>
                <w:rFonts w:ascii="Arial" w:cs="Arial" w:eastAsia="Arial" w:hAnsi="Arial"/>
                <w:sz w:val="21"/>
                <w:szCs w:val="21"/>
                <w:color w:val="auto"/>
                <w:vertAlign w:val="superscript"/>
              </w:rPr>
              <w:t>(6)</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2,767,814</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162,050</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2,767,814</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178,875</w:t>
            </w:r>
            <w:r>
              <w:rPr>
                <w:rFonts w:ascii="Arial" w:cs="Arial" w:eastAsia="Arial" w:hAnsi="Arial"/>
                <w:sz w:val="21"/>
                <w:szCs w:val="21"/>
                <w:color w:val="auto"/>
                <w:vertAlign w:val="superscript"/>
              </w:rPr>
              <w:t>(8)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3,055,185</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178,875</w:t>
            </w:r>
            <w:r>
              <w:rPr>
                <w:rFonts w:ascii="Arial" w:cs="Arial" w:eastAsia="Arial" w:hAnsi="Arial"/>
                <w:sz w:val="21"/>
                <w:szCs w:val="21"/>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3,055,185</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204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Harry Pefanis</w:t>
            </w:r>
          </w:p>
        </w:tc>
        <w:tc>
          <w:tcPr>
            <w:tcW w:w="820" w:type="dxa"/>
            <w:vAlign w:val="bottom"/>
            <w:tcBorders>
              <w:top w:val="single" w:sz="8" w:color="424E6A"/>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bottom w:val="single" w:sz="8" w:color="424E6A"/>
            </w:tcBorders>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bottom w:val="single" w:sz="8" w:color="424E6A"/>
            </w:tcBorders>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0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Al Swanson</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69,300</w:t>
            </w:r>
            <w:r>
              <w:rPr>
                <w:rFonts w:ascii="Arial" w:cs="Arial" w:eastAsia="Arial" w:hAnsi="Arial"/>
                <w:sz w:val="21"/>
                <w:szCs w:val="21"/>
                <w:color w:val="auto"/>
                <w:vertAlign w:val="superscript"/>
              </w:rPr>
              <w:t>(4)</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1,183,644</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69,300</w:t>
            </w:r>
            <w:r>
              <w:rPr>
                <w:rFonts w:ascii="Arial" w:cs="Arial" w:eastAsia="Arial" w:hAnsi="Arial"/>
                <w:sz w:val="21"/>
                <w:szCs w:val="21"/>
                <w:color w:val="auto"/>
                <w:vertAlign w:val="superscript"/>
              </w:rPr>
              <w:t>(5)</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24E6A"/>
            </w:tcBorders>
            <w:gridSpan w:val="2"/>
          </w:tcPr>
          <w:p>
            <w:pPr>
              <w:jc w:val="right"/>
              <w:ind w:right="39"/>
              <w:spacing w:after="0" w:line="182" w:lineRule="exact"/>
              <w:rPr>
                <w:sz w:val="20"/>
                <w:szCs w:val="20"/>
                <w:color w:val="auto"/>
              </w:rPr>
            </w:pPr>
            <w:r>
              <w:rPr>
                <w:rFonts w:ascii="Arial" w:cs="Arial" w:eastAsia="Arial" w:hAnsi="Arial"/>
                <w:sz w:val="18"/>
                <w:szCs w:val="18"/>
                <w:color w:val="auto"/>
              </w:rPr>
              <w:t>1,183,644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872,361</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9"/>
              <w:spacing w:after="0"/>
              <w:rPr>
                <w:sz w:val="20"/>
                <w:szCs w:val="20"/>
                <w:color w:val="auto"/>
              </w:rPr>
            </w:pPr>
            <w:r>
              <w:rPr>
                <w:rFonts w:ascii="Arial" w:cs="Arial" w:eastAsia="Arial" w:hAnsi="Arial"/>
                <w:sz w:val="18"/>
                <w:szCs w:val="18"/>
                <w:color w:val="auto"/>
              </w:rPr>
              <w:t>872,361</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922,320</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9"/>
              <w:spacing w:after="0"/>
              <w:rPr>
                <w:sz w:val="20"/>
                <w:szCs w:val="20"/>
                <w:color w:val="auto"/>
              </w:rPr>
            </w:pPr>
            <w:r>
              <w:rPr>
                <w:rFonts w:ascii="Arial" w:cs="Arial" w:eastAsia="Arial" w:hAnsi="Arial"/>
                <w:sz w:val="18"/>
                <w:szCs w:val="18"/>
                <w:color w:val="auto"/>
              </w:rPr>
              <w:t>922,320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0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Richard McGee</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69,300</w:t>
            </w:r>
            <w:r>
              <w:rPr>
                <w:rFonts w:ascii="Arial" w:cs="Arial" w:eastAsia="Arial" w:hAnsi="Arial"/>
                <w:sz w:val="21"/>
                <w:szCs w:val="21"/>
                <w:color w:val="auto"/>
                <w:vertAlign w:val="superscript"/>
              </w:rPr>
              <w:t>(4)</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1,183,644</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69,300</w:t>
            </w:r>
            <w:r>
              <w:rPr>
                <w:rFonts w:ascii="Arial" w:cs="Arial" w:eastAsia="Arial" w:hAnsi="Arial"/>
                <w:sz w:val="21"/>
                <w:szCs w:val="21"/>
                <w:color w:val="auto"/>
                <w:vertAlign w:val="superscript"/>
              </w:rPr>
              <w:t>(5)</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24E6A"/>
            </w:tcBorders>
            <w:gridSpan w:val="2"/>
          </w:tcPr>
          <w:p>
            <w:pPr>
              <w:jc w:val="right"/>
              <w:ind w:right="39"/>
              <w:spacing w:after="0" w:line="182" w:lineRule="exact"/>
              <w:rPr>
                <w:sz w:val="20"/>
                <w:szCs w:val="20"/>
                <w:color w:val="auto"/>
              </w:rPr>
            </w:pPr>
            <w:r>
              <w:rPr>
                <w:rFonts w:ascii="Arial" w:cs="Arial" w:eastAsia="Arial" w:hAnsi="Arial"/>
                <w:sz w:val="18"/>
                <w:szCs w:val="18"/>
                <w:color w:val="auto"/>
              </w:rPr>
              <w:t>1,183,644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872,361</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9"/>
              <w:spacing w:after="0"/>
              <w:rPr>
                <w:sz w:val="20"/>
                <w:szCs w:val="20"/>
                <w:color w:val="auto"/>
              </w:rPr>
            </w:pPr>
            <w:r>
              <w:rPr>
                <w:rFonts w:ascii="Arial" w:cs="Arial" w:eastAsia="Arial" w:hAnsi="Arial"/>
                <w:sz w:val="18"/>
                <w:szCs w:val="18"/>
                <w:color w:val="auto"/>
              </w:rPr>
              <w:t>872,361</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922,320</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9"/>
              <w:spacing w:after="0"/>
              <w:rPr>
                <w:sz w:val="20"/>
                <w:szCs w:val="20"/>
                <w:color w:val="auto"/>
              </w:rPr>
            </w:pPr>
            <w:r>
              <w:rPr>
                <w:rFonts w:ascii="Arial" w:cs="Arial" w:eastAsia="Arial" w:hAnsi="Arial"/>
                <w:sz w:val="18"/>
                <w:szCs w:val="18"/>
                <w:color w:val="auto"/>
              </w:rPr>
              <w:t>922,320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0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4,270,000</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24E6A"/>
            </w:tcBorders>
            <w:gridSpan w:val="2"/>
          </w:tcPr>
          <w:p>
            <w:pPr>
              <w:jc w:val="right"/>
              <w:ind w:right="39"/>
              <w:spacing w:after="0" w:line="182" w:lineRule="exact"/>
              <w:rPr>
                <w:sz w:val="20"/>
                <w:szCs w:val="20"/>
                <w:color w:val="auto"/>
              </w:rPr>
            </w:pPr>
            <w:r>
              <w:rPr>
                <w:rFonts w:ascii="Arial" w:cs="Arial" w:eastAsia="Arial" w:hAnsi="Arial"/>
                <w:sz w:val="18"/>
                <w:szCs w:val="18"/>
                <w:color w:val="auto"/>
              </w:rPr>
              <w:t>4,270,000</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89,350</w:t>
            </w:r>
            <w:r>
              <w:rPr>
                <w:rFonts w:ascii="Arial" w:cs="Arial" w:eastAsia="Arial" w:hAnsi="Arial"/>
                <w:sz w:val="21"/>
                <w:szCs w:val="21"/>
                <w:color w:val="auto"/>
                <w:vertAlign w:val="superscript"/>
              </w:rPr>
              <w:t>(4)</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1,526,098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89,350</w:t>
            </w:r>
            <w:r>
              <w:rPr>
                <w:rFonts w:ascii="Arial" w:cs="Arial" w:eastAsia="Arial" w:hAnsi="Arial"/>
                <w:sz w:val="21"/>
                <w:szCs w:val="21"/>
                <w:color w:val="auto"/>
                <w:vertAlign w:val="superscript"/>
              </w:rPr>
              <w:t>(5)</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1,526,098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(6)</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1,124,291</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1,124,291</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424E6A"/>
            </w:tcBorders>
          </w:tcPr>
          <w:p>
            <w:pPr>
              <w:spacing w:after="0"/>
              <w:rPr>
                <w:sz w:val="14"/>
                <w:szCs w:val="14"/>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71,550</w:t>
            </w:r>
            <w:r>
              <w:rPr>
                <w:rFonts w:ascii="Arial" w:cs="Arial" w:eastAsia="Arial" w:hAnsi="Arial"/>
                <w:sz w:val="19"/>
                <w:szCs w:val="19"/>
                <w:color w:val="auto"/>
                <w:vertAlign w:val="superscript"/>
              </w:rPr>
              <w:t>(8)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1,222,074</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71,550</w:t>
            </w:r>
            <w:r>
              <w:rPr>
                <w:rFonts w:ascii="Arial" w:cs="Arial" w:eastAsia="Arial" w:hAnsi="Arial"/>
                <w:sz w:val="19"/>
                <w:szCs w:val="19"/>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69" w:lineRule="exact"/>
              <w:rPr>
                <w:sz w:val="20"/>
                <w:szCs w:val="20"/>
                <w:color w:val="auto"/>
              </w:rPr>
            </w:pPr>
            <w:r>
              <w:rPr>
                <w:rFonts w:ascii="Arial" w:cs="Arial" w:eastAsia="Arial" w:hAnsi="Arial"/>
                <w:sz w:val="18"/>
                <w:szCs w:val="18"/>
                <w:color w:val="auto"/>
              </w:rPr>
              <w:t>1,222,074</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40" w:type="dxa"/>
            <w:vAlign w:val="bottom"/>
            <w:tcBorders>
              <w:left w:val="single" w:sz="8" w:color="424E6A"/>
              <w:bottom w:val="single" w:sz="8" w:color="424E6A"/>
            </w:tcBorders>
          </w:tcPr>
          <w:p>
            <w:pPr>
              <w:spacing w:after="0"/>
              <w:rPr>
                <w:sz w:val="7"/>
                <w:szCs w:val="7"/>
                <w:color w:val="auto"/>
              </w:rPr>
            </w:pPr>
          </w:p>
        </w:tc>
        <w:tc>
          <w:tcPr>
            <w:tcW w:w="820" w:type="dxa"/>
            <w:vAlign w:val="bottom"/>
            <w:tcBorders>
              <w:bottom w:val="single" w:sz="8" w:color="424E6A"/>
              <w:right w:val="single" w:sz="8" w:color="424E6A"/>
            </w:tcBorders>
            <w:vMerge w:val="continue"/>
          </w:tcPr>
          <w:p>
            <w:pPr>
              <w:spacing w:after="0"/>
              <w:rPr>
                <w:sz w:val="7"/>
                <w:szCs w:val="7"/>
                <w:color w:val="auto"/>
              </w:rPr>
            </w:pPr>
          </w:p>
        </w:tc>
        <w:tc>
          <w:tcPr>
            <w:tcW w:w="80" w:type="dxa"/>
            <w:vAlign w:val="bottom"/>
            <w:tcBorders>
              <w:bottom w:val="single" w:sz="8" w:color="424E6A"/>
            </w:tcBorders>
            <w:vMerge w:val="continue"/>
          </w:tcPr>
          <w:p>
            <w:pPr>
              <w:spacing w:after="0"/>
              <w:rPr>
                <w:sz w:val="7"/>
                <w:szCs w:val="7"/>
                <w:color w:val="auto"/>
              </w:rPr>
            </w:pPr>
          </w:p>
        </w:tc>
        <w:tc>
          <w:tcPr>
            <w:tcW w:w="260" w:type="dxa"/>
            <w:vAlign w:val="bottom"/>
            <w:tcBorders>
              <w:bottom w:val="single" w:sz="8" w:color="424E6A"/>
            </w:tcBorders>
            <w:vMerge w:val="continue"/>
          </w:tcPr>
          <w:p>
            <w:pPr>
              <w:spacing w:after="0"/>
              <w:rPr>
                <w:sz w:val="7"/>
                <w:szCs w:val="7"/>
                <w:color w:val="auto"/>
              </w:rPr>
            </w:pPr>
          </w:p>
        </w:tc>
        <w:tc>
          <w:tcPr>
            <w:tcW w:w="740" w:type="dxa"/>
            <w:vAlign w:val="bottom"/>
            <w:tcBorders>
              <w:bottom w:val="single" w:sz="8" w:color="424E6A"/>
            </w:tcBorders>
          </w:tcPr>
          <w:p>
            <w:pPr>
              <w:spacing w:after="0"/>
              <w:rPr>
                <w:sz w:val="7"/>
                <w:szCs w:val="7"/>
                <w:color w:val="auto"/>
              </w:rPr>
            </w:pPr>
          </w:p>
        </w:tc>
        <w:tc>
          <w:tcPr>
            <w:tcW w:w="240" w:type="dxa"/>
            <w:vAlign w:val="bottom"/>
            <w:tcBorders>
              <w:bottom w:val="single" w:sz="8" w:color="424E6A"/>
              <w:right w:val="single" w:sz="8" w:color="424E6A"/>
            </w:tcBorders>
            <w:vMerge w:val="continue"/>
          </w:tcPr>
          <w:p>
            <w:pPr>
              <w:spacing w:after="0"/>
              <w:rPr>
                <w:sz w:val="7"/>
                <w:szCs w:val="7"/>
                <w:color w:val="auto"/>
              </w:rPr>
            </w:pPr>
          </w:p>
        </w:tc>
        <w:tc>
          <w:tcPr>
            <w:tcW w:w="260" w:type="dxa"/>
            <w:vAlign w:val="bottom"/>
            <w:tcBorders>
              <w:bottom w:val="single" w:sz="8" w:color="424E6A"/>
            </w:tcBorders>
          </w:tcPr>
          <w:p>
            <w:pPr>
              <w:ind w:left="100"/>
              <w:spacing w:after="0" w:line="81" w:lineRule="exact"/>
              <w:rPr>
                <w:sz w:val="20"/>
                <w:szCs w:val="20"/>
                <w:color w:val="auto"/>
              </w:rPr>
            </w:pPr>
            <w:r>
              <w:rPr>
                <w:rFonts w:ascii="Arial" w:cs="Arial" w:eastAsia="Arial" w:hAnsi="Arial"/>
                <w:sz w:val="9"/>
                <w:szCs w:val="9"/>
                <w:color w:val="auto"/>
              </w:rPr>
              <w:t>​ ​</w:t>
            </w:r>
          </w:p>
        </w:tc>
        <w:tc>
          <w:tcPr>
            <w:tcW w:w="760" w:type="dxa"/>
            <w:vAlign w:val="bottom"/>
            <w:tcBorders>
              <w:bottom w:val="single" w:sz="8" w:color="424E6A"/>
            </w:tcBorders>
          </w:tcPr>
          <w:p>
            <w:pPr>
              <w:spacing w:after="0"/>
              <w:rPr>
                <w:sz w:val="7"/>
                <w:szCs w:val="7"/>
                <w:color w:val="auto"/>
              </w:rPr>
            </w:pPr>
          </w:p>
        </w:tc>
        <w:tc>
          <w:tcPr>
            <w:tcW w:w="24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220" w:type="dxa"/>
            <w:vAlign w:val="bottom"/>
            <w:tcBorders>
              <w:bottom w:val="single" w:sz="8" w:color="424E6A"/>
            </w:tcBorders>
            <w:vMerge w:val="continue"/>
          </w:tcPr>
          <w:p>
            <w:pPr>
              <w:spacing w:after="0"/>
              <w:rPr>
                <w:sz w:val="7"/>
                <w:szCs w:val="7"/>
                <w:color w:val="auto"/>
              </w:rPr>
            </w:pPr>
          </w:p>
        </w:tc>
        <w:tc>
          <w:tcPr>
            <w:tcW w:w="760" w:type="dxa"/>
            <w:vAlign w:val="bottom"/>
            <w:tcBorders>
              <w:bottom w:val="single" w:sz="8" w:color="424E6A"/>
            </w:tcBorders>
          </w:tcPr>
          <w:p>
            <w:pPr>
              <w:spacing w:after="0"/>
              <w:rPr>
                <w:sz w:val="7"/>
                <w:szCs w:val="7"/>
                <w:color w:val="auto"/>
              </w:rPr>
            </w:pPr>
          </w:p>
        </w:tc>
        <w:tc>
          <w:tcPr>
            <w:tcW w:w="240" w:type="dxa"/>
            <w:vAlign w:val="bottom"/>
            <w:tcBorders>
              <w:bottom w:val="single" w:sz="8" w:color="424E6A"/>
              <w:right w:val="single" w:sz="8" w:color="424E6A"/>
            </w:tcBorders>
            <w:vMerge w:val="continue"/>
          </w:tcPr>
          <w:p>
            <w:pPr>
              <w:spacing w:after="0"/>
              <w:rPr>
                <w:sz w:val="7"/>
                <w:szCs w:val="7"/>
                <w:color w:val="auto"/>
              </w:rPr>
            </w:pPr>
          </w:p>
        </w:tc>
        <w:tc>
          <w:tcPr>
            <w:tcW w:w="180" w:type="dxa"/>
            <w:vAlign w:val="bottom"/>
            <w:tcBorders>
              <w:bottom w:val="single" w:sz="8" w:color="424E6A"/>
            </w:tcBorders>
            <w:vMerge w:val="continue"/>
          </w:tcPr>
          <w:p>
            <w:pPr>
              <w:spacing w:after="0"/>
              <w:rPr>
                <w:sz w:val="7"/>
                <w:szCs w:val="7"/>
                <w:color w:val="auto"/>
              </w:rPr>
            </w:pPr>
          </w:p>
        </w:tc>
        <w:tc>
          <w:tcPr>
            <w:tcW w:w="220" w:type="dxa"/>
            <w:vAlign w:val="bottom"/>
            <w:tcBorders>
              <w:bottom w:val="single" w:sz="8" w:color="424E6A"/>
            </w:tcBorders>
          </w:tcPr>
          <w:p>
            <w:pPr>
              <w:ind w:left="16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424E6A"/>
            </w:tcBorders>
          </w:tcPr>
          <w:p>
            <w:pPr>
              <w:spacing w:after="0"/>
              <w:rPr>
                <w:sz w:val="7"/>
                <w:szCs w:val="7"/>
                <w:color w:val="auto"/>
              </w:rPr>
            </w:pPr>
          </w:p>
        </w:tc>
        <w:tc>
          <w:tcPr>
            <w:tcW w:w="100" w:type="dxa"/>
            <w:vAlign w:val="bottom"/>
            <w:tcBorders>
              <w:bottom w:val="single" w:sz="8" w:color="424E6A"/>
              <w:right w:val="single" w:sz="8" w:color="424E6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0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4,270,000</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24E6A"/>
            </w:tcBorders>
            <w:gridSpan w:val="2"/>
          </w:tcPr>
          <w:p>
            <w:pPr>
              <w:jc w:val="right"/>
              <w:ind w:right="39"/>
              <w:spacing w:after="0" w:line="182" w:lineRule="exact"/>
              <w:rPr>
                <w:sz w:val="20"/>
                <w:szCs w:val="20"/>
                <w:color w:val="auto"/>
              </w:rPr>
            </w:pPr>
            <w:r>
              <w:rPr>
                <w:rFonts w:ascii="Arial" w:cs="Arial" w:eastAsia="Arial" w:hAnsi="Arial"/>
                <w:sz w:val="18"/>
                <w:szCs w:val="18"/>
                <w:color w:val="auto"/>
              </w:rPr>
              <w:t>4,270,000</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89,350</w:t>
            </w:r>
            <w:r>
              <w:rPr>
                <w:rFonts w:ascii="Arial" w:cs="Arial" w:eastAsia="Arial" w:hAnsi="Arial"/>
                <w:sz w:val="21"/>
                <w:szCs w:val="21"/>
                <w:color w:val="auto"/>
                <w:vertAlign w:val="superscript"/>
              </w:rPr>
              <w:t>(4)</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1,526,098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89,350</w:t>
            </w:r>
            <w:r>
              <w:rPr>
                <w:rFonts w:ascii="Arial" w:cs="Arial" w:eastAsia="Arial" w:hAnsi="Arial"/>
                <w:sz w:val="21"/>
                <w:szCs w:val="21"/>
                <w:color w:val="auto"/>
                <w:vertAlign w:val="superscript"/>
              </w:rPr>
              <w:t>(5)</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1,526,098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(6)</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1,124,291</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1,124,291</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424E6A"/>
            </w:tcBorders>
          </w:tcPr>
          <w:p>
            <w:pPr>
              <w:spacing w:after="0"/>
              <w:rPr>
                <w:sz w:val="14"/>
                <w:szCs w:val="14"/>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71,550</w:t>
            </w:r>
            <w:r>
              <w:rPr>
                <w:rFonts w:ascii="Arial" w:cs="Arial" w:eastAsia="Arial" w:hAnsi="Arial"/>
                <w:sz w:val="19"/>
                <w:szCs w:val="19"/>
                <w:color w:val="auto"/>
                <w:vertAlign w:val="superscript"/>
              </w:rPr>
              <w:t>(8)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1,222,074</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71,550</w:t>
            </w:r>
            <w:r>
              <w:rPr>
                <w:rFonts w:ascii="Arial" w:cs="Arial" w:eastAsia="Arial" w:hAnsi="Arial"/>
                <w:sz w:val="19"/>
                <w:szCs w:val="19"/>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
              <w:spacing w:after="0" w:line="169" w:lineRule="exact"/>
              <w:rPr>
                <w:sz w:val="20"/>
                <w:szCs w:val="20"/>
                <w:color w:val="auto"/>
              </w:rPr>
            </w:pPr>
            <w:r>
              <w:rPr>
                <w:rFonts w:ascii="Arial" w:cs="Arial" w:eastAsia="Arial" w:hAnsi="Arial"/>
                <w:sz w:val="18"/>
                <w:szCs w:val="18"/>
                <w:color w:val="auto"/>
              </w:rPr>
              <w:t>1,222,074</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40" w:type="dxa"/>
            <w:vAlign w:val="bottom"/>
            <w:tcBorders>
              <w:left w:val="single" w:sz="8" w:color="424E6A"/>
              <w:bottom w:val="single" w:sz="8" w:color="424E6A"/>
            </w:tcBorders>
          </w:tcPr>
          <w:p>
            <w:pPr>
              <w:spacing w:after="0"/>
              <w:rPr>
                <w:sz w:val="8"/>
                <w:szCs w:val="8"/>
                <w:color w:val="auto"/>
              </w:rPr>
            </w:pPr>
          </w:p>
        </w:tc>
        <w:tc>
          <w:tcPr>
            <w:tcW w:w="820" w:type="dxa"/>
            <w:vAlign w:val="bottom"/>
            <w:tcBorders>
              <w:bottom w:val="single" w:sz="8" w:color="424E6A"/>
              <w:right w:val="single" w:sz="8" w:color="424E6A"/>
            </w:tcBorders>
            <w:vMerge w:val="continue"/>
          </w:tcPr>
          <w:p>
            <w:pPr>
              <w:spacing w:after="0"/>
              <w:rPr>
                <w:sz w:val="8"/>
                <w:szCs w:val="8"/>
                <w:color w:val="auto"/>
              </w:rPr>
            </w:pPr>
          </w:p>
        </w:tc>
        <w:tc>
          <w:tcPr>
            <w:tcW w:w="80" w:type="dxa"/>
            <w:vAlign w:val="bottom"/>
            <w:tcBorders>
              <w:bottom w:val="single" w:sz="8" w:color="424E6A"/>
            </w:tcBorders>
            <w:vMerge w:val="continue"/>
          </w:tcPr>
          <w:p>
            <w:pPr>
              <w:spacing w:after="0"/>
              <w:rPr>
                <w:sz w:val="8"/>
                <w:szCs w:val="8"/>
                <w:color w:val="auto"/>
              </w:rPr>
            </w:pPr>
          </w:p>
        </w:tc>
        <w:tc>
          <w:tcPr>
            <w:tcW w:w="260" w:type="dxa"/>
            <w:vAlign w:val="bottom"/>
            <w:tcBorders>
              <w:bottom w:val="single" w:sz="8" w:color="424E6A"/>
            </w:tcBorders>
            <w:vMerge w:val="continue"/>
          </w:tcPr>
          <w:p>
            <w:pPr>
              <w:spacing w:after="0"/>
              <w:rPr>
                <w:sz w:val="8"/>
                <w:szCs w:val="8"/>
                <w:color w:val="auto"/>
              </w:rPr>
            </w:pPr>
          </w:p>
        </w:tc>
        <w:tc>
          <w:tcPr>
            <w:tcW w:w="740" w:type="dxa"/>
            <w:vAlign w:val="bottom"/>
            <w:tcBorders>
              <w:bottom w:val="single" w:sz="8" w:color="424E6A"/>
            </w:tcBorders>
          </w:tcPr>
          <w:p>
            <w:pPr>
              <w:spacing w:after="0"/>
              <w:rPr>
                <w:sz w:val="8"/>
                <w:szCs w:val="8"/>
                <w:color w:val="auto"/>
              </w:rPr>
            </w:pPr>
          </w:p>
        </w:tc>
        <w:tc>
          <w:tcPr>
            <w:tcW w:w="240" w:type="dxa"/>
            <w:vAlign w:val="bottom"/>
            <w:tcBorders>
              <w:bottom w:val="single" w:sz="8" w:color="424E6A"/>
              <w:right w:val="single" w:sz="8" w:color="424E6A"/>
            </w:tcBorders>
            <w:vMerge w:val="continue"/>
          </w:tcPr>
          <w:p>
            <w:pPr>
              <w:spacing w:after="0"/>
              <w:rPr>
                <w:sz w:val="8"/>
                <w:szCs w:val="8"/>
                <w:color w:val="auto"/>
              </w:rPr>
            </w:pPr>
          </w:p>
        </w:tc>
        <w:tc>
          <w:tcPr>
            <w:tcW w:w="260" w:type="dxa"/>
            <w:vAlign w:val="bottom"/>
            <w:tcBorders>
              <w:bottom w:val="single" w:sz="8" w:color="424E6A"/>
            </w:tcBorders>
          </w:tcPr>
          <w:p>
            <w:pPr>
              <w:ind w:left="100"/>
              <w:spacing w:after="0" w:line="95" w:lineRule="exact"/>
              <w:rPr>
                <w:sz w:val="20"/>
                <w:szCs w:val="20"/>
                <w:color w:val="auto"/>
              </w:rPr>
            </w:pPr>
            <w:r>
              <w:rPr>
                <w:rFonts w:ascii="Arial" w:cs="Arial" w:eastAsia="Arial" w:hAnsi="Arial"/>
                <w:sz w:val="10"/>
                <w:szCs w:val="10"/>
                <w:color w:val="auto"/>
              </w:rPr>
              <w:t>​ ​</w:t>
            </w:r>
          </w:p>
        </w:tc>
        <w:tc>
          <w:tcPr>
            <w:tcW w:w="760" w:type="dxa"/>
            <w:vAlign w:val="bottom"/>
            <w:tcBorders>
              <w:bottom w:val="single" w:sz="8" w:color="424E6A"/>
            </w:tcBorders>
          </w:tcPr>
          <w:p>
            <w:pPr>
              <w:spacing w:after="0"/>
              <w:rPr>
                <w:sz w:val="8"/>
                <w:szCs w:val="8"/>
                <w:color w:val="auto"/>
              </w:rPr>
            </w:pPr>
          </w:p>
        </w:tc>
        <w:tc>
          <w:tcPr>
            <w:tcW w:w="240" w:type="dxa"/>
            <w:vAlign w:val="bottom"/>
            <w:tcBorders>
              <w:bottom w:val="single" w:sz="8" w:color="424E6A"/>
              <w:right w:val="single" w:sz="8" w:color="424E6A"/>
            </w:tcBorders>
            <w:vMerge w:val="continue"/>
          </w:tcPr>
          <w:p>
            <w:pPr>
              <w:spacing w:after="0"/>
              <w:rPr>
                <w:sz w:val="8"/>
                <w:szCs w:val="8"/>
                <w:color w:val="auto"/>
              </w:rPr>
            </w:pPr>
          </w:p>
        </w:tc>
        <w:tc>
          <w:tcPr>
            <w:tcW w:w="180" w:type="dxa"/>
            <w:vAlign w:val="bottom"/>
            <w:tcBorders>
              <w:bottom w:val="single" w:sz="8" w:color="424E6A"/>
            </w:tcBorders>
            <w:vMerge w:val="continue"/>
          </w:tcPr>
          <w:p>
            <w:pPr>
              <w:spacing w:after="0"/>
              <w:rPr>
                <w:sz w:val="8"/>
                <w:szCs w:val="8"/>
                <w:color w:val="auto"/>
              </w:rPr>
            </w:pPr>
          </w:p>
        </w:tc>
        <w:tc>
          <w:tcPr>
            <w:tcW w:w="220" w:type="dxa"/>
            <w:vAlign w:val="bottom"/>
            <w:tcBorders>
              <w:bottom w:val="single" w:sz="8" w:color="424E6A"/>
            </w:tcBorders>
            <w:vMerge w:val="continue"/>
          </w:tcPr>
          <w:p>
            <w:pPr>
              <w:spacing w:after="0"/>
              <w:rPr>
                <w:sz w:val="8"/>
                <w:szCs w:val="8"/>
                <w:color w:val="auto"/>
              </w:rPr>
            </w:pPr>
          </w:p>
        </w:tc>
        <w:tc>
          <w:tcPr>
            <w:tcW w:w="760" w:type="dxa"/>
            <w:vAlign w:val="bottom"/>
            <w:tcBorders>
              <w:bottom w:val="single" w:sz="8" w:color="424E6A"/>
            </w:tcBorders>
          </w:tcPr>
          <w:p>
            <w:pPr>
              <w:spacing w:after="0"/>
              <w:rPr>
                <w:sz w:val="8"/>
                <w:szCs w:val="8"/>
                <w:color w:val="auto"/>
              </w:rPr>
            </w:pPr>
          </w:p>
        </w:tc>
        <w:tc>
          <w:tcPr>
            <w:tcW w:w="240" w:type="dxa"/>
            <w:vAlign w:val="bottom"/>
            <w:tcBorders>
              <w:bottom w:val="single" w:sz="8" w:color="424E6A"/>
              <w:right w:val="single" w:sz="8" w:color="424E6A"/>
            </w:tcBorders>
            <w:vMerge w:val="continue"/>
          </w:tcPr>
          <w:p>
            <w:pPr>
              <w:spacing w:after="0"/>
              <w:rPr>
                <w:sz w:val="8"/>
                <w:szCs w:val="8"/>
                <w:color w:val="auto"/>
              </w:rPr>
            </w:pPr>
          </w:p>
        </w:tc>
        <w:tc>
          <w:tcPr>
            <w:tcW w:w="180" w:type="dxa"/>
            <w:vAlign w:val="bottom"/>
            <w:tcBorders>
              <w:bottom w:val="single" w:sz="8" w:color="424E6A"/>
            </w:tcBorders>
            <w:vMerge w:val="continue"/>
          </w:tcPr>
          <w:p>
            <w:pPr>
              <w:spacing w:after="0"/>
              <w:rPr>
                <w:sz w:val="8"/>
                <w:szCs w:val="8"/>
                <w:color w:val="auto"/>
              </w:rPr>
            </w:pPr>
          </w:p>
        </w:tc>
        <w:tc>
          <w:tcPr>
            <w:tcW w:w="220" w:type="dxa"/>
            <w:vAlign w:val="bottom"/>
            <w:tcBorders>
              <w:bottom w:val="single" w:sz="8" w:color="424E6A"/>
            </w:tcBorders>
          </w:tcPr>
          <w:p>
            <w:pPr>
              <w:ind w:left="160"/>
              <w:spacing w:after="0" w:line="95"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424E6A"/>
            </w:tcBorders>
          </w:tcPr>
          <w:p>
            <w:pPr>
              <w:spacing w:after="0"/>
              <w:rPr>
                <w:sz w:val="8"/>
                <w:szCs w:val="8"/>
                <w:color w:val="auto"/>
              </w:rPr>
            </w:pPr>
          </w:p>
        </w:tc>
        <w:tc>
          <w:tcPr>
            <w:tcW w:w="100" w:type="dxa"/>
            <w:vAlign w:val="bottom"/>
            <w:tcBorders>
              <w:bottom w:val="single" w:sz="8" w:color="424E6A"/>
              <w:right w:val="single" w:sz="8" w:color="424E6A"/>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759" w:hanging="360"/>
        <w:spacing w:after="0" w:line="228"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Market value of phantom units reported in these columns is calculated by multiplying the closing market price ($17.08) of PAA’s common units on December 31, 2024 (the last trading day of the fiscal year) by the target number of units. No discount is applied for remaining performance threshold or service period requirements.</w:t>
      </w:r>
    </w:p>
    <w:p>
      <w:pPr>
        <w:spacing w:after="0" w:line="46" w:lineRule="exact"/>
        <w:rPr>
          <w:rFonts w:ascii="Arial" w:cs="Arial" w:eastAsia="Arial" w:hAnsi="Arial"/>
          <w:sz w:val="27"/>
          <w:szCs w:val="27"/>
          <w:color w:val="auto"/>
          <w:vertAlign w:val="superscript"/>
        </w:rPr>
      </w:pPr>
    </w:p>
    <w:p>
      <w:pPr>
        <w:ind w:left="1620" w:right="479" w:hanging="360"/>
        <w:spacing w:after="0" w:line="249"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19"/>
        <w:spacing w:after="0" w:line="256" w:lineRule="auto"/>
        <w:rPr>
          <w:sz w:val="20"/>
          <w:szCs w:val="20"/>
          <w:color w:val="auto"/>
        </w:rPr>
      </w:pPr>
      <w:r>
        <w:rPr>
          <w:rFonts w:ascii="Arial" w:cs="Arial" w:eastAsia="Arial" w:hAnsi="Arial"/>
          <w:sz w:val="17"/>
          <w:szCs w:val="17"/>
          <w:color w:val="auto"/>
        </w:rPr>
        <w:t>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w:t>
      </w:r>
    </w:p>
    <w:p>
      <w:pPr>
        <w:spacing w:after="0" w:line="4" w:lineRule="exact"/>
        <w:rPr>
          <w:sz w:val="20"/>
          <w:szCs w:val="20"/>
          <w:color w:val="auto"/>
        </w:rPr>
      </w:pPr>
    </w:p>
    <w:p>
      <w:pPr>
        <w:ind w:left="1620" w:right="579"/>
        <w:spacing w:after="0" w:line="253" w:lineRule="auto"/>
        <w:rPr>
          <w:sz w:val="20"/>
          <w:szCs w:val="20"/>
          <w:color w:val="auto"/>
        </w:rPr>
      </w:pPr>
      <w:r>
        <w:rPr>
          <w:rFonts w:ascii="Arial" w:cs="Arial" w:eastAsia="Arial" w:hAnsi="Arial"/>
          <w:sz w:val="18"/>
          <w:szCs w:val="18"/>
          <w:color w:val="auto"/>
        </w:rPr>
        <w:t>(ii) and (iii) immediately preceding, the applicable trailing four quarter period must begin on or after January 1, 2020.</w:t>
      </w:r>
    </w:p>
    <w:p>
      <w:pPr>
        <w:spacing w:after="0" w:line="31" w:lineRule="exact"/>
        <w:rPr>
          <w:sz w:val="20"/>
          <w:szCs w:val="20"/>
          <w:color w:val="auto"/>
        </w:rPr>
      </w:pPr>
    </w:p>
    <w:p>
      <w:pPr>
        <w:ind w:left="1620" w:right="419" w:hanging="360"/>
        <w:spacing w:after="0" w:line="245"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CUE of at least $2.80 on a trailing four quarter basis, and (iii) 25% on the later of the August 2026 distribution date and the first distribution date following PAA’s achievement of DCF per CUE of at least $3.15 on a trailing four quarter basis. Vesting of a portion of the associated DERs was also tied to PAA’s achievement of specified DCF per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p>
    <w:p>
      <w:pPr>
        <w:spacing w:after="0" w:line="46" w:lineRule="exact"/>
        <w:rPr>
          <w:rFonts w:ascii="Arial" w:cs="Arial" w:eastAsia="Arial" w:hAnsi="Arial"/>
          <w:sz w:val="27"/>
          <w:szCs w:val="27"/>
          <w:color w:val="auto"/>
          <w:vertAlign w:val="superscript"/>
        </w:rPr>
      </w:pPr>
    </w:p>
    <w:p>
      <w:pPr>
        <w:ind w:left="1620" w:right="579" w:hanging="360"/>
        <w:spacing w:after="0" w:line="22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2022 that will vest on the August 2025 distribution date. The associated DERs accrued for the first year and such accrued amount was paid in cash in a lump sum on the August 2023 distribution date; beginning in November 2023, the associated DERs began being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3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2022 that will potentially vest on the August 2025 distribution date at a scaled payout range of between 0% and 200% based on: (i) with respect to 50% of the performance-based award, PAA’s TSR over the three-year period ending June 30, 2025 compared to the TSR of the TSR Comparator Peer Group (payout may be reduced if absolute TSR is negative); and (ii) with respect to the other 50% of the performance-based award, PAA achieving cumulative DCF per CUE of $7.05 over the three-year period ending June 30, 2025 (payout may be decreased by 25 basis points if PAA’s leverage ratio as of June 30, 2025 is greater than 3.5x). As of December 31, 2024, the estimated</w:t>
      </w:r>
    </w:p>
    <w:p>
      <w:pPr>
        <w:spacing w:after="0" w:line="1" w:lineRule="exact"/>
        <w:rPr>
          <w:rFonts w:ascii="Arial" w:cs="Arial" w:eastAsia="Arial" w:hAnsi="Arial"/>
          <w:sz w:val="27"/>
          <w:szCs w:val="27"/>
          <w:color w:val="auto"/>
          <w:vertAlign w:val="superscript"/>
        </w:rPr>
      </w:pPr>
    </w:p>
    <w:p>
      <w:pPr>
        <w:ind w:left="1620" w:right="779"/>
        <w:spacing w:after="0" w:line="250" w:lineRule="auto"/>
        <w:rPr>
          <w:rFonts w:ascii="Arial" w:cs="Arial" w:eastAsia="Arial" w:hAnsi="Arial"/>
          <w:sz w:val="27"/>
          <w:szCs w:val="27"/>
          <w:color w:val="auto"/>
          <w:vertAlign w:val="superscript"/>
        </w:rPr>
      </w:pPr>
      <w:r>
        <w:rPr>
          <w:rFonts w:ascii="Arial" w:cs="Arial" w:eastAsia="Arial" w:hAnsi="Arial"/>
          <w:sz w:val="18"/>
          <w:szCs w:val="18"/>
          <w:color w:val="auto"/>
        </w:rPr>
        <w:t>payout percentage for the TSR portion of these performance-based phantom units was approximately 167% and the estimated payout percentage for the DCF/CUE portion was approximately 143%. DERs will accrue during the three-year performance period and be paid in cash in a lump sum on the August 2025 distribution date with respect to the number of</w:t>
      </w:r>
    </w:p>
    <w:p>
      <w:pPr>
        <w:spacing w:after="0" w:line="1" w:lineRule="exact"/>
        <w:rPr>
          <w:rFonts w:ascii="Arial" w:cs="Arial" w:eastAsia="Arial" w:hAnsi="Arial"/>
          <w:sz w:val="27"/>
          <w:szCs w:val="27"/>
          <w:color w:val="auto"/>
          <w:vertAlign w:val="superscript"/>
        </w:rPr>
      </w:pPr>
    </w:p>
    <w:p>
      <w:pPr>
        <w:ind w:left="1620" w:right="419"/>
        <w:spacing w:after="0" w:line="259" w:lineRule="auto"/>
        <w:rPr>
          <w:rFonts w:ascii="Arial" w:cs="Arial" w:eastAsia="Arial" w:hAnsi="Arial"/>
          <w:sz w:val="27"/>
          <w:szCs w:val="27"/>
          <w:color w:val="auto"/>
          <w:vertAlign w:val="superscript"/>
        </w:rPr>
      </w:pPr>
      <w:r>
        <w:rPr>
          <w:rFonts w:ascii="Arial" w:cs="Arial" w:eastAsia="Arial" w:hAnsi="Arial"/>
          <w:sz w:val="18"/>
          <w:szCs w:val="18"/>
          <w:color w:val="auto"/>
        </w:rPr>
        <w:t>phantom units, if any, that vest on such date. Any phantom units and associated DERs that have not vested by the August 2025 distribution date will expire at that time.</w:t>
      </w:r>
    </w:p>
    <w:p>
      <w:pPr>
        <w:spacing w:after="0" w:line="34"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2023 that will vest on the August 2026 distribution date. The associated DERs will accrue for the first year and such accrued amount will be paid in cash in a lump sum on the August 2024 distribution date; beginning in November 2024,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2023 that will potentially vest on the August 2026 distribution date at a scaled payout range of between 0% and 200% based on: (i) with respect to 50% of the performance-based award, PAA’s TSR over the three-year period ending June 30, 2026 compared to the TSR of the TSR Comparator Peer Group</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79"/>
        <w:spacing w:after="0" w:line="255" w:lineRule="auto"/>
        <w:rPr>
          <w:sz w:val="20"/>
          <w:szCs w:val="20"/>
          <w:color w:val="auto"/>
        </w:rPr>
      </w:pPr>
      <w:r>
        <w:rPr>
          <w:rFonts w:ascii="Arial" w:cs="Arial" w:eastAsia="Arial" w:hAnsi="Arial"/>
          <w:sz w:val="18"/>
          <w:szCs w:val="18"/>
          <w:color w:val="auto"/>
        </w:rPr>
        <w:t>(payout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will accrue during the three-year performance period and be paid in cash in a lump sum on the August 2026 distribution date with respect to the number of phantom units, if any, that vest on such date. Any phantom units and associated DERs that have not vested by the August 2026 distribution date will expire at that time.</w:t>
      </w:r>
    </w:p>
    <w:p>
      <w:pPr>
        <w:spacing w:after="0" w:line="50" w:lineRule="exact"/>
        <w:rPr>
          <w:sz w:val="20"/>
          <w:szCs w:val="20"/>
          <w:color w:val="auto"/>
        </w:rPr>
      </w:pPr>
    </w:p>
    <w:p>
      <w:pPr>
        <w:ind w:left="1620" w:right="419" w:hanging="360"/>
        <w:spacing w:after="0" w:line="228"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2024 that will vest on the August 2027 distribution date. The associated DERs will accrue for the first year and such accrued amount will be paid in cash in a lump sum on the August 2025 distribution date; beginning in November 2025,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42"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2024 that will potentially vest on the August 2027 distribution date at a scaled payout range of between 0% and 200% based on: (i) with respect to 50% of the performance-based award, PAA’s TSR over the three-year period ending June 30, 2027 compared to the TSR of the TSR Comparator Peer Group (payout may be reduced if absolute TSR is negative); and (ii) with respect to the other 50% of the performance-based award, PAA achieving cumulative DCF per CUE of $7.75 over the three-year period ending June 30, 2027 (payout may be decreased by 25 basis points if PAA’s leverage ratio as of June 30, 2027 is greater than the upper end of our guidance range). DERs will accrue during the three-year performance period and be paid in cash in a lump sum on the August 2027 distribution date with respect to the number of phantom units, if any, that vest on such date. Any phantom units and associated DERs that have not vested by the August 2027 distribution date will expire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2024 with respect to our Named Executive Officers.</w:t>
      </w:r>
    </w:p>
    <w:p>
      <w:pPr>
        <w:spacing w:after="0" w:line="162" w:lineRule="exact"/>
        <w:rPr>
          <w:sz w:val="20"/>
          <w:szCs w:val="20"/>
          <w:color w:val="auto"/>
        </w:rPr>
      </w:pPr>
    </w:p>
    <w:tbl>
      <w:tblPr>
        <w:tblLayout w:type="fixed"/>
        <w:tblInd w:w="1270" w:type="dxa"/>
        <w:tblCellMar>
          <w:top w:w="0" w:type="dxa"/>
          <w:left w:w="0" w:type="dxa"/>
          <w:bottom w:w="0" w:type="dxa"/>
          <w:right w:w="0" w:type="dxa"/>
        </w:tblCellMar>
      </w:tblPr>
      <w:tr>
        <w:trPr>
          <w:trHeight w:val="291"/>
        </w:trPr>
        <w:tc>
          <w:tcPr>
            <w:tcW w:w="3440" w:type="dxa"/>
            <w:vAlign w:val="bottom"/>
            <w:tcBorders>
              <w:left w:val="single" w:sz="8" w:color="424E6A"/>
              <w:bottom w:val="single" w:sz="8" w:color="424E6A"/>
            </w:tcBorders>
            <w:shd w:val="clear" w:color="auto" w:fill="424E6A"/>
          </w:tcPr>
          <w:p>
            <w:pPr>
              <w:spacing w:after="0"/>
              <w:rPr>
                <w:sz w:val="24"/>
                <w:szCs w:val="24"/>
                <w:color w:val="auto"/>
              </w:rPr>
            </w:pPr>
          </w:p>
        </w:tc>
        <w:tc>
          <w:tcPr>
            <w:tcW w:w="2200" w:type="dxa"/>
            <w:vAlign w:val="bottom"/>
            <w:tcBorders>
              <w:bottom w:val="single" w:sz="8" w:color="424E6A"/>
              <w:right w:val="single" w:sz="8" w:color="424E6A"/>
            </w:tcBorders>
            <w:shd w:val="clear" w:color="auto" w:fill="424E6A"/>
          </w:tcPr>
          <w:p>
            <w:pPr>
              <w:spacing w:after="0"/>
              <w:rPr>
                <w:sz w:val="24"/>
                <w:szCs w:val="24"/>
                <w:color w:val="auto"/>
              </w:rPr>
            </w:pPr>
          </w:p>
        </w:tc>
        <w:tc>
          <w:tcPr>
            <w:tcW w:w="160" w:type="dxa"/>
            <w:vAlign w:val="bottom"/>
            <w:tcBorders>
              <w:bottom w:val="single" w:sz="8" w:color="auto"/>
            </w:tcBorders>
            <w:shd w:val="clear" w:color="auto" w:fill="424E6A"/>
          </w:tcPr>
          <w:p>
            <w:pPr>
              <w:spacing w:after="0"/>
              <w:rPr>
                <w:sz w:val="24"/>
                <w:szCs w:val="24"/>
                <w:color w:val="auto"/>
              </w:rPr>
            </w:pPr>
          </w:p>
        </w:tc>
        <w:tc>
          <w:tcPr>
            <w:tcW w:w="240" w:type="dxa"/>
            <w:vAlign w:val="bottom"/>
            <w:tcBorders>
              <w:bottom w:val="single" w:sz="8" w:color="auto"/>
            </w:tcBorders>
            <w:shd w:val="clear" w:color="auto" w:fill="424E6A"/>
          </w:tcPr>
          <w:p>
            <w:pPr>
              <w:spacing w:after="0"/>
              <w:rPr>
                <w:sz w:val="24"/>
                <w:szCs w:val="24"/>
                <w:color w:val="auto"/>
              </w:rPr>
            </w:pPr>
          </w:p>
        </w:tc>
        <w:tc>
          <w:tcPr>
            <w:tcW w:w="1380" w:type="dxa"/>
            <w:vAlign w:val="bottom"/>
            <w:tcBorders>
              <w:bottom w:val="single" w:sz="8" w:color="auto"/>
            </w:tcBorders>
            <w:gridSpan w:val="5"/>
            <w:shd w:val="clear" w:color="auto" w:fill="424E6A"/>
          </w:tcPr>
          <w:p>
            <w:pPr>
              <w:jc w:val="center"/>
              <w:ind w:left="342"/>
              <w:spacing w:after="0"/>
              <w:rPr>
                <w:sz w:val="20"/>
                <w:szCs w:val="20"/>
                <w:color w:val="auto"/>
              </w:rPr>
            </w:pPr>
            <w:r>
              <w:rPr>
                <w:rFonts w:ascii="Arial" w:cs="Arial" w:eastAsia="Arial" w:hAnsi="Arial"/>
                <w:sz w:val="14"/>
                <w:szCs w:val="14"/>
                <w:b w:val="1"/>
                <w:bCs w:val="1"/>
                <w:color w:val="FFFFFF"/>
              </w:rPr>
              <w:t>Unit Awards</w:t>
            </w:r>
          </w:p>
        </w:tc>
        <w:tc>
          <w:tcPr>
            <w:tcW w:w="720" w:type="dxa"/>
            <w:vAlign w:val="bottom"/>
            <w:tcBorders>
              <w:bottom w:val="single" w:sz="8" w:color="auto"/>
            </w:tcBorders>
            <w:shd w:val="clear" w:color="auto" w:fill="424E6A"/>
          </w:tcPr>
          <w:p>
            <w:pPr>
              <w:spacing w:after="0"/>
              <w:rPr>
                <w:sz w:val="24"/>
                <w:szCs w:val="24"/>
                <w:color w:val="auto"/>
              </w:rPr>
            </w:pPr>
          </w:p>
        </w:tc>
        <w:tc>
          <w:tcPr>
            <w:tcW w:w="80" w:type="dxa"/>
            <w:vAlign w:val="bottom"/>
            <w:tcBorders>
              <w:bottom w:val="single" w:sz="8" w:color="auto"/>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40" w:type="dxa"/>
            <w:vAlign w:val="bottom"/>
            <w:tcBorders>
              <w:left w:val="single" w:sz="8" w:color="424E6A"/>
            </w:tcBorders>
            <w:shd w:val="clear" w:color="auto" w:fill="424E6A"/>
          </w:tcPr>
          <w:p>
            <w:pPr>
              <w:spacing w:after="0"/>
              <w:rPr>
                <w:sz w:val="15"/>
                <w:szCs w:val="15"/>
                <w:color w:val="auto"/>
              </w:rPr>
            </w:pPr>
          </w:p>
        </w:tc>
        <w:tc>
          <w:tcPr>
            <w:tcW w:w="2200" w:type="dxa"/>
            <w:vAlign w:val="bottom"/>
            <w:tcBorders>
              <w:right w:val="single" w:sz="8" w:color="424E6A"/>
            </w:tcBorders>
            <w:shd w:val="clear" w:color="auto" w:fill="424E6A"/>
          </w:tcPr>
          <w:p>
            <w:pPr>
              <w:spacing w:after="0"/>
              <w:rPr>
                <w:sz w:val="15"/>
                <w:szCs w:val="15"/>
                <w:color w:val="auto"/>
              </w:rPr>
            </w:pPr>
          </w:p>
        </w:tc>
        <w:tc>
          <w:tcPr>
            <w:tcW w:w="160" w:type="dxa"/>
            <w:vAlign w:val="bottom"/>
            <w:shd w:val="clear" w:color="auto" w:fill="424E6A"/>
          </w:tcPr>
          <w:p>
            <w:pPr>
              <w:spacing w:after="0"/>
              <w:rPr>
                <w:sz w:val="15"/>
                <w:szCs w:val="15"/>
                <w:color w:val="auto"/>
              </w:rPr>
            </w:pPr>
          </w:p>
        </w:tc>
        <w:tc>
          <w:tcPr>
            <w:tcW w:w="1000" w:type="dxa"/>
            <w:vAlign w:val="bottom"/>
            <w:gridSpan w:val="2"/>
            <w:shd w:val="clear" w:color="auto" w:fill="424E6A"/>
          </w:tcPr>
          <w:p>
            <w:pPr>
              <w:jc w:val="center"/>
              <w:ind w:right="2"/>
              <w:spacing w:after="0"/>
              <w:rPr>
                <w:sz w:val="20"/>
                <w:szCs w:val="20"/>
                <w:color w:val="auto"/>
              </w:rPr>
            </w:pPr>
            <w:r>
              <w:rPr>
                <w:rFonts w:ascii="Arial" w:cs="Arial" w:eastAsia="Arial" w:hAnsi="Arial"/>
                <w:sz w:val="14"/>
                <w:szCs w:val="14"/>
                <w:b w:val="1"/>
                <w:bCs w:val="1"/>
                <w:color w:val="FFFFFF"/>
              </w:rPr>
              <w:t>Number of</w:t>
            </w:r>
          </w:p>
        </w:tc>
        <w:tc>
          <w:tcPr>
            <w:tcW w:w="40" w:type="dxa"/>
            <w:vAlign w:val="bottom"/>
            <w:shd w:val="clear" w:color="auto" w:fill="424E6A"/>
          </w:tcPr>
          <w:p>
            <w:pPr>
              <w:spacing w:after="0"/>
              <w:rPr>
                <w:sz w:val="15"/>
                <w:szCs w:val="15"/>
                <w:color w:val="auto"/>
              </w:rPr>
            </w:pPr>
          </w:p>
        </w:tc>
        <w:tc>
          <w:tcPr>
            <w:tcW w:w="100" w:type="dxa"/>
            <w:vAlign w:val="bottom"/>
            <w:tcBorders>
              <w:right w:val="single" w:sz="8" w:color="424E6A"/>
            </w:tcBorders>
            <w:shd w:val="clear" w:color="auto" w:fill="424E6A"/>
          </w:tcPr>
          <w:p>
            <w:pPr>
              <w:spacing w:after="0"/>
              <w:rPr>
                <w:sz w:val="15"/>
                <w:szCs w:val="15"/>
                <w:color w:val="auto"/>
              </w:rPr>
            </w:pPr>
          </w:p>
        </w:tc>
        <w:tc>
          <w:tcPr>
            <w:tcW w:w="120" w:type="dxa"/>
            <w:vAlign w:val="bottom"/>
            <w:shd w:val="clear" w:color="auto" w:fill="424E6A"/>
          </w:tcPr>
          <w:p>
            <w:pPr>
              <w:spacing w:after="0"/>
              <w:rPr>
                <w:sz w:val="15"/>
                <w:szCs w:val="15"/>
                <w:color w:val="auto"/>
              </w:rPr>
            </w:pPr>
          </w:p>
        </w:tc>
        <w:tc>
          <w:tcPr>
            <w:tcW w:w="360" w:type="dxa"/>
            <w:vAlign w:val="bottom"/>
            <w:shd w:val="clear" w:color="auto" w:fill="424E6A"/>
          </w:tcPr>
          <w:p>
            <w:pPr>
              <w:spacing w:after="0"/>
              <w:rPr>
                <w:sz w:val="15"/>
                <w:szCs w:val="15"/>
                <w:color w:val="auto"/>
              </w:rPr>
            </w:pPr>
          </w:p>
        </w:tc>
        <w:tc>
          <w:tcPr>
            <w:tcW w:w="720" w:type="dxa"/>
            <w:vAlign w:val="bottom"/>
            <w:shd w:val="clear" w:color="auto" w:fill="424E6A"/>
          </w:tcPr>
          <w:p>
            <w:pPr>
              <w:spacing w:after="0"/>
              <w:rPr>
                <w:sz w:val="15"/>
                <w:szCs w:val="15"/>
                <w:color w:val="auto"/>
              </w:rPr>
            </w:pPr>
          </w:p>
        </w:tc>
        <w:tc>
          <w:tcPr>
            <w:tcW w:w="8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Borders>
              <w:left w:val="single" w:sz="8" w:color="424E6A"/>
            </w:tcBorders>
            <w:shd w:val="clear" w:color="auto" w:fill="424E6A"/>
          </w:tcPr>
          <w:p>
            <w:pPr>
              <w:spacing w:after="0"/>
              <w:rPr>
                <w:sz w:val="14"/>
                <w:szCs w:val="14"/>
                <w:color w:val="auto"/>
              </w:rPr>
            </w:pPr>
          </w:p>
        </w:tc>
        <w:tc>
          <w:tcPr>
            <w:tcW w:w="220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242"/>
              <w:spacing w:after="0"/>
              <w:rPr>
                <w:sz w:val="20"/>
                <w:szCs w:val="20"/>
                <w:color w:val="auto"/>
              </w:rPr>
            </w:pPr>
            <w:r>
              <w:rPr>
                <w:rFonts w:ascii="Arial" w:cs="Arial" w:eastAsia="Arial" w:hAnsi="Arial"/>
                <w:sz w:val="14"/>
                <w:szCs w:val="14"/>
                <w:b w:val="1"/>
                <w:bCs w:val="1"/>
                <w:color w:val="FFFFFF"/>
              </w:rPr>
              <w:t>Units</w:t>
            </w:r>
          </w:p>
        </w:tc>
        <w:tc>
          <w:tcPr>
            <w:tcW w:w="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Value Realized</w:t>
            </w:r>
          </w:p>
        </w:tc>
        <w:tc>
          <w:tcPr>
            <w:tcW w:w="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Borders>
              <w:left w:val="single" w:sz="8" w:color="424E6A"/>
            </w:tcBorders>
            <w:vMerge w:val="restart"/>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2200" w:type="dxa"/>
            <w:vAlign w:val="bottom"/>
            <w:tcBorders>
              <w:right w:val="single" w:sz="8" w:color="424E6A"/>
            </w:tcBorders>
            <w:shd w:val="clear" w:color="auto" w:fill="424E6A"/>
          </w:tcPr>
          <w:p>
            <w:pPr>
              <w:spacing w:after="0"/>
              <w:rPr>
                <w:sz w:val="12"/>
                <w:szCs w:val="12"/>
                <w:color w:val="auto"/>
              </w:rPr>
            </w:pPr>
          </w:p>
        </w:tc>
        <w:tc>
          <w:tcPr>
            <w:tcW w:w="160" w:type="dxa"/>
            <w:vAlign w:val="bottom"/>
            <w:shd w:val="clear" w:color="auto" w:fill="424E6A"/>
          </w:tcPr>
          <w:p>
            <w:pPr>
              <w:spacing w:after="0"/>
              <w:rPr>
                <w:sz w:val="12"/>
                <w:szCs w:val="12"/>
                <w:color w:val="auto"/>
              </w:rPr>
            </w:pPr>
          </w:p>
        </w:tc>
        <w:tc>
          <w:tcPr>
            <w:tcW w:w="1000" w:type="dxa"/>
            <w:vAlign w:val="bottom"/>
            <w:gridSpan w:val="2"/>
            <w:shd w:val="clear" w:color="auto" w:fill="424E6A"/>
          </w:tcPr>
          <w:p>
            <w:pPr>
              <w:jc w:val="center"/>
              <w:ind w:right="2"/>
              <w:spacing w:after="0" w:line="149" w:lineRule="exact"/>
              <w:rPr>
                <w:sz w:val="20"/>
                <w:szCs w:val="20"/>
                <w:color w:val="auto"/>
              </w:rPr>
            </w:pPr>
            <w:r>
              <w:rPr>
                <w:rFonts w:ascii="Arial" w:cs="Arial" w:eastAsia="Arial" w:hAnsi="Arial"/>
                <w:sz w:val="14"/>
                <w:szCs w:val="14"/>
                <w:b w:val="1"/>
                <w:bCs w:val="1"/>
                <w:color w:val="FFFFFF"/>
              </w:rPr>
              <w:t>Acquired on</w:t>
            </w:r>
          </w:p>
        </w:tc>
        <w:tc>
          <w:tcPr>
            <w:tcW w:w="40" w:type="dxa"/>
            <w:vAlign w:val="bottom"/>
            <w:shd w:val="clear" w:color="auto" w:fill="424E6A"/>
          </w:tcPr>
          <w:p>
            <w:pPr>
              <w:spacing w:after="0"/>
              <w:rPr>
                <w:sz w:val="12"/>
                <w:szCs w:val="12"/>
                <w:color w:val="auto"/>
              </w:rPr>
            </w:pPr>
          </w:p>
        </w:tc>
        <w:tc>
          <w:tcPr>
            <w:tcW w:w="100" w:type="dxa"/>
            <w:vAlign w:val="bottom"/>
            <w:tcBorders>
              <w:right w:val="single" w:sz="8" w:color="424E6A"/>
            </w:tcBorders>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360" w:type="dxa"/>
            <w:vAlign w:val="bottom"/>
            <w:shd w:val="clear" w:color="auto" w:fill="424E6A"/>
          </w:tcPr>
          <w:p>
            <w:pPr>
              <w:spacing w:after="0"/>
              <w:rPr>
                <w:sz w:val="12"/>
                <w:szCs w:val="12"/>
                <w:color w:val="auto"/>
              </w:rPr>
            </w:pPr>
          </w:p>
        </w:tc>
        <w:tc>
          <w:tcPr>
            <w:tcW w:w="720" w:type="dxa"/>
            <w:vAlign w:val="bottom"/>
            <w:shd w:val="clear" w:color="auto" w:fill="424E6A"/>
          </w:tcPr>
          <w:p>
            <w:pPr>
              <w:jc w:val="center"/>
              <w:ind w:right="339"/>
              <w:spacing w:after="0" w:line="149" w:lineRule="exact"/>
              <w:rPr>
                <w:sz w:val="20"/>
                <w:szCs w:val="20"/>
                <w:color w:val="auto"/>
              </w:rPr>
            </w:pPr>
            <w:r>
              <w:rPr>
                <w:rFonts w:ascii="Arial" w:cs="Arial" w:eastAsia="Arial" w:hAnsi="Arial"/>
                <w:sz w:val="14"/>
                <w:szCs w:val="14"/>
                <w:b w:val="1"/>
                <w:bCs w:val="1"/>
                <w:color w:val="FFFFFF"/>
              </w:rPr>
              <w:t>on</w:t>
            </w:r>
          </w:p>
        </w:tc>
        <w:tc>
          <w:tcPr>
            <w:tcW w:w="80" w:type="dxa"/>
            <w:vAlign w:val="bottom"/>
            <w:tcBorders>
              <w:right w:val="single" w:sz="8" w:color="424E6A"/>
            </w:tcBorders>
            <w:shd w:val="clear" w:color="auto" w:fill="424E6A"/>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40" w:type="dxa"/>
            <w:vAlign w:val="bottom"/>
            <w:tcBorders>
              <w:left w:val="single" w:sz="8" w:color="424E6A"/>
            </w:tcBorders>
            <w:vMerge w:val="continue"/>
            <w:shd w:val="clear" w:color="auto" w:fill="424E6A"/>
          </w:tcPr>
          <w:p>
            <w:pPr>
              <w:spacing w:after="0"/>
              <w:rPr>
                <w:sz w:val="19"/>
                <w:szCs w:val="19"/>
                <w:color w:val="auto"/>
              </w:rPr>
            </w:pPr>
          </w:p>
        </w:tc>
        <w:tc>
          <w:tcPr>
            <w:tcW w:w="2200" w:type="dxa"/>
            <w:vAlign w:val="bottom"/>
            <w:tcBorders>
              <w:right w:val="single" w:sz="8" w:color="424E6A"/>
            </w:tcBorders>
            <w:shd w:val="clear" w:color="auto" w:fill="424E6A"/>
          </w:tcPr>
          <w:p>
            <w:pPr>
              <w:spacing w:after="0"/>
              <w:rPr>
                <w:sz w:val="19"/>
                <w:szCs w:val="19"/>
                <w:color w:val="auto"/>
              </w:rPr>
            </w:pPr>
          </w:p>
        </w:tc>
        <w:tc>
          <w:tcPr>
            <w:tcW w:w="160" w:type="dxa"/>
            <w:vAlign w:val="bottom"/>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40" w:type="dxa"/>
            <w:vAlign w:val="bottom"/>
            <w:shd w:val="clear" w:color="auto" w:fill="424E6A"/>
          </w:tcPr>
          <w:p>
            <w:pPr>
              <w:spacing w:after="0"/>
              <w:rPr>
                <w:sz w:val="19"/>
                <w:szCs w:val="19"/>
                <w:color w:val="auto"/>
              </w:rPr>
            </w:pPr>
          </w:p>
        </w:tc>
        <w:tc>
          <w:tcPr>
            <w:tcW w:w="22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108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w:t>
            </w:r>
          </w:p>
        </w:tc>
        <w:tc>
          <w:tcPr>
            <w:tcW w:w="80" w:type="dxa"/>
            <w:vAlign w:val="bottom"/>
            <w:tcBorders>
              <w:bottom w:val="single" w:sz="8" w:color="424E6A"/>
              <w:right w:val="single" w:sz="8" w:color="424E6A"/>
            </w:tcBorders>
            <w:shd w:val="clear" w:color="auto" w:fill="424E6A"/>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40" w:type="dxa"/>
            <w:vAlign w:val="bottom"/>
            <w:tcBorders>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Willie Chiang</w:t>
            </w:r>
          </w:p>
        </w:tc>
        <w:tc>
          <w:tcPr>
            <w:tcW w:w="2200" w:type="dxa"/>
            <w:vAlign w:val="bottom"/>
            <w:tcBorders>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418,585</w:t>
            </w:r>
            <w:r>
              <w:rPr>
                <w:rFonts w:ascii="Arial" w:cs="Arial" w:eastAsia="Arial" w:hAnsi="Arial"/>
                <w:sz w:val="19"/>
                <w:szCs w:val="19"/>
                <w:color w:val="auto"/>
                <w:vertAlign w:val="superscript"/>
              </w:rPr>
              <w:t>(2)</w:t>
            </w:r>
          </w:p>
        </w:tc>
        <w:tc>
          <w:tcPr>
            <w:tcW w:w="140" w:type="dxa"/>
            <w:vAlign w:val="bottom"/>
            <w:tcBorders>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7,136,874</w:t>
            </w:r>
            <w:r>
              <w:rPr>
                <w:rFonts w:ascii="Arial" w:cs="Arial" w:eastAsia="Arial" w:hAnsi="Arial"/>
                <w:sz w:val="19"/>
                <w:szCs w:val="19"/>
                <w:color w:val="auto"/>
                <w:vertAlign w:val="superscript"/>
              </w:rPr>
              <w:t>(3)</w:t>
            </w:r>
          </w:p>
        </w:tc>
        <w:tc>
          <w:tcPr>
            <w:tcW w:w="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Harry Pefanis</w:t>
            </w:r>
          </w:p>
        </w:tc>
        <w:tc>
          <w:tcPr>
            <w:tcW w:w="2200" w:type="dxa"/>
            <w:vAlign w:val="bottom"/>
            <w:tcBorders>
              <w:top w:val="single" w:sz="8" w:color="424E6A"/>
              <w:bottom w:val="single" w:sz="8" w:color="424E6A"/>
              <w:right w:val="single" w:sz="8" w:color="424E6A"/>
            </w:tcBorders>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bottom w:val="single" w:sz="8" w:color="424E6A"/>
            </w:tcBorders>
          </w:tcPr>
          <w:p>
            <w:pPr>
              <w:jc w:val="right"/>
              <w:ind w:right="10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right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424E6A"/>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424E6A"/>
              <w:bottom w:val="single" w:sz="8" w:color="424E6A"/>
            </w:tcBorders>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Al Swanson</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167,378</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2,853,795</w:t>
            </w:r>
            <w:r>
              <w:rPr>
                <w:rFonts w:ascii="Arial" w:cs="Arial" w:eastAsia="Arial" w:hAnsi="Arial"/>
                <w:sz w:val="21"/>
                <w:szCs w:val="21"/>
                <w:color w:val="auto"/>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Richard McGee</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167,378</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2,853,795</w:t>
            </w:r>
            <w:r>
              <w:rPr>
                <w:rFonts w:ascii="Arial" w:cs="Arial" w:eastAsia="Arial" w:hAnsi="Arial"/>
                <w:sz w:val="21"/>
                <w:szCs w:val="21"/>
                <w:color w:val="auto"/>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167,378</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2,853,795</w:t>
            </w:r>
            <w:r>
              <w:rPr>
                <w:rFonts w:ascii="Arial" w:cs="Arial" w:eastAsia="Arial" w:hAnsi="Arial"/>
                <w:sz w:val="21"/>
                <w:szCs w:val="21"/>
                <w:color w:val="auto"/>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167,378</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2,853,795</w:t>
            </w:r>
            <w:r>
              <w:rPr>
                <w:rFonts w:ascii="Arial" w:cs="Arial" w:eastAsia="Arial" w:hAnsi="Arial"/>
                <w:sz w:val="21"/>
                <w:szCs w:val="21"/>
                <w:color w:val="auto"/>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719" w:hanging="360"/>
        <w:spacing w:after="0" w:line="210"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2024. The actual number of units delivered was net of income tax withholding.</w:t>
      </w:r>
    </w:p>
    <w:p>
      <w:pPr>
        <w:spacing w:after="0" w:line="46" w:lineRule="exact"/>
        <w:rPr>
          <w:rFonts w:ascii="Arial" w:cs="Arial" w:eastAsia="Arial" w:hAnsi="Arial"/>
          <w:sz w:val="27"/>
          <w:szCs w:val="27"/>
          <w:color w:val="auto"/>
          <w:vertAlign w:val="superscript"/>
        </w:rPr>
      </w:pPr>
    </w:p>
    <w:p>
      <w:pPr>
        <w:ind w:left="1620" w:right="419" w:hanging="360"/>
        <w:spacing w:after="0" w:line="257" w:lineRule="auto"/>
        <w:tabs>
          <w:tab w:leader="none" w:pos="162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originally granted in August 2021 that vested in August 2024. Pursuant to the terms of the 2021 grants, (i) 50% of the phantom units were time based with vesting to occur in August 2024, and (ii) 50% of the phantom units were performance based with potential vesting to occur in August 2024 at a scaled payout range of between 0% and 200% based on: (A) with respect to 50% of the performance-based portion, PAA’s TSR over the three year period ending June 30, 2024 compared to the TSR of the applicable TSR peer group and (B) with respect to the other 50% of the performance-based portion, PAA achieving a cumulative adjusted DCF per CUE target of $6.00 over the three-year period ending June 30, 2024. With respect to the performance-based portion of the 2021 grants, the final payout percentage for the TSR portion was 157% (based on a TSR ranking of 4 out of 15) and the final payout percentage for the DCF/​CUE portion was 200% (based on achieving cumulative DCF/CUE of $6.93). Taking all vesting criteria (50% time, 25% TSR and 25% DCF/CUE) into account, the 2021 grants paid out at 139% of target.</w:t>
      </w:r>
    </w:p>
    <w:p>
      <w:pPr>
        <w:spacing w:after="0" w:line="36" w:lineRule="exact"/>
        <w:rPr>
          <w:rFonts w:ascii="Arial" w:cs="Arial" w:eastAsia="Arial" w:hAnsi="Arial"/>
          <w:sz w:val="26"/>
          <w:szCs w:val="26"/>
          <w:color w:val="auto"/>
          <w:vertAlign w:val="superscript"/>
        </w:rPr>
      </w:pPr>
    </w:p>
    <w:p>
      <w:pPr>
        <w:ind w:left="1620" w:right="659" w:hanging="360"/>
        <w:spacing w:after="0" w:line="228"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($17.05) of PAA’s common units on August 13, 2024 (the trading date immediately preceding the vesting date) by the number of units that vested.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58" w:lineRule="exact"/>
        <w:rPr>
          <w:sz w:val="20"/>
          <w:szCs w:val="20"/>
          <w:color w:val="auto"/>
        </w:rPr>
      </w:pPr>
    </w:p>
    <w:p>
      <w:pPr>
        <w:jc w:val="both"/>
        <w:ind w:left="1260" w:right="819" w:firstLine="360"/>
        <w:spacing w:after="0" w:line="253"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44"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ectPr>
          <w:pgSz w:w="11900" w:h="16838" w:orient="portrait"/>
          <w:cols w:equalWidth="0" w:num="1">
            <w:col w:w="9879"/>
          </w:cols>
          <w:pgMar w:left="580" w:top="97" w:right="1440" w:bottom="1440" w:gutter="0" w:footer="0" w:header="0"/>
        </w:sect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58"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2024.</w:t>
      </w:r>
    </w:p>
    <w:p>
      <w:pPr>
        <w:spacing w:after="0" w:line="123"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780" w:type="dxa"/>
            <w:vAlign w:val="bottom"/>
            <w:tcBorders>
              <w:left w:val="single" w:sz="8" w:color="424E6A"/>
            </w:tcBorders>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160" w:type="dxa"/>
            <w:vAlign w:val="bottom"/>
            <w:shd w:val="clear" w:color="auto" w:fill="424E6A"/>
          </w:tcPr>
          <w:p>
            <w:pPr>
              <w:spacing w:after="0"/>
              <w:rPr>
                <w:sz w:val="21"/>
                <w:szCs w:val="21"/>
                <w:color w:val="auto"/>
              </w:rPr>
            </w:pPr>
          </w:p>
        </w:tc>
        <w:tc>
          <w:tcPr>
            <w:tcW w:w="900" w:type="dxa"/>
            <w:vAlign w:val="bottom"/>
            <w:tcBorders>
              <w:right w:val="single" w:sz="8" w:color="424E6A"/>
            </w:tcBorders>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72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580" w:type="dxa"/>
            <w:vAlign w:val="bottom"/>
            <w:shd w:val="clear" w:color="auto" w:fill="424E6A"/>
          </w:tcPr>
          <w:p>
            <w:pPr>
              <w:spacing w:after="0"/>
              <w:rPr>
                <w:sz w:val="21"/>
                <w:szCs w:val="21"/>
                <w:color w:val="auto"/>
              </w:rPr>
            </w:pPr>
          </w:p>
        </w:tc>
        <w:tc>
          <w:tcPr>
            <w:tcW w:w="72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In</w:t>
            </w:r>
          </w:p>
        </w:tc>
        <w:tc>
          <w:tcPr>
            <w:tcW w:w="34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By</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189"/>
              <w:spacing w:after="0"/>
              <w:rPr>
                <w:sz w:val="20"/>
                <w:szCs w:val="20"/>
                <w:color w:val="auto"/>
              </w:rPr>
            </w:pPr>
            <w:r>
              <w:rPr>
                <w:rFonts w:ascii="Arial" w:cs="Arial" w:eastAsia="Arial" w:hAnsi="Arial"/>
                <w:sz w:val="14"/>
                <w:szCs w:val="14"/>
                <w:b w:val="1"/>
                <w:bCs w:val="1"/>
                <w:color w:val="FFFFFF"/>
              </w:rPr>
              <w:t>By</w:t>
            </w:r>
          </w:p>
        </w:tc>
        <w:tc>
          <w:tcPr>
            <w:tcW w:w="220" w:type="dxa"/>
            <w:vAlign w:val="bottom"/>
            <w:tcBorders>
              <w:right w:val="single" w:sz="8" w:color="424E6A"/>
            </w:tcBorders>
            <w:shd w:val="clear" w:color="auto" w:fill="424E6A"/>
          </w:tcPr>
          <w:p>
            <w:pPr>
              <w:spacing w:after="0"/>
              <w:rPr>
                <w:sz w:val="14"/>
                <w:szCs w:val="14"/>
                <w:color w:val="auto"/>
              </w:rPr>
            </w:pPr>
          </w:p>
        </w:tc>
        <w:tc>
          <w:tcPr>
            <w:tcW w:w="1300" w:type="dxa"/>
            <w:vAlign w:val="bottom"/>
            <w:gridSpan w:val="2"/>
            <w:shd w:val="clear" w:color="auto" w:fill="424E6A"/>
          </w:tcPr>
          <w:p>
            <w:pPr>
              <w:jc w:val="center"/>
              <w:ind w:left="411"/>
              <w:spacing w:after="0"/>
              <w:rPr>
                <w:sz w:val="20"/>
                <w:szCs w:val="20"/>
                <w:color w:val="auto"/>
              </w:rPr>
            </w:pPr>
            <w:r>
              <w:rPr>
                <w:rFonts w:ascii="Arial" w:cs="Arial" w:eastAsia="Arial" w:hAnsi="Arial"/>
                <w:sz w:val="14"/>
                <w:szCs w:val="14"/>
                <w:b w:val="1"/>
                <w:bCs w:val="1"/>
                <w:color w:val="FFFFFF"/>
              </w:rPr>
              <w:t>Connection</w:t>
            </w:r>
          </w:p>
        </w:tc>
        <w:tc>
          <w:tcPr>
            <w:tcW w:w="3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jc w:val="center"/>
              <w:ind w:right="245"/>
              <w:spacing w:after="0"/>
              <w:rPr>
                <w:sz w:val="20"/>
                <w:szCs w:val="20"/>
                <w:color w:val="auto"/>
              </w:rPr>
            </w:pPr>
            <w:r>
              <w:rPr>
                <w:rFonts w:ascii="Arial" w:cs="Arial" w:eastAsia="Arial" w:hAnsi="Arial"/>
                <w:sz w:val="14"/>
                <w:szCs w:val="14"/>
                <w:b w:val="1"/>
                <w:bCs w:val="1"/>
                <w:color w:val="FFFFFF"/>
              </w:rPr>
              <w:t>By</w:t>
            </w:r>
          </w:p>
        </w:tc>
        <w:tc>
          <w:tcPr>
            <w:tcW w:w="20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By</w:t>
            </w:r>
          </w:p>
        </w:tc>
        <w:tc>
          <w:tcPr>
            <w:tcW w:w="200" w:type="dxa"/>
            <w:vAlign w:val="bottom"/>
            <w:tcBorders>
              <w:right w:val="single" w:sz="8" w:color="424E6A"/>
            </w:tcBorders>
            <w:shd w:val="clear" w:color="auto" w:fill="424E6A"/>
          </w:tcPr>
          <w:p>
            <w:pPr>
              <w:spacing w:after="0"/>
              <w:rPr>
                <w:sz w:val="14"/>
                <w:szCs w:val="14"/>
                <w:color w:val="auto"/>
              </w:rPr>
            </w:pPr>
          </w:p>
        </w:tc>
        <w:tc>
          <w:tcPr>
            <w:tcW w:w="920" w:type="dxa"/>
            <w:vAlign w:val="bottom"/>
            <w:gridSpan w:val="2"/>
            <w:shd w:val="clear" w:color="auto" w:fill="424E6A"/>
          </w:tcPr>
          <w:p>
            <w:pPr>
              <w:jc w:val="center"/>
              <w:ind w:left="52"/>
              <w:spacing w:after="0"/>
              <w:rPr>
                <w:sz w:val="20"/>
                <w:szCs w:val="20"/>
                <w:color w:val="auto"/>
              </w:rPr>
            </w:pPr>
            <w:r>
              <w:rPr>
                <w:rFonts w:ascii="Arial" w:cs="Arial" w:eastAsia="Arial" w:hAnsi="Arial"/>
                <w:sz w:val="14"/>
                <w:szCs w:val="14"/>
                <w:b w:val="1"/>
                <w:bCs w:val="1"/>
                <w:color w:val="FFFFFF"/>
              </w:rPr>
              <w:t>Company</w:t>
            </w:r>
          </w:p>
        </w:tc>
        <w:tc>
          <w:tcPr>
            <w:tcW w:w="200" w:type="dxa"/>
            <w:vAlign w:val="bottom"/>
            <w:tcBorders>
              <w:right w:val="single" w:sz="8" w:color="424E6A"/>
            </w:tcBorders>
            <w:shd w:val="clear" w:color="auto" w:fill="424E6A"/>
          </w:tcPr>
          <w:p>
            <w:pPr>
              <w:spacing w:after="0"/>
              <w:rPr>
                <w:sz w:val="14"/>
                <w:szCs w:val="14"/>
                <w:color w:val="auto"/>
              </w:rPr>
            </w:pPr>
          </w:p>
        </w:tc>
        <w:tc>
          <w:tcPr>
            <w:tcW w:w="860" w:type="dxa"/>
            <w:vAlign w:val="bottom"/>
            <w:gridSpan w:val="2"/>
            <w:shd w:val="clear" w:color="auto" w:fill="424E6A"/>
          </w:tcPr>
          <w:p>
            <w:pPr>
              <w:ind w:left="160"/>
              <w:spacing w:after="0"/>
              <w:rPr>
                <w:sz w:val="20"/>
                <w:szCs w:val="20"/>
                <w:color w:val="auto"/>
              </w:rPr>
            </w:pPr>
            <w:r>
              <w:rPr>
                <w:rFonts w:ascii="Arial" w:cs="Arial" w:eastAsia="Arial" w:hAnsi="Arial"/>
                <w:sz w:val="14"/>
                <w:szCs w:val="14"/>
                <w:b w:val="1"/>
                <w:bCs w:val="1"/>
                <w:color w:val="FFFFFF"/>
              </w:rPr>
              <w:t>Executive</w:t>
            </w:r>
          </w:p>
        </w:tc>
        <w:tc>
          <w:tcPr>
            <w:tcW w:w="220" w:type="dxa"/>
            <w:vAlign w:val="bottom"/>
            <w:tcBorders>
              <w:right w:val="single" w:sz="8" w:color="424E6A"/>
            </w:tcBorders>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with a</w:t>
            </w:r>
          </w:p>
        </w:tc>
        <w:tc>
          <w:tcPr>
            <w:tcW w:w="3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60" w:type="dxa"/>
            <w:vAlign w:val="bottom"/>
            <w:tcBorders>
              <w:right w:val="single" w:sz="8" w:color="424E6A"/>
            </w:tcBorders>
            <w:gridSpan w:val="2"/>
            <w:shd w:val="clear" w:color="auto" w:fill="424E6A"/>
          </w:tcPr>
          <w:p>
            <w:pPr>
              <w:jc w:val="center"/>
              <w:ind w:right="65"/>
              <w:spacing w:after="0"/>
              <w:rPr>
                <w:sz w:val="20"/>
                <w:szCs w:val="20"/>
                <w:color w:val="auto"/>
              </w:rPr>
            </w:pPr>
            <w:r>
              <w:rPr>
                <w:rFonts w:ascii="Arial" w:cs="Arial" w:eastAsia="Arial" w:hAnsi="Arial"/>
                <w:sz w:val="14"/>
                <w:szCs w:val="14"/>
                <w:b w:val="1"/>
                <w:bCs w:val="1"/>
                <w:color w:val="FFFFFF"/>
              </w:rPr>
              <w:t>Reason of</w:t>
            </w:r>
          </w:p>
        </w:tc>
        <w:tc>
          <w:tcPr>
            <w:tcW w:w="920" w:type="dxa"/>
            <w:vAlign w:val="bottom"/>
            <w:gridSpan w:val="2"/>
            <w:shd w:val="clear" w:color="auto" w:fill="424E6A"/>
          </w:tcPr>
          <w:p>
            <w:pPr>
              <w:jc w:val="center"/>
              <w:ind w:left="52"/>
              <w:spacing w:after="0"/>
              <w:rPr>
                <w:sz w:val="20"/>
                <w:szCs w:val="20"/>
                <w:color w:val="auto"/>
              </w:rPr>
            </w:pPr>
            <w:r>
              <w:rPr>
                <w:rFonts w:ascii="Arial" w:cs="Arial" w:eastAsia="Arial" w:hAnsi="Arial"/>
                <w:sz w:val="14"/>
                <w:szCs w:val="14"/>
                <w:b w:val="1"/>
                <w:bCs w:val="1"/>
                <w:color w:val="FFFFFF"/>
              </w:rPr>
              <w:t>Reason of</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without</w:t>
            </w:r>
          </w:p>
        </w:tc>
        <w:tc>
          <w:tcPr>
            <w:tcW w:w="200" w:type="dxa"/>
            <w:vAlign w:val="bottom"/>
            <w:tcBorders>
              <w:right w:val="single" w:sz="8" w:color="424E6A"/>
            </w:tcBorders>
            <w:shd w:val="clear" w:color="auto" w:fill="424E6A"/>
          </w:tcPr>
          <w:p>
            <w:pPr>
              <w:spacing w:after="0"/>
              <w:rPr>
                <w:sz w:val="14"/>
                <w:szCs w:val="14"/>
                <w:color w:val="auto"/>
              </w:rPr>
            </w:pPr>
          </w:p>
        </w:tc>
        <w:tc>
          <w:tcPr>
            <w:tcW w:w="860" w:type="dxa"/>
            <w:vAlign w:val="bottom"/>
            <w:gridSpan w:val="2"/>
            <w:shd w:val="clear" w:color="auto" w:fill="424E6A"/>
          </w:tcPr>
          <w:p>
            <w:pPr>
              <w:ind w:left="140"/>
              <w:spacing w:after="0"/>
              <w:rPr>
                <w:sz w:val="20"/>
                <w:szCs w:val="20"/>
                <w:color w:val="auto"/>
              </w:rPr>
            </w:pPr>
            <w:r>
              <w:rPr>
                <w:rFonts w:ascii="Arial" w:cs="Arial" w:eastAsia="Arial" w:hAnsi="Arial"/>
                <w:sz w:val="14"/>
                <w:szCs w:val="14"/>
                <w:b w:val="1"/>
                <w:bCs w:val="1"/>
                <w:color w:val="FFFFFF"/>
              </w:rPr>
              <w:t>with Good</w:t>
            </w:r>
          </w:p>
        </w:tc>
        <w:tc>
          <w:tcPr>
            <w:tcW w:w="220" w:type="dxa"/>
            <w:vAlign w:val="bottom"/>
            <w:tcBorders>
              <w:right w:val="single" w:sz="8" w:color="424E6A"/>
            </w:tcBorders>
            <w:shd w:val="clear" w:color="auto" w:fill="424E6A"/>
          </w:tcPr>
          <w:p>
            <w:pPr>
              <w:spacing w:after="0"/>
              <w:rPr>
                <w:sz w:val="14"/>
                <w:szCs w:val="14"/>
                <w:color w:val="auto"/>
              </w:rPr>
            </w:pPr>
          </w:p>
        </w:tc>
        <w:tc>
          <w:tcPr>
            <w:tcW w:w="1300" w:type="dxa"/>
            <w:vAlign w:val="bottom"/>
            <w:gridSpan w:val="2"/>
            <w:shd w:val="clear" w:color="auto" w:fill="424E6A"/>
          </w:tcPr>
          <w:p>
            <w:pPr>
              <w:jc w:val="center"/>
              <w:ind w:left="411"/>
              <w:spacing w:after="0"/>
              <w:rPr>
                <w:sz w:val="20"/>
                <w:szCs w:val="20"/>
                <w:color w:val="auto"/>
              </w:rPr>
            </w:pPr>
            <w:r>
              <w:rPr>
                <w:rFonts w:ascii="Arial" w:cs="Arial" w:eastAsia="Arial" w:hAnsi="Arial"/>
                <w:sz w:val="14"/>
                <w:szCs w:val="14"/>
                <w:b w:val="1"/>
                <w:bCs w:val="1"/>
                <w:color w:val="FFFFFF"/>
              </w:rPr>
              <w:t>Change In</w:t>
            </w:r>
          </w:p>
        </w:tc>
        <w:tc>
          <w:tcPr>
            <w:tcW w:w="3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jc w:val="center"/>
              <w:ind w:right="225"/>
              <w:spacing w:after="0"/>
              <w:rPr>
                <w:sz w:val="20"/>
                <w:szCs w:val="20"/>
                <w:color w:val="auto"/>
              </w:rPr>
            </w:pPr>
            <w:r>
              <w:rPr>
                <w:rFonts w:ascii="Arial" w:cs="Arial" w:eastAsia="Arial" w:hAnsi="Arial"/>
                <w:sz w:val="14"/>
                <w:szCs w:val="14"/>
                <w:b w:val="1"/>
                <w:bCs w:val="1"/>
                <w:color w:val="FFFFFF"/>
              </w:rPr>
              <w:t>Death</w:t>
            </w:r>
          </w:p>
        </w:tc>
        <w:tc>
          <w:tcPr>
            <w:tcW w:w="20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7"/>
              <w:spacing w:after="0"/>
              <w:rPr>
                <w:sz w:val="20"/>
                <w:szCs w:val="20"/>
                <w:color w:val="auto"/>
              </w:rPr>
            </w:pPr>
            <w:r>
              <w:rPr>
                <w:rFonts w:ascii="Arial" w:cs="Arial" w:eastAsia="Arial" w:hAnsi="Arial"/>
                <w:sz w:val="14"/>
                <w:szCs w:val="14"/>
                <w:b w:val="1"/>
                <w:bCs w:val="1"/>
                <w:color w:val="FFFFFF"/>
              </w:rPr>
              <w:t>Disability</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Cause</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29"/>
              <w:spacing w:after="0"/>
              <w:rPr>
                <w:sz w:val="20"/>
                <w:szCs w:val="20"/>
                <w:color w:val="auto"/>
              </w:rPr>
            </w:pPr>
            <w:r>
              <w:rPr>
                <w:rFonts w:ascii="Arial" w:cs="Arial" w:eastAsia="Arial" w:hAnsi="Arial"/>
                <w:sz w:val="14"/>
                <w:szCs w:val="14"/>
                <w:b w:val="1"/>
                <w:bCs w:val="1"/>
                <w:color w:val="FFFFFF"/>
              </w:rPr>
              <w:t>Reason</w:t>
            </w:r>
          </w:p>
        </w:tc>
        <w:tc>
          <w:tcPr>
            <w:tcW w:w="220" w:type="dxa"/>
            <w:vAlign w:val="bottom"/>
            <w:tcBorders>
              <w:right w:val="single" w:sz="8" w:color="424E6A"/>
            </w:tcBorders>
            <w:shd w:val="clear" w:color="auto" w:fill="424E6A"/>
          </w:tcPr>
          <w:p>
            <w:pPr>
              <w:spacing w:after="0"/>
              <w:rPr>
                <w:sz w:val="14"/>
                <w:szCs w:val="14"/>
                <w:color w:val="auto"/>
              </w:rPr>
            </w:pPr>
          </w:p>
        </w:tc>
        <w:tc>
          <w:tcPr>
            <w:tcW w:w="1640" w:type="dxa"/>
            <w:vAlign w:val="bottom"/>
            <w:gridSpan w:val="3"/>
            <w:shd w:val="clear" w:color="auto" w:fill="424E6A"/>
          </w:tcPr>
          <w:p>
            <w:pPr>
              <w:jc w:val="center"/>
              <w:ind w:left="91"/>
              <w:spacing w:after="0"/>
              <w:rPr>
                <w:sz w:val="20"/>
                <w:szCs w:val="20"/>
                <w:color w:val="auto"/>
              </w:rPr>
            </w:pPr>
            <w:r>
              <w:rPr>
                <w:rFonts w:ascii="Arial" w:cs="Arial" w:eastAsia="Arial" w:hAnsi="Arial"/>
                <w:sz w:val="14"/>
                <w:szCs w:val="14"/>
                <w:b w:val="1"/>
                <w:bCs w:val="1"/>
                <w:color w:val="FFFFFF"/>
              </w:rPr>
              <w:t>Control or Retirement</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80" w:type="dxa"/>
            <w:vAlign w:val="bottom"/>
            <w:tcBorders>
              <w:left w:val="single" w:sz="8" w:color="424E6A"/>
            </w:tcBorders>
            <w:shd w:val="clear" w:color="auto" w:fill="424E6A"/>
          </w:tcPr>
          <w:p>
            <w:pPr>
              <w:spacing w:after="0"/>
              <w:rPr>
                <w:sz w:val="18"/>
                <w:szCs w:val="18"/>
                <w:color w:val="auto"/>
              </w:rPr>
            </w:pPr>
          </w:p>
        </w:tc>
        <w:tc>
          <w:tcPr>
            <w:tcW w:w="360" w:type="dxa"/>
            <w:vAlign w:val="bottom"/>
            <w:gridSpan w:val="2"/>
            <w:shd w:val="clear" w:color="auto" w:fill="424E6A"/>
          </w:tcPr>
          <w:p>
            <w:pPr>
              <w:ind w:left="140"/>
              <w:spacing w:after="0"/>
              <w:rPr>
                <w:sz w:val="20"/>
                <w:szCs w:val="20"/>
                <w:color w:val="auto"/>
              </w:rPr>
            </w:pPr>
            <w:r>
              <w:rPr>
                <w:rFonts w:ascii="Arial" w:cs="Arial" w:eastAsia="Arial" w:hAnsi="Arial"/>
                <w:sz w:val="14"/>
                <w:szCs w:val="14"/>
                <w:b w:val="1"/>
                <w:bCs w:val="1"/>
                <w:color w:val="FFFFFF"/>
              </w:rPr>
              <w:t>​ ​</w:t>
            </w:r>
          </w:p>
        </w:tc>
        <w:tc>
          <w:tcPr>
            <w:tcW w:w="900" w:type="dxa"/>
            <w:vAlign w:val="bottom"/>
            <w:tcBorders>
              <w:right w:val="single" w:sz="8" w:color="424E6A"/>
            </w:tcBorders>
            <w:shd w:val="clear" w:color="auto" w:fill="424E6A"/>
          </w:tcPr>
          <w:p>
            <w:pPr>
              <w:jc w:val="right"/>
              <w:ind w:right="425"/>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424E6A"/>
          </w:tcPr>
          <w:p>
            <w:pPr>
              <w:spacing w:after="0"/>
              <w:rPr>
                <w:sz w:val="18"/>
                <w:szCs w:val="18"/>
                <w:color w:val="auto"/>
              </w:rPr>
            </w:pPr>
          </w:p>
        </w:tc>
        <w:tc>
          <w:tcPr>
            <w:tcW w:w="720" w:type="dxa"/>
            <w:vAlign w:val="bottom"/>
            <w:shd w:val="clear" w:color="auto" w:fill="424E6A"/>
          </w:tcPr>
          <w:p>
            <w:pPr>
              <w:ind w:left="2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right w:val="single" w:sz="8" w:color="424E6A"/>
            </w:tcBorders>
            <w:shd w:val="clear" w:color="auto" w:fill="424E6A"/>
          </w:tcPr>
          <w:p>
            <w:pPr>
              <w:spacing w:after="0"/>
              <w:rPr>
                <w:sz w:val="18"/>
                <w:szCs w:val="18"/>
                <w:color w:val="auto"/>
              </w:rPr>
            </w:pPr>
          </w:p>
        </w:tc>
        <w:tc>
          <w:tcPr>
            <w:tcW w:w="220" w:type="dxa"/>
            <w:vAlign w:val="bottom"/>
            <w:shd w:val="clear" w:color="auto" w:fill="424E6A"/>
          </w:tcPr>
          <w:p>
            <w:pPr>
              <w:spacing w:after="0"/>
              <w:rPr>
                <w:sz w:val="18"/>
                <w:szCs w:val="18"/>
                <w:color w:val="auto"/>
              </w:rPr>
            </w:pPr>
          </w:p>
        </w:tc>
        <w:tc>
          <w:tcPr>
            <w:tcW w:w="700" w:type="dxa"/>
            <w:vAlign w:val="bottom"/>
            <w:shd w:val="clear" w:color="auto" w:fill="424E6A"/>
          </w:tcPr>
          <w:p>
            <w:pPr>
              <w:ind w:left="24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right w:val="single" w:sz="8" w:color="424E6A"/>
            </w:tcBorders>
            <w:shd w:val="clear" w:color="auto" w:fill="424E6A"/>
          </w:tcPr>
          <w:p>
            <w:pPr>
              <w:spacing w:after="0"/>
              <w:rPr>
                <w:sz w:val="18"/>
                <w:szCs w:val="18"/>
                <w:color w:val="auto"/>
              </w:rPr>
            </w:pPr>
          </w:p>
        </w:tc>
        <w:tc>
          <w:tcPr>
            <w:tcW w:w="220" w:type="dxa"/>
            <w:vAlign w:val="bottom"/>
            <w:shd w:val="clear" w:color="auto" w:fill="424E6A"/>
          </w:tcPr>
          <w:p>
            <w:pPr>
              <w:spacing w:after="0"/>
              <w:rPr>
                <w:sz w:val="18"/>
                <w:szCs w:val="18"/>
                <w:color w:val="auto"/>
              </w:rPr>
            </w:pPr>
          </w:p>
        </w:tc>
        <w:tc>
          <w:tcPr>
            <w:tcW w:w="640" w:type="dxa"/>
            <w:vAlign w:val="bottom"/>
            <w:shd w:val="clear" w:color="auto" w:fill="424E6A"/>
          </w:tcPr>
          <w:p>
            <w:pPr>
              <w:jc w:val="right"/>
              <w:ind w:right="189"/>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right w:val="single" w:sz="8" w:color="424E6A"/>
            </w:tcBorders>
            <w:shd w:val="clear" w:color="auto" w:fill="424E6A"/>
          </w:tcPr>
          <w:p>
            <w:pPr>
              <w:spacing w:after="0"/>
              <w:rPr>
                <w:sz w:val="18"/>
                <w:szCs w:val="18"/>
                <w:color w:val="auto"/>
              </w:rPr>
            </w:pPr>
          </w:p>
        </w:tc>
        <w:tc>
          <w:tcPr>
            <w:tcW w:w="580" w:type="dxa"/>
            <w:vAlign w:val="bottom"/>
            <w:shd w:val="clear" w:color="auto" w:fill="424E6A"/>
          </w:tcPr>
          <w:p>
            <w:pPr>
              <w:spacing w:after="0"/>
              <w:rPr>
                <w:sz w:val="18"/>
                <w:szCs w:val="18"/>
                <w:color w:val="auto"/>
              </w:rPr>
            </w:pPr>
          </w:p>
        </w:tc>
        <w:tc>
          <w:tcPr>
            <w:tcW w:w="720" w:type="dxa"/>
            <w:vAlign w:val="bottom"/>
            <w:shd w:val="clear" w:color="auto" w:fill="424E6A"/>
          </w:tcPr>
          <w:p>
            <w:pPr>
              <w:jc w:val="right"/>
              <w:ind w:right="227"/>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424E6A"/>
          </w:tcPr>
          <w:p>
            <w:pPr>
              <w:spacing w:after="0"/>
              <w:rPr>
                <w:sz w:val="18"/>
                <w:szCs w:val="18"/>
                <w:color w:val="auto"/>
              </w:rPr>
            </w:pPr>
          </w:p>
        </w:tc>
        <w:tc>
          <w:tcPr>
            <w:tcW w:w="22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424E6A"/>
              <w:bottom w:val="single" w:sz="8" w:color="D9DCE1"/>
            </w:tcBorders>
            <w:shd w:val="clear" w:color="auto" w:fill="D9DCE1"/>
          </w:tcPr>
          <w:p>
            <w:pPr>
              <w:ind w:left="60"/>
              <w:spacing w:after="0" w:line="216" w:lineRule="exact"/>
              <w:rPr>
                <w:sz w:val="20"/>
                <w:szCs w:val="20"/>
                <w:color w:val="auto"/>
              </w:rPr>
            </w:pPr>
            <w:r>
              <w:rPr>
                <w:rFonts w:ascii="Arial" w:cs="Arial" w:eastAsia="Arial" w:hAnsi="Arial"/>
                <w:sz w:val="15"/>
                <w:szCs w:val="15"/>
                <w:b w:val="1"/>
                <w:bCs w:val="1"/>
                <w:color w:val="auto"/>
              </w:rPr>
              <w:t>Willie Chiang</w:t>
            </w:r>
            <w:r>
              <w:rPr>
                <w:rFonts w:ascii="Arial" w:cs="Arial" w:eastAsia="Arial" w:hAnsi="Arial"/>
                <w:sz w:val="19"/>
                <w:szCs w:val="19"/>
                <w:b w:val="1"/>
                <w:bCs w:val="1"/>
                <w:color w:val="auto"/>
                <w:vertAlign w:val="superscript"/>
              </w:rPr>
              <w:t>(7)</w:t>
            </w:r>
          </w:p>
        </w:tc>
        <w:tc>
          <w:tcPr>
            <w:tcW w:w="200" w:type="dxa"/>
            <w:vAlign w:val="bottom"/>
            <w:tcBorders>
              <w:bottom w:val="single" w:sz="8" w:color="D9DCE1"/>
              <w:right w:val="single" w:sz="8" w:color="424E6A"/>
            </w:tcBorders>
            <w:shd w:val="clear" w:color="auto" w:fill="D9DCE1"/>
          </w:tcPr>
          <w:p>
            <w:pPr>
              <w:ind w:left="1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D9DCE1"/>
              <w:right w:val="single" w:sz="8" w:color="424E6A"/>
            </w:tcBorders>
            <w:shd w:val="clear" w:color="auto" w:fill="D9DCE1"/>
          </w:tcPr>
          <w:p>
            <w:pPr>
              <w:spacing w:after="0"/>
              <w:rPr>
                <w:sz w:val="21"/>
                <w:szCs w:val="21"/>
                <w:color w:val="auto"/>
              </w:rPr>
            </w:pP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1"/>
                <w:szCs w:val="21"/>
                <w:color w:val="auto"/>
              </w:rPr>
            </w:pPr>
          </w:p>
        </w:tc>
        <w:tc>
          <w:tcPr>
            <w:tcW w:w="200" w:type="dxa"/>
            <w:vAlign w:val="bottom"/>
            <w:tcBorders>
              <w:bottom w:val="single" w:sz="8" w:color="D9DCE1"/>
              <w:right w:val="single" w:sz="8" w:color="424E6A"/>
            </w:tcBorders>
            <w:shd w:val="clear" w:color="auto" w:fill="D9DCE1"/>
          </w:tcPr>
          <w:p>
            <w:pPr>
              <w:spacing w:after="0"/>
              <w:rPr>
                <w:sz w:val="21"/>
                <w:szCs w:val="21"/>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D9DCE1"/>
            </w:tcBorders>
            <w:shd w:val="clear" w:color="auto" w:fill="D9DCE1"/>
          </w:tcPr>
          <w:p>
            <w:pPr>
              <w:spacing w:after="0"/>
              <w:rPr>
                <w:sz w:val="21"/>
                <w:szCs w:val="21"/>
                <w:color w:val="auto"/>
              </w:rPr>
            </w:pPr>
          </w:p>
        </w:tc>
        <w:tc>
          <w:tcPr>
            <w:tcW w:w="200" w:type="dxa"/>
            <w:vAlign w:val="bottom"/>
            <w:tcBorders>
              <w:bottom w:val="single" w:sz="8" w:color="D9DCE1"/>
              <w:right w:val="single" w:sz="8" w:color="424E6A"/>
            </w:tcBorders>
            <w:shd w:val="clear" w:color="auto" w:fill="D9DCE1"/>
          </w:tcPr>
          <w:p>
            <w:pPr>
              <w:spacing w:after="0"/>
              <w:rPr>
                <w:sz w:val="21"/>
                <w:szCs w:val="21"/>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D9DCE1"/>
            </w:tcBorders>
            <w:shd w:val="clear" w:color="auto" w:fill="D9DCE1"/>
          </w:tcPr>
          <w:p>
            <w:pPr>
              <w:spacing w:after="0"/>
              <w:rPr>
                <w:sz w:val="21"/>
                <w:szCs w:val="21"/>
                <w:color w:val="auto"/>
              </w:rPr>
            </w:pPr>
          </w:p>
        </w:tc>
        <w:tc>
          <w:tcPr>
            <w:tcW w:w="220" w:type="dxa"/>
            <w:vAlign w:val="bottom"/>
            <w:tcBorders>
              <w:bottom w:val="single" w:sz="8" w:color="D9DCE1"/>
              <w:right w:val="single" w:sz="8" w:color="424E6A"/>
            </w:tcBorders>
            <w:shd w:val="clear" w:color="auto" w:fill="D9DCE1"/>
          </w:tcPr>
          <w:p>
            <w:pPr>
              <w:jc w:val="right"/>
              <w:ind w:right="9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D9DCE1"/>
            </w:tcBorders>
            <w:shd w:val="clear" w:color="auto" w:fill="D9DCE1"/>
          </w:tcPr>
          <w:p>
            <w:pPr>
              <w:ind w:left="5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1"/>
                <w:szCs w:val="21"/>
                <w:color w:val="auto"/>
              </w:rPr>
            </w:pPr>
          </w:p>
        </w:tc>
        <w:tc>
          <w:tcPr>
            <w:tcW w:w="340" w:type="dxa"/>
            <w:vAlign w:val="bottom"/>
            <w:tcBorders>
              <w:bottom w:val="single" w:sz="8" w:color="D9DCE1"/>
            </w:tcBorders>
            <w:shd w:val="clear" w:color="auto" w:fill="D9DCE1"/>
          </w:tcPr>
          <w:p>
            <w:pPr>
              <w:spacing w:after="0"/>
              <w:rPr>
                <w:sz w:val="21"/>
                <w:szCs w:val="21"/>
                <w:color w:val="auto"/>
              </w:rPr>
            </w:pPr>
          </w:p>
        </w:tc>
        <w:tc>
          <w:tcPr>
            <w:tcW w:w="2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1780" w:type="dxa"/>
            <w:vAlign w:val="bottom"/>
            <w:tcBorders>
              <w:top w:val="single" w:sz="8" w:color="424E6A"/>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200" w:type="dxa"/>
            <w:vAlign w:val="bottom"/>
            <w:tcBorders>
              <w:top w:val="single" w:sz="8" w:color="424E6A"/>
              <w:right w:val="single" w:sz="8" w:color="424E6A"/>
            </w:tcBorders>
            <w:vMerge w:val="restart"/>
          </w:tcPr>
          <w:p>
            <w:pPr>
              <w:ind w:left="14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424E6A"/>
              <w:right w:val="single" w:sz="8" w:color="424E6A"/>
            </w:tcBorders>
            <w:gridSpan w:val="2"/>
          </w:tcPr>
          <w:p>
            <w:pPr>
              <w:jc w:val="right"/>
              <w:ind w:right="5"/>
              <w:spacing w:after="0" w:line="156" w:lineRule="exact"/>
              <w:rPr>
                <w:sz w:val="20"/>
                <w:szCs w:val="20"/>
                <w:color w:val="auto"/>
              </w:rPr>
            </w:pPr>
            <w:r>
              <w:rPr>
                <w:rFonts w:ascii="Arial" w:cs="Arial" w:eastAsia="Arial" w:hAnsi="Arial"/>
                <w:sz w:val="15"/>
                <w:szCs w:val="15"/>
                <w:color w:val="auto"/>
              </w:rPr>
              <w:t>21,590,828</w:t>
            </w:r>
            <w:r>
              <w:rPr>
                <w:rFonts w:ascii="Arial" w:cs="Arial" w:eastAsia="Arial" w:hAnsi="Arial"/>
                <w:sz w:val="18"/>
                <w:szCs w:val="18"/>
                <w:color w:val="auto"/>
                <w:vertAlign w:val="superscript"/>
              </w:rPr>
              <w:t>(1)</w:t>
            </w:r>
          </w:p>
        </w:tc>
        <w:tc>
          <w:tcPr>
            <w:tcW w:w="1120" w:type="dxa"/>
            <w:vAlign w:val="bottom"/>
            <w:tcBorders>
              <w:top w:val="single" w:sz="8" w:color="424E6A"/>
              <w:right w:val="single" w:sz="8" w:color="424E6A"/>
            </w:tcBorders>
            <w:gridSpan w:val="3"/>
          </w:tcPr>
          <w:p>
            <w:pPr>
              <w:jc w:val="right"/>
              <w:ind w:right="11"/>
              <w:spacing w:after="0" w:line="156" w:lineRule="exact"/>
              <w:rPr>
                <w:sz w:val="20"/>
                <w:szCs w:val="20"/>
                <w:color w:val="auto"/>
              </w:rPr>
            </w:pPr>
            <w:r>
              <w:rPr>
                <w:rFonts w:ascii="Arial" w:cs="Arial" w:eastAsia="Arial" w:hAnsi="Arial"/>
                <w:sz w:val="15"/>
                <w:szCs w:val="15"/>
                <w:color w:val="auto"/>
              </w:rPr>
              <w:t>21,590,828</w:t>
            </w:r>
            <w:r>
              <w:rPr>
                <w:rFonts w:ascii="Arial" w:cs="Arial" w:eastAsia="Arial" w:hAnsi="Arial"/>
                <w:sz w:val="18"/>
                <w:szCs w:val="18"/>
                <w:color w:val="auto"/>
                <w:vertAlign w:val="superscript"/>
              </w:rPr>
              <w:t>(1)</w:t>
            </w:r>
          </w:p>
        </w:tc>
        <w:tc>
          <w:tcPr>
            <w:tcW w:w="1120" w:type="dxa"/>
            <w:vAlign w:val="bottom"/>
            <w:tcBorders>
              <w:top w:val="single" w:sz="8" w:color="424E6A"/>
              <w:right w:val="single" w:sz="8" w:color="424E6A"/>
            </w:tcBorders>
            <w:gridSpan w:val="3"/>
          </w:tcPr>
          <w:p>
            <w:pPr>
              <w:jc w:val="right"/>
              <w:ind w:right="11"/>
              <w:spacing w:after="0" w:line="156" w:lineRule="exact"/>
              <w:rPr>
                <w:sz w:val="20"/>
                <w:szCs w:val="20"/>
                <w:color w:val="auto"/>
              </w:rPr>
            </w:pPr>
            <w:r>
              <w:rPr>
                <w:rFonts w:ascii="Arial" w:cs="Arial" w:eastAsia="Arial" w:hAnsi="Arial"/>
                <w:sz w:val="15"/>
                <w:szCs w:val="15"/>
                <w:color w:val="auto"/>
              </w:rPr>
              <w:t>17,042,295</w:t>
            </w:r>
            <w:r>
              <w:rPr>
                <w:rFonts w:ascii="Arial" w:cs="Arial" w:eastAsia="Arial" w:hAnsi="Arial"/>
                <w:sz w:val="18"/>
                <w:szCs w:val="18"/>
                <w:color w:val="auto"/>
                <w:vertAlign w:val="superscript"/>
              </w:rPr>
              <w:t>(2)</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424E6A"/>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424E6A"/>
              <w:right w:val="single" w:sz="8" w:color="424E6A"/>
            </w:tcBorders>
            <w:vMerge w:val="restart"/>
          </w:tcPr>
          <w:p>
            <w:pPr>
              <w:jc w:val="right"/>
              <w:ind w:right="90"/>
              <w:spacing w:after="0"/>
              <w:rPr>
                <w:sz w:val="20"/>
                <w:szCs w:val="20"/>
                <w:color w:val="auto"/>
              </w:rPr>
            </w:pPr>
            <w:r>
              <w:rPr>
                <w:rFonts w:ascii="Arial" w:cs="Arial" w:eastAsia="Arial" w:hAnsi="Arial"/>
                <w:sz w:val="15"/>
                <w:szCs w:val="15"/>
                <w:color w:val="auto"/>
              </w:rPr>
              <w:t>​</w:t>
            </w:r>
          </w:p>
        </w:tc>
        <w:tc>
          <w:tcPr>
            <w:tcW w:w="1640" w:type="dxa"/>
            <w:vAlign w:val="bottom"/>
            <w:tcBorders>
              <w:top w:val="single" w:sz="8" w:color="424E6A"/>
            </w:tcBorders>
            <w:gridSpan w:val="3"/>
          </w:tcPr>
          <w:p>
            <w:pPr>
              <w:jc w:val="right"/>
              <w:ind w:right="171"/>
              <w:spacing w:after="0" w:line="156" w:lineRule="exact"/>
              <w:rPr>
                <w:sz w:val="20"/>
                <w:szCs w:val="20"/>
                <w:color w:val="auto"/>
              </w:rPr>
            </w:pPr>
            <w:r>
              <w:rPr>
                <w:rFonts w:ascii="Arial" w:cs="Arial" w:eastAsia="Arial" w:hAnsi="Arial"/>
                <w:sz w:val="15"/>
                <w:szCs w:val="15"/>
                <w:color w:val="auto"/>
              </w:rPr>
              <w:t>27,701,198</w:t>
            </w:r>
            <w:r>
              <w:rPr>
                <w:rFonts w:ascii="Arial" w:cs="Arial" w:eastAsia="Arial" w:hAnsi="Arial"/>
                <w:sz w:val="18"/>
                <w:szCs w:val="18"/>
                <w:color w:val="auto"/>
                <w:vertAlign w:val="superscript"/>
              </w:rPr>
              <w:t>(3)</w:t>
            </w:r>
          </w:p>
        </w:tc>
        <w:tc>
          <w:tcPr>
            <w:tcW w:w="22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1780" w:type="dxa"/>
            <w:vAlign w:val="bottom"/>
            <w:tcBorders>
              <w:left w:val="single" w:sz="8" w:color="424E6A"/>
              <w:bottom w:val="single" w:sz="8" w:color="424E6A"/>
            </w:tcBorders>
          </w:tcPr>
          <w:p>
            <w:pPr>
              <w:spacing w:after="0"/>
              <w:rPr>
                <w:sz w:val="5"/>
                <w:szCs w:val="5"/>
                <w:color w:val="auto"/>
              </w:rPr>
            </w:pPr>
          </w:p>
        </w:tc>
        <w:tc>
          <w:tcPr>
            <w:tcW w:w="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right w:val="single" w:sz="8" w:color="424E6A"/>
            </w:tcBorders>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200" w:type="dxa"/>
            <w:vAlign w:val="bottom"/>
            <w:tcBorders>
              <w:bottom w:val="single" w:sz="8" w:color="424E6A"/>
              <w:right w:val="single" w:sz="8" w:color="424E6A"/>
            </w:tcBorders>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200" w:type="dxa"/>
            <w:vAlign w:val="bottom"/>
            <w:tcBorders>
              <w:bottom w:val="single" w:sz="8" w:color="424E6A"/>
              <w:right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64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580" w:type="dxa"/>
            <w:vAlign w:val="bottom"/>
            <w:tcBorders>
              <w:bottom w:val="single" w:sz="8" w:color="424E6A"/>
            </w:tcBorders>
          </w:tcPr>
          <w:p>
            <w:pPr>
              <w:ind w:left="50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424E6A"/>
            </w:tcBorders>
          </w:tcPr>
          <w:p>
            <w:pPr>
              <w:spacing w:after="0"/>
              <w:rPr>
                <w:sz w:val="5"/>
                <w:szCs w:val="5"/>
                <w:color w:val="auto"/>
              </w:rPr>
            </w:pPr>
          </w:p>
        </w:tc>
        <w:tc>
          <w:tcPr>
            <w:tcW w:w="34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424E6A"/>
              <w:right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21,590,828</w:t>
            </w: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21,590,828</w:t>
            </w:r>
          </w:p>
        </w:tc>
        <w:tc>
          <w:tcPr>
            <w:tcW w:w="20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17,042,295</w:t>
            </w:r>
          </w:p>
        </w:tc>
        <w:tc>
          <w:tcPr>
            <w:tcW w:w="200" w:type="dxa"/>
            <w:vAlign w:val="bottom"/>
            <w:tcBorders>
              <w:bottom w:val="single" w:sz="8" w:color="424E6A"/>
              <w:right w:val="single" w:sz="8" w:color="424E6A"/>
            </w:tcBorders>
          </w:tcPr>
          <w:p>
            <w:pPr>
              <w:spacing w:after="0"/>
              <w:rPr>
                <w:sz w:val="19"/>
                <w:szCs w:val="19"/>
                <w:color w:val="auto"/>
              </w:rPr>
            </w:pP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424E6A"/>
              <w:right w:val="single" w:sz="8" w:color="424E6A"/>
            </w:tcBorders>
            <w:gridSpan w:val="2"/>
          </w:tcPr>
          <w:p>
            <w:pPr>
              <w:jc w:val="right"/>
              <w:ind w:right="9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1300" w:type="dxa"/>
            <w:vAlign w:val="bottom"/>
            <w:tcBorders>
              <w:bottom w:val="single" w:sz="8" w:color="424E6A"/>
            </w:tcBorders>
            <w:gridSpan w:val="2"/>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27,701,198</w:t>
            </w:r>
          </w:p>
        </w:tc>
        <w:tc>
          <w:tcPr>
            <w:tcW w:w="340" w:type="dxa"/>
            <w:vAlign w:val="bottom"/>
            <w:tcBorders>
              <w:bottom w:val="single" w:sz="8" w:color="424E6A"/>
            </w:tcBorders>
          </w:tcPr>
          <w:p>
            <w:pPr>
              <w:spacing w:after="0"/>
              <w:rPr>
                <w:sz w:val="19"/>
                <w:szCs w:val="19"/>
                <w:color w:val="auto"/>
              </w:rPr>
            </w:pPr>
          </w:p>
        </w:tc>
        <w:tc>
          <w:tcPr>
            <w:tcW w:w="2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78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Harry Pefanis</w:t>
            </w:r>
            <w:r>
              <w:rPr>
                <w:rFonts w:ascii="Arial" w:cs="Arial" w:eastAsia="Arial" w:hAnsi="Arial"/>
                <w:sz w:val="19"/>
                <w:szCs w:val="19"/>
                <w:b w:val="1"/>
                <w:bCs w:val="1"/>
                <w:color w:val="auto"/>
                <w:vertAlign w:val="superscript"/>
              </w:rPr>
              <w:t>(7)</w:t>
            </w:r>
          </w:p>
        </w:tc>
        <w:tc>
          <w:tcPr>
            <w:tcW w:w="20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424E6A"/>
              <w:right w:val="single" w:sz="8" w:color="424E6A"/>
            </w:tcBorders>
            <w:shd w:val="clear" w:color="auto" w:fill="D9DCE1"/>
          </w:tcPr>
          <w:p>
            <w:pPr>
              <w:spacing w:after="0"/>
              <w:rPr>
                <w:sz w:val="20"/>
                <w:szCs w:val="20"/>
                <w:color w:val="auto"/>
              </w:rPr>
            </w:pPr>
          </w:p>
        </w:tc>
        <w:tc>
          <w:tcPr>
            <w:tcW w:w="20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200" w:type="dxa"/>
            <w:vAlign w:val="bottom"/>
            <w:tcBorders>
              <w:bottom w:val="single" w:sz="8" w:color="424E6A"/>
              <w:right w:val="single" w:sz="8" w:color="424E6A"/>
            </w:tcBorders>
            <w:shd w:val="clear" w:color="auto" w:fill="D9DCE1"/>
          </w:tcPr>
          <w:p>
            <w:pPr>
              <w:spacing w:after="0"/>
              <w:rPr>
                <w:sz w:val="20"/>
                <w:szCs w:val="20"/>
                <w:color w:val="auto"/>
              </w:rPr>
            </w:pP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0"/>
                <w:szCs w:val="20"/>
                <w:color w:val="auto"/>
              </w:rPr>
            </w:pPr>
          </w:p>
        </w:tc>
        <w:tc>
          <w:tcPr>
            <w:tcW w:w="200" w:type="dxa"/>
            <w:vAlign w:val="bottom"/>
            <w:tcBorders>
              <w:bottom w:val="single" w:sz="8" w:color="424E6A"/>
              <w:right w:val="single" w:sz="8" w:color="424E6A"/>
            </w:tcBorders>
            <w:shd w:val="clear" w:color="auto" w:fill="D9DCE1"/>
          </w:tcPr>
          <w:p>
            <w:pPr>
              <w:spacing w:after="0"/>
              <w:rPr>
                <w:sz w:val="20"/>
                <w:szCs w:val="20"/>
                <w:color w:val="auto"/>
              </w:rPr>
            </w:pP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9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24E6A"/>
            </w:tcBorders>
            <w:shd w:val="clear" w:color="auto" w:fill="D9DCE1"/>
          </w:tcPr>
          <w:p>
            <w:pPr>
              <w:ind w:left="5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34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1780" w:type="dxa"/>
            <w:vAlign w:val="bottom"/>
            <w:tcBorders>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Salary and Bonus</w:t>
            </w:r>
          </w:p>
        </w:tc>
        <w:tc>
          <w:tcPr>
            <w:tcW w:w="200" w:type="dxa"/>
            <w:vAlign w:val="bottom"/>
            <w:tcBorders>
              <w:right w:val="single" w:sz="8" w:color="424E6A"/>
            </w:tcBorders>
            <w:vMerge w:val="restart"/>
          </w:tcPr>
          <w:p>
            <w:pPr>
              <w:ind w:left="140"/>
              <w:spacing w:after="0"/>
              <w:rPr>
                <w:sz w:val="20"/>
                <w:szCs w:val="20"/>
                <w:color w:val="auto"/>
              </w:rPr>
            </w:pPr>
            <w:r>
              <w:rPr>
                <w:rFonts w:ascii="Arial" w:cs="Arial" w:eastAsia="Arial" w:hAnsi="Arial"/>
                <w:sz w:val="15"/>
                <w:szCs w:val="15"/>
                <w:color w:val="auto"/>
              </w:rPr>
              <w:t>​</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424E6A"/>
            </w:tcBorders>
          </w:tcPr>
          <w:p>
            <w:pPr>
              <w:jc w:val="right"/>
              <w:ind w:right="5"/>
              <w:spacing w:after="0" w:line="156" w:lineRule="exact"/>
              <w:rPr>
                <w:sz w:val="20"/>
                <w:szCs w:val="20"/>
                <w:color w:val="auto"/>
              </w:rPr>
            </w:pPr>
            <w:r>
              <w:rPr>
                <w:rFonts w:ascii="Arial" w:cs="Arial" w:eastAsia="Arial" w:hAnsi="Arial"/>
                <w:sz w:val="15"/>
                <w:szCs w:val="15"/>
                <w:color w:val="auto"/>
                <w:w w:val="98"/>
              </w:rPr>
              <w:t>5,410,000</w:t>
            </w:r>
            <w:r>
              <w:rPr>
                <w:rFonts w:ascii="Arial" w:cs="Arial" w:eastAsia="Arial" w:hAnsi="Arial"/>
                <w:sz w:val="18"/>
                <w:szCs w:val="18"/>
                <w:color w:val="auto"/>
                <w:w w:val="98"/>
                <w:vertAlign w:val="superscript"/>
              </w:rPr>
              <w:t>(4)</w:t>
            </w:r>
          </w:p>
        </w:tc>
        <w:tc>
          <w:tcPr>
            <w:tcW w:w="20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424E6A"/>
            </w:tcBorders>
            <w:gridSpan w:val="2"/>
          </w:tcPr>
          <w:p>
            <w:pPr>
              <w:jc w:val="right"/>
              <w:ind w:right="11"/>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22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424E6A"/>
            </w:tcBorders>
            <w:gridSpan w:val="2"/>
          </w:tcPr>
          <w:p>
            <w:pPr>
              <w:jc w:val="right"/>
              <w:ind w:right="11"/>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1080" w:type="dxa"/>
            <w:vAlign w:val="bottom"/>
            <w:tcBorders>
              <w:right w:val="single" w:sz="8" w:color="424E6A"/>
            </w:tcBorders>
            <w:gridSpan w:val="3"/>
          </w:tcPr>
          <w:p>
            <w:pPr>
              <w:jc w:val="right"/>
              <w:ind w:right="30"/>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580" w:type="dxa"/>
            <w:vAlign w:val="bottom"/>
            <w:vMerge w:val="restart"/>
          </w:tcPr>
          <w:p>
            <w:pPr>
              <w:ind w:left="5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71"/>
              <w:spacing w:after="0" w:line="156" w:lineRule="exact"/>
              <w:rPr>
                <w:sz w:val="20"/>
                <w:szCs w:val="20"/>
                <w:color w:val="auto"/>
              </w:rPr>
            </w:pPr>
            <w:r>
              <w:rPr>
                <w:rFonts w:ascii="Arial" w:cs="Arial" w:eastAsia="Arial" w:hAnsi="Arial"/>
                <w:sz w:val="15"/>
                <w:szCs w:val="15"/>
                <w:color w:val="auto"/>
              </w:rPr>
              <w:t>8,115,000</w:t>
            </w:r>
            <w:r>
              <w:rPr>
                <w:rFonts w:ascii="Arial" w:cs="Arial" w:eastAsia="Arial" w:hAnsi="Arial"/>
                <w:sz w:val="18"/>
                <w:szCs w:val="18"/>
                <w:color w:val="auto"/>
                <w:vertAlign w:val="superscript"/>
              </w:rPr>
              <w:t>(5)</w:t>
            </w:r>
          </w:p>
        </w:tc>
        <w:tc>
          <w:tcPr>
            <w:tcW w:w="2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1780" w:type="dxa"/>
            <w:vAlign w:val="bottom"/>
            <w:tcBorders>
              <w:left w:val="single" w:sz="8" w:color="424E6A"/>
              <w:bottom w:val="single" w:sz="8" w:color="424E6A"/>
            </w:tcBorders>
          </w:tcPr>
          <w:p>
            <w:pPr>
              <w:spacing w:after="0"/>
              <w:rPr>
                <w:sz w:val="5"/>
                <w:szCs w:val="5"/>
                <w:color w:val="auto"/>
              </w:rPr>
            </w:pPr>
          </w:p>
        </w:tc>
        <w:tc>
          <w:tcPr>
            <w:tcW w:w="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900" w:type="dxa"/>
            <w:vAlign w:val="bottom"/>
            <w:tcBorders>
              <w:bottom w:val="single" w:sz="8" w:color="424E6A"/>
              <w:right w:val="single" w:sz="8" w:color="424E6A"/>
            </w:tcBorders>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20" w:type="dxa"/>
            <w:vAlign w:val="bottom"/>
            <w:tcBorders>
              <w:bottom w:val="single" w:sz="8" w:color="424E6A"/>
            </w:tcBorders>
          </w:tcPr>
          <w:p>
            <w:pPr>
              <w:spacing w:after="0"/>
              <w:rPr>
                <w:sz w:val="5"/>
                <w:szCs w:val="5"/>
                <w:color w:val="auto"/>
              </w:rPr>
            </w:pPr>
          </w:p>
        </w:tc>
        <w:tc>
          <w:tcPr>
            <w:tcW w:w="200" w:type="dxa"/>
            <w:vAlign w:val="bottom"/>
            <w:tcBorders>
              <w:bottom w:val="single" w:sz="8" w:color="424E6A"/>
              <w:right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00" w:type="dxa"/>
            <w:vAlign w:val="bottom"/>
            <w:tcBorders>
              <w:bottom w:val="single" w:sz="8" w:color="424E6A"/>
            </w:tcBorders>
          </w:tcPr>
          <w:p>
            <w:pPr>
              <w:spacing w:after="0"/>
              <w:rPr>
                <w:sz w:val="5"/>
                <w:szCs w:val="5"/>
                <w:color w:val="auto"/>
              </w:rPr>
            </w:pPr>
          </w:p>
        </w:tc>
        <w:tc>
          <w:tcPr>
            <w:tcW w:w="200" w:type="dxa"/>
            <w:vAlign w:val="bottom"/>
            <w:tcBorders>
              <w:bottom w:val="single" w:sz="8" w:color="424E6A"/>
              <w:right w:val="single" w:sz="8" w:color="424E6A"/>
            </w:tcBorders>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90"/>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424E6A"/>
            </w:tcBorders>
            <w:vMerge w:val="continue"/>
          </w:tcPr>
          <w:p>
            <w:pPr>
              <w:spacing w:after="0"/>
              <w:rPr>
                <w:sz w:val="5"/>
                <w:szCs w:val="5"/>
                <w:color w:val="auto"/>
              </w:rPr>
            </w:pPr>
          </w:p>
        </w:tc>
        <w:tc>
          <w:tcPr>
            <w:tcW w:w="720" w:type="dxa"/>
            <w:vAlign w:val="bottom"/>
            <w:tcBorders>
              <w:bottom w:val="single" w:sz="8" w:color="424E6A"/>
            </w:tcBorders>
          </w:tcPr>
          <w:p>
            <w:pPr>
              <w:spacing w:after="0"/>
              <w:rPr>
                <w:sz w:val="5"/>
                <w:szCs w:val="5"/>
                <w:color w:val="auto"/>
              </w:rPr>
            </w:pPr>
          </w:p>
        </w:tc>
        <w:tc>
          <w:tcPr>
            <w:tcW w:w="34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780" w:type="dxa"/>
            <w:vAlign w:val="bottom"/>
            <w:tcBorders>
              <w:left w:val="single" w:sz="8" w:color="424E6A"/>
            </w:tcBorders>
            <w:vMerge w:val="restart"/>
          </w:tcPr>
          <w:p>
            <w:pPr>
              <w:ind w:left="220"/>
              <w:spacing w:after="0"/>
              <w:rPr>
                <w:sz w:val="20"/>
                <w:szCs w:val="20"/>
                <w:color w:val="auto"/>
              </w:rPr>
            </w:pPr>
            <w:r>
              <w:rPr>
                <w:rFonts w:ascii="Arial" w:cs="Arial" w:eastAsia="Arial" w:hAnsi="Arial"/>
                <w:sz w:val="15"/>
                <w:szCs w:val="15"/>
                <w:color w:val="auto"/>
              </w:rPr>
              <w:t>Health Benefits</w:t>
            </w:r>
          </w:p>
        </w:tc>
        <w:tc>
          <w:tcPr>
            <w:tcW w:w="200" w:type="dxa"/>
            <w:vAlign w:val="bottom"/>
            <w:tcBorders>
              <w:right w:val="single" w:sz="8" w:color="424E6A"/>
            </w:tcBorders>
            <w:vMerge w:val="restart"/>
          </w:tcPr>
          <w:p>
            <w:pPr>
              <w:ind w:left="140"/>
              <w:spacing w:after="0"/>
              <w:rPr>
                <w:sz w:val="20"/>
                <w:szCs w:val="20"/>
                <w:color w:val="auto"/>
              </w:rPr>
            </w:pPr>
            <w:r>
              <w:rPr>
                <w:rFonts w:ascii="Arial" w:cs="Arial" w:eastAsia="Arial" w:hAnsi="Arial"/>
                <w:sz w:val="15"/>
                <w:szCs w:val="15"/>
                <w:color w:val="auto"/>
              </w:rPr>
              <w:t>​</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424E6A"/>
            </w:tcBorders>
            <w:vMerge w:val="restart"/>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ind w:left="260"/>
              <w:spacing w:after="0"/>
              <w:rPr>
                <w:sz w:val="20"/>
                <w:szCs w:val="20"/>
                <w:color w:val="auto"/>
              </w:rPr>
            </w:pPr>
            <w:r>
              <w:rPr>
                <w:rFonts w:ascii="Arial" w:cs="Arial" w:eastAsia="Arial" w:hAnsi="Arial"/>
                <w:sz w:val="15"/>
                <w:szCs w:val="15"/>
                <w:color w:val="auto"/>
                <w:w w:val="95"/>
              </w:rPr>
              <w:t>39,388</w:t>
            </w:r>
          </w:p>
        </w:tc>
        <w:tc>
          <w:tcPr>
            <w:tcW w:w="200" w:type="dxa"/>
            <w:vAlign w:val="bottom"/>
            <w:tcBorders>
              <w:right w:val="single" w:sz="8" w:color="424E6A"/>
            </w:tcBorders>
          </w:tcPr>
          <w:p>
            <w:pPr>
              <w:jc w:val="right"/>
              <w:ind w:right="11"/>
              <w:spacing w:after="0" w:line="102" w:lineRule="exact"/>
              <w:rPr>
                <w:sz w:val="20"/>
                <w:szCs w:val="20"/>
                <w:color w:val="auto"/>
              </w:rPr>
            </w:pPr>
            <w:r>
              <w:rPr>
                <w:rFonts w:ascii="Arial" w:cs="Arial" w:eastAsia="Arial" w:hAnsi="Arial"/>
                <w:sz w:val="10"/>
                <w:szCs w:val="10"/>
                <w:color w:val="auto"/>
                <w:w w:val="97"/>
              </w:rPr>
              <w:t>(6)</w:t>
            </w:r>
          </w:p>
        </w:tc>
        <w:tc>
          <w:tcPr>
            <w:tcW w:w="22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ind w:left="240"/>
              <w:spacing w:after="0"/>
              <w:rPr>
                <w:sz w:val="20"/>
                <w:szCs w:val="20"/>
                <w:color w:val="auto"/>
              </w:rPr>
            </w:pPr>
            <w:r>
              <w:rPr>
                <w:rFonts w:ascii="Arial" w:cs="Arial" w:eastAsia="Arial" w:hAnsi="Arial"/>
                <w:sz w:val="15"/>
                <w:szCs w:val="15"/>
                <w:color w:val="auto"/>
                <w:w w:val="95"/>
              </w:rPr>
              <w:t>39,388</w:t>
            </w:r>
          </w:p>
        </w:tc>
        <w:tc>
          <w:tcPr>
            <w:tcW w:w="200" w:type="dxa"/>
            <w:vAlign w:val="bottom"/>
            <w:tcBorders>
              <w:right w:val="single" w:sz="8" w:color="424E6A"/>
            </w:tcBorders>
          </w:tcPr>
          <w:p>
            <w:pPr>
              <w:jc w:val="right"/>
              <w:ind w:right="11"/>
              <w:spacing w:after="0" w:line="102" w:lineRule="exact"/>
              <w:rPr>
                <w:sz w:val="20"/>
                <w:szCs w:val="20"/>
                <w:color w:val="auto"/>
              </w:rPr>
            </w:pPr>
            <w:r>
              <w:rPr>
                <w:rFonts w:ascii="Arial" w:cs="Arial" w:eastAsia="Arial" w:hAnsi="Arial"/>
                <w:sz w:val="10"/>
                <w:szCs w:val="10"/>
                <w:color w:val="auto"/>
                <w:w w:val="97"/>
              </w:rPr>
              <w:t>(6)</w:t>
            </w:r>
          </w:p>
        </w:tc>
        <w:tc>
          <w:tcPr>
            <w:tcW w:w="22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39,388</w:t>
            </w:r>
          </w:p>
        </w:tc>
        <w:tc>
          <w:tcPr>
            <w:tcW w:w="220" w:type="dxa"/>
            <w:vAlign w:val="bottom"/>
            <w:tcBorders>
              <w:right w:val="single" w:sz="8" w:color="424E6A"/>
            </w:tcBorders>
          </w:tcPr>
          <w:p>
            <w:pPr>
              <w:jc w:val="right"/>
              <w:ind w:right="30"/>
              <w:spacing w:after="0" w:line="102" w:lineRule="exact"/>
              <w:rPr>
                <w:sz w:val="20"/>
                <w:szCs w:val="20"/>
                <w:color w:val="auto"/>
              </w:rPr>
            </w:pPr>
            <w:r>
              <w:rPr>
                <w:rFonts w:ascii="Arial" w:cs="Arial" w:eastAsia="Arial" w:hAnsi="Arial"/>
                <w:sz w:val="10"/>
                <w:szCs w:val="10"/>
                <w:color w:val="auto"/>
                <w:w w:val="81"/>
              </w:rPr>
              <w:t>(6)</w:t>
            </w:r>
          </w:p>
        </w:tc>
        <w:tc>
          <w:tcPr>
            <w:tcW w:w="580" w:type="dxa"/>
            <w:vAlign w:val="bottom"/>
            <w:vMerge w:val="restart"/>
          </w:tcPr>
          <w:p>
            <w:pPr>
              <w:ind w:left="50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39,388</w:t>
            </w:r>
          </w:p>
        </w:tc>
        <w:tc>
          <w:tcPr>
            <w:tcW w:w="340" w:type="dxa"/>
            <w:vAlign w:val="bottom"/>
          </w:tcPr>
          <w:p>
            <w:pPr>
              <w:jc w:val="right"/>
              <w:ind w:right="171"/>
              <w:spacing w:after="0" w:line="102" w:lineRule="exact"/>
              <w:rPr>
                <w:sz w:val="20"/>
                <w:szCs w:val="20"/>
                <w:color w:val="auto"/>
              </w:rPr>
            </w:pPr>
            <w:r>
              <w:rPr>
                <w:rFonts w:ascii="Arial" w:cs="Arial" w:eastAsia="Arial" w:hAnsi="Arial"/>
                <w:sz w:val="10"/>
                <w:szCs w:val="10"/>
                <w:color w:val="auto"/>
                <w:w w:val="81"/>
              </w:rPr>
              <w:t>(6)</w:t>
            </w:r>
          </w:p>
        </w:tc>
        <w:tc>
          <w:tcPr>
            <w:tcW w:w="2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1"/>
        </w:trPr>
        <w:tc>
          <w:tcPr>
            <w:tcW w:w="1780" w:type="dxa"/>
            <w:vAlign w:val="bottom"/>
            <w:tcBorders>
              <w:left w:val="single" w:sz="8" w:color="424E6A"/>
              <w:bottom w:val="single" w:sz="8" w:color="424E6A"/>
            </w:tcBorders>
            <w:vMerge w:val="continue"/>
          </w:tcPr>
          <w:p>
            <w:pPr>
              <w:spacing w:after="0"/>
              <w:rPr>
                <w:sz w:val="10"/>
                <w:szCs w:val="10"/>
                <w:color w:val="auto"/>
              </w:rPr>
            </w:pPr>
          </w:p>
        </w:tc>
        <w:tc>
          <w:tcPr>
            <w:tcW w:w="200" w:type="dxa"/>
            <w:vAlign w:val="bottom"/>
            <w:tcBorders>
              <w:bottom w:val="single" w:sz="8" w:color="424E6A"/>
              <w:right w:val="single" w:sz="8" w:color="424E6A"/>
            </w:tcBorders>
            <w:vMerge w:val="continue"/>
          </w:tcPr>
          <w:p>
            <w:pPr>
              <w:spacing w:after="0"/>
              <w:rPr>
                <w:sz w:val="10"/>
                <w:szCs w:val="10"/>
                <w:color w:val="auto"/>
              </w:rPr>
            </w:pPr>
          </w:p>
        </w:tc>
        <w:tc>
          <w:tcPr>
            <w:tcW w:w="160" w:type="dxa"/>
            <w:vAlign w:val="bottom"/>
            <w:tcBorders>
              <w:bottom w:val="single" w:sz="8" w:color="424E6A"/>
            </w:tcBorders>
            <w:vMerge w:val="continue"/>
          </w:tcPr>
          <w:p>
            <w:pPr>
              <w:spacing w:after="0"/>
              <w:rPr>
                <w:sz w:val="10"/>
                <w:szCs w:val="10"/>
                <w:color w:val="auto"/>
              </w:rPr>
            </w:pPr>
          </w:p>
        </w:tc>
        <w:tc>
          <w:tcPr>
            <w:tcW w:w="900" w:type="dxa"/>
            <w:vAlign w:val="bottom"/>
            <w:tcBorders>
              <w:bottom w:val="single" w:sz="8" w:color="424E6A"/>
              <w:right w:val="single" w:sz="8" w:color="424E6A"/>
            </w:tcBorders>
            <w:vMerge w:val="continue"/>
          </w:tcPr>
          <w:p>
            <w:pPr>
              <w:spacing w:after="0"/>
              <w:rPr>
                <w:sz w:val="10"/>
                <w:szCs w:val="10"/>
                <w:color w:val="auto"/>
              </w:rPr>
            </w:pPr>
          </w:p>
        </w:tc>
        <w:tc>
          <w:tcPr>
            <w:tcW w:w="20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200" w:type="dxa"/>
            <w:vAlign w:val="bottom"/>
            <w:tcBorders>
              <w:bottom w:val="single" w:sz="8" w:color="424E6A"/>
              <w:right w:val="single" w:sz="8" w:color="424E6A"/>
            </w:tcBorders>
          </w:tcPr>
          <w:p>
            <w:pPr>
              <w:spacing w:after="0"/>
              <w:rPr>
                <w:sz w:val="10"/>
                <w:szCs w:val="10"/>
                <w:color w:val="auto"/>
              </w:rPr>
            </w:pPr>
          </w:p>
        </w:tc>
        <w:tc>
          <w:tcPr>
            <w:tcW w:w="220" w:type="dxa"/>
            <w:vAlign w:val="bottom"/>
            <w:tcBorders>
              <w:bottom w:val="single" w:sz="8" w:color="424E6A"/>
            </w:tcBorders>
            <w:vMerge w:val="continue"/>
          </w:tcPr>
          <w:p>
            <w:pPr>
              <w:spacing w:after="0"/>
              <w:rPr>
                <w:sz w:val="10"/>
                <w:szCs w:val="10"/>
                <w:color w:val="auto"/>
              </w:rPr>
            </w:pPr>
          </w:p>
        </w:tc>
        <w:tc>
          <w:tcPr>
            <w:tcW w:w="700" w:type="dxa"/>
            <w:vAlign w:val="bottom"/>
            <w:tcBorders>
              <w:bottom w:val="single" w:sz="8" w:color="424E6A"/>
            </w:tcBorders>
            <w:vMerge w:val="continue"/>
          </w:tcPr>
          <w:p>
            <w:pPr>
              <w:spacing w:after="0"/>
              <w:rPr>
                <w:sz w:val="10"/>
                <w:szCs w:val="10"/>
                <w:color w:val="auto"/>
              </w:rPr>
            </w:pPr>
          </w:p>
        </w:tc>
        <w:tc>
          <w:tcPr>
            <w:tcW w:w="200" w:type="dxa"/>
            <w:vAlign w:val="bottom"/>
            <w:tcBorders>
              <w:bottom w:val="single" w:sz="8" w:color="424E6A"/>
              <w:right w:val="single" w:sz="8" w:color="424E6A"/>
            </w:tcBorders>
          </w:tcPr>
          <w:p>
            <w:pPr>
              <w:spacing w:after="0"/>
              <w:rPr>
                <w:sz w:val="10"/>
                <w:szCs w:val="10"/>
                <w:color w:val="auto"/>
              </w:rPr>
            </w:pPr>
          </w:p>
        </w:tc>
        <w:tc>
          <w:tcPr>
            <w:tcW w:w="220" w:type="dxa"/>
            <w:vAlign w:val="bottom"/>
            <w:tcBorders>
              <w:bottom w:val="single" w:sz="8" w:color="424E6A"/>
            </w:tcBorders>
            <w:vMerge w:val="continue"/>
          </w:tcPr>
          <w:p>
            <w:pPr>
              <w:spacing w:after="0"/>
              <w:rPr>
                <w:sz w:val="10"/>
                <w:szCs w:val="10"/>
                <w:color w:val="auto"/>
              </w:rPr>
            </w:pPr>
          </w:p>
        </w:tc>
        <w:tc>
          <w:tcPr>
            <w:tcW w:w="640" w:type="dxa"/>
            <w:vAlign w:val="bottom"/>
            <w:tcBorders>
              <w:bottom w:val="single" w:sz="8" w:color="424E6A"/>
            </w:tcBorders>
            <w:vMerge w:val="continue"/>
          </w:tcPr>
          <w:p>
            <w:pPr>
              <w:spacing w:after="0"/>
              <w:rPr>
                <w:sz w:val="10"/>
                <w:szCs w:val="10"/>
                <w:color w:val="auto"/>
              </w:rPr>
            </w:pPr>
          </w:p>
        </w:tc>
        <w:tc>
          <w:tcPr>
            <w:tcW w:w="220" w:type="dxa"/>
            <w:vAlign w:val="bottom"/>
            <w:tcBorders>
              <w:bottom w:val="single" w:sz="8" w:color="424E6A"/>
              <w:right w:val="single" w:sz="8" w:color="424E6A"/>
            </w:tcBorders>
          </w:tcPr>
          <w:p>
            <w:pPr>
              <w:jc w:val="right"/>
              <w:ind w:right="90"/>
              <w:spacing w:after="0" w:line="12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340" w:type="dxa"/>
            <w:vAlign w:val="bottom"/>
            <w:tcBorders>
              <w:bottom w:val="single" w:sz="8" w:color="424E6A"/>
            </w:tcBorders>
          </w:tcPr>
          <w:p>
            <w:pPr>
              <w:spacing w:after="0"/>
              <w:rPr>
                <w:sz w:val="10"/>
                <w:szCs w:val="10"/>
                <w:color w:val="auto"/>
              </w:rPr>
            </w:pPr>
          </w:p>
        </w:tc>
        <w:tc>
          <w:tcPr>
            <w:tcW w:w="220" w:type="dxa"/>
            <w:vAlign w:val="bottom"/>
            <w:tcBorders>
              <w:bottom w:val="single" w:sz="8" w:color="424E6A"/>
              <w:right w:val="single" w:sz="8" w:color="424E6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24E6A"/>
              <w:right w:val="single" w:sz="8" w:color="424E6A"/>
            </w:tcBorders>
          </w:tcPr>
          <w:p>
            <w:pPr>
              <w:jc w:val="right"/>
              <w:ind w:right="125"/>
              <w:spacing w:after="0"/>
              <w:rPr>
                <w:sz w:val="20"/>
                <w:szCs w:val="20"/>
                <w:color w:val="auto"/>
              </w:rPr>
            </w:pPr>
            <w:r>
              <w:rPr>
                <w:rFonts w:ascii="Arial" w:cs="Arial" w:eastAsia="Arial" w:hAnsi="Arial"/>
                <w:sz w:val="15"/>
                <w:szCs w:val="15"/>
                <w:color w:val="auto"/>
              </w:rPr>
              <w:t>5,410,000</w:t>
            </w: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5,449,388</w:t>
            </w:r>
          </w:p>
        </w:tc>
        <w:tc>
          <w:tcPr>
            <w:tcW w:w="20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5,449,388</w:t>
            </w:r>
          </w:p>
        </w:tc>
        <w:tc>
          <w:tcPr>
            <w:tcW w:w="200" w:type="dxa"/>
            <w:vAlign w:val="bottom"/>
            <w:tcBorders>
              <w:bottom w:val="single" w:sz="8" w:color="424E6A"/>
              <w:right w:val="single" w:sz="8" w:color="424E6A"/>
            </w:tcBorders>
          </w:tcPr>
          <w:p>
            <w:pPr>
              <w:spacing w:after="0"/>
              <w:rPr>
                <w:sz w:val="19"/>
                <w:szCs w:val="19"/>
                <w:color w:val="auto"/>
              </w:rPr>
            </w:pPr>
          </w:p>
        </w:tc>
        <w:tc>
          <w:tcPr>
            <w:tcW w:w="1080" w:type="dxa"/>
            <w:vAlign w:val="bottom"/>
            <w:tcBorders>
              <w:bottom w:val="single" w:sz="8" w:color="424E6A"/>
              <w:right w:val="single" w:sz="8" w:color="424E6A"/>
            </w:tcBorders>
            <w:gridSpan w:val="3"/>
          </w:tcPr>
          <w:p>
            <w:pPr>
              <w:jc w:val="right"/>
              <w:ind w:right="9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5,449,388 </w:t>
            </w:r>
            <w:r>
              <w:rPr>
                <w:rFonts w:ascii="Arial" w:cs="Arial" w:eastAsia="Arial" w:hAnsi="Arial"/>
                <w:sz w:val="25"/>
                <w:szCs w:val="25"/>
                <w:color w:val="auto"/>
                <w:vertAlign w:val="subscript"/>
              </w:rPr>
              <w:t>​</w:t>
            </w:r>
          </w:p>
        </w:tc>
        <w:tc>
          <w:tcPr>
            <w:tcW w:w="1300" w:type="dxa"/>
            <w:vAlign w:val="bottom"/>
            <w:tcBorders>
              <w:bottom w:val="single" w:sz="8" w:color="424E6A"/>
            </w:tcBorders>
            <w:gridSpan w:val="2"/>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8,154,388</w:t>
            </w:r>
          </w:p>
        </w:tc>
        <w:tc>
          <w:tcPr>
            <w:tcW w:w="340" w:type="dxa"/>
            <w:vAlign w:val="bottom"/>
            <w:tcBorders>
              <w:bottom w:val="single" w:sz="8" w:color="424E6A"/>
            </w:tcBorders>
          </w:tcPr>
          <w:p>
            <w:pPr>
              <w:spacing w:after="0"/>
              <w:rPr>
                <w:sz w:val="19"/>
                <w:szCs w:val="19"/>
                <w:color w:val="auto"/>
              </w:rPr>
            </w:pPr>
          </w:p>
        </w:tc>
        <w:tc>
          <w:tcPr>
            <w:tcW w:w="2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2"/>
        </w:trPr>
        <w:tc>
          <w:tcPr>
            <w:tcW w:w="1780" w:type="dxa"/>
            <w:vAlign w:val="bottom"/>
            <w:tcBorders>
              <w:left w:val="single" w:sz="8" w:color="424E6A"/>
              <w:bottom w:val="single" w:sz="8" w:color="D9DCE1"/>
            </w:tcBorders>
            <w:shd w:val="clear" w:color="auto" w:fill="D9DCE1"/>
          </w:tcPr>
          <w:p>
            <w:pPr>
              <w:ind w:left="60"/>
              <w:spacing w:after="0" w:line="210" w:lineRule="exact"/>
              <w:rPr>
                <w:sz w:val="20"/>
                <w:szCs w:val="20"/>
                <w:color w:val="auto"/>
              </w:rPr>
            </w:pPr>
            <w:r>
              <w:rPr>
                <w:rFonts w:ascii="Arial" w:cs="Arial" w:eastAsia="Arial" w:hAnsi="Arial"/>
                <w:sz w:val="15"/>
                <w:szCs w:val="15"/>
                <w:b w:val="1"/>
                <w:bCs w:val="1"/>
                <w:color w:val="auto"/>
              </w:rPr>
              <w:t>Al Swanson</w:t>
            </w:r>
            <w:r>
              <w:rPr>
                <w:rFonts w:ascii="Arial" w:cs="Arial" w:eastAsia="Arial" w:hAnsi="Arial"/>
                <w:sz w:val="19"/>
                <w:szCs w:val="19"/>
                <w:b w:val="1"/>
                <w:bCs w:val="1"/>
                <w:color w:val="auto"/>
                <w:vertAlign w:val="superscript"/>
              </w:rPr>
              <w:t>(7)</w:t>
            </w:r>
          </w:p>
        </w:tc>
        <w:tc>
          <w:tcPr>
            <w:tcW w:w="200" w:type="dxa"/>
            <w:vAlign w:val="bottom"/>
            <w:tcBorders>
              <w:bottom w:val="single" w:sz="8" w:color="D9DCE1"/>
              <w:right w:val="single" w:sz="8" w:color="424E6A"/>
            </w:tcBorders>
            <w:shd w:val="clear" w:color="auto" w:fill="D9DCE1"/>
          </w:tcPr>
          <w:p>
            <w:pPr>
              <w:ind w:left="1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D9DCE1"/>
              <w:right w:val="single" w:sz="8" w:color="424E6A"/>
            </w:tcBorders>
            <w:shd w:val="clear" w:color="auto" w:fill="D9DCE1"/>
          </w:tcPr>
          <w:p>
            <w:pPr>
              <w:spacing w:after="0"/>
              <w:rPr>
                <w:sz w:val="20"/>
                <w:szCs w:val="20"/>
                <w:color w:val="auto"/>
              </w:rPr>
            </w:pP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jc w:val="right"/>
              <w:ind w:right="9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D9DCE1"/>
            </w:tcBorders>
            <w:shd w:val="clear" w:color="auto" w:fill="D9DCE1"/>
          </w:tcPr>
          <w:p>
            <w:pPr>
              <w:ind w:left="5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3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3"/>
        </w:trPr>
        <w:tc>
          <w:tcPr>
            <w:tcW w:w="1780" w:type="dxa"/>
            <w:vAlign w:val="bottom"/>
            <w:tcBorders>
              <w:top w:val="single" w:sz="8" w:color="424E6A"/>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Equity Compensation</w:t>
            </w:r>
          </w:p>
        </w:tc>
        <w:tc>
          <w:tcPr>
            <w:tcW w:w="200" w:type="dxa"/>
            <w:vAlign w:val="bottom"/>
            <w:tcBorders>
              <w:top w:val="single" w:sz="8" w:color="424E6A"/>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424E6A"/>
              <w:bottom w:val="single" w:sz="8" w:color="424E6A"/>
              <w:right w:val="single" w:sz="8" w:color="424E6A"/>
            </w:tcBorders>
          </w:tcPr>
          <w:p>
            <w:pPr>
              <w:jc w:val="right"/>
              <w:ind w:right="5"/>
              <w:spacing w:after="0"/>
              <w:rPr>
                <w:sz w:val="20"/>
                <w:szCs w:val="20"/>
                <w:color w:val="auto"/>
              </w:rPr>
            </w:pPr>
            <w:r>
              <w:rPr>
                <w:rFonts w:ascii="Arial" w:cs="Arial" w:eastAsia="Arial" w:hAnsi="Arial"/>
                <w:sz w:val="15"/>
                <w:szCs w:val="15"/>
                <w:color w:val="auto"/>
                <w:w w:val="97"/>
              </w:rPr>
              <w:t>4,112,010</w:t>
            </w:r>
            <w:r>
              <w:rPr>
                <w:rFonts w:ascii="Arial" w:cs="Arial" w:eastAsia="Arial" w:hAnsi="Arial"/>
                <w:sz w:val="19"/>
                <w:szCs w:val="19"/>
                <w:color w:val="auto"/>
                <w:w w:val="97"/>
                <w:vertAlign w:val="superscript"/>
              </w:rPr>
              <w:t>(1)</w:t>
            </w:r>
          </w:p>
        </w:tc>
        <w:tc>
          <w:tcPr>
            <w:tcW w:w="1120" w:type="dxa"/>
            <w:vAlign w:val="bottom"/>
            <w:tcBorders>
              <w:top w:val="single" w:sz="8" w:color="424E6A"/>
              <w:bottom w:val="single" w:sz="8" w:color="424E6A"/>
              <w:right w:val="single" w:sz="8" w:color="424E6A"/>
            </w:tcBorders>
            <w:gridSpan w:val="3"/>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4,112,010</w:t>
            </w:r>
            <w:r>
              <w:rPr>
                <w:rFonts w:ascii="Arial" w:cs="Arial" w:eastAsia="Arial" w:hAnsi="Arial"/>
                <w:sz w:val="16"/>
                <w:szCs w:val="16"/>
                <w:color w:val="auto"/>
                <w:vertAlign w:val="superscript"/>
              </w:rPr>
              <w:t>(1)</w:t>
            </w:r>
          </w:p>
        </w:tc>
        <w:tc>
          <w:tcPr>
            <w:tcW w:w="1120" w:type="dxa"/>
            <w:vAlign w:val="bottom"/>
            <w:tcBorders>
              <w:top w:val="single" w:sz="8" w:color="424E6A"/>
              <w:bottom w:val="single" w:sz="8" w:color="424E6A"/>
              <w:right w:val="single" w:sz="8" w:color="424E6A"/>
            </w:tcBorders>
            <w:gridSpan w:val="3"/>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2,678,682</w:t>
            </w:r>
            <w:r>
              <w:rPr>
                <w:rFonts w:ascii="Arial" w:cs="Arial" w:eastAsia="Arial" w:hAnsi="Arial"/>
                <w:sz w:val="16"/>
                <w:szCs w:val="16"/>
                <w:color w:val="auto"/>
                <w:vertAlign w:val="superscript"/>
              </w:rPr>
              <w:t>(2)</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424E6A"/>
              <w:bottom w:val="single" w:sz="8" w:color="424E6A"/>
              <w:right w:val="single" w:sz="8" w:color="424E6A"/>
            </w:tcBorders>
            <w:gridSpan w:val="2"/>
          </w:tcPr>
          <w:p>
            <w:pPr>
              <w:jc w:val="right"/>
              <w:ind w:right="9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1640" w:type="dxa"/>
            <w:vAlign w:val="bottom"/>
            <w:tcBorders>
              <w:top w:val="single" w:sz="8" w:color="424E6A"/>
              <w:bottom w:val="single" w:sz="8" w:color="424E6A"/>
            </w:tcBorders>
            <w:gridSpan w:val="3"/>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5,956,650</w:t>
            </w:r>
            <w:r>
              <w:rPr>
                <w:rFonts w:ascii="Arial" w:cs="Arial" w:eastAsia="Arial" w:hAnsi="Arial"/>
                <w:sz w:val="16"/>
                <w:szCs w:val="16"/>
                <w:color w:val="auto"/>
                <w:vertAlign w:val="superscript"/>
              </w:rPr>
              <w:t>(3)</w:t>
            </w:r>
          </w:p>
        </w:tc>
        <w:tc>
          <w:tcPr>
            <w:tcW w:w="2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78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24E6A"/>
              <w:right w:val="single" w:sz="8" w:color="424E6A"/>
            </w:tcBorders>
          </w:tcPr>
          <w:p>
            <w:pPr>
              <w:jc w:val="right"/>
              <w:ind w:right="125"/>
              <w:spacing w:after="0"/>
              <w:rPr>
                <w:sz w:val="20"/>
                <w:szCs w:val="20"/>
                <w:color w:val="auto"/>
              </w:rPr>
            </w:pPr>
            <w:r>
              <w:rPr>
                <w:rFonts w:ascii="Arial" w:cs="Arial" w:eastAsia="Arial" w:hAnsi="Arial"/>
                <w:sz w:val="15"/>
                <w:szCs w:val="15"/>
                <w:color w:val="auto"/>
              </w:rPr>
              <w:t>4,112,010</w:t>
            </w: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4,112,010</w:t>
            </w:r>
          </w:p>
        </w:tc>
        <w:tc>
          <w:tcPr>
            <w:tcW w:w="20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2,678,682</w:t>
            </w:r>
          </w:p>
        </w:tc>
        <w:tc>
          <w:tcPr>
            <w:tcW w:w="200" w:type="dxa"/>
            <w:vAlign w:val="bottom"/>
            <w:tcBorders>
              <w:bottom w:val="single" w:sz="8" w:color="424E6A"/>
              <w:right w:val="single" w:sz="8" w:color="424E6A"/>
            </w:tcBorders>
          </w:tcPr>
          <w:p>
            <w:pPr>
              <w:spacing w:after="0"/>
              <w:rPr>
                <w:sz w:val="19"/>
                <w:szCs w:val="19"/>
                <w:color w:val="auto"/>
              </w:rPr>
            </w:pP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424E6A"/>
              <w:right w:val="single" w:sz="8" w:color="424E6A"/>
            </w:tcBorders>
            <w:gridSpan w:val="2"/>
          </w:tcPr>
          <w:p>
            <w:pPr>
              <w:jc w:val="right"/>
              <w:ind w:right="9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300" w:type="dxa"/>
            <w:vAlign w:val="bottom"/>
            <w:tcBorders>
              <w:bottom w:val="single" w:sz="8" w:color="424E6A"/>
            </w:tcBorders>
            <w:gridSpan w:val="2"/>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5,956,650</w:t>
            </w:r>
          </w:p>
        </w:tc>
        <w:tc>
          <w:tcPr>
            <w:tcW w:w="340" w:type="dxa"/>
            <w:vAlign w:val="bottom"/>
            <w:tcBorders>
              <w:bottom w:val="single" w:sz="8" w:color="424E6A"/>
            </w:tcBorders>
          </w:tcPr>
          <w:p>
            <w:pPr>
              <w:spacing w:after="0"/>
              <w:rPr>
                <w:sz w:val="19"/>
                <w:szCs w:val="19"/>
                <w:color w:val="auto"/>
              </w:rPr>
            </w:pPr>
          </w:p>
        </w:tc>
        <w:tc>
          <w:tcPr>
            <w:tcW w:w="2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2"/>
        </w:trPr>
        <w:tc>
          <w:tcPr>
            <w:tcW w:w="1780" w:type="dxa"/>
            <w:vAlign w:val="bottom"/>
            <w:tcBorders>
              <w:left w:val="single" w:sz="8" w:color="424E6A"/>
              <w:bottom w:val="single" w:sz="8" w:color="D9DCE1"/>
            </w:tcBorders>
            <w:shd w:val="clear" w:color="auto" w:fill="D9DCE1"/>
          </w:tcPr>
          <w:p>
            <w:pPr>
              <w:ind w:left="60"/>
              <w:spacing w:after="0" w:line="210" w:lineRule="exact"/>
              <w:rPr>
                <w:sz w:val="20"/>
                <w:szCs w:val="20"/>
                <w:color w:val="auto"/>
              </w:rPr>
            </w:pPr>
            <w:r>
              <w:rPr>
                <w:rFonts w:ascii="Arial" w:cs="Arial" w:eastAsia="Arial" w:hAnsi="Arial"/>
                <w:sz w:val="15"/>
                <w:szCs w:val="15"/>
                <w:b w:val="1"/>
                <w:bCs w:val="1"/>
                <w:color w:val="auto"/>
              </w:rPr>
              <w:t>Richard McGee</w:t>
            </w:r>
            <w:r>
              <w:rPr>
                <w:rFonts w:ascii="Arial" w:cs="Arial" w:eastAsia="Arial" w:hAnsi="Arial"/>
                <w:sz w:val="19"/>
                <w:szCs w:val="19"/>
                <w:b w:val="1"/>
                <w:bCs w:val="1"/>
                <w:color w:val="auto"/>
                <w:vertAlign w:val="superscript"/>
              </w:rPr>
              <w:t>(7)</w:t>
            </w:r>
          </w:p>
        </w:tc>
        <w:tc>
          <w:tcPr>
            <w:tcW w:w="200" w:type="dxa"/>
            <w:vAlign w:val="bottom"/>
            <w:tcBorders>
              <w:bottom w:val="single" w:sz="8" w:color="D9DCE1"/>
              <w:right w:val="single" w:sz="8" w:color="424E6A"/>
            </w:tcBorders>
            <w:shd w:val="clear" w:color="auto" w:fill="D9DCE1"/>
          </w:tcPr>
          <w:p>
            <w:pPr>
              <w:ind w:left="1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D9DCE1"/>
              <w:right w:val="single" w:sz="8" w:color="424E6A"/>
            </w:tcBorders>
            <w:shd w:val="clear" w:color="auto" w:fill="D9DCE1"/>
          </w:tcPr>
          <w:p>
            <w:pPr>
              <w:spacing w:after="0"/>
              <w:rPr>
                <w:sz w:val="20"/>
                <w:szCs w:val="20"/>
                <w:color w:val="auto"/>
              </w:rPr>
            </w:pP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jc w:val="right"/>
              <w:ind w:right="9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D9DCE1"/>
            </w:tcBorders>
            <w:shd w:val="clear" w:color="auto" w:fill="D9DCE1"/>
          </w:tcPr>
          <w:p>
            <w:pPr>
              <w:ind w:left="5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3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3"/>
        </w:trPr>
        <w:tc>
          <w:tcPr>
            <w:tcW w:w="1780" w:type="dxa"/>
            <w:vAlign w:val="bottom"/>
            <w:tcBorders>
              <w:top w:val="single" w:sz="8" w:color="424E6A"/>
              <w:left w:val="single" w:sz="8" w:color="424E6A"/>
              <w:bottom w:val="single" w:sz="8" w:color="424E6A"/>
            </w:tcBorders>
            <w:shd w:val="clear" w:color="auto" w:fill="FBFBFC"/>
          </w:tcPr>
          <w:p>
            <w:pPr>
              <w:ind w:left="220"/>
              <w:spacing w:after="0"/>
              <w:rPr>
                <w:sz w:val="20"/>
                <w:szCs w:val="20"/>
                <w:color w:val="auto"/>
              </w:rPr>
            </w:pPr>
            <w:r>
              <w:rPr>
                <w:rFonts w:ascii="Arial" w:cs="Arial" w:eastAsia="Arial" w:hAnsi="Arial"/>
                <w:sz w:val="15"/>
                <w:szCs w:val="15"/>
                <w:color w:val="auto"/>
              </w:rPr>
              <w:t>Equity Compensation</w:t>
            </w:r>
          </w:p>
        </w:tc>
        <w:tc>
          <w:tcPr>
            <w:tcW w:w="200" w:type="dxa"/>
            <w:vAlign w:val="bottom"/>
            <w:tcBorders>
              <w:top w:val="single" w:sz="8" w:color="424E6A"/>
              <w:bottom w:val="single" w:sz="8" w:color="424E6A"/>
              <w:right w:val="single" w:sz="8" w:color="424E6A"/>
            </w:tcBorders>
            <w:shd w:val="clear" w:color="auto" w:fill="FBFBFC"/>
          </w:tcPr>
          <w:p>
            <w:pPr>
              <w:ind w:left="1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424E6A"/>
              <w:bottom w:val="single" w:sz="8" w:color="424E6A"/>
            </w:tcBorders>
            <w:shd w:val="clear" w:color="auto" w:fill="FBFBFC"/>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424E6A"/>
              <w:bottom w:val="single" w:sz="8" w:color="424E6A"/>
              <w:right w:val="single" w:sz="8" w:color="424E6A"/>
            </w:tcBorders>
            <w:shd w:val="clear" w:color="auto" w:fill="FBFBFC"/>
          </w:tcPr>
          <w:p>
            <w:pPr>
              <w:jc w:val="right"/>
              <w:ind w:right="5"/>
              <w:spacing w:after="0"/>
              <w:rPr>
                <w:sz w:val="20"/>
                <w:szCs w:val="20"/>
                <w:color w:val="auto"/>
              </w:rPr>
            </w:pPr>
            <w:r>
              <w:rPr>
                <w:rFonts w:ascii="Arial" w:cs="Arial" w:eastAsia="Arial" w:hAnsi="Arial"/>
                <w:sz w:val="15"/>
                <w:szCs w:val="15"/>
                <w:color w:val="auto"/>
                <w:w w:val="97"/>
              </w:rPr>
              <w:t>4,112,010</w:t>
            </w:r>
            <w:r>
              <w:rPr>
                <w:rFonts w:ascii="Arial" w:cs="Arial" w:eastAsia="Arial" w:hAnsi="Arial"/>
                <w:sz w:val="19"/>
                <w:szCs w:val="19"/>
                <w:color w:val="auto"/>
                <w:w w:val="97"/>
                <w:vertAlign w:val="superscript"/>
              </w:rPr>
              <w:t>(1)</w:t>
            </w:r>
          </w:p>
        </w:tc>
        <w:tc>
          <w:tcPr>
            <w:tcW w:w="1120" w:type="dxa"/>
            <w:vAlign w:val="bottom"/>
            <w:tcBorders>
              <w:top w:val="single" w:sz="8" w:color="424E6A"/>
              <w:bottom w:val="single" w:sz="8" w:color="424E6A"/>
              <w:right w:val="single" w:sz="8" w:color="424E6A"/>
            </w:tcBorders>
            <w:gridSpan w:val="3"/>
            <w:shd w:val="clear" w:color="auto" w:fill="FBFBFC"/>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4,112,010</w:t>
            </w:r>
            <w:r>
              <w:rPr>
                <w:rFonts w:ascii="Arial" w:cs="Arial" w:eastAsia="Arial" w:hAnsi="Arial"/>
                <w:sz w:val="16"/>
                <w:szCs w:val="16"/>
                <w:color w:val="auto"/>
                <w:vertAlign w:val="superscript"/>
              </w:rPr>
              <w:t>(1)</w:t>
            </w:r>
          </w:p>
        </w:tc>
        <w:tc>
          <w:tcPr>
            <w:tcW w:w="1120" w:type="dxa"/>
            <w:vAlign w:val="bottom"/>
            <w:tcBorders>
              <w:top w:val="single" w:sz="8" w:color="424E6A"/>
              <w:bottom w:val="single" w:sz="8" w:color="424E6A"/>
              <w:right w:val="single" w:sz="8" w:color="424E6A"/>
            </w:tcBorders>
            <w:gridSpan w:val="3"/>
            <w:shd w:val="clear" w:color="auto" w:fill="FBFBFC"/>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2,678,682</w:t>
            </w:r>
            <w:r>
              <w:rPr>
                <w:rFonts w:ascii="Arial" w:cs="Arial" w:eastAsia="Arial" w:hAnsi="Arial"/>
                <w:sz w:val="16"/>
                <w:szCs w:val="16"/>
                <w:color w:val="auto"/>
                <w:vertAlign w:val="superscript"/>
              </w:rPr>
              <w:t>(2)</w:t>
            </w:r>
          </w:p>
        </w:tc>
        <w:tc>
          <w:tcPr>
            <w:tcW w:w="220" w:type="dxa"/>
            <w:vAlign w:val="bottom"/>
            <w:tcBorders>
              <w:top w:val="single" w:sz="8" w:color="424E6A"/>
              <w:bottom w:val="single" w:sz="8" w:color="424E6A"/>
            </w:tcBorders>
            <w:shd w:val="clear" w:color="auto" w:fill="FBFBFC"/>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424E6A"/>
              <w:bottom w:val="single" w:sz="8" w:color="424E6A"/>
              <w:right w:val="single" w:sz="8" w:color="424E6A"/>
            </w:tcBorders>
            <w:gridSpan w:val="2"/>
            <w:shd w:val="clear" w:color="auto" w:fill="FBFBFC"/>
          </w:tcPr>
          <w:p>
            <w:pPr>
              <w:jc w:val="right"/>
              <w:ind w:right="9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1640" w:type="dxa"/>
            <w:vAlign w:val="bottom"/>
            <w:tcBorders>
              <w:top w:val="single" w:sz="8" w:color="424E6A"/>
              <w:bottom w:val="single" w:sz="8" w:color="424E6A"/>
            </w:tcBorders>
            <w:gridSpan w:val="3"/>
            <w:shd w:val="clear" w:color="auto" w:fill="FBFBFC"/>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5,956,650</w:t>
            </w:r>
            <w:r>
              <w:rPr>
                <w:rFonts w:ascii="Arial" w:cs="Arial" w:eastAsia="Arial" w:hAnsi="Arial"/>
                <w:sz w:val="16"/>
                <w:szCs w:val="16"/>
                <w:color w:val="auto"/>
                <w:vertAlign w:val="superscript"/>
              </w:rPr>
              <w:t>(3)</w:t>
            </w:r>
          </w:p>
        </w:tc>
        <w:tc>
          <w:tcPr>
            <w:tcW w:w="220" w:type="dxa"/>
            <w:vAlign w:val="bottom"/>
            <w:tcBorders>
              <w:top w:val="single" w:sz="8" w:color="424E6A"/>
              <w:bottom w:val="single" w:sz="8" w:color="424E6A"/>
              <w:right w:val="single" w:sz="8" w:color="424E6A"/>
            </w:tcBorders>
            <w:shd w:val="clear" w:color="auto" w:fill="FBFBFC"/>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78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24E6A"/>
              <w:right w:val="single" w:sz="8" w:color="424E6A"/>
            </w:tcBorders>
          </w:tcPr>
          <w:p>
            <w:pPr>
              <w:jc w:val="right"/>
              <w:ind w:right="125"/>
              <w:spacing w:after="0"/>
              <w:rPr>
                <w:sz w:val="20"/>
                <w:szCs w:val="20"/>
                <w:color w:val="auto"/>
              </w:rPr>
            </w:pPr>
            <w:r>
              <w:rPr>
                <w:rFonts w:ascii="Arial" w:cs="Arial" w:eastAsia="Arial" w:hAnsi="Arial"/>
                <w:sz w:val="15"/>
                <w:szCs w:val="15"/>
                <w:color w:val="auto"/>
              </w:rPr>
              <w:t>4,112,010</w:t>
            </w: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4,112,010</w:t>
            </w:r>
          </w:p>
        </w:tc>
        <w:tc>
          <w:tcPr>
            <w:tcW w:w="20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2,678,682</w:t>
            </w:r>
          </w:p>
        </w:tc>
        <w:tc>
          <w:tcPr>
            <w:tcW w:w="200" w:type="dxa"/>
            <w:vAlign w:val="bottom"/>
            <w:tcBorders>
              <w:bottom w:val="single" w:sz="8" w:color="424E6A"/>
              <w:right w:val="single" w:sz="8" w:color="424E6A"/>
            </w:tcBorders>
          </w:tcPr>
          <w:p>
            <w:pPr>
              <w:spacing w:after="0"/>
              <w:rPr>
                <w:sz w:val="19"/>
                <w:szCs w:val="19"/>
                <w:color w:val="auto"/>
              </w:rPr>
            </w:pP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424E6A"/>
              <w:right w:val="single" w:sz="8" w:color="424E6A"/>
            </w:tcBorders>
            <w:gridSpan w:val="2"/>
          </w:tcPr>
          <w:p>
            <w:pPr>
              <w:jc w:val="right"/>
              <w:ind w:right="9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300" w:type="dxa"/>
            <w:vAlign w:val="bottom"/>
            <w:tcBorders>
              <w:bottom w:val="single" w:sz="8" w:color="424E6A"/>
            </w:tcBorders>
            <w:gridSpan w:val="2"/>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5,956,650</w:t>
            </w:r>
          </w:p>
        </w:tc>
        <w:tc>
          <w:tcPr>
            <w:tcW w:w="340" w:type="dxa"/>
            <w:vAlign w:val="bottom"/>
            <w:tcBorders>
              <w:bottom w:val="single" w:sz="8" w:color="424E6A"/>
            </w:tcBorders>
          </w:tcPr>
          <w:p>
            <w:pPr>
              <w:spacing w:after="0"/>
              <w:rPr>
                <w:sz w:val="19"/>
                <w:szCs w:val="19"/>
                <w:color w:val="auto"/>
              </w:rPr>
            </w:pPr>
          </w:p>
        </w:tc>
        <w:tc>
          <w:tcPr>
            <w:tcW w:w="2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2"/>
        </w:trPr>
        <w:tc>
          <w:tcPr>
            <w:tcW w:w="1780" w:type="dxa"/>
            <w:vAlign w:val="bottom"/>
            <w:tcBorders>
              <w:left w:val="single" w:sz="8" w:color="424E6A"/>
              <w:bottom w:val="single" w:sz="8" w:color="D9DCE1"/>
            </w:tcBorders>
            <w:shd w:val="clear" w:color="auto" w:fill="D9DCE1"/>
          </w:tcPr>
          <w:p>
            <w:pPr>
              <w:ind w:left="60"/>
              <w:spacing w:after="0" w:line="210" w:lineRule="exact"/>
              <w:rPr>
                <w:sz w:val="20"/>
                <w:szCs w:val="20"/>
                <w:color w:val="auto"/>
              </w:rPr>
            </w:pPr>
            <w:r>
              <w:rPr>
                <w:rFonts w:ascii="Arial" w:cs="Arial" w:eastAsia="Arial" w:hAnsi="Arial"/>
                <w:sz w:val="15"/>
                <w:szCs w:val="15"/>
                <w:b w:val="1"/>
                <w:bCs w:val="1"/>
                <w:color w:val="auto"/>
              </w:rPr>
              <w:t>Chris Chandler</w:t>
            </w:r>
            <w:r>
              <w:rPr>
                <w:rFonts w:ascii="Arial" w:cs="Arial" w:eastAsia="Arial" w:hAnsi="Arial"/>
                <w:sz w:val="19"/>
                <w:szCs w:val="19"/>
                <w:b w:val="1"/>
                <w:bCs w:val="1"/>
                <w:color w:val="auto"/>
                <w:vertAlign w:val="superscript"/>
              </w:rPr>
              <w:t>(7)</w:t>
            </w:r>
          </w:p>
        </w:tc>
        <w:tc>
          <w:tcPr>
            <w:tcW w:w="200" w:type="dxa"/>
            <w:vAlign w:val="bottom"/>
            <w:tcBorders>
              <w:bottom w:val="single" w:sz="8" w:color="D9DCE1"/>
              <w:right w:val="single" w:sz="8" w:color="424E6A"/>
            </w:tcBorders>
            <w:shd w:val="clear" w:color="auto" w:fill="D9DCE1"/>
          </w:tcPr>
          <w:p>
            <w:pPr>
              <w:ind w:left="1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D9DCE1"/>
              <w:right w:val="single" w:sz="8" w:color="424E6A"/>
            </w:tcBorders>
            <w:shd w:val="clear" w:color="auto" w:fill="D9DCE1"/>
          </w:tcPr>
          <w:p>
            <w:pPr>
              <w:spacing w:after="0"/>
              <w:rPr>
                <w:sz w:val="20"/>
                <w:szCs w:val="20"/>
                <w:color w:val="auto"/>
              </w:rPr>
            </w:pP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jc w:val="right"/>
              <w:ind w:right="9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D9DCE1"/>
            </w:tcBorders>
            <w:shd w:val="clear" w:color="auto" w:fill="D9DCE1"/>
          </w:tcPr>
          <w:p>
            <w:pPr>
              <w:ind w:left="5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3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5"/>
        </w:trPr>
        <w:tc>
          <w:tcPr>
            <w:tcW w:w="1780" w:type="dxa"/>
            <w:vAlign w:val="bottom"/>
            <w:tcBorders>
              <w:top w:val="single" w:sz="8" w:color="424E6A"/>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200" w:type="dxa"/>
            <w:vAlign w:val="bottom"/>
            <w:tcBorders>
              <w:top w:val="single" w:sz="8" w:color="424E6A"/>
              <w:right w:val="single" w:sz="8" w:color="424E6A"/>
            </w:tcBorders>
            <w:vMerge w:val="restart"/>
          </w:tcPr>
          <w:p>
            <w:pPr>
              <w:ind w:left="14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424E6A"/>
              <w:right w:val="single" w:sz="8" w:color="424E6A"/>
            </w:tcBorders>
            <w:gridSpan w:val="2"/>
          </w:tcPr>
          <w:p>
            <w:pPr>
              <w:jc w:val="right"/>
              <w:ind w:right="5"/>
              <w:spacing w:after="0" w:line="156" w:lineRule="exact"/>
              <w:rPr>
                <w:sz w:val="20"/>
                <w:szCs w:val="20"/>
                <w:color w:val="auto"/>
              </w:rPr>
            </w:pPr>
            <w:r>
              <w:rPr>
                <w:rFonts w:ascii="Arial" w:cs="Arial" w:eastAsia="Arial" w:hAnsi="Arial"/>
                <w:sz w:val="15"/>
                <w:szCs w:val="15"/>
                <w:color w:val="auto"/>
              </w:rPr>
              <w:t>13,840,778</w:t>
            </w:r>
            <w:r>
              <w:rPr>
                <w:rFonts w:ascii="Arial" w:cs="Arial" w:eastAsia="Arial" w:hAnsi="Arial"/>
                <w:sz w:val="18"/>
                <w:szCs w:val="18"/>
                <w:color w:val="auto"/>
                <w:vertAlign w:val="superscript"/>
              </w:rPr>
              <w:t>(1)</w:t>
            </w:r>
          </w:p>
        </w:tc>
        <w:tc>
          <w:tcPr>
            <w:tcW w:w="1120" w:type="dxa"/>
            <w:vAlign w:val="bottom"/>
            <w:tcBorders>
              <w:top w:val="single" w:sz="8" w:color="424E6A"/>
              <w:right w:val="single" w:sz="8" w:color="424E6A"/>
            </w:tcBorders>
            <w:gridSpan w:val="3"/>
          </w:tcPr>
          <w:p>
            <w:pPr>
              <w:jc w:val="right"/>
              <w:ind w:right="11"/>
              <w:spacing w:after="0" w:line="156" w:lineRule="exact"/>
              <w:rPr>
                <w:sz w:val="20"/>
                <w:szCs w:val="20"/>
                <w:color w:val="auto"/>
              </w:rPr>
            </w:pPr>
            <w:r>
              <w:rPr>
                <w:rFonts w:ascii="Arial" w:cs="Arial" w:eastAsia="Arial" w:hAnsi="Arial"/>
                <w:sz w:val="15"/>
                <w:szCs w:val="15"/>
                <w:color w:val="auto"/>
              </w:rPr>
              <w:t>13,840,778</w:t>
            </w:r>
            <w:r>
              <w:rPr>
                <w:rFonts w:ascii="Arial" w:cs="Arial" w:eastAsia="Arial" w:hAnsi="Arial"/>
                <w:sz w:val="18"/>
                <w:szCs w:val="18"/>
                <w:color w:val="auto"/>
                <w:vertAlign w:val="superscript"/>
              </w:rPr>
              <w:t>(1)</w:t>
            </w:r>
          </w:p>
        </w:tc>
        <w:tc>
          <w:tcPr>
            <w:tcW w:w="1120" w:type="dxa"/>
            <w:vAlign w:val="bottom"/>
            <w:tcBorders>
              <w:top w:val="single" w:sz="8" w:color="424E6A"/>
              <w:right w:val="single" w:sz="8" w:color="424E6A"/>
            </w:tcBorders>
            <w:gridSpan w:val="3"/>
          </w:tcPr>
          <w:p>
            <w:pPr>
              <w:jc w:val="right"/>
              <w:ind w:right="11"/>
              <w:spacing w:after="0" w:line="156" w:lineRule="exact"/>
              <w:rPr>
                <w:sz w:val="20"/>
                <w:szCs w:val="20"/>
                <w:color w:val="auto"/>
              </w:rPr>
            </w:pPr>
            <w:r>
              <w:rPr>
                <w:rFonts w:ascii="Arial" w:cs="Arial" w:eastAsia="Arial" w:hAnsi="Arial"/>
                <w:sz w:val="15"/>
                <w:szCs w:val="15"/>
                <w:color w:val="auto"/>
              </w:rPr>
              <w:t>11,993,257</w:t>
            </w:r>
            <w:r>
              <w:rPr>
                <w:rFonts w:ascii="Arial" w:cs="Arial" w:eastAsia="Arial" w:hAnsi="Arial"/>
                <w:sz w:val="18"/>
                <w:szCs w:val="18"/>
                <w:color w:val="auto"/>
                <w:vertAlign w:val="superscript"/>
              </w:rPr>
              <w:t>(2)</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424E6A"/>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424E6A"/>
              <w:right w:val="single" w:sz="8" w:color="424E6A"/>
            </w:tcBorders>
            <w:vMerge w:val="restart"/>
          </w:tcPr>
          <w:p>
            <w:pPr>
              <w:jc w:val="right"/>
              <w:ind w:right="90"/>
              <w:spacing w:after="0"/>
              <w:rPr>
                <w:sz w:val="20"/>
                <w:szCs w:val="20"/>
                <w:color w:val="auto"/>
              </w:rPr>
            </w:pPr>
            <w:r>
              <w:rPr>
                <w:rFonts w:ascii="Arial" w:cs="Arial" w:eastAsia="Arial" w:hAnsi="Arial"/>
                <w:sz w:val="15"/>
                <w:szCs w:val="15"/>
                <w:color w:val="auto"/>
              </w:rPr>
              <w:t>​</w:t>
            </w:r>
          </w:p>
        </w:tc>
        <w:tc>
          <w:tcPr>
            <w:tcW w:w="1640" w:type="dxa"/>
            <w:vAlign w:val="bottom"/>
            <w:tcBorders>
              <w:top w:val="single" w:sz="8" w:color="424E6A"/>
            </w:tcBorders>
            <w:gridSpan w:val="3"/>
          </w:tcPr>
          <w:p>
            <w:pPr>
              <w:jc w:val="right"/>
              <w:ind w:right="171"/>
              <w:spacing w:after="0" w:line="156" w:lineRule="exact"/>
              <w:rPr>
                <w:sz w:val="20"/>
                <w:szCs w:val="20"/>
                <w:color w:val="auto"/>
              </w:rPr>
            </w:pPr>
            <w:r>
              <w:rPr>
                <w:rFonts w:ascii="Arial" w:cs="Arial" w:eastAsia="Arial" w:hAnsi="Arial"/>
                <w:sz w:val="15"/>
                <w:szCs w:val="15"/>
                <w:color w:val="auto"/>
              </w:rPr>
              <w:t>16,284,926</w:t>
            </w:r>
            <w:r>
              <w:rPr>
                <w:rFonts w:ascii="Arial" w:cs="Arial" w:eastAsia="Arial" w:hAnsi="Arial"/>
                <w:sz w:val="18"/>
                <w:szCs w:val="18"/>
                <w:color w:val="auto"/>
                <w:vertAlign w:val="superscript"/>
              </w:rPr>
              <w:t>(3)</w:t>
            </w:r>
          </w:p>
        </w:tc>
        <w:tc>
          <w:tcPr>
            <w:tcW w:w="22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5"/>
        </w:trPr>
        <w:tc>
          <w:tcPr>
            <w:tcW w:w="1780" w:type="dxa"/>
            <w:vAlign w:val="bottom"/>
            <w:tcBorders>
              <w:left w:val="single" w:sz="8" w:color="424E6A"/>
              <w:bottom w:val="single" w:sz="8" w:color="424E6A"/>
            </w:tcBorders>
          </w:tcPr>
          <w:p>
            <w:pPr>
              <w:spacing w:after="0"/>
              <w:rPr>
                <w:sz w:val="8"/>
                <w:szCs w:val="8"/>
                <w:color w:val="auto"/>
              </w:rPr>
            </w:pPr>
          </w:p>
        </w:tc>
        <w:tc>
          <w:tcPr>
            <w:tcW w:w="200" w:type="dxa"/>
            <w:vAlign w:val="bottom"/>
            <w:tcBorders>
              <w:bottom w:val="single" w:sz="8" w:color="424E6A"/>
              <w:right w:val="single" w:sz="8" w:color="424E6A"/>
            </w:tcBorders>
            <w:vMerge w:val="continue"/>
          </w:tcPr>
          <w:p>
            <w:pPr>
              <w:spacing w:after="0"/>
              <w:rPr>
                <w:sz w:val="8"/>
                <w:szCs w:val="8"/>
                <w:color w:val="auto"/>
              </w:rPr>
            </w:pPr>
          </w:p>
        </w:tc>
        <w:tc>
          <w:tcPr>
            <w:tcW w:w="160" w:type="dxa"/>
            <w:vAlign w:val="bottom"/>
            <w:tcBorders>
              <w:bottom w:val="single" w:sz="8" w:color="424E6A"/>
            </w:tcBorders>
          </w:tcPr>
          <w:p>
            <w:pPr>
              <w:ind w:left="40"/>
              <w:spacing w:after="0" w:line="95" w:lineRule="exact"/>
              <w:rPr>
                <w:sz w:val="20"/>
                <w:szCs w:val="20"/>
                <w:color w:val="auto"/>
              </w:rPr>
            </w:pPr>
            <w:r>
              <w:rPr>
                <w:rFonts w:ascii="Arial" w:cs="Arial" w:eastAsia="Arial" w:hAnsi="Arial"/>
                <w:sz w:val="10"/>
                <w:szCs w:val="10"/>
                <w:color w:val="auto"/>
              </w:rPr>
              <w:t>​​</w:t>
            </w:r>
          </w:p>
        </w:tc>
        <w:tc>
          <w:tcPr>
            <w:tcW w:w="900" w:type="dxa"/>
            <w:vAlign w:val="bottom"/>
            <w:tcBorders>
              <w:bottom w:val="single" w:sz="8" w:color="424E6A"/>
              <w:right w:val="single" w:sz="8" w:color="424E6A"/>
            </w:tcBorders>
          </w:tcPr>
          <w:p>
            <w:pPr>
              <w:spacing w:after="0"/>
              <w:rPr>
                <w:sz w:val="8"/>
                <w:szCs w:val="8"/>
                <w:color w:val="auto"/>
              </w:rPr>
            </w:pPr>
          </w:p>
        </w:tc>
        <w:tc>
          <w:tcPr>
            <w:tcW w:w="200" w:type="dxa"/>
            <w:vAlign w:val="bottom"/>
            <w:tcBorders>
              <w:bottom w:val="single" w:sz="8" w:color="424E6A"/>
            </w:tcBorders>
          </w:tcPr>
          <w:p>
            <w:pPr>
              <w:ind w:left="160"/>
              <w:spacing w:after="0" w:line="95"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424E6A"/>
            </w:tcBorders>
          </w:tcPr>
          <w:p>
            <w:pPr>
              <w:spacing w:after="0"/>
              <w:rPr>
                <w:sz w:val="8"/>
                <w:szCs w:val="8"/>
                <w:color w:val="auto"/>
              </w:rPr>
            </w:pPr>
          </w:p>
        </w:tc>
        <w:tc>
          <w:tcPr>
            <w:tcW w:w="200" w:type="dxa"/>
            <w:vAlign w:val="bottom"/>
            <w:tcBorders>
              <w:bottom w:val="single" w:sz="8" w:color="424E6A"/>
              <w:right w:val="single" w:sz="8" w:color="424E6A"/>
            </w:tcBorders>
          </w:tcPr>
          <w:p>
            <w:pPr>
              <w:spacing w:after="0"/>
              <w:rPr>
                <w:sz w:val="8"/>
                <w:szCs w:val="8"/>
                <w:color w:val="auto"/>
              </w:rPr>
            </w:pPr>
          </w:p>
        </w:tc>
        <w:tc>
          <w:tcPr>
            <w:tcW w:w="220" w:type="dxa"/>
            <w:vAlign w:val="bottom"/>
            <w:tcBorders>
              <w:bottom w:val="single" w:sz="8" w:color="424E6A"/>
            </w:tcBorders>
          </w:tcPr>
          <w:p>
            <w:pPr>
              <w:ind w:left="160"/>
              <w:spacing w:after="0" w:line="9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424E6A"/>
            </w:tcBorders>
          </w:tcPr>
          <w:p>
            <w:pPr>
              <w:spacing w:after="0"/>
              <w:rPr>
                <w:sz w:val="8"/>
                <w:szCs w:val="8"/>
                <w:color w:val="auto"/>
              </w:rPr>
            </w:pPr>
          </w:p>
        </w:tc>
        <w:tc>
          <w:tcPr>
            <w:tcW w:w="200" w:type="dxa"/>
            <w:vAlign w:val="bottom"/>
            <w:tcBorders>
              <w:bottom w:val="single" w:sz="8" w:color="424E6A"/>
              <w:right w:val="single" w:sz="8" w:color="424E6A"/>
            </w:tcBorders>
          </w:tcPr>
          <w:p>
            <w:pPr>
              <w:spacing w:after="0"/>
              <w:rPr>
                <w:sz w:val="8"/>
                <w:szCs w:val="8"/>
                <w:color w:val="auto"/>
              </w:rPr>
            </w:pPr>
          </w:p>
        </w:tc>
        <w:tc>
          <w:tcPr>
            <w:tcW w:w="220" w:type="dxa"/>
            <w:vAlign w:val="bottom"/>
            <w:tcBorders>
              <w:bottom w:val="single" w:sz="8" w:color="424E6A"/>
            </w:tcBorders>
            <w:vMerge w:val="continue"/>
          </w:tcPr>
          <w:p>
            <w:pPr>
              <w:spacing w:after="0"/>
              <w:rPr>
                <w:sz w:val="8"/>
                <w:szCs w:val="8"/>
                <w:color w:val="auto"/>
              </w:rPr>
            </w:pPr>
          </w:p>
        </w:tc>
        <w:tc>
          <w:tcPr>
            <w:tcW w:w="640" w:type="dxa"/>
            <w:vAlign w:val="bottom"/>
            <w:tcBorders>
              <w:bottom w:val="single" w:sz="8" w:color="424E6A"/>
            </w:tcBorders>
          </w:tcPr>
          <w:p>
            <w:pPr>
              <w:spacing w:after="0"/>
              <w:rPr>
                <w:sz w:val="8"/>
                <w:szCs w:val="8"/>
                <w:color w:val="auto"/>
              </w:rPr>
            </w:pPr>
          </w:p>
        </w:tc>
        <w:tc>
          <w:tcPr>
            <w:tcW w:w="220" w:type="dxa"/>
            <w:vAlign w:val="bottom"/>
            <w:tcBorders>
              <w:bottom w:val="single" w:sz="8" w:color="424E6A"/>
              <w:right w:val="single" w:sz="8" w:color="424E6A"/>
            </w:tcBorders>
            <w:vMerge w:val="continue"/>
          </w:tcPr>
          <w:p>
            <w:pPr>
              <w:spacing w:after="0"/>
              <w:rPr>
                <w:sz w:val="8"/>
                <w:szCs w:val="8"/>
                <w:color w:val="auto"/>
              </w:rPr>
            </w:pPr>
          </w:p>
        </w:tc>
        <w:tc>
          <w:tcPr>
            <w:tcW w:w="580" w:type="dxa"/>
            <w:vAlign w:val="bottom"/>
            <w:tcBorders>
              <w:bottom w:val="single" w:sz="8" w:color="424E6A"/>
            </w:tcBorders>
          </w:tcPr>
          <w:p>
            <w:pPr>
              <w:ind w:left="500"/>
              <w:spacing w:after="0" w:line="95"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424E6A"/>
            </w:tcBorders>
          </w:tcPr>
          <w:p>
            <w:pPr>
              <w:spacing w:after="0"/>
              <w:rPr>
                <w:sz w:val="8"/>
                <w:szCs w:val="8"/>
                <w:color w:val="auto"/>
              </w:rPr>
            </w:pPr>
          </w:p>
        </w:tc>
        <w:tc>
          <w:tcPr>
            <w:tcW w:w="340" w:type="dxa"/>
            <w:vAlign w:val="bottom"/>
            <w:tcBorders>
              <w:bottom w:val="single" w:sz="8" w:color="424E6A"/>
            </w:tcBorders>
          </w:tcPr>
          <w:p>
            <w:pPr>
              <w:spacing w:after="0"/>
              <w:rPr>
                <w:sz w:val="8"/>
                <w:szCs w:val="8"/>
                <w:color w:val="auto"/>
              </w:rPr>
            </w:pPr>
          </w:p>
        </w:tc>
        <w:tc>
          <w:tcPr>
            <w:tcW w:w="220" w:type="dxa"/>
            <w:vAlign w:val="bottom"/>
            <w:tcBorders>
              <w:bottom w:val="single" w:sz="8" w:color="424E6A"/>
              <w:right w:val="single" w:sz="8" w:color="424E6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424E6A"/>
              <w:right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13,840,778</w:t>
            </w: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13,840,778</w:t>
            </w:r>
          </w:p>
        </w:tc>
        <w:tc>
          <w:tcPr>
            <w:tcW w:w="20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11,993,257</w:t>
            </w:r>
          </w:p>
        </w:tc>
        <w:tc>
          <w:tcPr>
            <w:tcW w:w="200" w:type="dxa"/>
            <w:vAlign w:val="bottom"/>
            <w:tcBorders>
              <w:bottom w:val="single" w:sz="8" w:color="424E6A"/>
              <w:right w:val="single" w:sz="8" w:color="424E6A"/>
            </w:tcBorders>
          </w:tcPr>
          <w:p>
            <w:pPr>
              <w:spacing w:after="0"/>
              <w:rPr>
                <w:sz w:val="19"/>
                <w:szCs w:val="19"/>
                <w:color w:val="auto"/>
              </w:rPr>
            </w:pP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424E6A"/>
              <w:right w:val="single" w:sz="8" w:color="424E6A"/>
            </w:tcBorders>
            <w:gridSpan w:val="2"/>
          </w:tcPr>
          <w:p>
            <w:pPr>
              <w:jc w:val="right"/>
              <w:ind w:right="9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300" w:type="dxa"/>
            <w:vAlign w:val="bottom"/>
            <w:tcBorders>
              <w:bottom w:val="single" w:sz="8" w:color="424E6A"/>
            </w:tcBorders>
            <w:gridSpan w:val="2"/>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16,284,926</w:t>
            </w:r>
          </w:p>
        </w:tc>
        <w:tc>
          <w:tcPr>
            <w:tcW w:w="340" w:type="dxa"/>
            <w:vAlign w:val="bottom"/>
            <w:tcBorders>
              <w:bottom w:val="single" w:sz="8" w:color="424E6A"/>
            </w:tcBorders>
          </w:tcPr>
          <w:p>
            <w:pPr>
              <w:spacing w:after="0"/>
              <w:rPr>
                <w:sz w:val="19"/>
                <w:szCs w:val="19"/>
                <w:color w:val="auto"/>
              </w:rPr>
            </w:pPr>
          </w:p>
        </w:tc>
        <w:tc>
          <w:tcPr>
            <w:tcW w:w="2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1780" w:type="dxa"/>
            <w:vAlign w:val="bottom"/>
            <w:tcBorders>
              <w:left w:val="single" w:sz="8" w:color="424E6A"/>
              <w:bottom w:val="single" w:sz="8" w:color="D9DCE1"/>
            </w:tcBorders>
            <w:shd w:val="clear" w:color="auto" w:fill="D9DCE1"/>
          </w:tcPr>
          <w:p>
            <w:pPr>
              <w:ind w:left="60"/>
              <w:spacing w:after="0" w:line="210" w:lineRule="exact"/>
              <w:rPr>
                <w:sz w:val="20"/>
                <w:szCs w:val="20"/>
                <w:color w:val="auto"/>
              </w:rPr>
            </w:pPr>
            <w:r>
              <w:rPr>
                <w:rFonts w:ascii="Arial" w:cs="Arial" w:eastAsia="Arial" w:hAnsi="Arial"/>
                <w:sz w:val="15"/>
                <w:szCs w:val="15"/>
                <w:b w:val="1"/>
                <w:bCs w:val="1"/>
                <w:color w:val="auto"/>
              </w:rPr>
              <w:t>Jeremy Goebel</w:t>
            </w:r>
            <w:r>
              <w:rPr>
                <w:rFonts w:ascii="Arial" w:cs="Arial" w:eastAsia="Arial" w:hAnsi="Arial"/>
                <w:sz w:val="19"/>
                <w:szCs w:val="19"/>
                <w:b w:val="1"/>
                <w:bCs w:val="1"/>
                <w:color w:val="auto"/>
                <w:vertAlign w:val="superscript"/>
              </w:rPr>
              <w:t>(7)</w:t>
            </w:r>
          </w:p>
        </w:tc>
        <w:tc>
          <w:tcPr>
            <w:tcW w:w="200" w:type="dxa"/>
            <w:vAlign w:val="bottom"/>
            <w:tcBorders>
              <w:bottom w:val="single" w:sz="8" w:color="D9DCE1"/>
              <w:right w:val="single" w:sz="8" w:color="424E6A"/>
            </w:tcBorders>
            <w:shd w:val="clear" w:color="auto" w:fill="D9DCE1"/>
          </w:tcPr>
          <w:p>
            <w:pPr>
              <w:ind w:left="1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D9DCE1"/>
              <w:right w:val="single" w:sz="8" w:color="424E6A"/>
            </w:tcBorders>
            <w:shd w:val="clear" w:color="auto" w:fill="D9DCE1"/>
          </w:tcPr>
          <w:p>
            <w:pPr>
              <w:spacing w:after="0"/>
              <w:rPr>
                <w:sz w:val="20"/>
                <w:szCs w:val="20"/>
                <w:color w:val="auto"/>
              </w:rPr>
            </w:pP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D9DCE1"/>
            </w:tcBorders>
            <w:shd w:val="clear" w:color="auto" w:fill="D9DCE1"/>
          </w:tcPr>
          <w:p>
            <w:pPr>
              <w:spacing w:after="0"/>
              <w:rPr>
                <w:sz w:val="20"/>
                <w:szCs w:val="20"/>
                <w:color w:val="auto"/>
              </w:rPr>
            </w:pPr>
          </w:p>
        </w:tc>
        <w:tc>
          <w:tcPr>
            <w:tcW w:w="200" w:type="dxa"/>
            <w:vAlign w:val="bottom"/>
            <w:tcBorders>
              <w:bottom w:val="single" w:sz="8" w:color="D9DCE1"/>
              <w:right w:val="single" w:sz="8" w:color="424E6A"/>
            </w:tcBorders>
            <w:shd w:val="clear" w:color="auto" w:fill="D9DCE1"/>
          </w:tcPr>
          <w:p>
            <w:pPr>
              <w:spacing w:after="0"/>
              <w:rPr>
                <w:sz w:val="20"/>
                <w:szCs w:val="20"/>
                <w:color w:val="auto"/>
              </w:rPr>
            </w:pP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jc w:val="right"/>
              <w:ind w:right="9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D9DCE1"/>
            </w:tcBorders>
            <w:shd w:val="clear" w:color="auto" w:fill="D9DCE1"/>
          </w:tcPr>
          <w:p>
            <w:pPr>
              <w:ind w:left="5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D9DCE1"/>
            </w:tcBorders>
            <w:shd w:val="clear" w:color="auto" w:fill="D9DCE1"/>
          </w:tcPr>
          <w:p>
            <w:pPr>
              <w:spacing w:after="0"/>
              <w:rPr>
                <w:sz w:val="20"/>
                <w:szCs w:val="20"/>
                <w:color w:val="auto"/>
              </w:rPr>
            </w:pPr>
          </w:p>
        </w:tc>
        <w:tc>
          <w:tcPr>
            <w:tcW w:w="340" w:type="dxa"/>
            <w:vAlign w:val="bottom"/>
            <w:tcBorders>
              <w:bottom w:val="single" w:sz="8" w:color="D9DCE1"/>
            </w:tcBorders>
            <w:shd w:val="clear" w:color="auto" w:fill="D9DCE1"/>
          </w:tcPr>
          <w:p>
            <w:pPr>
              <w:spacing w:after="0"/>
              <w:rPr>
                <w:sz w:val="20"/>
                <w:szCs w:val="20"/>
                <w:color w:val="auto"/>
              </w:rPr>
            </w:pPr>
          </w:p>
        </w:tc>
        <w:tc>
          <w:tcPr>
            <w:tcW w:w="2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1780" w:type="dxa"/>
            <w:vAlign w:val="bottom"/>
            <w:tcBorders>
              <w:top w:val="single" w:sz="8" w:color="424E6A"/>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200" w:type="dxa"/>
            <w:vAlign w:val="bottom"/>
            <w:tcBorders>
              <w:top w:val="single" w:sz="8" w:color="424E6A"/>
              <w:right w:val="single" w:sz="8" w:color="424E6A"/>
            </w:tcBorders>
            <w:vMerge w:val="restart"/>
          </w:tcPr>
          <w:p>
            <w:pPr>
              <w:ind w:left="14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424E6A"/>
              <w:right w:val="single" w:sz="8" w:color="424E6A"/>
            </w:tcBorders>
            <w:gridSpan w:val="2"/>
          </w:tcPr>
          <w:p>
            <w:pPr>
              <w:jc w:val="right"/>
              <w:ind w:right="5"/>
              <w:spacing w:after="0" w:line="156" w:lineRule="exact"/>
              <w:rPr>
                <w:sz w:val="20"/>
                <w:szCs w:val="20"/>
                <w:color w:val="auto"/>
              </w:rPr>
            </w:pPr>
            <w:r>
              <w:rPr>
                <w:rFonts w:ascii="Arial" w:cs="Arial" w:eastAsia="Arial" w:hAnsi="Arial"/>
                <w:sz w:val="15"/>
                <w:szCs w:val="15"/>
                <w:color w:val="auto"/>
              </w:rPr>
              <w:t>13,840,778</w:t>
            </w:r>
            <w:r>
              <w:rPr>
                <w:rFonts w:ascii="Arial" w:cs="Arial" w:eastAsia="Arial" w:hAnsi="Arial"/>
                <w:sz w:val="18"/>
                <w:szCs w:val="18"/>
                <w:color w:val="auto"/>
                <w:vertAlign w:val="superscript"/>
              </w:rPr>
              <w:t>(1)</w:t>
            </w:r>
          </w:p>
        </w:tc>
        <w:tc>
          <w:tcPr>
            <w:tcW w:w="1120" w:type="dxa"/>
            <w:vAlign w:val="bottom"/>
            <w:tcBorders>
              <w:top w:val="single" w:sz="8" w:color="424E6A"/>
              <w:right w:val="single" w:sz="8" w:color="424E6A"/>
            </w:tcBorders>
            <w:gridSpan w:val="3"/>
          </w:tcPr>
          <w:p>
            <w:pPr>
              <w:jc w:val="right"/>
              <w:ind w:right="11"/>
              <w:spacing w:after="0" w:line="156" w:lineRule="exact"/>
              <w:rPr>
                <w:sz w:val="20"/>
                <w:szCs w:val="20"/>
                <w:color w:val="auto"/>
              </w:rPr>
            </w:pPr>
            <w:r>
              <w:rPr>
                <w:rFonts w:ascii="Arial" w:cs="Arial" w:eastAsia="Arial" w:hAnsi="Arial"/>
                <w:sz w:val="15"/>
                <w:szCs w:val="15"/>
                <w:color w:val="auto"/>
              </w:rPr>
              <w:t>13,840,778</w:t>
            </w:r>
            <w:r>
              <w:rPr>
                <w:rFonts w:ascii="Arial" w:cs="Arial" w:eastAsia="Arial" w:hAnsi="Arial"/>
                <w:sz w:val="18"/>
                <w:szCs w:val="18"/>
                <w:color w:val="auto"/>
                <w:vertAlign w:val="superscript"/>
              </w:rPr>
              <w:t>(1)</w:t>
            </w:r>
          </w:p>
        </w:tc>
        <w:tc>
          <w:tcPr>
            <w:tcW w:w="1120" w:type="dxa"/>
            <w:vAlign w:val="bottom"/>
            <w:tcBorders>
              <w:top w:val="single" w:sz="8" w:color="424E6A"/>
              <w:right w:val="single" w:sz="8" w:color="424E6A"/>
            </w:tcBorders>
            <w:gridSpan w:val="3"/>
          </w:tcPr>
          <w:p>
            <w:pPr>
              <w:jc w:val="right"/>
              <w:ind w:right="11"/>
              <w:spacing w:after="0" w:line="156" w:lineRule="exact"/>
              <w:rPr>
                <w:sz w:val="20"/>
                <w:szCs w:val="20"/>
                <w:color w:val="auto"/>
              </w:rPr>
            </w:pPr>
            <w:r>
              <w:rPr>
                <w:rFonts w:ascii="Arial" w:cs="Arial" w:eastAsia="Arial" w:hAnsi="Arial"/>
                <w:sz w:val="15"/>
                <w:szCs w:val="15"/>
                <w:color w:val="auto"/>
              </w:rPr>
              <w:t>11,993,257</w:t>
            </w:r>
            <w:r>
              <w:rPr>
                <w:rFonts w:ascii="Arial" w:cs="Arial" w:eastAsia="Arial" w:hAnsi="Arial"/>
                <w:sz w:val="18"/>
                <w:szCs w:val="18"/>
                <w:color w:val="auto"/>
                <w:vertAlign w:val="superscript"/>
              </w:rPr>
              <w:t>(2)</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424E6A"/>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424E6A"/>
              <w:right w:val="single" w:sz="8" w:color="424E6A"/>
            </w:tcBorders>
            <w:vMerge w:val="restart"/>
          </w:tcPr>
          <w:p>
            <w:pPr>
              <w:jc w:val="right"/>
              <w:ind w:right="90"/>
              <w:spacing w:after="0"/>
              <w:rPr>
                <w:sz w:val="20"/>
                <w:szCs w:val="20"/>
                <w:color w:val="auto"/>
              </w:rPr>
            </w:pPr>
            <w:r>
              <w:rPr>
                <w:rFonts w:ascii="Arial" w:cs="Arial" w:eastAsia="Arial" w:hAnsi="Arial"/>
                <w:sz w:val="15"/>
                <w:szCs w:val="15"/>
                <w:color w:val="auto"/>
              </w:rPr>
              <w:t>​</w:t>
            </w:r>
          </w:p>
        </w:tc>
        <w:tc>
          <w:tcPr>
            <w:tcW w:w="1640" w:type="dxa"/>
            <w:vAlign w:val="bottom"/>
            <w:tcBorders>
              <w:top w:val="single" w:sz="8" w:color="424E6A"/>
            </w:tcBorders>
            <w:gridSpan w:val="3"/>
          </w:tcPr>
          <w:p>
            <w:pPr>
              <w:jc w:val="right"/>
              <w:ind w:right="171"/>
              <w:spacing w:after="0" w:line="156" w:lineRule="exact"/>
              <w:rPr>
                <w:sz w:val="20"/>
                <w:szCs w:val="20"/>
                <w:color w:val="auto"/>
              </w:rPr>
            </w:pPr>
            <w:r>
              <w:rPr>
                <w:rFonts w:ascii="Arial" w:cs="Arial" w:eastAsia="Arial" w:hAnsi="Arial"/>
                <w:sz w:val="15"/>
                <w:szCs w:val="15"/>
                <w:color w:val="auto"/>
              </w:rPr>
              <w:t>16,284,926</w:t>
            </w:r>
            <w:r>
              <w:rPr>
                <w:rFonts w:ascii="Arial" w:cs="Arial" w:eastAsia="Arial" w:hAnsi="Arial"/>
                <w:sz w:val="18"/>
                <w:szCs w:val="18"/>
                <w:color w:val="auto"/>
                <w:vertAlign w:val="superscript"/>
              </w:rPr>
              <w:t>(3)</w:t>
            </w:r>
          </w:p>
        </w:tc>
        <w:tc>
          <w:tcPr>
            <w:tcW w:w="22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4"/>
        </w:trPr>
        <w:tc>
          <w:tcPr>
            <w:tcW w:w="1780" w:type="dxa"/>
            <w:vAlign w:val="bottom"/>
            <w:tcBorders>
              <w:left w:val="single" w:sz="8" w:color="424E6A"/>
              <w:bottom w:val="single" w:sz="8" w:color="424E6A"/>
            </w:tcBorders>
          </w:tcPr>
          <w:p>
            <w:pPr>
              <w:spacing w:after="0"/>
              <w:rPr>
                <w:sz w:val="8"/>
                <w:szCs w:val="8"/>
                <w:color w:val="auto"/>
              </w:rPr>
            </w:pPr>
          </w:p>
        </w:tc>
        <w:tc>
          <w:tcPr>
            <w:tcW w:w="200" w:type="dxa"/>
            <w:vAlign w:val="bottom"/>
            <w:tcBorders>
              <w:bottom w:val="single" w:sz="8" w:color="424E6A"/>
              <w:right w:val="single" w:sz="8" w:color="424E6A"/>
            </w:tcBorders>
            <w:vMerge w:val="continue"/>
          </w:tcPr>
          <w:p>
            <w:pPr>
              <w:spacing w:after="0"/>
              <w:rPr>
                <w:sz w:val="8"/>
                <w:szCs w:val="8"/>
                <w:color w:val="auto"/>
              </w:rPr>
            </w:pPr>
          </w:p>
        </w:tc>
        <w:tc>
          <w:tcPr>
            <w:tcW w:w="160" w:type="dxa"/>
            <w:vAlign w:val="bottom"/>
            <w:tcBorders>
              <w:bottom w:val="single" w:sz="8" w:color="424E6A"/>
            </w:tcBorders>
          </w:tcPr>
          <w:p>
            <w:pPr>
              <w:ind w:left="40"/>
              <w:spacing w:after="0" w:line="95" w:lineRule="exact"/>
              <w:rPr>
                <w:sz w:val="20"/>
                <w:szCs w:val="20"/>
                <w:color w:val="auto"/>
              </w:rPr>
            </w:pPr>
            <w:r>
              <w:rPr>
                <w:rFonts w:ascii="Arial" w:cs="Arial" w:eastAsia="Arial" w:hAnsi="Arial"/>
                <w:sz w:val="10"/>
                <w:szCs w:val="10"/>
                <w:color w:val="auto"/>
              </w:rPr>
              <w:t>​​</w:t>
            </w:r>
          </w:p>
        </w:tc>
        <w:tc>
          <w:tcPr>
            <w:tcW w:w="900" w:type="dxa"/>
            <w:vAlign w:val="bottom"/>
            <w:tcBorders>
              <w:bottom w:val="single" w:sz="8" w:color="424E6A"/>
              <w:right w:val="single" w:sz="8" w:color="424E6A"/>
            </w:tcBorders>
          </w:tcPr>
          <w:p>
            <w:pPr>
              <w:spacing w:after="0"/>
              <w:rPr>
                <w:sz w:val="8"/>
                <w:szCs w:val="8"/>
                <w:color w:val="auto"/>
              </w:rPr>
            </w:pPr>
          </w:p>
        </w:tc>
        <w:tc>
          <w:tcPr>
            <w:tcW w:w="200" w:type="dxa"/>
            <w:vAlign w:val="bottom"/>
            <w:tcBorders>
              <w:bottom w:val="single" w:sz="8" w:color="424E6A"/>
            </w:tcBorders>
          </w:tcPr>
          <w:p>
            <w:pPr>
              <w:ind w:left="160"/>
              <w:spacing w:after="0" w:line="95"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424E6A"/>
            </w:tcBorders>
          </w:tcPr>
          <w:p>
            <w:pPr>
              <w:spacing w:after="0"/>
              <w:rPr>
                <w:sz w:val="8"/>
                <w:szCs w:val="8"/>
                <w:color w:val="auto"/>
              </w:rPr>
            </w:pPr>
          </w:p>
        </w:tc>
        <w:tc>
          <w:tcPr>
            <w:tcW w:w="200" w:type="dxa"/>
            <w:vAlign w:val="bottom"/>
            <w:tcBorders>
              <w:bottom w:val="single" w:sz="8" w:color="424E6A"/>
              <w:right w:val="single" w:sz="8" w:color="424E6A"/>
            </w:tcBorders>
          </w:tcPr>
          <w:p>
            <w:pPr>
              <w:spacing w:after="0"/>
              <w:rPr>
                <w:sz w:val="8"/>
                <w:szCs w:val="8"/>
                <w:color w:val="auto"/>
              </w:rPr>
            </w:pPr>
          </w:p>
        </w:tc>
        <w:tc>
          <w:tcPr>
            <w:tcW w:w="220" w:type="dxa"/>
            <w:vAlign w:val="bottom"/>
            <w:tcBorders>
              <w:bottom w:val="single" w:sz="8" w:color="424E6A"/>
            </w:tcBorders>
          </w:tcPr>
          <w:p>
            <w:pPr>
              <w:ind w:left="160"/>
              <w:spacing w:after="0" w:line="9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424E6A"/>
            </w:tcBorders>
          </w:tcPr>
          <w:p>
            <w:pPr>
              <w:spacing w:after="0"/>
              <w:rPr>
                <w:sz w:val="8"/>
                <w:szCs w:val="8"/>
                <w:color w:val="auto"/>
              </w:rPr>
            </w:pPr>
          </w:p>
        </w:tc>
        <w:tc>
          <w:tcPr>
            <w:tcW w:w="200" w:type="dxa"/>
            <w:vAlign w:val="bottom"/>
            <w:tcBorders>
              <w:bottom w:val="single" w:sz="8" w:color="424E6A"/>
              <w:right w:val="single" w:sz="8" w:color="424E6A"/>
            </w:tcBorders>
          </w:tcPr>
          <w:p>
            <w:pPr>
              <w:spacing w:after="0"/>
              <w:rPr>
                <w:sz w:val="8"/>
                <w:szCs w:val="8"/>
                <w:color w:val="auto"/>
              </w:rPr>
            </w:pPr>
          </w:p>
        </w:tc>
        <w:tc>
          <w:tcPr>
            <w:tcW w:w="220" w:type="dxa"/>
            <w:vAlign w:val="bottom"/>
            <w:tcBorders>
              <w:bottom w:val="single" w:sz="8" w:color="424E6A"/>
            </w:tcBorders>
            <w:vMerge w:val="continue"/>
          </w:tcPr>
          <w:p>
            <w:pPr>
              <w:spacing w:after="0"/>
              <w:rPr>
                <w:sz w:val="8"/>
                <w:szCs w:val="8"/>
                <w:color w:val="auto"/>
              </w:rPr>
            </w:pPr>
          </w:p>
        </w:tc>
        <w:tc>
          <w:tcPr>
            <w:tcW w:w="640" w:type="dxa"/>
            <w:vAlign w:val="bottom"/>
            <w:tcBorders>
              <w:bottom w:val="single" w:sz="8" w:color="424E6A"/>
            </w:tcBorders>
          </w:tcPr>
          <w:p>
            <w:pPr>
              <w:spacing w:after="0"/>
              <w:rPr>
                <w:sz w:val="8"/>
                <w:szCs w:val="8"/>
                <w:color w:val="auto"/>
              </w:rPr>
            </w:pPr>
          </w:p>
        </w:tc>
        <w:tc>
          <w:tcPr>
            <w:tcW w:w="220" w:type="dxa"/>
            <w:vAlign w:val="bottom"/>
            <w:tcBorders>
              <w:bottom w:val="single" w:sz="8" w:color="424E6A"/>
              <w:right w:val="single" w:sz="8" w:color="424E6A"/>
            </w:tcBorders>
            <w:vMerge w:val="continue"/>
          </w:tcPr>
          <w:p>
            <w:pPr>
              <w:spacing w:after="0"/>
              <w:rPr>
                <w:sz w:val="8"/>
                <w:szCs w:val="8"/>
                <w:color w:val="auto"/>
              </w:rPr>
            </w:pPr>
          </w:p>
        </w:tc>
        <w:tc>
          <w:tcPr>
            <w:tcW w:w="580" w:type="dxa"/>
            <w:vAlign w:val="bottom"/>
            <w:tcBorders>
              <w:bottom w:val="single" w:sz="8" w:color="424E6A"/>
            </w:tcBorders>
          </w:tcPr>
          <w:p>
            <w:pPr>
              <w:ind w:left="500"/>
              <w:spacing w:after="0" w:line="95"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424E6A"/>
            </w:tcBorders>
          </w:tcPr>
          <w:p>
            <w:pPr>
              <w:spacing w:after="0"/>
              <w:rPr>
                <w:sz w:val="8"/>
                <w:szCs w:val="8"/>
                <w:color w:val="auto"/>
              </w:rPr>
            </w:pPr>
          </w:p>
        </w:tc>
        <w:tc>
          <w:tcPr>
            <w:tcW w:w="340" w:type="dxa"/>
            <w:vAlign w:val="bottom"/>
            <w:tcBorders>
              <w:bottom w:val="single" w:sz="8" w:color="424E6A"/>
            </w:tcBorders>
          </w:tcPr>
          <w:p>
            <w:pPr>
              <w:spacing w:after="0"/>
              <w:rPr>
                <w:sz w:val="8"/>
                <w:szCs w:val="8"/>
                <w:color w:val="auto"/>
              </w:rPr>
            </w:pPr>
          </w:p>
        </w:tc>
        <w:tc>
          <w:tcPr>
            <w:tcW w:w="220" w:type="dxa"/>
            <w:vAlign w:val="bottom"/>
            <w:tcBorders>
              <w:bottom w:val="single" w:sz="8" w:color="424E6A"/>
              <w:right w:val="single" w:sz="8" w:color="424E6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424E6A"/>
              <w:right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13,840,778</w:t>
            </w: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13,840,778</w:t>
            </w:r>
          </w:p>
        </w:tc>
        <w:tc>
          <w:tcPr>
            <w:tcW w:w="20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11,993,257</w:t>
            </w:r>
          </w:p>
        </w:tc>
        <w:tc>
          <w:tcPr>
            <w:tcW w:w="200" w:type="dxa"/>
            <w:vAlign w:val="bottom"/>
            <w:tcBorders>
              <w:bottom w:val="single" w:sz="8" w:color="424E6A"/>
              <w:right w:val="single" w:sz="8" w:color="424E6A"/>
            </w:tcBorders>
          </w:tcPr>
          <w:p>
            <w:pPr>
              <w:spacing w:after="0"/>
              <w:rPr>
                <w:sz w:val="19"/>
                <w:szCs w:val="19"/>
                <w:color w:val="auto"/>
              </w:rPr>
            </w:pP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424E6A"/>
              <w:right w:val="single" w:sz="8" w:color="424E6A"/>
            </w:tcBorders>
            <w:gridSpan w:val="2"/>
          </w:tcPr>
          <w:p>
            <w:pPr>
              <w:jc w:val="right"/>
              <w:ind w:right="9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1300" w:type="dxa"/>
            <w:vAlign w:val="bottom"/>
            <w:tcBorders>
              <w:bottom w:val="single" w:sz="8" w:color="424E6A"/>
            </w:tcBorders>
            <w:gridSpan w:val="2"/>
          </w:tcPr>
          <w:p>
            <w:pPr>
              <w:ind w:left="5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16,284,926</w:t>
            </w:r>
          </w:p>
        </w:tc>
        <w:tc>
          <w:tcPr>
            <w:tcW w:w="340" w:type="dxa"/>
            <w:vAlign w:val="bottom"/>
            <w:tcBorders>
              <w:bottom w:val="single" w:sz="8" w:color="424E6A"/>
            </w:tcBorders>
          </w:tcPr>
          <w:p>
            <w:pPr>
              <w:spacing w:after="0"/>
              <w:rPr>
                <w:sz w:val="19"/>
                <w:szCs w:val="19"/>
                <w:color w:val="auto"/>
              </w:rPr>
            </w:pPr>
          </w:p>
        </w:tc>
        <w:tc>
          <w:tcPr>
            <w:tcW w:w="2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439" w:hanging="360"/>
        <w:spacing w:after="0" w:line="245" w:lineRule="auto"/>
        <w:tabs>
          <w:tab w:leader="none" w:pos="162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7" w:lineRule="exact"/>
        <w:rPr>
          <w:rFonts w:ascii="Arial" w:cs="Arial" w:eastAsia="Arial" w:hAnsi="Arial"/>
          <w:sz w:val="26"/>
          <w:szCs w:val="26"/>
          <w:color w:val="auto"/>
          <w:vertAlign w:val="superscript"/>
        </w:rPr>
      </w:pPr>
    </w:p>
    <w:p>
      <w:pPr>
        <w:ind w:left="1620" w:right="439"/>
        <w:spacing w:after="0" w:line="265" w:lineRule="auto"/>
        <w:rPr>
          <w:rFonts w:ascii="Arial" w:cs="Arial" w:eastAsia="Arial" w:hAnsi="Arial"/>
          <w:sz w:val="26"/>
          <w:szCs w:val="26"/>
          <w:color w:val="auto"/>
          <w:vertAlign w:val="superscript"/>
        </w:rPr>
      </w:pPr>
      <w:r>
        <w:rPr>
          <w:rFonts w:ascii="Arial" w:cs="Arial" w:eastAsia="Arial" w:hAnsi="Arial"/>
          <w:sz w:val="17"/>
          <w:szCs w:val="17"/>
          <w:color w:val="auto"/>
        </w:rPr>
        <w:t>The letters evidencing the August 2022, August 2023 and August 2024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ind w:left="1620" w:right="439"/>
        <w:spacing w:after="0" w:line="245"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p>
    <w:p>
      <w:pPr>
        <w:spacing w:after="0" w:line="14" w:lineRule="exact"/>
        <w:rPr>
          <w:rFonts w:ascii="Arial" w:cs="Arial" w:eastAsia="Arial" w:hAnsi="Arial"/>
          <w:sz w:val="26"/>
          <w:szCs w:val="26"/>
          <w:color w:val="auto"/>
          <w:vertAlign w:val="superscript"/>
        </w:rPr>
      </w:pPr>
    </w:p>
    <w:p>
      <w:pPr>
        <w:ind w:left="1620" w:right="959"/>
        <w:spacing w:after="0" w:line="253" w:lineRule="auto"/>
        <w:rPr>
          <w:rFonts w:ascii="Arial" w:cs="Arial" w:eastAsia="Arial" w:hAnsi="Arial"/>
          <w:sz w:val="26"/>
          <w:szCs w:val="26"/>
          <w:color w:val="auto"/>
          <w:vertAlign w:val="superscript"/>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6" w:lineRule="exact"/>
        <w:rPr>
          <w:rFonts w:ascii="Arial" w:cs="Arial" w:eastAsia="Arial" w:hAnsi="Arial"/>
          <w:sz w:val="26"/>
          <w:szCs w:val="26"/>
          <w:color w:val="auto"/>
          <w:vertAlign w:val="superscript"/>
        </w:rPr>
      </w:pPr>
    </w:p>
    <w:p>
      <w:pPr>
        <w:ind w:left="1620" w:right="779"/>
        <w:spacing w:after="0" w:line="301" w:lineRule="auto"/>
        <w:rPr>
          <w:rFonts w:ascii="Arial" w:cs="Arial" w:eastAsia="Arial" w:hAnsi="Arial"/>
          <w:sz w:val="26"/>
          <w:szCs w:val="26"/>
          <w:color w:val="auto"/>
          <w:vertAlign w:val="superscript"/>
        </w:rPr>
      </w:pPr>
      <w:r>
        <w:rPr>
          <w:rFonts w:ascii="Arial" w:cs="Arial" w:eastAsia="Arial" w:hAnsi="Arial"/>
          <w:sz w:val="17"/>
          <w:szCs w:val="17"/>
          <w:color w:val="auto"/>
        </w:rPr>
        <w:t>Assuming death or disability occurred on December 31, 2024, (i) all of the phantom units and associated DERs held by Messrs. Chiang, Swanson, McGee, Chandler and Goebel pursuant to</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45" w:lineRule="auto"/>
        <w:rPr>
          <w:sz w:val="20"/>
          <w:szCs w:val="20"/>
          <w:color w:val="auto"/>
        </w:rPr>
      </w:pPr>
      <w:r>
        <w:rPr>
          <w:rFonts w:ascii="Arial" w:cs="Arial" w:eastAsia="Arial" w:hAnsi="Arial"/>
          <w:sz w:val="18"/>
          <w:szCs w:val="18"/>
          <w:color w:val="auto"/>
        </w:rPr>
        <w:t>their August 2022 and August 2023 grant letters; all of the phantom units and associated DERs held by Mr. Chiang pursuant to his August 2018 grant letter; and all of the phantom units and associated DERs held by Messrs. Chandler and Goebel pursuant to their November 2019 grant letters would have become nonforfeitable as of such date and would have vested on the February 2025 distribution date, and (ii) all of the phantom units and associated DERs held by Messrs. Chiang, Swanson, McGee, Chandler and Goebel pursuant to their August 2024 grant letters would have been forfeited. The dollar value given is based on the market value of PAA’s common units on December 31, 2024 ($17.08 per unit).</w:t>
      </w:r>
    </w:p>
    <w:p>
      <w:pPr>
        <w:spacing w:after="0" w:line="38" w:lineRule="exact"/>
        <w:rPr>
          <w:sz w:val="20"/>
          <w:szCs w:val="20"/>
          <w:color w:val="auto"/>
        </w:rPr>
      </w:pPr>
    </w:p>
    <w:p>
      <w:pPr>
        <w:ind w:left="1620" w:right="579" w:hanging="360"/>
        <w:spacing w:after="0" w:line="232"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20" w:lineRule="exact"/>
        <w:rPr>
          <w:rFonts w:ascii="Arial" w:cs="Arial" w:eastAsia="Arial" w:hAnsi="Arial"/>
          <w:sz w:val="27"/>
          <w:szCs w:val="27"/>
          <w:color w:val="auto"/>
          <w:vertAlign w:val="superscript"/>
        </w:rPr>
      </w:pPr>
    </w:p>
    <w:p>
      <w:pPr>
        <w:ind w:left="1620" w:right="53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p>
    <w:p>
      <w:pPr>
        <w:spacing w:after="0" w:line="5" w:lineRule="exact"/>
        <w:rPr>
          <w:rFonts w:ascii="Arial" w:cs="Arial" w:eastAsia="Arial" w:hAnsi="Arial"/>
          <w:sz w:val="27"/>
          <w:szCs w:val="27"/>
          <w:color w:val="auto"/>
          <w:vertAlign w:val="superscript"/>
        </w:rPr>
      </w:pPr>
    </w:p>
    <w:p>
      <w:pPr>
        <w:ind w:left="1620" w:right="439"/>
        <w:spacing w:after="0" w:line="244"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2022, August 2023 and August 2024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p>
    <w:p>
      <w:pPr>
        <w:spacing w:after="0" w:line="4" w:lineRule="exact"/>
        <w:rPr>
          <w:rFonts w:ascii="Arial" w:cs="Arial" w:eastAsia="Arial" w:hAnsi="Arial"/>
          <w:sz w:val="27"/>
          <w:szCs w:val="27"/>
          <w:color w:val="auto"/>
          <w:vertAlign w:val="superscript"/>
        </w:rPr>
      </w:pPr>
    </w:p>
    <w:p>
      <w:pPr>
        <w:ind w:left="1620" w:right="69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5"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2024,</w:t>
      </w:r>
    </w:p>
    <w:p>
      <w:pPr>
        <w:spacing w:after="0" w:line="27" w:lineRule="exact"/>
        <w:rPr>
          <w:rFonts w:ascii="Arial" w:cs="Arial" w:eastAsia="Arial" w:hAnsi="Arial"/>
          <w:sz w:val="27"/>
          <w:szCs w:val="27"/>
          <w:color w:val="auto"/>
          <w:vertAlign w:val="superscript"/>
        </w:rPr>
      </w:pPr>
    </w:p>
    <w:p>
      <w:pPr>
        <w:ind w:left="1620" w:right="419"/>
        <w:spacing w:after="0"/>
        <w:rPr>
          <w:rFonts w:ascii="Arial" w:cs="Arial" w:eastAsia="Arial" w:hAnsi="Arial"/>
          <w:sz w:val="27"/>
          <w:szCs w:val="27"/>
          <w:color w:val="auto"/>
          <w:vertAlign w:val="superscript"/>
        </w:rPr>
      </w:pPr>
      <w:r>
        <w:rPr>
          <w:rFonts w:ascii="Arial" w:cs="Arial" w:eastAsia="Arial" w:hAnsi="Arial"/>
          <w:sz w:val="18"/>
          <w:szCs w:val="18"/>
          <w:color w:val="auto"/>
        </w:rPr>
        <w:t>(i) approximately 79% of the phantom units covered by the August 2022 phantom unit grants held by Messrs. Chiang, Swanson, McGee, Chandler and Goebel; approximately 46% of the phantom units covered by the August 2023 phantom unit grants held by Messrs. Chiang, Swanson, McGee, Chandler and Goebel; 100% of the phantom units covered by the November 2019 phantom unit grants held by Messrs. Chandler and Goebel; and 100% of the phantom units covered by the August 2018 phantom unit grant held by Mr. Chiang would have become nonforfeitable as of such date and would have vested on the February 2025 distribution date, and (ii) all remaining phantom units held by our Named Executive Officers would have been forfeited. The dollar value given is based on the market value of PAA’s common units on December 31, 2024 ($17.08 per unit).</w:t>
      </w:r>
    </w:p>
    <w:p>
      <w:pPr>
        <w:spacing w:after="0" w:line="49" w:lineRule="exact"/>
        <w:rPr>
          <w:rFonts w:ascii="Arial" w:cs="Arial" w:eastAsia="Arial" w:hAnsi="Arial"/>
          <w:sz w:val="27"/>
          <w:szCs w:val="27"/>
          <w:color w:val="auto"/>
          <w:vertAlign w:val="superscript"/>
        </w:rPr>
      </w:pPr>
    </w:p>
    <w:p>
      <w:pPr>
        <w:jc w:val="both"/>
        <w:ind w:left="1620" w:right="439" w:hanging="360"/>
        <w:spacing w:after="0" w:line="220"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including retirement on terms and timing that are approved by the CEO (or the Board in the case of the CEO), all of the then outstanding</w:t>
      </w:r>
    </w:p>
    <w:p>
      <w:pPr>
        <w:spacing w:after="0" w:line="1" w:lineRule="exact"/>
        <w:rPr>
          <w:rFonts w:ascii="Arial" w:cs="Arial" w:eastAsia="Arial" w:hAnsi="Arial"/>
          <w:sz w:val="27"/>
          <w:szCs w:val="27"/>
          <w:color w:val="auto"/>
          <w:vertAlign w:val="superscript"/>
        </w:rPr>
      </w:pPr>
    </w:p>
    <w:p>
      <w:pPr>
        <w:ind w:left="1620" w:right="459"/>
        <w:spacing w:after="0" w:line="272" w:lineRule="auto"/>
        <w:rPr>
          <w:rFonts w:ascii="Arial" w:cs="Arial" w:eastAsia="Arial" w:hAnsi="Arial"/>
          <w:sz w:val="27"/>
          <w:szCs w:val="27"/>
          <w:color w:val="auto"/>
          <w:vertAlign w:val="superscript"/>
        </w:rPr>
      </w:pPr>
      <w:r>
        <w:rPr>
          <w:rFonts w:ascii="Arial" w:cs="Arial" w:eastAsia="Arial" w:hAnsi="Arial"/>
          <w:sz w:val="17"/>
          <w:szCs w:val="17"/>
          <w:color w:val="auto"/>
        </w:rPr>
        <w:t>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2024, all outstanding phantom units awarded under such grants and the associated DERs would have become nonforfeitable as of such date and would</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99"/>
        <w:spacing w:after="0" w:line="266" w:lineRule="auto"/>
        <w:rPr>
          <w:sz w:val="20"/>
          <w:szCs w:val="20"/>
          <w:color w:val="auto"/>
        </w:rPr>
      </w:pPr>
      <w:r>
        <w:rPr>
          <w:rFonts w:ascii="Arial" w:cs="Arial" w:eastAsia="Arial" w:hAnsi="Arial"/>
          <w:sz w:val="18"/>
          <w:szCs w:val="18"/>
          <w:color w:val="auto"/>
        </w:rPr>
        <w:t>have vested on the February 2025 distribution date. The dollar value given is based on the market value of PAA’s common units on December 31, 2024 ($17.08 per unit).</w:t>
      </w:r>
    </w:p>
    <w:p>
      <w:pPr>
        <w:ind w:left="1620" w:right="459"/>
        <w:spacing w:after="0" w:line="256" w:lineRule="auto"/>
        <w:rPr>
          <w:sz w:val="20"/>
          <w:szCs w:val="20"/>
          <w:color w:val="auto"/>
        </w:rPr>
      </w:pPr>
      <w:r>
        <w:rPr>
          <w:rFonts w:ascii="Arial" w:cs="Arial" w:eastAsia="Arial" w:hAnsi="Arial"/>
          <w:sz w:val="17"/>
          <w:szCs w:val="17"/>
          <w:color w:val="auto"/>
        </w:rPr>
        <w:t>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w:t>
      </w:r>
    </w:p>
    <w:p>
      <w:pPr>
        <w:spacing w:after="0" w:line="3" w:lineRule="exact"/>
        <w:rPr>
          <w:sz w:val="20"/>
          <w:szCs w:val="20"/>
          <w:color w:val="auto"/>
        </w:rPr>
      </w:pPr>
    </w:p>
    <w:p>
      <w:pPr>
        <w:jc w:val="both"/>
        <w:ind w:left="1620" w:right="539"/>
        <w:spacing w:after="0" w:line="248" w:lineRule="auto"/>
        <w:tabs>
          <w:tab w:leader="none" w:pos="19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action or inaction that would constitute a material breach of the applicable grant letter by GP LLC, or (C) the termination of employment as a result of retirement on terms and timing that are approved by the CEO (or the Board in the case of the CEO).</w:t>
      </w:r>
    </w:p>
    <w:p>
      <w:pPr>
        <w:spacing w:after="0" w:line="2" w:lineRule="exact"/>
        <w:rPr>
          <w:sz w:val="20"/>
          <w:szCs w:val="20"/>
          <w:color w:val="auto"/>
        </w:rPr>
      </w:pPr>
    </w:p>
    <w:p>
      <w:pPr>
        <w:ind w:left="1620" w:right="419"/>
        <w:spacing w:after="0" w:line="242" w:lineRule="auto"/>
        <w:rPr>
          <w:sz w:val="20"/>
          <w:szCs w:val="20"/>
          <w:color w:val="auto"/>
        </w:rPr>
      </w:pPr>
      <w:r>
        <w:rPr>
          <w:rFonts w:ascii="Arial" w:cs="Arial" w:eastAsia="Arial" w:hAnsi="Arial"/>
          <w:sz w:val="18"/>
          <w:szCs w:val="18"/>
          <w:color w:val="auto"/>
        </w:rPr>
        <w:t>The phrase “change of control” is defined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p>
    <w:p>
      <w:pPr>
        <w:spacing w:after="0" w:line="9" w:lineRule="exact"/>
        <w:rPr>
          <w:sz w:val="20"/>
          <w:szCs w:val="20"/>
          <w:color w:val="auto"/>
        </w:rPr>
      </w:pPr>
    </w:p>
    <w:p>
      <w:pPr>
        <w:ind w:left="1620" w:right="539"/>
        <w:spacing w:after="0" w:line="257" w:lineRule="auto"/>
        <w:rPr>
          <w:sz w:val="20"/>
          <w:szCs w:val="20"/>
          <w:color w:val="auto"/>
        </w:rPr>
      </w:pPr>
      <w:r>
        <w:rPr>
          <w:rFonts w:ascii="Arial" w:cs="Arial" w:eastAsia="Arial" w:hAnsi="Arial"/>
          <w:sz w:val="17"/>
          <w:szCs w:val="17"/>
          <w:color w:val="auto"/>
        </w:rPr>
        <w:t>“Cause” is defined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w:t>
      </w:r>
    </w:p>
    <w:p>
      <w:pPr>
        <w:spacing w:after="0" w:line="4" w:lineRule="exact"/>
        <w:rPr>
          <w:sz w:val="20"/>
          <w:szCs w:val="20"/>
          <w:color w:val="auto"/>
        </w:rPr>
      </w:pPr>
    </w:p>
    <w:p>
      <w:pPr>
        <w:ind w:left="1820" w:hanging="200"/>
        <w:spacing w:after="0"/>
        <w:tabs>
          <w:tab w:leader="none" w:pos="1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and (iii) with the specific failure or violation described in writing.</w:t>
      </w:r>
    </w:p>
    <w:p>
      <w:pPr>
        <w:spacing w:after="0" w:line="126" w:lineRule="exact"/>
        <w:rPr>
          <w:rFonts w:ascii="Arial" w:cs="Arial" w:eastAsia="Arial" w:hAnsi="Arial"/>
          <w:sz w:val="18"/>
          <w:szCs w:val="18"/>
          <w:color w:val="auto"/>
        </w:rPr>
      </w:pPr>
    </w:p>
    <w:p>
      <w:pPr>
        <w:ind w:left="1620" w:right="419" w:hanging="360"/>
        <w:spacing w:after="0" w:line="247" w:lineRule="auto"/>
        <w:tabs>
          <w:tab w:leader="none" w:pos="1620" w:val="left"/>
        </w:tabs>
        <w:numPr>
          <w:ilvl w:val="0"/>
          <w:numId w:val="60"/>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 (a) highest annual base salary paid prior to his date of termination and (b) highest annual bonus paid or payable for any of the three years prior to the date of termination, and (2) the lesser of</w:t>
      </w:r>
    </w:p>
    <w:p>
      <w:pPr>
        <w:jc w:val="both"/>
        <w:ind w:left="1620" w:right="439"/>
        <w:spacing w:after="0" w:line="255" w:lineRule="auto"/>
        <w:tabs>
          <w:tab w:leader="none" w:pos="182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two or (ii) the number of days remaining in the term of his employment agreement divided by 360. The amount provided in the table assumes a termination date of December 31, 2024 with two years remaining on the term of his agreement, and also assumes a highest annual base salary of $600,000 and highest annual bonus of $2,105,000.</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Pefanis’ employment agreement defines “cause” as (i) willfully engaging in gross misconduct, or</w:t>
      </w:r>
    </w:p>
    <w:p>
      <w:pPr>
        <w:spacing w:after="0" w:line="25" w:lineRule="exact"/>
        <w:rPr>
          <w:sz w:val="20"/>
          <w:szCs w:val="20"/>
          <w:color w:val="auto"/>
        </w:rPr>
      </w:pPr>
    </w:p>
    <w:p>
      <w:pPr>
        <w:ind w:left="1620" w:right="439"/>
        <w:spacing w:after="0" w:line="257" w:lineRule="auto"/>
        <w:tabs>
          <w:tab w:leader="none" w:pos="18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639"/>
        <w:spacing w:after="0" w:line="266" w:lineRule="auto"/>
        <w:rPr>
          <w:sz w:val="20"/>
          <w:szCs w:val="20"/>
          <w:color w:val="auto"/>
        </w:rPr>
      </w:pPr>
      <w:r>
        <w:rPr>
          <w:rFonts w:ascii="Arial" w:cs="Arial" w:eastAsia="Arial" w:hAnsi="Arial"/>
          <w:sz w:val="18"/>
          <w:szCs w:val="18"/>
          <w:color w:val="auto"/>
        </w:rPr>
        <w:t>termination, with no other payment obligations triggered by the termination under the employment agreement or other employment arrangement.</w:t>
      </w:r>
    </w:p>
    <w:p>
      <w:pPr>
        <w:ind w:left="1620" w:right="439"/>
        <w:spacing w:after="0" w:line="267"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w:t>
      </w:r>
    </w:p>
    <w:p>
      <w:pPr>
        <w:spacing w:after="0" w:line="2" w:lineRule="exact"/>
        <w:rPr>
          <w:sz w:val="20"/>
          <w:szCs w:val="20"/>
          <w:color w:val="auto"/>
        </w:rPr>
      </w:pPr>
    </w:p>
    <w:p>
      <w:pPr>
        <w:ind w:left="1620" w:right="539"/>
        <w:spacing w:after="0" w:line="241" w:lineRule="auto"/>
        <w:rPr>
          <w:sz w:val="20"/>
          <w:szCs w:val="20"/>
          <w:color w:val="auto"/>
        </w:rPr>
      </w:pPr>
      <w:r>
        <w:rPr>
          <w:rFonts w:ascii="Arial" w:cs="Arial" w:eastAsia="Arial" w:hAnsi="Arial"/>
          <w:sz w:val="18"/>
          <w:szCs w:val="18"/>
          <w:color w:val="auto"/>
        </w:rPr>
        <w:t>Mr. Pefanis was appointed pursuant to his employment agreement, except in connection with his termination for cause (as defined above); (ii) (a) a reduction in his rate of base salary (other than in connection with across-the-board salary reductions for all executive officers of GP LLC) to an amount which is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31" w:lineRule="exact"/>
        <w:rPr>
          <w:sz w:val="20"/>
          <w:szCs w:val="20"/>
          <w:color w:val="auto"/>
        </w:rPr>
      </w:pPr>
    </w:p>
    <w:p>
      <w:pPr>
        <w:ind w:left="1620" w:right="419" w:hanging="360"/>
        <w:spacing w:after="0" w:line="237"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2024, and also assumes a highest annual base salary of $600,000 and highest annual bonus of $2,105,000.</w:t>
      </w:r>
    </w:p>
    <w:p>
      <w:pPr>
        <w:spacing w:after="0" w:line="19" w:lineRule="exact"/>
        <w:rPr>
          <w:rFonts w:ascii="Arial" w:cs="Arial" w:eastAsia="Arial" w:hAnsi="Arial"/>
          <w:sz w:val="27"/>
          <w:szCs w:val="27"/>
          <w:color w:val="auto"/>
          <w:vertAlign w:val="superscript"/>
        </w:rPr>
      </w:pPr>
    </w:p>
    <w:p>
      <w:pPr>
        <w:ind w:left="1620" w:right="459"/>
        <w:spacing w:after="0" w:line="242" w:lineRule="auto"/>
        <w:rPr>
          <w:rFonts w:ascii="Arial" w:cs="Arial" w:eastAsia="Arial" w:hAnsi="Arial"/>
          <w:sz w:val="27"/>
          <w:szCs w:val="27"/>
          <w:color w:val="auto"/>
          <w:vertAlign w:val="superscript"/>
        </w:rPr>
      </w:pPr>
      <w:r>
        <w:rPr>
          <w:rFonts w:ascii="Arial" w:cs="Arial" w:eastAsia="Arial" w:hAnsi="Arial"/>
          <w:sz w:val="18"/>
          <w:szCs w:val="18"/>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the 2013 waiver agreement,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1" w:lineRule="exact"/>
        <w:rPr>
          <w:rFonts w:ascii="Arial" w:cs="Arial" w:eastAsia="Arial" w:hAnsi="Arial"/>
          <w:sz w:val="27"/>
          <w:szCs w:val="27"/>
          <w:color w:val="auto"/>
          <w:vertAlign w:val="superscript"/>
        </w:rPr>
      </w:pPr>
    </w:p>
    <w:p>
      <w:pPr>
        <w:ind w:left="1620" w:right="479" w:hanging="360"/>
        <w:spacing w:after="0" w:line="238"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is terminated other than (i) for cause (as defined in footnote 4 above), (ii) by reason of death or (iii) by resignation (unless such resignation is due to a disability or for good reason (each as defined in footnote 4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2024 with two years remaining on the term of his agreement.</w:t>
      </w:r>
    </w:p>
    <w:p>
      <w:pPr>
        <w:spacing w:after="0" w:line="50" w:lineRule="exact"/>
        <w:rPr>
          <w:rFonts w:ascii="Arial" w:cs="Arial" w:eastAsia="Arial" w:hAnsi="Arial"/>
          <w:sz w:val="27"/>
          <w:szCs w:val="27"/>
          <w:color w:val="auto"/>
          <w:vertAlign w:val="superscript"/>
        </w:rPr>
      </w:pPr>
    </w:p>
    <w:p>
      <w:pPr>
        <w:ind w:left="1620" w:right="519" w:hanging="360"/>
        <w:spacing w:after="0" w:line="228"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or if Mr. Pefanis terminates his employment by providing notice pursuant to his employment agreement, GP LLC would be obligated to pay base salary through the date of termination, with no other payment obligation triggered by the termination under any employment arrangement.</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2024:</w:t>
      </w:r>
    </w:p>
    <w:p>
      <w:pPr>
        <w:spacing w:after="0" w:line="68" w:lineRule="exact"/>
        <w:rPr>
          <w:sz w:val="20"/>
          <w:szCs w:val="20"/>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2024 was $8,511,945.</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2024 was $141,736.</w:t>
      </w:r>
    </w:p>
    <w:p>
      <w:pPr>
        <w:spacing w:after="0" w:line="117" w:lineRule="exact"/>
        <w:rPr>
          <w:rFonts w:ascii="Arial" w:cs="Arial" w:eastAsia="Arial" w:hAnsi="Arial"/>
          <w:sz w:val="18"/>
          <w:szCs w:val="18"/>
          <w:color w:val="auto"/>
        </w:rPr>
      </w:pPr>
    </w:p>
    <w:p>
      <w:pPr>
        <w:ind w:left="1800" w:right="839" w:hanging="180"/>
        <w:spacing w:after="0" w:line="28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2024 was approximately 60.05 to 1.</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2024 using the following methodology:</w:t>
      </w:r>
    </w:p>
    <w:p>
      <w:pPr>
        <w:spacing w:after="0" w:line="117" w:lineRule="exact"/>
        <w:rPr>
          <w:sz w:val="20"/>
          <w:szCs w:val="20"/>
          <w:color w:val="auto"/>
        </w:rPr>
      </w:pPr>
    </w:p>
    <w:p>
      <w:pPr>
        <w:ind w:left="1800" w:right="1159" w:hanging="180"/>
        <w:spacing w:after="0" w:line="28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2024. We included all U.S. and Canadian employees.</w:t>
      </w:r>
    </w:p>
    <w:p>
      <w:pPr>
        <w:spacing w:after="0" w:line="44"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2024. Basic wage data for each Canadian employee was extracted from Form T4 information provided to the Canada Revenue Agency for calendar year 2024 and converted to U.S. dollars. This information was then sorted and the median employee was identified.</w:t>
      </w:r>
    </w:p>
    <w:p>
      <w:pPr>
        <w:spacing w:after="0" w:line="112" w:lineRule="exact"/>
        <w:rPr>
          <w:sz w:val="20"/>
          <w:szCs w:val="20"/>
          <w:color w:val="auto"/>
        </w:rPr>
      </w:pPr>
    </w:p>
    <w:p>
      <w:pPr>
        <w:ind w:left="1260" w:right="619" w:firstLine="360"/>
        <w:spacing w:after="0" w:line="268" w:lineRule="auto"/>
        <w:rPr>
          <w:sz w:val="20"/>
          <w:szCs w:val="20"/>
          <w:color w:val="auto"/>
        </w:rPr>
      </w:pPr>
      <w:r>
        <w:rPr>
          <w:rFonts w:ascii="Arial" w:cs="Arial" w:eastAsia="Arial" w:hAnsi="Arial"/>
          <w:sz w:val="18"/>
          <w:szCs w:val="18"/>
          <w:color w:val="auto"/>
        </w:rPr>
        <w:t>The median employee’s annual total compensation for 2024 was determined using the same methodology we used for determining the annual total compensation for the Named Executive Officers as set forth in the 2024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ind w:left="1260" w:right="780" w:firstLine="360"/>
        <w:spacing w:after="0" w:line="256"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CAP does not necessarily represent compensation actually paid or earned during the applicable years. This is due to the fact that CAP includes the value of outstanding equity awards that could potentially vest in future years in addition to base salary, bonus, the value of equity awards that vested during the year and 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Tabular Disclosure of Compensation Actually Paid versus Performance</w:t>
      </w:r>
    </w:p>
    <w:p>
      <w:pPr>
        <w:spacing w:after="0" w:line="156" w:lineRule="exact"/>
        <w:rPr>
          <w:sz w:val="20"/>
          <w:szCs w:val="20"/>
          <w:color w:val="auto"/>
        </w:rPr>
      </w:pPr>
    </w:p>
    <w:p>
      <w:pPr>
        <w:ind w:left="1260" w:right="1120" w:firstLine="360"/>
        <w:spacing w:after="0" w:line="259" w:lineRule="auto"/>
        <w:rPr>
          <w:sz w:val="20"/>
          <w:szCs w:val="20"/>
          <w:color w:val="auto"/>
        </w:rPr>
      </w:pPr>
      <w:r>
        <w:rPr>
          <w:rFonts w:ascii="Arial" w:cs="Arial" w:eastAsia="Arial" w:hAnsi="Arial"/>
          <w:sz w:val="18"/>
          <w:szCs w:val="18"/>
          <w:color w:val="auto"/>
        </w:rPr>
        <w:t>The following table discloses information on CAP to our PEO and, on average, to our Non-PEO NEOs during the specified years alongside TSR, net income, and the Company-selected measure of Adjusted EBITDA Attributable to PAA. Adjusted EBITDA Attributable to PAA was identified by the Company as the most important financial performance measure used to link CAP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6483350</wp:posOffset>
            </wp:positionH>
            <wp:positionV relativeFrom="paragraph">
              <wp:posOffset>125730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125730</wp:posOffset>
            </wp:positionV>
            <wp:extent cx="43180" cy="8058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05815"/>
                    </a:xfrm>
                    <a:prstGeom prst="rect">
                      <a:avLst/>
                    </a:prstGeom>
                    <a:noFill/>
                  </pic:spPr>
                </pic:pic>
              </a:graphicData>
            </a:graphic>
          </wp:anchor>
        </w:drawing>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20" w:type="dxa"/>
            <w:vAlign w:val="bottom"/>
            <w:tcBorders>
              <w:top w:val="single" w:sz="8" w:color="424E6A"/>
            </w:tcBorders>
          </w:tcPr>
          <w:p>
            <w:pPr>
              <w:spacing w:after="0"/>
              <w:rPr>
                <w:sz w:val="23"/>
                <w:szCs w:val="23"/>
                <w:color w:val="auto"/>
              </w:rPr>
            </w:pPr>
          </w:p>
        </w:tc>
        <w:tc>
          <w:tcPr>
            <w:tcW w:w="520" w:type="dxa"/>
            <w:vAlign w:val="bottom"/>
            <w:tcBorders>
              <w:top w:val="single" w:sz="8" w:color="424E6A"/>
            </w:tcBorders>
            <w:shd w:val="clear" w:color="auto" w:fill="424E6A"/>
          </w:tcPr>
          <w:p>
            <w:pPr>
              <w:spacing w:after="0"/>
              <w:rPr>
                <w:sz w:val="23"/>
                <w:szCs w:val="23"/>
                <w:color w:val="auto"/>
              </w:rPr>
            </w:pPr>
          </w:p>
        </w:tc>
        <w:tc>
          <w:tcPr>
            <w:tcW w:w="120" w:type="dxa"/>
            <w:vAlign w:val="bottom"/>
            <w:tcBorders>
              <w:top w:val="single" w:sz="8" w:color="424E6A"/>
            </w:tcBorders>
            <w:shd w:val="clear" w:color="auto" w:fill="424E6A"/>
          </w:tcPr>
          <w:p>
            <w:pPr>
              <w:spacing w:after="0"/>
              <w:rPr>
                <w:sz w:val="23"/>
                <w:szCs w:val="23"/>
                <w:color w:val="auto"/>
              </w:rPr>
            </w:pPr>
          </w:p>
        </w:tc>
        <w:tc>
          <w:tcPr>
            <w:tcW w:w="1120" w:type="dxa"/>
            <w:vAlign w:val="bottom"/>
            <w:tcBorders>
              <w:top w:val="single" w:sz="8" w:color="424E6A"/>
            </w:tcBorders>
            <w:shd w:val="clear" w:color="auto" w:fill="424E6A"/>
          </w:tcPr>
          <w:p>
            <w:pPr>
              <w:spacing w:after="0"/>
              <w:rPr>
                <w:sz w:val="23"/>
                <w:szCs w:val="23"/>
                <w:color w:val="auto"/>
              </w:rPr>
            </w:pPr>
          </w:p>
        </w:tc>
        <w:tc>
          <w:tcPr>
            <w:tcW w:w="100" w:type="dxa"/>
            <w:vAlign w:val="bottom"/>
            <w:tcBorders>
              <w:top w:val="single" w:sz="8" w:color="424E6A"/>
              <w:right w:val="single" w:sz="8" w:color="424E6A"/>
            </w:tcBorders>
            <w:shd w:val="clear" w:color="auto" w:fill="424E6A"/>
          </w:tcPr>
          <w:p>
            <w:pPr>
              <w:spacing w:after="0"/>
              <w:rPr>
                <w:sz w:val="23"/>
                <w:szCs w:val="23"/>
                <w:color w:val="auto"/>
              </w:rPr>
            </w:pPr>
          </w:p>
        </w:tc>
        <w:tc>
          <w:tcPr>
            <w:tcW w:w="260" w:type="dxa"/>
            <w:vAlign w:val="bottom"/>
            <w:tcBorders>
              <w:top w:val="single" w:sz="8" w:color="424E6A"/>
            </w:tcBorders>
            <w:shd w:val="clear" w:color="auto" w:fill="424E6A"/>
          </w:tcPr>
          <w:p>
            <w:pPr>
              <w:spacing w:after="0"/>
              <w:rPr>
                <w:sz w:val="23"/>
                <w:szCs w:val="23"/>
                <w:color w:val="auto"/>
              </w:rPr>
            </w:pPr>
          </w:p>
        </w:tc>
        <w:tc>
          <w:tcPr>
            <w:tcW w:w="960" w:type="dxa"/>
            <w:vAlign w:val="bottom"/>
            <w:tcBorders>
              <w:top w:val="single" w:sz="8" w:color="424E6A"/>
              <w:right w:val="single" w:sz="8" w:color="424E6A"/>
            </w:tcBorders>
            <w:shd w:val="clear" w:color="auto" w:fill="424E6A"/>
          </w:tcPr>
          <w:p>
            <w:pPr>
              <w:spacing w:after="0"/>
              <w:rPr>
                <w:sz w:val="23"/>
                <w:szCs w:val="23"/>
                <w:color w:val="auto"/>
              </w:rPr>
            </w:pPr>
          </w:p>
        </w:tc>
        <w:tc>
          <w:tcPr>
            <w:tcW w:w="240" w:type="dxa"/>
            <w:vAlign w:val="bottom"/>
            <w:tcBorders>
              <w:top w:val="single" w:sz="8" w:color="424E6A"/>
            </w:tcBorders>
            <w:shd w:val="clear" w:color="auto" w:fill="424E6A"/>
          </w:tcPr>
          <w:p>
            <w:pPr>
              <w:spacing w:after="0"/>
              <w:rPr>
                <w:sz w:val="23"/>
                <w:szCs w:val="23"/>
                <w:color w:val="auto"/>
              </w:rPr>
            </w:pPr>
          </w:p>
        </w:tc>
        <w:tc>
          <w:tcPr>
            <w:tcW w:w="880" w:type="dxa"/>
            <w:vAlign w:val="bottom"/>
            <w:tcBorders>
              <w:top w:val="single" w:sz="8" w:color="424E6A"/>
            </w:tcBorders>
            <w:shd w:val="clear" w:color="auto" w:fill="424E6A"/>
          </w:tcPr>
          <w:p>
            <w:pPr>
              <w:jc w:val="center"/>
              <w:ind w:right="126"/>
              <w:spacing w:after="0"/>
              <w:rPr>
                <w:sz w:val="20"/>
                <w:szCs w:val="20"/>
                <w:color w:val="auto"/>
              </w:rPr>
            </w:pPr>
            <w:r>
              <w:rPr>
                <w:rFonts w:ascii="Arial" w:cs="Arial" w:eastAsia="Arial" w:hAnsi="Arial"/>
                <w:sz w:val="14"/>
                <w:szCs w:val="14"/>
                <w:b w:val="1"/>
                <w:bCs w:val="1"/>
                <w:color w:val="FFFFFF"/>
              </w:rPr>
              <w:t>Average</w:t>
            </w:r>
          </w:p>
        </w:tc>
        <w:tc>
          <w:tcPr>
            <w:tcW w:w="100" w:type="dxa"/>
            <w:vAlign w:val="bottom"/>
            <w:tcBorders>
              <w:top w:val="single" w:sz="8" w:color="424E6A"/>
              <w:right w:val="single" w:sz="8" w:color="424E6A"/>
            </w:tcBorders>
            <w:shd w:val="clear" w:color="auto" w:fill="424E6A"/>
          </w:tcPr>
          <w:p>
            <w:pPr>
              <w:spacing w:after="0"/>
              <w:rPr>
                <w:sz w:val="23"/>
                <w:szCs w:val="23"/>
                <w:color w:val="auto"/>
              </w:rPr>
            </w:pPr>
          </w:p>
        </w:tc>
        <w:tc>
          <w:tcPr>
            <w:tcW w:w="1100" w:type="dxa"/>
            <w:vAlign w:val="bottom"/>
            <w:tcBorders>
              <w:top w:val="single" w:sz="8" w:color="424E6A"/>
            </w:tcBorders>
            <w:shd w:val="clear" w:color="auto" w:fill="424E6A"/>
          </w:tcPr>
          <w:p>
            <w:pPr>
              <w:spacing w:after="0"/>
              <w:rPr>
                <w:sz w:val="23"/>
                <w:szCs w:val="23"/>
                <w:color w:val="auto"/>
              </w:rPr>
            </w:pPr>
          </w:p>
        </w:tc>
        <w:tc>
          <w:tcPr>
            <w:tcW w:w="120" w:type="dxa"/>
            <w:vAlign w:val="bottom"/>
            <w:tcBorders>
              <w:top w:val="single" w:sz="8" w:color="424E6A"/>
              <w:right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1540" w:type="dxa"/>
            <w:vAlign w:val="bottom"/>
            <w:tcBorders>
              <w:top w:val="single" w:sz="8" w:color="424E6A"/>
            </w:tcBorders>
            <w:gridSpan w:val="5"/>
            <w:shd w:val="clear" w:color="auto" w:fill="424E6A"/>
          </w:tcPr>
          <w:p>
            <w:pPr>
              <w:ind w:left="80"/>
              <w:spacing w:after="0"/>
              <w:rPr>
                <w:sz w:val="20"/>
                <w:szCs w:val="20"/>
                <w:color w:val="auto"/>
              </w:rPr>
            </w:pPr>
            <w:r>
              <w:rPr>
                <w:rFonts w:ascii="Arial" w:cs="Arial" w:eastAsia="Arial" w:hAnsi="Arial"/>
                <w:sz w:val="14"/>
                <w:szCs w:val="14"/>
                <w:b w:val="1"/>
                <w:bCs w:val="1"/>
                <w:color w:val="FFFFFF"/>
              </w:rPr>
              <w:t>Value of Initial Fixed</w:t>
            </w:r>
          </w:p>
        </w:tc>
        <w:tc>
          <w:tcPr>
            <w:tcW w:w="160" w:type="dxa"/>
            <w:vAlign w:val="bottom"/>
            <w:tcBorders>
              <w:top w:val="single" w:sz="8" w:color="424E6A"/>
              <w:right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1080" w:type="dxa"/>
            <w:vAlign w:val="bottom"/>
            <w:tcBorders>
              <w:top w:val="single" w:sz="8" w:color="424E6A"/>
            </w:tcBorders>
            <w:shd w:val="clear" w:color="auto" w:fill="424E6A"/>
          </w:tcPr>
          <w:p>
            <w:pPr>
              <w:spacing w:after="0"/>
              <w:rPr>
                <w:sz w:val="23"/>
                <w:szCs w:val="23"/>
                <w:color w:val="auto"/>
              </w:rPr>
            </w:pPr>
          </w:p>
        </w:tc>
        <w:tc>
          <w:tcPr>
            <w:tcW w:w="120" w:type="dxa"/>
            <w:vAlign w:val="bottom"/>
            <w:tcBorders>
              <w:top w:val="single" w:sz="8" w:color="424E6A"/>
              <w:right w:val="single" w:sz="8" w:color="424E6A"/>
            </w:tcBorders>
            <w:shd w:val="clear" w:color="auto" w:fill="424E6A"/>
          </w:tcPr>
          <w:p>
            <w:pPr>
              <w:spacing w:after="0"/>
              <w:rPr>
                <w:sz w:val="23"/>
                <w:szCs w:val="23"/>
                <w:color w:val="auto"/>
              </w:rPr>
            </w:pPr>
          </w:p>
        </w:tc>
        <w:tc>
          <w:tcPr>
            <w:tcW w:w="1120" w:type="dxa"/>
            <w:vAlign w:val="bottom"/>
            <w:tcBorders>
              <w:top w:val="single" w:sz="8" w:color="424E6A"/>
            </w:tcBorders>
            <w:shd w:val="clear" w:color="auto" w:fill="424E6A"/>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12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80" w:type="dxa"/>
            <w:vAlign w:val="bottom"/>
            <w:shd w:val="clear" w:color="auto" w:fill="424E6A"/>
          </w:tcPr>
          <w:p>
            <w:pPr>
              <w:ind w:left="20"/>
              <w:spacing w:after="0"/>
              <w:rPr>
                <w:sz w:val="20"/>
                <w:szCs w:val="20"/>
                <w:color w:val="auto"/>
              </w:rPr>
            </w:pPr>
            <w:r>
              <w:rPr>
                <w:rFonts w:ascii="Arial" w:cs="Arial" w:eastAsia="Arial" w:hAnsi="Arial"/>
                <w:sz w:val="14"/>
                <w:szCs w:val="14"/>
                <w:b w:val="1"/>
                <w:bCs w:val="1"/>
                <w:color w:val="FFFFFF"/>
              </w:rPr>
              <w:t>Summary</w:t>
            </w:r>
          </w:p>
        </w:tc>
        <w:tc>
          <w:tcPr>
            <w:tcW w:w="100" w:type="dxa"/>
            <w:vAlign w:val="bottom"/>
            <w:tcBorders>
              <w:right w:val="single" w:sz="8" w:color="424E6A"/>
            </w:tcBorders>
            <w:shd w:val="clear" w:color="auto" w:fill="424E6A"/>
          </w:tcPr>
          <w:p>
            <w:pPr>
              <w:spacing w:after="0"/>
              <w:rPr>
                <w:sz w:val="14"/>
                <w:szCs w:val="14"/>
                <w:color w:val="auto"/>
              </w:rPr>
            </w:pPr>
          </w:p>
        </w:tc>
        <w:tc>
          <w:tcPr>
            <w:tcW w:w="1100" w:type="dxa"/>
            <w:vAlign w:val="bottom"/>
            <w:vMerge w:val="restart"/>
            <w:shd w:val="clear" w:color="auto" w:fill="424E6A"/>
          </w:tcPr>
          <w:p>
            <w:pPr>
              <w:jc w:val="center"/>
              <w:spacing w:after="0"/>
              <w:rPr>
                <w:sz w:val="20"/>
                <w:szCs w:val="20"/>
                <w:color w:val="auto"/>
              </w:rPr>
            </w:pPr>
            <w:r>
              <w:rPr>
                <w:rFonts w:ascii="Arial" w:cs="Arial" w:eastAsia="Arial" w:hAnsi="Arial"/>
                <w:sz w:val="14"/>
                <w:szCs w:val="14"/>
                <w:b w:val="1"/>
                <w:bCs w:val="1"/>
                <w:color w:val="FFFFFF"/>
              </w:rPr>
              <w:t>Average</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vMerge w:val="restart"/>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spacing w:after="0"/>
              <w:rPr>
                <w:sz w:val="14"/>
                <w:szCs w:val="14"/>
                <w:color w:val="auto"/>
              </w:rPr>
            </w:pPr>
          </w:p>
        </w:tc>
        <w:tc>
          <w:tcPr>
            <w:tcW w:w="1400" w:type="dxa"/>
            <w:vAlign w:val="bottom"/>
            <w:gridSpan w:val="4"/>
            <w:shd w:val="clear" w:color="auto" w:fill="424E6A"/>
          </w:tcPr>
          <w:p>
            <w:pPr>
              <w:ind w:left="80"/>
              <w:spacing w:after="0"/>
              <w:rPr>
                <w:sz w:val="20"/>
                <w:szCs w:val="20"/>
                <w:color w:val="auto"/>
              </w:rPr>
            </w:pPr>
            <w:r>
              <w:rPr>
                <w:rFonts w:ascii="Arial" w:cs="Arial" w:eastAsia="Arial" w:hAnsi="Arial"/>
                <w:sz w:val="14"/>
                <w:szCs w:val="14"/>
                <w:b w:val="1"/>
                <w:bCs w:val="1"/>
                <w:color w:val="FFFFFF"/>
              </w:rPr>
              <w:t>$100 Investment</w:t>
            </w:r>
          </w:p>
        </w:tc>
        <w:tc>
          <w:tcPr>
            <w:tcW w:w="160" w:type="dxa"/>
            <w:vAlign w:val="bottom"/>
            <w:tcBorders>
              <w:right w:val="single" w:sz="8" w:color="424E6A"/>
            </w:tcBorders>
            <w:vMerge w:val="restart"/>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120" w:type="dxa"/>
            <w:vAlign w:val="bottom"/>
            <w:shd w:val="clear" w:color="auto" w:fill="424E6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0" w:type="dxa"/>
            <w:vAlign w:val="bottom"/>
            <w:shd w:val="clear" w:color="auto" w:fill="424E6A"/>
          </w:tcPr>
          <w:p>
            <w:pPr>
              <w:spacing w:after="0"/>
              <w:rPr>
                <w:sz w:val="13"/>
                <w:szCs w:val="13"/>
                <w:color w:val="auto"/>
              </w:rPr>
            </w:pPr>
          </w:p>
        </w:tc>
        <w:tc>
          <w:tcPr>
            <w:tcW w:w="120" w:type="dxa"/>
            <w:vAlign w:val="bottom"/>
            <w:shd w:val="clear" w:color="auto" w:fill="424E6A"/>
          </w:tcPr>
          <w:p>
            <w:pPr>
              <w:spacing w:after="0"/>
              <w:rPr>
                <w:sz w:val="13"/>
                <w:szCs w:val="13"/>
                <w:color w:val="auto"/>
              </w:rPr>
            </w:pPr>
          </w:p>
        </w:tc>
        <w:tc>
          <w:tcPr>
            <w:tcW w:w="1120" w:type="dxa"/>
            <w:vAlign w:val="bottom"/>
            <w:shd w:val="clear" w:color="auto" w:fill="424E6A"/>
          </w:tcPr>
          <w:p>
            <w:pPr>
              <w:spacing w:after="0"/>
              <w:rPr>
                <w:sz w:val="13"/>
                <w:szCs w:val="13"/>
                <w:color w:val="auto"/>
              </w:rPr>
            </w:pPr>
          </w:p>
        </w:tc>
        <w:tc>
          <w:tcPr>
            <w:tcW w:w="100" w:type="dxa"/>
            <w:vAlign w:val="bottom"/>
            <w:tcBorders>
              <w:right w:val="single" w:sz="8" w:color="424E6A"/>
            </w:tcBorders>
            <w:shd w:val="clear" w:color="auto" w:fill="424E6A"/>
          </w:tcPr>
          <w:p>
            <w:pPr>
              <w:spacing w:after="0"/>
              <w:rPr>
                <w:sz w:val="13"/>
                <w:szCs w:val="13"/>
                <w:color w:val="auto"/>
              </w:rPr>
            </w:pPr>
          </w:p>
        </w:tc>
        <w:tc>
          <w:tcPr>
            <w:tcW w:w="260" w:type="dxa"/>
            <w:vAlign w:val="bottom"/>
            <w:shd w:val="clear" w:color="auto" w:fill="424E6A"/>
          </w:tcPr>
          <w:p>
            <w:pPr>
              <w:spacing w:after="0"/>
              <w:rPr>
                <w:sz w:val="13"/>
                <w:szCs w:val="13"/>
                <w:color w:val="auto"/>
              </w:rPr>
            </w:pPr>
          </w:p>
        </w:tc>
        <w:tc>
          <w:tcPr>
            <w:tcW w:w="960" w:type="dxa"/>
            <w:vAlign w:val="bottom"/>
            <w:tcBorders>
              <w:right w:val="single" w:sz="8" w:color="424E6A"/>
            </w:tcBorders>
            <w:shd w:val="clear" w:color="auto" w:fill="424E6A"/>
          </w:tcPr>
          <w:p>
            <w:pPr>
              <w:spacing w:after="0"/>
              <w:rPr>
                <w:sz w:val="13"/>
                <w:szCs w:val="13"/>
                <w:color w:val="auto"/>
              </w:rPr>
            </w:pPr>
          </w:p>
        </w:tc>
        <w:tc>
          <w:tcPr>
            <w:tcW w:w="1120" w:type="dxa"/>
            <w:vAlign w:val="bottom"/>
            <w:gridSpan w:val="2"/>
            <w:shd w:val="clear" w:color="auto" w:fill="424E6A"/>
          </w:tcPr>
          <w:p>
            <w:pPr>
              <w:jc w:val="center"/>
              <w:spacing w:after="0" w:line="153" w:lineRule="exact"/>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3"/>
                <w:szCs w:val="13"/>
                <w:color w:val="auto"/>
              </w:rPr>
            </w:pPr>
          </w:p>
        </w:tc>
        <w:tc>
          <w:tcPr>
            <w:tcW w:w="1100" w:type="dxa"/>
            <w:vAlign w:val="bottom"/>
            <w:vMerge w:val="continue"/>
            <w:shd w:val="clear" w:color="auto" w:fill="424E6A"/>
          </w:tcPr>
          <w:p>
            <w:pPr>
              <w:spacing w:after="0"/>
              <w:rPr>
                <w:sz w:val="13"/>
                <w:szCs w:val="13"/>
                <w:color w:val="auto"/>
              </w:rPr>
            </w:pPr>
          </w:p>
        </w:tc>
        <w:tc>
          <w:tcPr>
            <w:tcW w:w="120" w:type="dxa"/>
            <w:vAlign w:val="bottom"/>
            <w:tcBorders>
              <w:right w:val="single" w:sz="8" w:color="424E6A"/>
            </w:tcBorders>
            <w:shd w:val="clear" w:color="auto" w:fill="424E6A"/>
          </w:tcPr>
          <w:p>
            <w:pPr>
              <w:spacing w:after="0"/>
              <w:rPr>
                <w:sz w:val="13"/>
                <w:szCs w:val="13"/>
                <w:color w:val="auto"/>
              </w:rPr>
            </w:pPr>
          </w:p>
        </w:tc>
        <w:tc>
          <w:tcPr>
            <w:tcW w:w="80" w:type="dxa"/>
            <w:vAlign w:val="bottom"/>
            <w:vMerge w:val="continue"/>
            <w:shd w:val="clear" w:color="auto" w:fill="424E6A"/>
          </w:tcPr>
          <w:p>
            <w:pPr>
              <w:spacing w:after="0"/>
              <w:rPr>
                <w:sz w:val="13"/>
                <w:szCs w:val="13"/>
                <w:color w:val="auto"/>
              </w:rPr>
            </w:pPr>
          </w:p>
        </w:tc>
        <w:tc>
          <w:tcPr>
            <w:tcW w:w="140" w:type="dxa"/>
            <w:vAlign w:val="bottom"/>
            <w:shd w:val="clear" w:color="auto" w:fill="424E6A"/>
          </w:tcPr>
          <w:p>
            <w:pPr>
              <w:spacing w:after="0"/>
              <w:rPr>
                <w:sz w:val="13"/>
                <w:szCs w:val="13"/>
                <w:color w:val="auto"/>
              </w:rPr>
            </w:pPr>
          </w:p>
        </w:tc>
        <w:tc>
          <w:tcPr>
            <w:tcW w:w="1400" w:type="dxa"/>
            <w:vAlign w:val="bottom"/>
            <w:gridSpan w:val="4"/>
            <w:shd w:val="clear" w:color="auto" w:fill="424E6A"/>
          </w:tcPr>
          <w:p>
            <w:pPr>
              <w:ind w:left="300"/>
              <w:spacing w:after="0" w:line="153" w:lineRule="exact"/>
              <w:rPr>
                <w:sz w:val="20"/>
                <w:szCs w:val="20"/>
                <w:color w:val="auto"/>
              </w:rPr>
            </w:pPr>
            <w:r>
              <w:rPr>
                <w:rFonts w:ascii="Arial" w:cs="Arial" w:eastAsia="Arial" w:hAnsi="Arial"/>
                <w:sz w:val="14"/>
                <w:szCs w:val="14"/>
                <w:b w:val="1"/>
                <w:bCs w:val="1"/>
                <w:color w:val="FFFFFF"/>
              </w:rPr>
              <w:t>Based On:</w:t>
            </w:r>
          </w:p>
        </w:tc>
        <w:tc>
          <w:tcPr>
            <w:tcW w:w="160" w:type="dxa"/>
            <w:vAlign w:val="bottom"/>
            <w:tcBorders>
              <w:right w:val="single" w:sz="8" w:color="424E6A"/>
            </w:tcBorders>
            <w:vMerge w:val="continue"/>
            <w:shd w:val="clear" w:color="auto" w:fill="424E6A"/>
          </w:tcPr>
          <w:p>
            <w:pPr>
              <w:spacing w:after="0"/>
              <w:rPr>
                <w:sz w:val="13"/>
                <w:szCs w:val="13"/>
                <w:color w:val="auto"/>
              </w:rPr>
            </w:pPr>
          </w:p>
        </w:tc>
        <w:tc>
          <w:tcPr>
            <w:tcW w:w="80" w:type="dxa"/>
            <w:vAlign w:val="bottom"/>
            <w:shd w:val="clear" w:color="auto" w:fill="424E6A"/>
          </w:tcPr>
          <w:p>
            <w:pPr>
              <w:spacing w:after="0"/>
              <w:rPr>
                <w:sz w:val="13"/>
                <w:szCs w:val="13"/>
                <w:color w:val="auto"/>
              </w:rPr>
            </w:pPr>
          </w:p>
        </w:tc>
        <w:tc>
          <w:tcPr>
            <w:tcW w:w="1080" w:type="dxa"/>
            <w:vAlign w:val="bottom"/>
            <w:shd w:val="clear" w:color="auto" w:fill="424E6A"/>
          </w:tcPr>
          <w:p>
            <w:pPr>
              <w:spacing w:after="0"/>
              <w:rPr>
                <w:sz w:val="13"/>
                <w:szCs w:val="13"/>
                <w:color w:val="auto"/>
              </w:rPr>
            </w:pPr>
          </w:p>
        </w:tc>
        <w:tc>
          <w:tcPr>
            <w:tcW w:w="120" w:type="dxa"/>
            <w:vAlign w:val="bottom"/>
            <w:tcBorders>
              <w:right w:val="single" w:sz="8" w:color="424E6A"/>
            </w:tcBorders>
            <w:shd w:val="clear" w:color="auto" w:fill="424E6A"/>
          </w:tcPr>
          <w:p>
            <w:pPr>
              <w:spacing w:after="0"/>
              <w:rPr>
                <w:sz w:val="13"/>
                <w:szCs w:val="13"/>
                <w:color w:val="auto"/>
              </w:rPr>
            </w:pPr>
          </w:p>
        </w:tc>
        <w:tc>
          <w:tcPr>
            <w:tcW w:w="1120" w:type="dxa"/>
            <w:vAlign w:val="bottom"/>
            <w:shd w:val="clear" w:color="auto" w:fill="424E6A"/>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112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rPr>
              <w:t>Summary</w:t>
            </w:r>
          </w:p>
        </w:tc>
        <w:tc>
          <w:tcPr>
            <w:tcW w:w="100" w:type="dxa"/>
            <w:vAlign w:val="bottom"/>
            <w:tcBorders>
              <w:right w:val="single" w:sz="8" w:color="424E6A"/>
            </w:tcBorders>
            <w:shd w:val="clear" w:color="auto" w:fill="424E6A"/>
          </w:tcPr>
          <w:p>
            <w:pPr>
              <w:spacing w:after="0"/>
              <w:rPr>
                <w:sz w:val="12"/>
                <w:szCs w:val="12"/>
                <w:color w:val="auto"/>
              </w:rPr>
            </w:pPr>
          </w:p>
        </w:tc>
        <w:tc>
          <w:tcPr>
            <w:tcW w:w="260" w:type="dxa"/>
            <w:vAlign w:val="bottom"/>
            <w:shd w:val="clear" w:color="auto" w:fill="424E6A"/>
          </w:tcPr>
          <w:p>
            <w:pPr>
              <w:spacing w:after="0"/>
              <w:rPr>
                <w:sz w:val="12"/>
                <w:szCs w:val="12"/>
                <w:color w:val="auto"/>
              </w:rPr>
            </w:pPr>
          </w:p>
        </w:tc>
        <w:tc>
          <w:tcPr>
            <w:tcW w:w="960" w:type="dxa"/>
            <w:vAlign w:val="bottom"/>
            <w:tcBorders>
              <w:right w:val="single" w:sz="8" w:color="424E6A"/>
            </w:tcBorders>
            <w:shd w:val="clear" w:color="auto" w:fill="424E6A"/>
          </w:tcPr>
          <w:p>
            <w:pPr>
              <w:spacing w:after="0"/>
              <w:rPr>
                <w:sz w:val="12"/>
                <w:szCs w:val="12"/>
                <w:color w:val="auto"/>
              </w:rPr>
            </w:pPr>
          </w:p>
        </w:tc>
        <w:tc>
          <w:tcPr>
            <w:tcW w:w="240" w:type="dxa"/>
            <w:vAlign w:val="bottom"/>
            <w:shd w:val="clear" w:color="auto" w:fill="424E6A"/>
          </w:tcPr>
          <w:p>
            <w:pPr>
              <w:spacing w:after="0"/>
              <w:rPr>
                <w:sz w:val="12"/>
                <w:szCs w:val="12"/>
                <w:color w:val="auto"/>
              </w:rPr>
            </w:pPr>
          </w:p>
        </w:tc>
        <w:tc>
          <w:tcPr>
            <w:tcW w:w="880" w:type="dxa"/>
            <w:vAlign w:val="bottom"/>
            <w:shd w:val="clear" w:color="auto" w:fill="424E6A"/>
          </w:tcPr>
          <w:p>
            <w:pPr>
              <w:jc w:val="center"/>
              <w:ind w:right="126"/>
              <w:spacing w:after="0" w:line="148" w:lineRule="exact"/>
              <w:rPr>
                <w:sz w:val="20"/>
                <w:szCs w:val="20"/>
                <w:color w:val="auto"/>
              </w:rPr>
            </w:pPr>
            <w:r>
              <w:rPr>
                <w:rFonts w:ascii="Arial" w:cs="Arial" w:eastAsia="Arial" w:hAnsi="Arial"/>
                <w:sz w:val="14"/>
                <w:szCs w:val="14"/>
                <w:b w:val="1"/>
                <w:bCs w:val="1"/>
                <w:color w:val="FFFFFF"/>
                <w:w w:val="98"/>
              </w:rPr>
              <w:t>Table</w:t>
            </w:r>
          </w:p>
        </w:tc>
        <w:tc>
          <w:tcPr>
            <w:tcW w:w="100" w:type="dxa"/>
            <w:vAlign w:val="bottom"/>
            <w:tcBorders>
              <w:right w:val="single" w:sz="8" w:color="424E6A"/>
            </w:tcBorders>
            <w:shd w:val="clear" w:color="auto" w:fill="424E6A"/>
          </w:tcPr>
          <w:p>
            <w:pPr>
              <w:spacing w:after="0"/>
              <w:rPr>
                <w:sz w:val="12"/>
                <w:szCs w:val="12"/>
                <w:color w:val="auto"/>
              </w:rPr>
            </w:pPr>
          </w:p>
        </w:tc>
        <w:tc>
          <w:tcPr>
            <w:tcW w:w="110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rPr>
              <w:t>Compensation</w:t>
            </w:r>
          </w:p>
        </w:tc>
        <w:tc>
          <w:tcPr>
            <w:tcW w:w="12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140" w:type="dxa"/>
            <w:vAlign w:val="bottom"/>
            <w:shd w:val="clear" w:color="auto" w:fill="424E6A"/>
          </w:tcPr>
          <w:p>
            <w:pPr>
              <w:spacing w:after="0"/>
              <w:rPr>
                <w:sz w:val="12"/>
                <w:szCs w:val="12"/>
                <w:color w:val="auto"/>
              </w:rPr>
            </w:pPr>
          </w:p>
        </w:tc>
        <w:tc>
          <w:tcPr>
            <w:tcW w:w="540" w:type="dxa"/>
            <w:vAlign w:val="bottom"/>
            <w:shd w:val="clear" w:color="auto" w:fill="424E6A"/>
          </w:tcPr>
          <w:p>
            <w:pPr>
              <w:spacing w:after="0"/>
              <w:rPr>
                <w:sz w:val="12"/>
                <w:szCs w:val="12"/>
                <w:color w:val="auto"/>
              </w:rPr>
            </w:pPr>
          </w:p>
        </w:tc>
        <w:tc>
          <w:tcPr>
            <w:tcW w:w="140" w:type="dxa"/>
            <w:vAlign w:val="bottom"/>
            <w:tcBorders>
              <w:right w:val="single" w:sz="8" w:color="424E6A"/>
            </w:tcBorders>
            <w:shd w:val="clear" w:color="auto" w:fill="424E6A"/>
          </w:tcPr>
          <w:p>
            <w:pPr>
              <w:spacing w:after="0"/>
              <w:rPr>
                <w:sz w:val="12"/>
                <w:szCs w:val="12"/>
                <w:color w:val="auto"/>
              </w:rPr>
            </w:pPr>
          </w:p>
        </w:tc>
        <w:tc>
          <w:tcPr>
            <w:tcW w:w="220" w:type="dxa"/>
            <w:vAlign w:val="bottom"/>
            <w:shd w:val="clear" w:color="auto" w:fill="424E6A"/>
          </w:tcPr>
          <w:p>
            <w:pPr>
              <w:spacing w:after="0"/>
              <w:rPr>
                <w:sz w:val="12"/>
                <w:szCs w:val="12"/>
                <w:color w:val="auto"/>
              </w:rPr>
            </w:pPr>
          </w:p>
        </w:tc>
        <w:tc>
          <w:tcPr>
            <w:tcW w:w="500" w:type="dxa"/>
            <w:vAlign w:val="bottom"/>
            <w:shd w:val="clear" w:color="auto" w:fill="424E6A"/>
          </w:tcPr>
          <w:p>
            <w:pPr>
              <w:spacing w:after="0"/>
              <w:rPr>
                <w:sz w:val="12"/>
                <w:szCs w:val="12"/>
                <w:color w:val="auto"/>
              </w:rPr>
            </w:pPr>
          </w:p>
        </w:tc>
        <w:tc>
          <w:tcPr>
            <w:tcW w:w="16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1080" w:type="dxa"/>
            <w:vAlign w:val="bottom"/>
            <w:shd w:val="clear" w:color="auto" w:fill="424E6A"/>
          </w:tcPr>
          <w:p>
            <w:pPr>
              <w:spacing w:after="0"/>
              <w:rPr>
                <w:sz w:val="12"/>
                <w:szCs w:val="12"/>
                <w:color w:val="auto"/>
              </w:rPr>
            </w:pPr>
          </w:p>
        </w:tc>
        <w:tc>
          <w:tcPr>
            <w:tcW w:w="120" w:type="dxa"/>
            <w:vAlign w:val="bottom"/>
            <w:tcBorders>
              <w:right w:val="single" w:sz="8" w:color="424E6A"/>
            </w:tcBorders>
            <w:shd w:val="clear" w:color="auto" w:fill="424E6A"/>
          </w:tcPr>
          <w:p>
            <w:pPr>
              <w:spacing w:after="0"/>
              <w:rPr>
                <w:sz w:val="12"/>
                <w:szCs w:val="12"/>
                <w:color w:val="auto"/>
              </w:rPr>
            </w:pPr>
          </w:p>
        </w:tc>
        <w:tc>
          <w:tcPr>
            <w:tcW w:w="112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rPr>
              <w:t>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1460" w:type="dxa"/>
            <w:vAlign w:val="bottom"/>
            <w:gridSpan w:val="3"/>
            <w:shd w:val="clear" w:color="auto" w:fill="424E6A"/>
          </w:tcPr>
          <w:p>
            <w:pPr>
              <w:jc w:val="center"/>
              <w:ind w:right="224"/>
              <w:spacing w:after="0"/>
              <w:rPr>
                <w:sz w:val="20"/>
                <w:szCs w:val="20"/>
                <w:color w:val="auto"/>
              </w:rPr>
            </w:pPr>
            <w:r>
              <w:rPr>
                <w:rFonts w:ascii="Arial" w:cs="Arial" w:eastAsia="Arial" w:hAnsi="Arial"/>
                <w:sz w:val="14"/>
                <w:szCs w:val="14"/>
                <w:b w:val="1"/>
                <w:bCs w:val="1"/>
                <w:color w:val="FFFFFF"/>
              </w:rPr>
              <w:t>Compensation</w:t>
            </w:r>
          </w:p>
        </w:tc>
        <w:tc>
          <w:tcPr>
            <w:tcW w:w="880" w:type="dxa"/>
            <w:vAlign w:val="bottom"/>
            <w:shd w:val="clear" w:color="auto" w:fill="424E6A"/>
          </w:tcPr>
          <w:p>
            <w:pPr>
              <w:jc w:val="center"/>
              <w:ind w:right="126"/>
              <w:spacing w:after="0"/>
              <w:rPr>
                <w:sz w:val="20"/>
                <w:szCs w:val="20"/>
                <w:color w:val="auto"/>
              </w:rPr>
            </w:pPr>
            <w:r>
              <w:rPr>
                <w:rFonts w:ascii="Arial" w:cs="Arial" w:eastAsia="Arial" w:hAnsi="Arial"/>
                <w:sz w:val="14"/>
                <w:szCs w:val="14"/>
                <w:b w:val="1"/>
                <w:bCs w:val="1"/>
                <w:color w:val="FFFFFF"/>
                <w:w w:val="99"/>
              </w:rPr>
              <w:t>Total for</w:t>
            </w:r>
          </w:p>
        </w:tc>
        <w:tc>
          <w:tcPr>
            <w:tcW w:w="100" w:type="dxa"/>
            <w:vAlign w:val="bottom"/>
            <w:tcBorders>
              <w:right w:val="single" w:sz="8" w:color="424E6A"/>
            </w:tcBorders>
            <w:shd w:val="clear" w:color="auto" w:fill="424E6A"/>
          </w:tcPr>
          <w:p>
            <w:pPr>
              <w:spacing w:after="0"/>
              <w:rPr>
                <w:sz w:val="14"/>
                <w:szCs w:val="14"/>
                <w:color w:val="auto"/>
              </w:rPr>
            </w:pP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Actually</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500" w:type="dxa"/>
            <w:vAlign w:val="bottom"/>
            <w:shd w:val="clear" w:color="auto" w:fill="424E6A"/>
          </w:tcPr>
          <w:p>
            <w:pPr>
              <w:jc w:val="center"/>
              <w:ind w:right="46"/>
              <w:spacing w:after="0"/>
              <w:rPr>
                <w:sz w:val="20"/>
                <w:szCs w:val="20"/>
                <w:color w:val="auto"/>
              </w:rPr>
            </w:pPr>
            <w:r>
              <w:rPr>
                <w:rFonts w:ascii="Arial" w:cs="Arial" w:eastAsia="Arial" w:hAnsi="Arial"/>
                <w:sz w:val="14"/>
                <w:szCs w:val="14"/>
                <w:b w:val="1"/>
                <w:bCs w:val="1"/>
                <w:color w:val="FFFFFF"/>
                <w:w w:val="98"/>
              </w:rPr>
              <w:t>Peer</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112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Table Total</w:t>
            </w:r>
          </w:p>
        </w:tc>
        <w:tc>
          <w:tcPr>
            <w:tcW w:w="100" w:type="dxa"/>
            <w:vAlign w:val="bottom"/>
            <w:tcBorders>
              <w:right w:val="single" w:sz="8" w:color="424E6A"/>
            </w:tcBorders>
            <w:shd w:val="clear" w:color="auto" w:fill="424E6A"/>
          </w:tcPr>
          <w:p>
            <w:pPr>
              <w:spacing w:after="0"/>
              <w:rPr>
                <w:sz w:val="12"/>
                <w:szCs w:val="12"/>
                <w:color w:val="auto"/>
              </w:rPr>
            </w:pPr>
          </w:p>
        </w:tc>
        <w:tc>
          <w:tcPr>
            <w:tcW w:w="260" w:type="dxa"/>
            <w:vAlign w:val="bottom"/>
            <w:shd w:val="clear" w:color="auto" w:fill="424E6A"/>
          </w:tcPr>
          <w:p>
            <w:pPr>
              <w:spacing w:after="0"/>
              <w:rPr>
                <w:sz w:val="12"/>
                <w:szCs w:val="12"/>
                <w:color w:val="auto"/>
              </w:rPr>
            </w:pPr>
          </w:p>
        </w:tc>
        <w:tc>
          <w:tcPr>
            <w:tcW w:w="1200" w:type="dxa"/>
            <w:vAlign w:val="bottom"/>
            <w:gridSpan w:val="2"/>
            <w:shd w:val="clear" w:color="auto" w:fill="424E6A"/>
          </w:tcPr>
          <w:p>
            <w:pPr>
              <w:jc w:val="center"/>
              <w:ind w:right="484"/>
              <w:spacing w:after="0" w:line="149" w:lineRule="exact"/>
              <w:rPr>
                <w:sz w:val="20"/>
                <w:szCs w:val="20"/>
                <w:color w:val="auto"/>
              </w:rPr>
            </w:pPr>
            <w:r>
              <w:rPr>
                <w:rFonts w:ascii="Arial" w:cs="Arial" w:eastAsia="Arial" w:hAnsi="Arial"/>
                <w:sz w:val="14"/>
                <w:szCs w:val="14"/>
                <w:b w:val="1"/>
                <w:bCs w:val="1"/>
                <w:color w:val="FFFFFF"/>
              </w:rPr>
              <w:t>Actually</w:t>
            </w:r>
          </w:p>
        </w:tc>
        <w:tc>
          <w:tcPr>
            <w:tcW w:w="880" w:type="dxa"/>
            <w:vAlign w:val="bottom"/>
            <w:shd w:val="clear" w:color="auto" w:fill="424E6A"/>
          </w:tcPr>
          <w:p>
            <w:pPr>
              <w:ind w:left="20"/>
              <w:spacing w:after="0" w:line="149" w:lineRule="exact"/>
              <w:rPr>
                <w:sz w:val="20"/>
                <w:szCs w:val="20"/>
                <w:color w:val="auto"/>
              </w:rPr>
            </w:pPr>
            <w:r>
              <w:rPr>
                <w:rFonts w:ascii="Arial" w:cs="Arial" w:eastAsia="Arial" w:hAnsi="Arial"/>
                <w:sz w:val="14"/>
                <w:szCs w:val="14"/>
                <w:b w:val="1"/>
                <w:bCs w:val="1"/>
                <w:color w:val="FFFFFF"/>
              </w:rPr>
              <w:t>Non-PEO</w:t>
            </w:r>
          </w:p>
        </w:tc>
        <w:tc>
          <w:tcPr>
            <w:tcW w:w="100" w:type="dxa"/>
            <w:vAlign w:val="bottom"/>
            <w:tcBorders>
              <w:right w:val="single" w:sz="8" w:color="424E6A"/>
            </w:tcBorders>
            <w:shd w:val="clear" w:color="auto" w:fill="424E6A"/>
          </w:tcPr>
          <w:p>
            <w:pPr>
              <w:spacing w:after="0"/>
              <w:rPr>
                <w:sz w:val="12"/>
                <w:szCs w:val="12"/>
                <w:color w:val="auto"/>
              </w:rPr>
            </w:pPr>
          </w:p>
        </w:tc>
        <w:tc>
          <w:tcPr>
            <w:tcW w:w="110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Paid to Non-</w:t>
            </w:r>
          </w:p>
        </w:tc>
        <w:tc>
          <w:tcPr>
            <w:tcW w:w="12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680" w:type="dxa"/>
            <w:vAlign w:val="bottom"/>
            <w:gridSpan w:val="2"/>
            <w:shd w:val="clear" w:color="auto" w:fill="424E6A"/>
          </w:tcPr>
          <w:p>
            <w:pPr>
              <w:spacing w:after="0" w:line="149" w:lineRule="exact"/>
              <w:rPr>
                <w:sz w:val="20"/>
                <w:szCs w:val="20"/>
                <w:color w:val="auto"/>
              </w:rPr>
            </w:pPr>
            <w:r>
              <w:rPr>
                <w:rFonts w:ascii="Arial" w:cs="Arial" w:eastAsia="Arial" w:hAnsi="Arial"/>
                <w:sz w:val="14"/>
                <w:szCs w:val="14"/>
                <w:b w:val="1"/>
                <w:bCs w:val="1"/>
                <w:color w:val="FFFFFF"/>
              </w:rPr>
              <w:t>Company</w:t>
            </w:r>
          </w:p>
        </w:tc>
        <w:tc>
          <w:tcPr>
            <w:tcW w:w="140" w:type="dxa"/>
            <w:vAlign w:val="bottom"/>
            <w:tcBorders>
              <w:right w:val="single" w:sz="8" w:color="424E6A"/>
            </w:tcBorders>
            <w:shd w:val="clear" w:color="auto" w:fill="424E6A"/>
          </w:tcPr>
          <w:p>
            <w:pPr>
              <w:spacing w:after="0"/>
              <w:rPr>
                <w:sz w:val="12"/>
                <w:szCs w:val="12"/>
                <w:color w:val="auto"/>
              </w:rPr>
            </w:pPr>
          </w:p>
        </w:tc>
        <w:tc>
          <w:tcPr>
            <w:tcW w:w="720" w:type="dxa"/>
            <w:vAlign w:val="bottom"/>
            <w:gridSpan w:val="2"/>
            <w:shd w:val="clear" w:color="auto" w:fill="424E6A"/>
          </w:tcPr>
          <w:p>
            <w:pPr>
              <w:jc w:val="center"/>
              <w:ind w:left="24"/>
              <w:spacing w:after="0" w:line="149" w:lineRule="exact"/>
              <w:rPr>
                <w:sz w:val="20"/>
                <w:szCs w:val="20"/>
                <w:color w:val="auto"/>
              </w:rPr>
            </w:pPr>
            <w:r>
              <w:rPr>
                <w:rFonts w:ascii="Arial" w:cs="Arial" w:eastAsia="Arial" w:hAnsi="Arial"/>
                <w:sz w:val="14"/>
                <w:szCs w:val="14"/>
                <w:b w:val="1"/>
                <w:bCs w:val="1"/>
                <w:color w:val="FFFFFF"/>
                <w:w w:val="99"/>
              </w:rPr>
              <w:t>Group</w:t>
            </w:r>
          </w:p>
        </w:tc>
        <w:tc>
          <w:tcPr>
            <w:tcW w:w="16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108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Net Income/​</w:t>
            </w:r>
          </w:p>
        </w:tc>
        <w:tc>
          <w:tcPr>
            <w:tcW w:w="120" w:type="dxa"/>
            <w:vAlign w:val="bottom"/>
            <w:tcBorders>
              <w:right w:val="single" w:sz="8" w:color="424E6A"/>
            </w:tcBorders>
            <w:shd w:val="clear" w:color="auto" w:fill="424E6A"/>
          </w:tcPr>
          <w:p>
            <w:pPr>
              <w:spacing w:after="0"/>
              <w:rPr>
                <w:sz w:val="12"/>
                <w:szCs w:val="12"/>
                <w:color w:val="auto"/>
              </w:rPr>
            </w:pPr>
          </w:p>
        </w:tc>
        <w:tc>
          <w:tcPr>
            <w:tcW w:w="112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Attributable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424E6A"/>
            </w:tcBorders>
          </w:tcPr>
          <w:p>
            <w:pPr>
              <w:spacing w:after="0"/>
              <w:rPr>
                <w:sz w:val="18"/>
                <w:szCs w:val="18"/>
                <w:color w:val="auto"/>
              </w:rPr>
            </w:pPr>
          </w:p>
        </w:tc>
        <w:tc>
          <w:tcPr>
            <w:tcW w:w="520" w:type="dxa"/>
            <w:vAlign w:val="bottom"/>
            <w:tcBorders>
              <w:bottom w:val="single" w:sz="8" w:color="424E6A"/>
            </w:tcBorders>
            <w:shd w:val="clear" w:color="auto" w:fill="424E6A"/>
          </w:tcPr>
          <w:p>
            <w:pPr>
              <w:ind w:left="20"/>
              <w:spacing w:after="0" w:line="211"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3"/>
                <w:szCs w:val="13"/>
                <w:b w:val="1"/>
                <w:bCs w:val="1"/>
                <w:color w:val="FFFFFF"/>
              </w:rPr>
              <w:t>Year</w:t>
            </w:r>
          </w:p>
        </w:tc>
        <w:tc>
          <w:tcPr>
            <w:tcW w:w="1240" w:type="dxa"/>
            <w:vAlign w:val="bottom"/>
            <w:tcBorders>
              <w:bottom w:val="single" w:sz="8" w:color="424E6A"/>
            </w:tcBorders>
            <w:gridSpan w:val="2"/>
            <w:shd w:val="clear" w:color="auto" w:fill="424E6A"/>
          </w:tcPr>
          <w:p>
            <w:pPr>
              <w:ind w:left="8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for PEO</w:t>
            </w:r>
            <w:r>
              <w:rPr>
                <w:rFonts w:ascii="Arial" w:cs="Arial" w:eastAsia="Arial" w:hAnsi="Arial"/>
                <w:sz w:val="15"/>
                <w:szCs w:val="15"/>
                <w:b w:val="1"/>
                <w:bCs w:val="1"/>
                <w:color w:val="FFFFFF"/>
                <w:vertAlign w:val="superscript"/>
              </w:rPr>
              <w:t>(1)</w:t>
            </w:r>
          </w:p>
        </w:tc>
        <w:tc>
          <w:tcPr>
            <w:tcW w:w="1560" w:type="dxa"/>
            <w:vAlign w:val="bottom"/>
            <w:tcBorders>
              <w:bottom w:val="single" w:sz="8" w:color="424E6A"/>
            </w:tcBorders>
            <w:gridSpan w:val="4"/>
            <w:shd w:val="clear" w:color="auto" w:fill="424E6A"/>
          </w:tcPr>
          <w:p>
            <w:pPr>
              <w:ind w:left="6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Paid to PEO</w:t>
            </w:r>
            <w:r>
              <w:rPr>
                <w:rFonts w:ascii="Arial" w:cs="Arial" w:eastAsia="Arial" w:hAnsi="Arial"/>
                <w:sz w:val="15"/>
                <w:szCs w:val="15"/>
                <w:b w:val="1"/>
                <w:bCs w:val="1"/>
                <w:color w:val="FFFFFF"/>
                <w:vertAlign w:val="superscript"/>
              </w:rPr>
              <w:t>(2)</w:t>
            </w:r>
            <w:r>
              <w:rPr>
                <w:rFonts w:ascii="Arial" w:cs="Arial" w:eastAsia="Arial" w:hAnsi="Arial"/>
                <w:sz w:val="13"/>
                <w:szCs w:val="13"/>
                <w:b w:val="1"/>
                <w:bCs w:val="1"/>
                <w:color w:val="FFFFFF"/>
              </w:rPr>
              <w:t xml:space="preserve">  </w:t>
            </w:r>
            <w:r>
              <w:rPr>
                <w:rFonts w:ascii="Arial" w:cs="Arial" w:eastAsia="Arial" w:hAnsi="Arial"/>
                <w:sz w:val="24"/>
                <w:szCs w:val="24"/>
                <w:b w:val="1"/>
                <w:bCs w:val="1"/>
                <w:color w:val="FFFFFF"/>
                <w:vertAlign w:val="subscript"/>
              </w:rPr>
              <w:t>​ ​</w:t>
            </w:r>
          </w:p>
        </w:tc>
        <w:tc>
          <w:tcPr>
            <w:tcW w:w="880" w:type="dxa"/>
            <w:vAlign w:val="bottom"/>
            <w:tcBorders>
              <w:bottom w:val="single" w:sz="8" w:color="424E6A"/>
            </w:tcBorders>
            <w:shd w:val="clear" w:color="auto" w:fill="424E6A"/>
          </w:tcPr>
          <w:p>
            <w:pPr>
              <w:jc w:val="center"/>
              <w:ind w:right="66"/>
              <w:spacing w:after="0"/>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(1)</w:t>
            </w:r>
          </w:p>
        </w:tc>
        <w:tc>
          <w:tcPr>
            <w:tcW w:w="1200" w:type="dxa"/>
            <w:vAlign w:val="bottom"/>
            <w:tcBorders>
              <w:bottom w:val="single" w:sz="8" w:color="424E6A"/>
            </w:tcBorders>
            <w:gridSpan w:val="2"/>
            <w:shd w:val="clear" w:color="auto" w:fill="424E6A"/>
          </w:tcPr>
          <w:p>
            <w:pPr>
              <w:ind w:left="4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PEO NEOs</w:t>
            </w:r>
            <w:r>
              <w:rPr>
                <w:rFonts w:ascii="Arial" w:cs="Arial" w:eastAsia="Arial" w:hAnsi="Arial"/>
                <w:sz w:val="15"/>
                <w:szCs w:val="15"/>
                <w:b w:val="1"/>
                <w:bCs w:val="1"/>
                <w:color w:val="FFFFFF"/>
                <w:vertAlign w:val="superscript"/>
              </w:rPr>
              <w:t>(2)</w:t>
            </w:r>
          </w:p>
        </w:tc>
        <w:tc>
          <w:tcPr>
            <w:tcW w:w="12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424E6A"/>
          </w:tcPr>
          <w:p>
            <w:pPr>
              <w:spacing w:after="0"/>
              <w:rPr>
                <w:sz w:val="18"/>
                <w:szCs w:val="18"/>
                <w:color w:val="auto"/>
              </w:rPr>
            </w:pPr>
          </w:p>
        </w:tc>
        <w:tc>
          <w:tcPr>
            <w:tcW w:w="540" w:type="dxa"/>
            <w:vAlign w:val="bottom"/>
            <w:tcBorders>
              <w:bottom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TSR</w:t>
            </w:r>
            <w:r>
              <w:rPr>
                <w:rFonts w:ascii="Arial" w:cs="Arial" w:eastAsia="Arial" w:hAnsi="Arial"/>
                <w:sz w:val="17"/>
                <w:szCs w:val="17"/>
                <w:b w:val="1"/>
                <w:bCs w:val="1"/>
                <w:color w:val="FFFFFF"/>
                <w:vertAlign w:val="superscript"/>
              </w:rPr>
              <w:t>(3)</w:t>
            </w:r>
          </w:p>
        </w:tc>
        <w:tc>
          <w:tcPr>
            <w:tcW w:w="360" w:type="dxa"/>
            <w:vAlign w:val="bottom"/>
            <w:tcBorders>
              <w:bottom w:val="single" w:sz="8" w:color="424E6A"/>
            </w:tcBorders>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500" w:type="dxa"/>
            <w:vAlign w:val="bottom"/>
            <w:tcBorders>
              <w:bottom w:val="single" w:sz="8" w:color="424E6A"/>
            </w:tcBorders>
            <w:shd w:val="clear" w:color="auto" w:fill="424E6A"/>
          </w:tcPr>
          <w:p>
            <w:pPr>
              <w:jc w:val="center"/>
              <w:ind w:right="6"/>
              <w:spacing w:after="0"/>
              <w:rPr>
                <w:sz w:val="20"/>
                <w:szCs w:val="20"/>
                <w:color w:val="auto"/>
              </w:rPr>
            </w:pPr>
            <w:r>
              <w:rPr>
                <w:rFonts w:ascii="Arial" w:cs="Arial" w:eastAsia="Arial" w:hAnsi="Arial"/>
                <w:sz w:val="14"/>
                <w:szCs w:val="14"/>
                <w:b w:val="1"/>
                <w:bCs w:val="1"/>
                <w:color w:val="FFFFFF"/>
                <w:w w:val="90"/>
              </w:rPr>
              <w:t>TSR</w:t>
            </w:r>
            <w:r>
              <w:rPr>
                <w:rFonts w:ascii="Arial" w:cs="Arial" w:eastAsia="Arial" w:hAnsi="Arial"/>
                <w:sz w:val="17"/>
                <w:szCs w:val="17"/>
                <w:b w:val="1"/>
                <w:bCs w:val="1"/>
                <w:color w:val="FFFFFF"/>
                <w:w w:val="90"/>
                <w:vertAlign w:val="superscript"/>
              </w:rPr>
              <w:t>(3)</w:t>
            </w:r>
          </w:p>
        </w:tc>
        <w:tc>
          <w:tcPr>
            <w:tcW w:w="16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(Loss)</w:t>
            </w:r>
          </w:p>
        </w:tc>
        <w:tc>
          <w:tcPr>
            <w:tcW w:w="1240" w:type="dxa"/>
            <w:vAlign w:val="bottom"/>
            <w:tcBorders>
              <w:bottom w:val="single" w:sz="8" w:color="424E6A"/>
            </w:tcBorders>
            <w:gridSpan w:val="2"/>
            <w:shd w:val="clear" w:color="auto" w:fill="424E6A"/>
          </w:tcPr>
          <w:p>
            <w:pPr>
              <w:ind w:left="6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to PAA    </w:t>
            </w:r>
            <w:r>
              <w:rPr>
                <w:rFonts w:ascii="Arial" w:cs="Arial" w:eastAsia="Arial" w:hAnsi="Arial"/>
                <w:sz w:val="24"/>
                <w:szCs w:val="24"/>
                <w:b w:val="1"/>
                <w:bCs w:val="1"/>
                <w:color w:val="FFFFFF"/>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2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2024</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20" w:type="dxa"/>
            <w:vAlign w:val="bottom"/>
            <w:tcBorders>
              <w:right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$ 8,511,945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$11,885,529</w:t>
            </w:r>
            <w:r>
              <w:rPr>
                <w:rFonts w:ascii="Arial" w:cs="Arial" w:eastAsia="Arial" w:hAnsi="Arial"/>
                <w:sz w:val="28"/>
                <w:szCs w:val="28"/>
                <w:color w:val="auto"/>
                <w:highlight w:val="lightGray"/>
                <w:vertAlign w:val="subscript"/>
              </w:rPr>
              <w:t>​​</w:t>
            </w:r>
          </w:p>
        </w:tc>
        <w:tc>
          <w:tcPr>
            <w:tcW w:w="24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80" w:type="dxa"/>
            <w:vAlign w:val="bottom"/>
            <w:tcBorders>
              <w:right w:val="single" w:sz="8" w:color="424E6A"/>
            </w:tcBorders>
            <w:gridSpan w:val="2"/>
            <w:shd w:val="clear" w:color="auto" w:fill="D9DCE1"/>
          </w:tcPr>
          <w:p>
            <w:pPr>
              <w:ind w:left="20"/>
              <w:spacing w:after="0" w:line="250" w:lineRule="exact"/>
              <w:rPr>
                <w:sz w:val="20"/>
                <w:szCs w:val="20"/>
                <w:color w:val="auto"/>
              </w:rPr>
            </w:pPr>
            <w:r>
              <w:rPr>
                <w:rFonts w:ascii="Arial" w:cs="Arial" w:eastAsia="Arial" w:hAnsi="Arial"/>
                <w:sz w:val="15"/>
                <w:szCs w:val="15"/>
                <w:color w:val="auto"/>
              </w:rPr>
              <w:t xml:space="preserve">3,170,269 </w:t>
            </w:r>
            <w:r>
              <w:rPr>
                <w:rFonts w:ascii="Arial" w:cs="Arial" w:eastAsia="Arial" w:hAnsi="Arial"/>
                <w:sz w:val="28"/>
                <w:szCs w:val="28"/>
                <w:color w:val="auto"/>
                <w:vertAlign w:val="subscript"/>
              </w:rPr>
              <w:t>​​</w:t>
            </w:r>
          </w:p>
        </w:tc>
        <w:tc>
          <w:tcPr>
            <w:tcW w:w="1100" w:type="dxa"/>
            <w:vAlign w:val="bottom"/>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$4,688,394</w:t>
            </w:r>
          </w:p>
        </w:tc>
        <w:tc>
          <w:tcPr>
            <w:tcW w:w="120" w:type="dxa"/>
            <w:vAlign w:val="bottom"/>
            <w:tcBorders>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$137.87</w:t>
            </w:r>
          </w:p>
        </w:tc>
        <w:tc>
          <w:tcPr>
            <w:tcW w:w="140" w:type="dxa"/>
            <w:vAlign w:val="bottom"/>
            <w:tcBorders>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$212.45</w:t>
            </w:r>
            <w:r>
              <w:rPr>
                <w:rFonts w:ascii="Arial" w:cs="Arial" w:eastAsia="Arial" w:hAnsi="Arial"/>
                <w:sz w:val="28"/>
                <w:szCs w:val="28"/>
                <w:color w:val="auto"/>
                <w:vertAlign w:val="subscript"/>
              </w:rPr>
              <w:t>​​</w:t>
            </w:r>
          </w:p>
        </w:tc>
        <w:tc>
          <w:tcPr>
            <w:tcW w:w="1160" w:type="dxa"/>
            <w:vAlign w:val="bottom"/>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$1.11 billion</w:t>
            </w:r>
          </w:p>
        </w:tc>
        <w:tc>
          <w:tcPr>
            <w:tcW w:w="120" w:type="dxa"/>
            <w:vAlign w:val="bottom"/>
            <w:tcBorders>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$2.78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20" w:type="dxa"/>
            <w:vAlign w:val="bottom"/>
            <w:shd w:val="clear" w:color="auto" w:fill="424E6A"/>
          </w:tcPr>
          <w:p>
            <w:pPr>
              <w:spacing w:after="0" w:line="20" w:lineRule="exact"/>
              <w:rPr>
                <w:sz w:val="1"/>
                <w:szCs w:val="1"/>
                <w:color w:val="auto"/>
              </w:rPr>
            </w:pPr>
          </w:p>
        </w:tc>
        <w:tc>
          <w:tcPr>
            <w:tcW w:w="120" w:type="dxa"/>
            <w:vAlign w:val="bottom"/>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240" w:type="dxa"/>
            <w:vAlign w:val="bottom"/>
            <w:shd w:val="clear" w:color="auto" w:fill="424E6A"/>
          </w:tcPr>
          <w:p>
            <w:pPr>
              <w:spacing w:after="0" w:line="20" w:lineRule="exact"/>
              <w:rPr>
                <w:sz w:val="1"/>
                <w:szCs w:val="1"/>
                <w:color w:val="auto"/>
              </w:rPr>
            </w:pPr>
          </w:p>
        </w:tc>
        <w:tc>
          <w:tcPr>
            <w:tcW w:w="980" w:type="dxa"/>
            <w:vAlign w:val="bottom"/>
            <w:tcBorders>
              <w:right w:val="single" w:sz="8" w:color="424E6A"/>
            </w:tcBorders>
            <w:gridSpan w:val="2"/>
            <w:shd w:val="clear" w:color="auto" w:fill="424E6A"/>
          </w:tcPr>
          <w:p>
            <w:pPr>
              <w:spacing w:after="0" w:line="20" w:lineRule="exact"/>
              <w:rPr>
                <w:sz w:val="1"/>
                <w:szCs w:val="1"/>
                <w:color w:val="auto"/>
              </w:rPr>
            </w:pPr>
          </w:p>
        </w:tc>
        <w:tc>
          <w:tcPr>
            <w:tcW w:w="110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760" w:type="dxa"/>
            <w:vAlign w:val="bottom"/>
            <w:gridSpan w:val="3"/>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880" w:type="dxa"/>
            <w:vAlign w:val="bottom"/>
            <w:tcBorders>
              <w:right w:val="single" w:sz="8" w:color="424E6A"/>
            </w:tcBorders>
            <w:gridSpan w:val="3"/>
            <w:shd w:val="clear" w:color="auto" w:fill="424E6A"/>
          </w:tcPr>
          <w:p>
            <w:pPr>
              <w:spacing w:after="0" w:line="20" w:lineRule="exact"/>
              <w:rPr>
                <w:sz w:val="1"/>
                <w:szCs w:val="1"/>
                <w:color w:val="auto"/>
              </w:rPr>
            </w:pPr>
          </w:p>
        </w:tc>
        <w:tc>
          <w:tcPr>
            <w:tcW w:w="1160" w:type="dxa"/>
            <w:vAlign w:val="bottom"/>
            <w:gridSpan w:val="2"/>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2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2023</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424E6A"/>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$7,453,919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$16,427,772</w:t>
            </w:r>
            <w:r>
              <w:rPr>
                <w:rFonts w:ascii="Arial" w:cs="Arial" w:eastAsia="Arial" w:hAnsi="Arial"/>
                <w:sz w:val="28"/>
                <w:szCs w:val="28"/>
                <w:color w:val="auto"/>
                <w:vertAlign w:val="subscript"/>
              </w:rPr>
              <w:t>​​</w:t>
            </w:r>
          </w:p>
        </w:tc>
        <w:tc>
          <w:tcPr>
            <w:tcW w:w="240" w:type="dxa"/>
            <w:vAlign w:val="bottom"/>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80" w:type="dxa"/>
            <w:vAlign w:val="bottom"/>
            <w:tcBorders>
              <w:right w:val="single" w:sz="8" w:color="424E6A"/>
            </w:tcBorders>
            <w:gridSpan w:val="2"/>
          </w:tcPr>
          <w:p>
            <w:pPr>
              <w:ind w:left="20"/>
              <w:spacing w:after="0" w:line="250" w:lineRule="exact"/>
              <w:rPr>
                <w:sz w:val="20"/>
                <w:szCs w:val="20"/>
                <w:color w:val="auto"/>
              </w:rPr>
            </w:pPr>
            <w:r>
              <w:rPr>
                <w:rFonts w:ascii="Arial" w:cs="Arial" w:eastAsia="Arial" w:hAnsi="Arial"/>
                <w:sz w:val="15"/>
                <w:szCs w:val="15"/>
                <w:color w:val="auto"/>
              </w:rPr>
              <w:t xml:space="preserve">2,949,247 </w:t>
            </w:r>
            <w:r>
              <w:rPr>
                <w:rFonts w:ascii="Arial" w:cs="Arial" w:eastAsia="Arial" w:hAnsi="Arial"/>
                <w:sz w:val="28"/>
                <w:szCs w:val="28"/>
                <w:color w:val="auto"/>
                <w:vertAlign w:val="subscript"/>
              </w:rPr>
              <w:t>​​</w:t>
            </w:r>
          </w:p>
        </w:tc>
        <w:tc>
          <w:tcPr>
            <w:tcW w:w="110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$6,454,569</w:t>
            </w:r>
          </w:p>
        </w:tc>
        <w:tc>
          <w:tcPr>
            <w:tcW w:w="120" w:type="dxa"/>
            <w:vAlign w:val="bottom"/>
            <w:tcBorders>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$113.53</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$147.00</w:t>
            </w:r>
            <w:r>
              <w:rPr>
                <w:rFonts w:ascii="Arial" w:cs="Arial" w:eastAsia="Arial" w:hAnsi="Arial"/>
                <w:sz w:val="28"/>
                <w:szCs w:val="28"/>
                <w:color w:val="auto"/>
                <w:vertAlign w:val="subscript"/>
              </w:rPr>
              <w:t>​​</w:t>
            </w:r>
          </w:p>
        </w:tc>
        <w:tc>
          <w:tcPr>
            <w:tcW w:w="116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$1.50 billion</w:t>
            </w:r>
          </w:p>
        </w:tc>
        <w:tc>
          <w:tcPr>
            <w:tcW w:w="120" w:type="dxa"/>
            <w:vAlign w:val="bottom"/>
            <w:tcBorders>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$2.71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20" w:type="dxa"/>
            <w:vAlign w:val="bottom"/>
            <w:shd w:val="clear" w:color="auto" w:fill="424E6A"/>
          </w:tcPr>
          <w:p>
            <w:pPr>
              <w:spacing w:after="0" w:line="20" w:lineRule="exact"/>
              <w:rPr>
                <w:sz w:val="1"/>
                <w:szCs w:val="1"/>
                <w:color w:val="auto"/>
              </w:rPr>
            </w:pPr>
          </w:p>
        </w:tc>
        <w:tc>
          <w:tcPr>
            <w:tcW w:w="120" w:type="dxa"/>
            <w:vAlign w:val="bottom"/>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240" w:type="dxa"/>
            <w:vAlign w:val="bottom"/>
            <w:shd w:val="clear" w:color="auto" w:fill="424E6A"/>
          </w:tcPr>
          <w:p>
            <w:pPr>
              <w:spacing w:after="0" w:line="20" w:lineRule="exact"/>
              <w:rPr>
                <w:sz w:val="1"/>
                <w:szCs w:val="1"/>
                <w:color w:val="auto"/>
              </w:rPr>
            </w:pPr>
          </w:p>
        </w:tc>
        <w:tc>
          <w:tcPr>
            <w:tcW w:w="980" w:type="dxa"/>
            <w:vAlign w:val="bottom"/>
            <w:tcBorders>
              <w:right w:val="single" w:sz="8" w:color="424E6A"/>
            </w:tcBorders>
            <w:gridSpan w:val="2"/>
            <w:shd w:val="clear" w:color="auto" w:fill="424E6A"/>
          </w:tcPr>
          <w:p>
            <w:pPr>
              <w:spacing w:after="0" w:line="20" w:lineRule="exact"/>
              <w:rPr>
                <w:sz w:val="1"/>
                <w:szCs w:val="1"/>
                <w:color w:val="auto"/>
              </w:rPr>
            </w:pPr>
          </w:p>
        </w:tc>
        <w:tc>
          <w:tcPr>
            <w:tcW w:w="110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220" w:type="dxa"/>
            <w:vAlign w:val="bottom"/>
            <w:gridSpan w:val="2"/>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880" w:type="dxa"/>
            <w:vAlign w:val="bottom"/>
            <w:tcBorders>
              <w:right w:val="single" w:sz="8" w:color="424E6A"/>
            </w:tcBorders>
            <w:gridSpan w:val="3"/>
            <w:shd w:val="clear" w:color="auto" w:fill="424E6A"/>
          </w:tcPr>
          <w:p>
            <w:pPr>
              <w:spacing w:after="0" w:line="20" w:lineRule="exact"/>
              <w:rPr>
                <w:sz w:val="1"/>
                <w:szCs w:val="1"/>
                <w:color w:val="auto"/>
              </w:rPr>
            </w:pPr>
          </w:p>
        </w:tc>
        <w:tc>
          <w:tcPr>
            <w:tcW w:w="1160" w:type="dxa"/>
            <w:vAlign w:val="bottom"/>
            <w:gridSpan w:val="2"/>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2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2022</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20" w:type="dxa"/>
            <w:vAlign w:val="bottom"/>
            <w:tcBorders>
              <w:right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$8,296,140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$14,459,710</w:t>
            </w:r>
            <w:r>
              <w:rPr>
                <w:rFonts w:ascii="Arial" w:cs="Arial" w:eastAsia="Arial" w:hAnsi="Arial"/>
                <w:sz w:val="28"/>
                <w:szCs w:val="28"/>
                <w:color w:val="auto"/>
                <w:highlight w:val="lightGray"/>
                <w:vertAlign w:val="subscript"/>
              </w:rPr>
              <w:t>​​</w:t>
            </w:r>
          </w:p>
        </w:tc>
        <w:tc>
          <w:tcPr>
            <w:tcW w:w="24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80" w:type="dxa"/>
            <w:vAlign w:val="bottom"/>
            <w:tcBorders>
              <w:right w:val="single" w:sz="8" w:color="424E6A"/>
            </w:tcBorders>
            <w:gridSpan w:val="2"/>
            <w:shd w:val="clear" w:color="auto" w:fill="D9DCE1"/>
          </w:tcPr>
          <w:p>
            <w:pPr>
              <w:ind w:left="20"/>
              <w:spacing w:after="0" w:line="250" w:lineRule="exact"/>
              <w:rPr>
                <w:sz w:val="20"/>
                <w:szCs w:val="20"/>
                <w:color w:val="auto"/>
              </w:rPr>
            </w:pPr>
            <w:r>
              <w:rPr>
                <w:rFonts w:ascii="Arial" w:cs="Arial" w:eastAsia="Arial" w:hAnsi="Arial"/>
                <w:sz w:val="15"/>
                <w:szCs w:val="15"/>
                <w:color w:val="auto"/>
              </w:rPr>
              <w:t xml:space="preserve">4,387,570 </w:t>
            </w:r>
            <w:r>
              <w:rPr>
                <w:rFonts w:ascii="Arial" w:cs="Arial" w:eastAsia="Arial" w:hAnsi="Arial"/>
                <w:sz w:val="28"/>
                <w:szCs w:val="28"/>
                <w:color w:val="auto"/>
                <w:vertAlign w:val="subscript"/>
              </w:rPr>
              <w:t>​​</w:t>
            </w:r>
          </w:p>
        </w:tc>
        <w:tc>
          <w:tcPr>
            <w:tcW w:w="1100" w:type="dxa"/>
            <w:vAlign w:val="bottom"/>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$8,142,198</w:t>
            </w:r>
          </w:p>
        </w:tc>
        <w:tc>
          <w:tcPr>
            <w:tcW w:w="120" w:type="dxa"/>
            <w:vAlign w:val="bottom"/>
            <w:tcBorders>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shd w:val="clear" w:color="auto" w:fill="D9DCE1"/>
          </w:tcPr>
          <w:p>
            <w:pPr>
              <w:ind w:left="80"/>
              <w:spacing w:after="0"/>
              <w:rPr>
                <w:sz w:val="20"/>
                <w:szCs w:val="20"/>
                <w:color w:val="auto"/>
              </w:rPr>
            </w:pPr>
            <w:r>
              <w:rPr>
                <w:rFonts w:ascii="Arial" w:cs="Arial" w:eastAsia="Arial" w:hAnsi="Arial"/>
                <w:sz w:val="18"/>
                <w:szCs w:val="18"/>
                <w:color w:val="auto"/>
                <w:w w:val="97"/>
              </w:rPr>
              <w:t>81.51</w:t>
            </w:r>
          </w:p>
        </w:tc>
        <w:tc>
          <w:tcPr>
            <w:tcW w:w="140" w:type="dxa"/>
            <w:vAlign w:val="bottom"/>
            <w:tcBorders>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$128.92</w:t>
            </w:r>
            <w:r>
              <w:rPr>
                <w:rFonts w:ascii="Arial" w:cs="Arial" w:eastAsia="Arial" w:hAnsi="Arial"/>
                <w:sz w:val="28"/>
                <w:szCs w:val="28"/>
                <w:color w:val="auto"/>
                <w:vertAlign w:val="subscript"/>
              </w:rPr>
              <w:t>​​</w:t>
            </w:r>
          </w:p>
        </w:tc>
        <w:tc>
          <w:tcPr>
            <w:tcW w:w="1160" w:type="dxa"/>
            <w:vAlign w:val="bottom"/>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$1.23 billion</w:t>
            </w:r>
          </w:p>
        </w:tc>
        <w:tc>
          <w:tcPr>
            <w:tcW w:w="120" w:type="dxa"/>
            <w:vAlign w:val="bottom"/>
            <w:tcBorders>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$2.51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20" w:type="dxa"/>
            <w:vAlign w:val="bottom"/>
            <w:shd w:val="clear" w:color="auto" w:fill="424E6A"/>
          </w:tcPr>
          <w:p>
            <w:pPr>
              <w:spacing w:after="0" w:line="20" w:lineRule="exact"/>
              <w:rPr>
                <w:sz w:val="1"/>
                <w:szCs w:val="1"/>
                <w:color w:val="auto"/>
              </w:rPr>
            </w:pPr>
          </w:p>
        </w:tc>
        <w:tc>
          <w:tcPr>
            <w:tcW w:w="120" w:type="dxa"/>
            <w:vAlign w:val="bottom"/>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260" w:type="dxa"/>
            <w:vAlign w:val="bottom"/>
            <w:shd w:val="clear" w:color="auto" w:fill="424E6A"/>
          </w:tcPr>
          <w:p>
            <w:pPr>
              <w:spacing w:after="0" w:line="20" w:lineRule="exact"/>
              <w:rPr>
                <w:sz w:val="1"/>
                <w:szCs w:val="1"/>
                <w:color w:val="auto"/>
              </w:rPr>
            </w:pPr>
          </w:p>
        </w:tc>
        <w:tc>
          <w:tcPr>
            <w:tcW w:w="960" w:type="dxa"/>
            <w:vAlign w:val="bottom"/>
            <w:tcBorders>
              <w:right w:val="single" w:sz="8" w:color="424E6A"/>
            </w:tcBorders>
            <w:shd w:val="clear" w:color="auto" w:fill="424E6A"/>
          </w:tcPr>
          <w:p>
            <w:pPr>
              <w:spacing w:after="0" w:line="20" w:lineRule="exact"/>
              <w:rPr>
                <w:sz w:val="1"/>
                <w:szCs w:val="1"/>
                <w:color w:val="auto"/>
              </w:rPr>
            </w:pPr>
          </w:p>
        </w:tc>
        <w:tc>
          <w:tcPr>
            <w:tcW w:w="240" w:type="dxa"/>
            <w:vAlign w:val="bottom"/>
            <w:shd w:val="clear" w:color="auto" w:fill="424E6A"/>
          </w:tcPr>
          <w:p>
            <w:pPr>
              <w:spacing w:after="0" w:line="20" w:lineRule="exact"/>
              <w:rPr>
                <w:sz w:val="1"/>
                <w:szCs w:val="1"/>
                <w:color w:val="auto"/>
              </w:rPr>
            </w:pPr>
          </w:p>
        </w:tc>
        <w:tc>
          <w:tcPr>
            <w:tcW w:w="980" w:type="dxa"/>
            <w:vAlign w:val="bottom"/>
            <w:tcBorders>
              <w:right w:val="single" w:sz="8" w:color="424E6A"/>
            </w:tcBorders>
            <w:gridSpan w:val="2"/>
            <w:shd w:val="clear" w:color="auto" w:fill="424E6A"/>
          </w:tcPr>
          <w:p>
            <w:pPr>
              <w:spacing w:after="0" w:line="20" w:lineRule="exact"/>
              <w:rPr>
                <w:sz w:val="1"/>
                <w:szCs w:val="1"/>
                <w:color w:val="auto"/>
              </w:rPr>
            </w:pPr>
          </w:p>
        </w:tc>
        <w:tc>
          <w:tcPr>
            <w:tcW w:w="110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220" w:type="dxa"/>
            <w:vAlign w:val="bottom"/>
            <w:gridSpan w:val="2"/>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880" w:type="dxa"/>
            <w:vAlign w:val="bottom"/>
            <w:tcBorders>
              <w:right w:val="single" w:sz="8" w:color="424E6A"/>
            </w:tcBorders>
            <w:gridSpan w:val="3"/>
            <w:shd w:val="clear" w:color="auto" w:fill="424E6A"/>
          </w:tcPr>
          <w:p>
            <w:pPr>
              <w:spacing w:after="0" w:line="20" w:lineRule="exact"/>
              <w:rPr>
                <w:sz w:val="1"/>
                <w:szCs w:val="1"/>
                <w:color w:val="auto"/>
              </w:rPr>
            </w:pPr>
          </w:p>
        </w:tc>
        <w:tc>
          <w:tcPr>
            <w:tcW w:w="1160" w:type="dxa"/>
            <w:vAlign w:val="bottom"/>
            <w:gridSpan w:val="2"/>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2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424E6A"/>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$4,392,210 </w:t>
            </w:r>
            <w:r>
              <w:rPr>
                <w:rFonts w:ascii="Arial" w:cs="Arial" w:eastAsia="Arial" w:hAnsi="Arial"/>
                <w:sz w:val="28"/>
                <w:szCs w:val="28"/>
                <w:color w:val="auto"/>
                <w:vertAlign w:val="subscript"/>
              </w:rPr>
              <w:t>​​</w:t>
            </w:r>
          </w:p>
        </w:tc>
        <w:tc>
          <w:tcPr>
            <w:tcW w:w="260" w:type="dxa"/>
            <w:vAlign w:val="bottom"/>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right w:val="single" w:sz="8" w:color="424E6A"/>
            </w:tcBorders>
          </w:tcPr>
          <w:p>
            <w:pPr>
              <w:jc w:val="right"/>
              <w:spacing w:after="0" w:line="250" w:lineRule="exact"/>
              <w:rPr>
                <w:sz w:val="20"/>
                <w:szCs w:val="20"/>
                <w:color w:val="auto"/>
              </w:rPr>
            </w:pPr>
            <w:r>
              <w:rPr>
                <w:rFonts w:ascii="Arial" w:cs="Arial" w:eastAsia="Arial" w:hAnsi="Arial"/>
                <w:sz w:val="15"/>
                <w:szCs w:val="15"/>
                <w:color w:val="auto"/>
              </w:rPr>
              <w:t>4,792,883</w:t>
            </w:r>
            <w:r>
              <w:rPr>
                <w:rFonts w:ascii="Arial" w:cs="Arial" w:eastAsia="Arial" w:hAnsi="Arial"/>
                <w:sz w:val="28"/>
                <w:szCs w:val="28"/>
                <w:color w:val="auto"/>
                <w:vertAlign w:val="subscript"/>
              </w:rPr>
              <w:t>​​</w:t>
            </w:r>
          </w:p>
        </w:tc>
        <w:tc>
          <w:tcPr>
            <w:tcW w:w="240" w:type="dxa"/>
            <w:vAlign w:val="bottom"/>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80" w:type="dxa"/>
            <w:vAlign w:val="bottom"/>
            <w:tcBorders>
              <w:right w:val="single" w:sz="8" w:color="424E6A"/>
            </w:tcBorders>
            <w:gridSpan w:val="2"/>
          </w:tcPr>
          <w:p>
            <w:pPr>
              <w:ind w:left="20"/>
              <w:spacing w:after="0" w:line="250" w:lineRule="exact"/>
              <w:rPr>
                <w:sz w:val="20"/>
                <w:szCs w:val="20"/>
                <w:color w:val="auto"/>
              </w:rPr>
            </w:pPr>
            <w:r>
              <w:rPr>
                <w:rFonts w:ascii="Arial" w:cs="Arial" w:eastAsia="Arial" w:hAnsi="Arial"/>
                <w:sz w:val="15"/>
                <w:szCs w:val="15"/>
                <w:color w:val="auto"/>
              </w:rPr>
              <w:t xml:space="preserve">2,147,374 </w:t>
            </w:r>
            <w:r>
              <w:rPr>
                <w:rFonts w:ascii="Arial" w:cs="Arial" w:eastAsia="Arial" w:hAnsi="Arial"/>
                <w:sz w:val="28"/>
                <w:szCs w:val="28"/>
                <w:color w:val="auto"/>
                <w:vertAlign w:val="subscript"/>
              </w:rPr>
              <w:t>​​</w:t>
            </w:r>
          </w:p>
        </w:tc>
        <w:tc>
          <w:tcPr>
            <w:tcW w:w="110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$2,385,698</w:t>
            </w:r>
          </w:p>
        </w:tc>
        <w:tc>
          <w:tcPr>
            <w:tcW w:w="120" w:type="dxa"/>
            <w:vAlign w:val="bottom"/>
            <w:tcBorders>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Pr>
          <w:p>
            <w:pPr>
              <w:ind w:left="80"/>
              <w:spacing w:after="0"/>
              <w:rPr>
                <w:sz w:val="20"/>
                <w:szCs w:val="20"/>
                <w:color w:val="auto"/>
              </w:rPr>
            </w:pPr>
            <w:r>
              <w:rPr>
                <w:rFonts w:ascii="Arial" w:cs="Arial" w:eastAsia="Arial" w:hAnsi="Arial"/>
                <w:sz w:val="18"/>
                <w:szCs w:val="18"/>
                <w:color w:val="auto"/>
                <w:w w:val="97"/>
              </w:rPr>
              <w:t>60.08</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$106.08</w:t>
            </w:r>
            <w:r>
              <w:rPr>
                <w:rFonts w:ascii="Arial" w:cs="Arial" w:eastAsia="Arial" w:hAnsi="Arial"/>
                <w:sz w:val="28"/>
                <w:szCs w:val="28"/>
                <w:color w:val="auto"/>
                <w:vertAlign w:val="subscript"/>
              </w:rPr>
              <w:t>​​</w:t>
            </w:r>
          </w:p>
        </w:tc>
        <w:tc>
          <w:tcPr>
            <w:tcW w:w="116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$648 million</w:t>
            </w:r>
          </w:p>
        </w:tc>
        <w:tc>
          <w:tcPr>
            <w:tcW w:w="120" w:type="dxa"/>
            <w:vAlign w:val="bottom"/>
            <w:tcBorders>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$2.20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20" w:type="dxa"/>
            <w:vAlign w:val="bottom"/>
            <w:shd w:val="clear" w:color="auto" w:fill="424E6A"/>
          </w:tcPr>
          <w:p>
            <w:pPr>
              <w:spacing w:after="0" w:line="20" w:lineRule="exact"/>
              <w:rPr>
                <w:sz w:val="1"/>
                <w:szCs w:val="1"/>
                <w:color w:val="auto"/>
              </w:rPr>
            </w:pPr>
          </w:p>
        </w:tc>
        <w:tc>
          <w:tcPr>
            <w:tcW w:w="120" w:type="dxa"/>
            <w:vAlign w:val="bottom"/>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260" w:type="dxa"/>
            <w:vAlign w:val="bottom"/>
            <w:shd w:val="clear" w:color="auto" w:fill="424E6A"/>
          </w:tcPr>
          <w:p>
            <w:pPr>
              <w:spacing w:after="0" w:line="20" w:lineRule="exact"/>
              <w:rPr>
                <w:sz w:val="1"/>
                <w:szCs w:val="1"/>
                <w:color w:val="auto"/>
              </w:rPr>
            </w:pPr>
          </w:p>
        </w:tc>
        <w:tc>
          <w:tcPr>
            <w:tcW w:w="960" w:type="dxa"/>
            <w:vAlign w:val="bottom"/>
            <w:tcBorders>
              <w:right w:val="single" w:sz="8" w:color="424E6A"/>
            </w:tcBorders>
            <w:shd w:val="clear" w:color="auto" w:fill="424E6A"/>
          </w:tcPr>
          <w:p>
            <w:pPr>
              <w:spacing w:after="0" w:line="20" w:lineRule="exact"/>
              <w:rPr>
                <w:sz w:val="1"/>
                <w:szCs w:val="1"/>
                <w:color w:val="auto"/>
              </w:rPr>
            </w:pPr>
          </w:p>
        </w:tc>
        <w:tc>
          <w:tcPr>
            <w:tcW w:w="240" w:type="dxa"/>
            <w:vAlign w:val="bottom"/>
            <w:shd w:val="clear" w:color="auto" w:fill="424E6A"/>
          </w:tcPr>
          <w:p>
            <w:pPr>
              <w:spacing w:after="0" w:line="20" w:lineRule="exact"/>
              <w:rPr>
                <w:sz w:val="1"/>
                <w:szCs w:val="1"/>
                <w:color w:val="auto"/>
              </w:rPr>
            </w:pPr>
          </w:p>
        </w:tc>
        <w:tc>
          <w:tcPr>
            <w:tcW w:w="980" w:type="dxa"/>
            <w:vAlign w:val="bottom"/>
            <w:tcBorders>
              <w:right w:val="single" w:sz="8" w:color="424E6A"/>
            </w:tcBorders>
            <w:gridSpan w:val="2"/>
            <w:shd w:val="clear" w:color="auto" w:fill="424E6A"/>
          </w:tcPr>
          <w:p>
            <w:pPr>
              <w:spacing w:after="0" w:line="20" w:lineRule="exact"/>
              <w:rPr>
                <w:sz w:val="1"/>
                <w:szCs w:val="1"/>
                <w:color w:val="auto"/>
              </w:rPr>
            </w:pPr>
          </w:p>
        </w:tc>
        <w:tc>
          <w:tcPr>
            <w:tcW w:w="110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220" w:type="dxa"/>
            <w:vAlign w:val="bottom"/>
            <w:gridSpan w:val="2"/>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220" w:type="dxa"/>
            <w:vAlign w:val="bottom"/>
            <w:shd w:val="clear" w:color="auto" w:fill="424E6A"/>
          </w:tcPr>
          <w:p>
            <w:pPr>
              <w:spacing w:after="0" w:line="20" w:lineRule="exact"/>
              <w:rPr>
                <w:sz w:val="1"/>
                <w:szCs w:val="1"/>
                <w:color w:val="auto"/>
              </w:rPr>
            </w:pPr>
          </w:p>
        </w:tc>
        <w:tc>
          <w:tcPr>
            <w:tcW w:w="660" w:type="dxa"/>
            <w:vAlign w:val="bottom"/>
            <w:tcBorders>
              <w:right w:val="single" w:sz="8" w:color="424E6A"/>
            </w:tcBorders>
            <w:gridSpan w:val="2"/>
            <w:shd w:val="clear" w:color="auto" w:fill="424E6A"/>
          </w:tcPr>
          <w:p>
            <w:pPr>
              <w:spacing w:after="0" w:line="20" w:lineRule="exact"/>
              <w:rPr>
                <w:sz w:val="1"/>
                <w:szCs w:val="1"/>
                <w:color w:val="auto"/>
              </w:rPr>
            </w:pPr>
          </w:p>
        </w:tc>
        <w:tc>
          <w:tcPr>
            <w:tcW w:w="1280" w:type="dxa"/>
            <w:vAlign w:val="bottom"/>
            <w:tcBorders>
              <w:right w:val="single" w:sz="8" w:color="424E6A"/>
            </w:tcBorders>
            <w:gridSpan w:val="3"/>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2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2020</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20" w:type="dxa"/>
            <w:vAlign w:val="bottom"/>
            <w:tcBorders>
              <w:right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$4,290,241 </w:t>
            </w:r>
            <w:r>
              <w:rPr>
                <w:rFonts w:ascii="Arial" w:cs="Arial" w:eastAsia="Arial" w:hAnsi="Arial"/>
                <w:sz w:val="28"/>
                <w:szCs w:val="28"/>
                <w:color w:val="auto"/>
                <w:vertAlign w:val="subscript"/>
              </w:rPr>
              <w:t>​​</w:t>
            </w:r>
          </w:p>
        </w:tc>
        <w:tc>
          <w:tcPr>
            <w:tcW w:w="26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right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2,401,749</w:t>
            </w:r>
            <w:r>
              <w:rPr>
                <w:rFonts w:ascii="Arial" w:cs="Arial" w:eastAsia="Arial" w:hAnsi="Arial"/>
                <w:sz w:val="28"/>
                <w:szCs w:val="28"/>
                <w:color w:val="auto"/>
                <w:vertAlign w:val="subscript"/>
              </w:rPr>
              <w:t>​​</w:t>
            </w:r>
          </w:p>
        </w:tc>
        <w:tc>
          <w:tcPr>
            <w:tcW w:w="24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80" w:type="dxa"/>
            <w:vAlign w:val="bottom"/>
            <w:tcBorders>
              <w:right w:val="single" w:sz="8" w:color="424E6A"/>
            </w:tcBorders>
            <w:gridSpan w:val="2"/>
            <w:shd w:val="clear" w:color="auto" w:fill="D9DCE1"/>
          </w:tcPr>
          <w:p>
            <w:pPr>
              <w:ind w:left="20"/>
              <w:spacing w:after="0" w:line="250" w:lineRule="exact"/>
              <w:rPr>
                <w:sz w:val="20"/>
                <w:szCs w:val="20"/>
                <w:color w:val="auto"/>
              </w:rPr>
            </w:pPr>
            <w:r>
              <w:rPr>
                <w:rFonts w:ascii="Arial" w:cs="Arial" w:eastAsia="Arial" w:hAnsi="Arial"/>
                <w:sz w:val="15"/>
                <w:szCs w:val="15"/>
                <w:color w:val="auto"/>
              </w:rPr>
              <w:t xml:space="preserve">1,957,177 </w:t>
            </w:r>
            <w:r>
              <w:rPr>
                <w:rFonts w:ascii="Arial" w:cs="Arial" w:eastAsia="Arial" w:hAnsi="Arial"/>
                <w:sz w:val="28"/>
                <w:szCs w:val="28"/>
                <w:color w:val="auto"/>
                <w:vertAlign w:val="subscript"/>
              </w:rPr>
              <w:t>​​</w:t>
            </w:r>
          </w:p>
        </w:tc>
        <w:tc>
          <w:tcPr>
            <w:tcW w:w="1100" w:type="dxa"/>
            <w:vAlign w:val="bottom"/>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429,822</w:t>
            </w:r>
          </w:p>
        </w:tc>
        <w:tc>
          <w:tcPr>
            <w:tcW w:w="120" w:type="dxa"/>
            <w:vAlign w:val="bottom"/>
            <w:tcBorders>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shd w:val="clear" w:color="auto" w:fill="D9DCE1"/>
          </w:tcPr>
          <w:p>
            <w:pPr>
              <w:ind w:left="80"/>
              <w:spacing w:after="0"/>
              <w:rPr>
                <w:sz w:val="20"/>
                <w:szCs w:val="20"/>
                <w:color w:val="auto"/>
              </w:rPr>
            </w:pPr>
            <w:r>
              <w:rPr>
                <w:rFonts w:ascii="Arial" w:cs="Arial" w:eastAsia="Arial" w:hAnsi="Arial"/>
                <w:sz w:val="18"/>
                <w:szCs w:val="18"/>
                <w:color w:val="auto"/>
                <w:w w:val="97"/>
              </w:rPr>
              <w:t>49.18</w:t>
            </w:r>
          </w:p>
        </w:tc>
        <w:tc>
          <w:tcPr>
            <w:tcW w:w="140" w:type="dxa"/>
            <w:vAlign w:val="bottom"/>
            <w:tcBorders>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6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76.64</w:t>
            </w:r>
            <w:r>
              <w:rPr>
                <w:rFonts w:ascii="Arial" w:cs="Arial" w:eastAsia="Arial" w:hAnsi="Arial"/>
                <w:sz w:val="28"/>
                <w:szCs w:val="28"/>
                <w:color w:val="auto"/>
                <w:vertAlign w:val="subscript"/>
              </w:rPr>
              <w:t>​​</w:t>
            </w:r>
          </w:p>
        </w:tc>
        <w:tc>
          <w:tcPr>
            <w:tcW w:w="128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$(2.58 billion) </w:t>
            </w:r>
            <w:r>
              <w:rPr>
                <w:rFonts w:ascii="Arial" w:cs="Arial" w:eastAsia="Arial" w:hAnsi="Arial"/>
                <w:sz w:val="28"/>
                <w:szCs w:val="28"/>
                <w:color w:val="auto"/>
                <w:vertAlign w:val="subscript"/>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$2.55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20" w:type="dxa"/>
            <w:vAlign w:val="bottom"/>
            <w:shd w:val="clear" w:color="auto" w:fill="424E6A"/>
          </w:tcPr>
          <w:p>
            <w:pPr>
              <w:spacing w:after="0" w:line="20" w:lineRule="exact"/>
              <w:rPr>
                <w:sz w:val="1"/>
                <w:szCs w:val="1"/>
                <w:color w:val="auto"/>
              </w:rPr>
            </w:pPr>
          </w:p>
        </w:tc>
        <w:tc>
          <w:tcPr>
            <w:tcW w:w="120" w:type="dxa"/>
            <w:vAlign w:val="bottom"/>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260" w:type="dxa"/>
            <w:vAlign w:val="bottom"/>
            <w:shd w:val="clear" w:color="auto" w:fill="424E6A"/>
          </w:tcPr>
          <w:p>
            <w:pPr>
              <w:spacing w:after="0" w:line="20" w:lineRule="exact"/>
              <w:rPr>
                <w:sz w:val="1"/>
                <w:szCs w:val="1"/>
                <w:color w:val="auto"/>
              </w:rPr>
            </w:pPr>
          </w:p>
        </w:tc>
        <w:tc>
          <w:tcPr>
            <w:tcW w:w="960" w:type="dxa"/>
            <w:vAlign w:val="bottom"/>
            <w:tcBorders>
              <w:right w:val="single" w:sz="8" w:color="424E6A"/>
            </w:tcBorders>
            <w:shd w:val="clear" w:color="auto" w:fill="424E6A"/>
          </w:tcPr>
          <w:p>
            <w:pPr>
              <w:spacing w:after="0" w:line="20" w:lineRule="exact"/>
              <w:rPr>
                <w:sz w:val="1"/>
                <w:szCs w:val="1"/>
                <w:color w:val="auto"/>
              </w:rPr>
            </w:pPr>
          </w:p>
        </w:tc>
        <w:tc>
          <w:tcPr>
            <w:tcW w:w="240" w:type="dxa"/>
            <w:vAlign w:val="bottom"/>
            <w:shd w:val="clear" w:color="auto" w:fill="424E6A"/>
          </w:tcPr>
          <w:p>
            <w:pPr>
              <w:spacing w:after="0" w:line="20" w:lineRule="exact"/>
              <w:rPr>
                <w:sz w:val="1"/>
                <w:szCs w:val="1"/>
                <w:color w:val="auto"/>
              </w:rPr>
            </w:pPr>
          </w:p>
        </w:tc>
        <w:tc>
          <w:tcPr>
            <w:tcW w:w="88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110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220" w:type="dxa"/>
            <w:vAlign w:val="bottom"/>
            <w:shd w:val="clear" w:color="auto" w:fill="424E6A"/>
          </w:tcPr>
          <w:p>
            <w:pPr>
              <w:spacing w:after="0" w:line="20" w:lineRule="exact"/>
              <w:rPr>
                <w:sz w:val="1"/>
                <w:szCs w:val="1"/>
                <w:color w:val="auto"/>
              </w:rPr>
            </w:pPr>
          </w:p>
        </w:tc>
        <w:tc>
          <w:tcPr>
            <w:tcW w:w="500" w:type="dxa"/>
            <w:vAlign w:val="bottom"/>
            <w:shd w:val="clear" w:color="auto" w:fill="424E6A"/>
          </w:tcPr>
          <w:p>
            <w:pPr>
              <w:spacing w:after="0" w:line="20" w:lineRule="exact"/>
              <w:rPr>
                <w:sz w:val="1"/>
                <w:szCs w:val="1"/>
                <w:color w:val="auto"/>
              </w:rPr>
            </w:pPr>
          </w:p>
        </w:tc>
        <w:tc>
          <w:tcPr>
            <w:tcW w:w="16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8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-865505</wp:posOffset>
            </wp:positionV>
            <wp:extent cx="720090" cy="866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 cy="86614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-865505</wp:posOffset>
            </wp:positionV>
            <wp:extent cx="8890" cy="866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66140"/>
                    </a:xfrm>
                    <a:prstGeom prst="rect">
                      <a:avLst/>
                    </a:prstGeom>
                    <a:noFill/>
                  </pic:spPr>
                </pic:pic>
              </a:graphicData>
            </a:graphic>
          </wp:anchor>
        </w:drawing>
      </w:r>
    </w:p>
    <w:p>
      <w:pPr>
        <w:spacing w:after="0" w:line="177" w:lineRule="exact"/>
        <w:rPr>
          <w:sz w:val="20"/>
          <w:szCs w:val="20"/>
          <w:color w:val="auto"/>
        </w:rPr>
      </w:pPr>
    </w:p>
    <w:p>
      <w:pPr>
        <w:ind w:left="1620" w:right="1300" w:hanging="360"/>
        <w:spacing w:after="0" w:line="210"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For each of the years presented, our PEO is Willie Chiang and our Non-PEO NEOs are Harry Pefanis, Al Swanson, Richard McGee, Chris Chandler and Jeremy Goebel.</w:t>
      </w:r>
    </w:p>
    <w:p>
      <w:pPr>
        <w:spacing w:after="0" w:line="46" w:lineRule="exact"/>
        <w:rPr>
          <w:rFonts w:ascii="Arial" w:cs="Arial" w:eastAsia="Arial" w:hAnsi="Arial"/>
          <w:sz w:val="27"/>
          <w:szCs w:val="27"/>
          <w:color w:val="auto"/>
          <w:vertAlign w:val="superscript"/>
        </w:rPr>
      </w:pPr>
    </w:p>
    <w:p>
      <w:pPr>
        <w:ind w:left="1620" w:right="1000" w:hanging="360"/>
        <w:spacing w:after="0" w:line="232"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p>
    <w:p>
      <w:pPr>
        <w:spacing w:after="0" w:line="47" w:lineRule="exact"/>
        <w:rPr>
          <w:rFonts w:ascii="Arial" w:cs="Arial" w:eastAsia="Arial" w:hAnsi="Arial"/>
          <w:sz w:val="27"/>
          <w:szCs w:val="27"/>
          <w:color w:val="auto"/>
          <w:vertAlign w:val="superscript"/>
        </w:rPr>
      </w:pPr>
    </w:p>
    <w:p>
      <w:pPr>
        <w:ind w:left="1620" w:right="780" w:hanging="360"/>
        <w:spacing w:after="0" w:line="228"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TSR figures assume an initial investment of $100 in PAA on December 31, 2019. The peer group referenced for purposes of the TSR comparison is the group of companies included in the Alerian Midstream Energy Index, which is the same index used for purposes of Item 201(e) of Regulation S-K.</w:t>
      </w:r>
    </w:p>
    <w:p>
      <w:pPr>
        <w:spacing w:after="0" w:line="114" w:lineRule="exact"/>
        <w:rPr>
          <w:sz w:val="20"/>
          <w:szCs w:val="20"/>
          <w:color w:val="auto"/>
        </w:rPr>
      </w:pPr>
    </w:p>
    <w:p>
      <w:pPr>
        <w:ind w:left="1260" w:right="1040" w:firstLine="360"/>
        <w:spacing w:after="0" w:line="287" w:lineRule="auto"/>
        <w:rPr>
          <w:sz w:val="20"/>
          <w:szCs w:val="20"/>
          <w:color w:val="auto"/>
        </w:rPr>
      </w:pPr>
      <w:r>
        <w:rPr>
          <w:rFonts w:ascii="Arial" w:cs="Arial" w:eastAsia="Arial" w:hAnsi="Arial"/>
          <w:sz w:val="18"/>
          <w:szCs w:val="18"/>
          <w:color w:val="auto"/>
        </w:rPr>
        <w:t>The adjustments made to the Summary Compensation Table (“SCT”) amounts to determine CAP are shown in the tables below:</w:t>
      </w:r>
    </w:p>
    <w:p>
      <w:pPr>
        <w:spacing w:after="0" w:line="10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100" w:type="dxa"/>
            <w:vAlign w:val="bottom"/>
            <w:tcBorders>
              <w:left w:val="single" w:sz="8" w:color="424E6A"/>
            </w:tcBorders>
            <w:shd w:val="clear" w:color="auto" w:fill="424E6A"/>
          </w:tcPr>
          <w:p>
            <w:pPr>
              <w:spacing w:after="0"/>
              <w:rPr>
                <w:sz w:val="21"/>
                <w:szCs w:val="21"/>
                <w:color w:val="auto"/>
              </w:rPr>
            </w:pPr>
          </w:p>
        </w:tc>
        <w:tc>
          <w:tcPr>
            <w:tcW w:w="700" w:type="dxa"/>
            <w:vAlign w:val="bottom"/>
            <w:tcBorders>
              <w:right w:val="single" w:sz="8" w:color="424E6A"/>
            </w:tcBorders>
            <w:shd w:val="clear" w:color="auto" w:fill="424E6A"/>
          </w:tcPr>
          <w:p>
            <w:pPr>
              <w:spacing w:after="0"/>
              <w:rPr>
                <w:sz w:val="21"/>
                <w:szCs w:val="21"/>
                <w:color w:val="auto"/>
              </w:rPr>
            </w:pPr>
          </w:p>
        </w:tc>
        <w:tc>
          <w:tcPr>
            <w:tcW w:w="1120" w:type="dxa"/>
            <w:vAlign w:val="bottom"/>
            <w:tcBorders>
              <w:right w:val="single" w:sz="8" w:color="424E6A"/>
            </w:tcBorders>
            <w:shd w:val="clear" w:color="auto" w:fill="424E6A"/>
          </w:tcPr>
          <w:p>
            <w:pPr>
              <w:spacing w:after="0"/>
              <w:rPr>
                <w:sz w:val="21"/>
                <w:szCs w:val="21"/>
                <w:color w:val="auto"/>
              </w:rPr>
            </w:pPr>
          </w:p>
        </w:tc>
        <w:tc>
          <w:tcPr>
            <w:tcW w:w="4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34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340" w:type="dxa"/>
            <w:vAlign w:val="bottom"/>
            <w:tcBorders>
              <w:right w:val="single" w:sz="8" w:color="424E6A"/>
            </w:tcBorders>
            <w:shd w:val="clear" w:color="auto" w:fill="424E6A"/>
          </w:tcPr>
          <w:p>
            <w:pPr>
              <w:spacing w:after="0"/>
              <w:rPr>
                <w:sz w:val="21"/>
                <w:szCs w:val="21"/>
                <w:color w:val="auto"/>
              </w:rPr>
            </w:pPr>
          </w:p>
        </w:tc>
      </w:tr>
      <w:tr>
        <w:trPr>
          <w:trHeight w:val="162"/>
        </w:trPr>
        <w:tc>
          <w:tcPr>
            <w:tcW w:w="1100" w:type="dxa"/>
            <w:vAlign w:val="bottom"/>
            <w:tcBorders>
              <w:left w:val="single" w:sz="8" w:color="424E6A"/>
            </w:tcBorders>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340" w:type="dxa"/>
            <w:vAlign w:val="bottom"/>
            <w:tcBorders>
              <w:right w:val="single" w:sz="8" w:color="424E6A"/>
            </w:tcBorders>
            <w:shd w:val="clear" w:color="auto" w:fill="424E6A"/>
          </w:tcPr>
          <w:p>
            <w:pPr>
              <w:spacing w:after="0"/>
              <w:rPr>
                <w:sz w:val="14"/>
                <w:szCs w:val="14"/>
                <w:color w:val="auto"/>
              </w:rPr>
            </w:pPr>
          </w:p>
        </w:tc>
      </w:tr>
      <w:tr>
        <w:trPr>
          <w:trHeight w:val="162"/>
        </w:trPr>
        <w:tc>
          <w:tcPr>
            <w:tcW w:w="1100" w:type="dxa"/>
            <w:vAlign w:val="bottom"/>
            <w:tcBorders>
              <w:left w:val="single" w:sz="8" w:color="424E6A"/>
            </w:tcBorders>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340" w:type="dxa"/>
            <w:vAlign w:val="bottom"/>
            <w:tcBorders>
              <w:right w:val="single" w:sz="8" w:color="424E6A"/>
            </w:tcBorders>
            <w:shd w:val="clear" w:color="auto" w:fill="424E6A"/>
          </w:tcPr>
          <w:p>
            <w:pPr>
              <w:spacing w:after="0"/>
              <w:rPr>
                <w:sz w:val="14"/>
                <w:szCs w:val="14"/>
                <w:color w:val="auto"/>
              </w:rPr>
            </w:pPr>
          </w:p>
        </w:tc>
      </w:tr>
      <w:tr>
        <w:trPr>
          <w:trHeight w:val="212"/>
        </w:trPr>
        <w:tc>
          <w:tcPr>
            <w:tcW w:w="110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2300" w:type="dxa"/>
            <w:vAlign w:val="bottom"/>
            <w:gridSpan w:val="4"/>
            <w:shd w:val="clear" w:color="auto" w:fill="424E6A"/>
          </w:tcPr>
          <w:p>
            <w:pPr>
              <w:ind w:left="6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3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SEC Methodology</w:t>
            </w:r>
          </w:p>
        </w:tc>
        <w:tc>
          <w:tcPr>
            <w:tcW w:w="1800" w:type="dxa"/>
            <w:vAlign w:val="bottom"/>
            <w:tcBorders>
              <w:right w:val="single" w:sz="8" w:color="424E6A"/>
            </w:tcBorders>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7"/>
        </w:trPr>
        <w:tc>
          <w:tcPr>
            <w:tcW w:w="11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2024</w:t>
            </w:r>
          </w:p>
        </w:tc>
        <w:tc>
          <w:tcPr>
            <w:tcW w:w="700" w:type="dxa"/>
            <w:vAlign w:val="bottom"/>
            <w:tcBorders>
              <w:bottom w:val="single" w:sz="8" w:color="424E6A"/>
              <w:right w:val="single" w:sz="8" w:color="424E6A"/>
            </w:tcBorders>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​​$8,511,945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​$4,657,905</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​$8,031,489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34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​​$11,885,529</w:t>
            </w:r>
          </w:p>
        </w:tc>
      </w:tr>
    </w:tbl>
    <w:p>
      <w:pPr>
        <w:spacing w:after="0" w:line="157" w:lineRule="exact"/>
        <w:rPr>
          <w:sz w:val="20"/>
          <w:szCs w:val="20"/>
          <w:color w:val="auto"/>
        </w:rPr>
      </w:pPr>
    </w:p>
    <w:p>
      <w:pPr>
        <w:ind w:left="1620" w:right="900" w:hanging="360"/>
        <w:spacing w:after="0" w:line="222"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As shown in the table, the CAP total represents the SCT total for the covered fiscal year, but adjusted as required by SEC rules to replace the grant date fair value of awards granted during the covered fiscal year with the fair value of current and prior year equity awards that were</w:t>
      </w:r>
    </w:p>
    <w:p>
      <w:pPr>
        <w:sectPr>
          <w:pgSz w:w="11900" w:h="16838" w:orient="portrait"/>
          <w:cols w:equalWidth="0" w:num="1">
            <w:col w:w="10240"/>
          </w:cols>
          <w:pgMar w:left="580" w:top="97" w:right="1079" w:bottom="1440" w:gutter="0" w:footer="0" w:header="0"/>
        </w:sectPr>
      </w:pPr>
    </w:p>
    <w:p>
      <w:pPr>
        <w:spacing w:after="0" w:line="38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68" w:lineRule="auto"/>
        <w:rPr>
          <w:sz w:val="20"/>
          <w:szCs w:val="20"/>
          <w:color w:val="auto"/>
        </w:rPr>
      </w:pPr>
      <w:r>
        <w:rPr>
          <w:rFonts w:ascii="Arial" w:cs="Arial" w:eastAsia="Arial" w:hAnsi="Arial"/>
          <w:sz w:val="18"/>
          <w:szCs w:val="18"/>
          <w:color w:val="auto"/>
        </w:rPr>
        <w:t>outstanding at the end of the covered fiscal year or that vested or were forfeited during the covered fiscal year. Our NEOs do not participate in a defined benefit plan; therefore, no adjustment for pension benefits is included.</w:t>
      </w:r>
    </w:p>
    <w:p>
      <w:pPr>
        <w:spacing w:after="0" w:line="103"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8"/>
          <w:szCs w:val="18"/>
          <w:color w:val="auto"/>
        </w:rPr>
        <w:t>The calculation of the fair value of equity for the PEO for the covered fiscal year is shown in the following table:</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960" w:type="dxa"/>
            <w:vAlign w:val="bottom"/>
            <w:tcBorders>
              <w:left w:val="single" w:sz="8" w:color="424E6A"/>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92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6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00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260" w:type="dxa"/>
            <w:vAlign w:val="bottom"/>
            <w:tcBorders>
              <w:right w:val="single" w:sz="8" w:color="424E6A"/>
            </w:tcBorders>
            <w:shd w:val="clear" w:color="auto" w:fill="424E6A"/>
          </w:tcPr>
          <w:p>
            <w:pPr>
              <w:spacing w:after="0"/>
              <w:rPr>
                <w:sz w:val="21"/>
                <w:szCs w:val="21"/>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of DERs</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 at</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Paid During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CAP</w:t>
            </w:r>
          </w:p>
        </w:tc>
      </w:tr>
      <w:tr>
        <w:trPr>
          <w:trHeight w:val="212"/>
        </w:trPr>
        <w:tc>
          <w:tcPr>
            <w:tcW w:w="96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1460" w:type="dxa"/>
            <w:vAlign w:val="bottom"/>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the Year</w:t>
            </w:r>
          </w:p>
        </w:tc>
        <w:tc>
          <w:tcPr>
            <w:tcW w:w="170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6"/>
        </w:trPr>
        <w:tc>
          <w:tcPr>
            <w:tcW w:w="96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2024</w:t>
            </w:r>
          </w:p>
        </w:tc>
        <w:tc>
          <w:tcPr>
            <w:tcW w:w="112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​​$3,207,944 ​</w:t>
            </w:r>
          </w:p>
        </w:tc>
        <w:tc>
          <w:tcPr>
            <w:tcW w:w="32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​$2,290,694 ​​</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​$795,304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2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8"/>
                <w:szCs w:val="18"/>
                <w:color w:val="auto"/>
              </w:rPr>
              <w:t>​​$1,737,547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tcPr>
          <w:p>
            <w:pPr>
              <w:jc w:val="center"/>
              <w:ind w:right="124"/>
              <w:spacing w:after="0"/>
              <w:rPr>
                <w:sz w:val="20"/>
                <w:szCs w:val="20"/>
                <w:color w:val="auto"/>
              </w:rPr>
            </w:pPr>
            <w:r>
              <w:rPr>
                <w:rFonts w:ascii="Arial" w:cs="Arial" w:eastAsia="Arial" w:hAnsi="Arial"/>
                <w:sz w:val="18"/>
                <w:szCs w:val="18"/>
                <w:color w:val="auto"/>
              </w:rPr>
              <w:t>​​$8,031,489</w:t>
            </w:r>
          </w:p>
        </w:tc>
      </w:tr>
    </w:tbl>
    <w:p>
      <w:pPr>
        <w:spacing w:after="0" w:line="157" w:lineRule="exact"/>
        <w:rPr>
          <w:sz w:val="20"/>
          <w:szCs w:val="20"/>
          <w:color w:val="auto"/>
        </w:rPr>
      </w:pPr>
    </w:p>
    <w:p>
      <w:pPr>
        <w:ind w:left="1620" w:right="559" w:hanging="360"/>
        <w:spacing w:after="0" w:line="222"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Previously issued equity awards that expired during the covered fiscal year had no fair value at the end of the prior fiscal year.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140" w:type="dxa"/>
            <w:vAlign w:val="bottom"/>
            <w:tcBorders>
              <w:left w:val="single" w:sz="8" w:color="424E6A"/>
            </w:tcBorders>
            <w:shd w:val="clear" w:color="auto" w:fill="424E6A"/>
          </w:tcPr>
          <w:p>
            <w:pPr>
              <w:spacing w:after="0"/>
              <w:rPr>
                <w:sz w:val="21"/>
                <w:szCs w:val="21"/>
                <w:color w:val="auto"/>
              </w:rPr>
            </w:pPr>
          </w:p>
        </w:tc>
        <w:tc>
          <w:tcPr>
            <w:tcW w:w="720" w:type="dxa"/>
            <w:vAlign w:val="bottom"/>
            <w:tcBorders>
              <w:right w:val="single" w:sz="8" w:color="424E6A"/>
            </w:tcBorders>
            <w:shd w:val="clear" w:color="auto" w:fill="424E6A"/>
          </w:tcPr>
          <w:p>
            <w:pPr>
              <w:spacing w:after="0"/>
              <w:rPr>
                <w:sz w:val="21"/>
                <w:szCs w:val="21"/>
                <w:color w:val="auto"/>
              </w:rPr>
            </w:pPr>
          </w:p>
        </w:tc>
        <w:tc>
          <w:tcPr>
            <w:tcW w:w="1140" w:type="dxa"/>
            <w:vAlign w:val="bottom"/>
            <w:tcBorders>
              <w:right w:val="single" w:sz="8" w:color="424E6A"/>
            </w:tcBorders>
            <w:shd w:val="clear" w:color="auto" w:fill="424E6A"/>
          </w:tcPr>
          <w:p>
            <w:pPr>
              <w:spacing w:after="0"/>
              <w:rPr>
                <w:sz w:val="21"/>
                <w:szCs w:val="21"/>
                <w:color w:val="auto"/>
              </w:rPr>
            </w:pPr>
          </w:p>
        </w:tc>
        <w:tc>
          <w:tcPr>
            <w:tcW w:w="4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36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260" w:type="dxa"/>
            <w:vAlign w:val="bottom"/>
            <w:tcBorders>
              <w:right w:val="single" w:sz="8" w:color="424E6A"/>
            </w:tcBorders>
            <w:shd w:val="clear" w:color="auto" w:fill="424E6A"/>
          </w:tcPr>
          <w:p>
            <w:pPr>
              <w:spacing w:after="0"/>
              <w:rPr>
                <w:sz w:val="21"/>
                <w:szCs w:val="21"/>
                <w:color w:val="auto"/>
              </w:rPr>
            </w:pPr>
          </w:p>
        </w:tc>
      </w:tr>
      <w:tr>
        <w:trPr>
          <w:trHeight w:val="162"/>
        </w:trPr>
        <w:tc>
          <w:tcPr>
            <w:tcW w:w="1140" w:type="dxa"/>
            <w:vAlign w:val="bottom"/>
            <w:tcBorders>
              <w:lef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1140" w:type="dxa"/>
            <w:vAlign w:val="bottom"/>
            <w:tcBorders>
              <w:lef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212"/>
        </w:trPr>
        <w:tc>
          <w:tcPr>
            <w:tcW w:w="11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2340" w:type="dxa"/>
            <w:vAlign w:val="bottom"/>
            <w:gridSpan w:val="4"/>
            <w:shd w:val="clear" w:color="auto" w:fill="424E6A"/>
          </w:tcPr>
          <w:p>
            <w:pPr>
              <w:ind w:left="6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SEC Methodology</w:t>
            </w:r>
          </w:p>
        </w:tc>
        <w:tc>
          <w:tcPr>
            <w:tcW w:w="170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7"/>
        </w:trPr>
        <w:tc>
          <w:tcPr>
            <w:tcW w:w="11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2024</w:t>
            </w:r>
          </w:p>
        </w:tc>
        <w:tc>
          <w:tcPr>
            <w:tcW w:w="720" w:type="dxa"/>
            <w:vAlign w:val="bottom"/>
            <w:tcBorders>
              <w:bottom w:val="single" w:sz="8" w:color="424E6A"/>
              <w:right w:val="single" w:sz="8" w:color="424E6A"/>
            </w:tcBorders>
          </w:tcPr>
          <w:p>
            <w:pPr>
              <w:ind w:left="6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​​$3,170,269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​$1,307,729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​$2,825,854</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​​$4,688,394</w:t>
            </w:r>
          </w:p>
        </w:tc>
      </w:tr>
    </w:tbl>
    <w:p>
      <w:pPr>
        <w:spacing w:after="0" w:line="157" w:lineRule="exact"/>
        <w:rPr>
          <w:sz w:val="20"/>
          <w:szCs w:val="20"/>
          <w:color w:val="auto"/>
        </w:rPr>
      </w:pPr>
    </w:p>
    <w:p>
      <w:pPr>
        <w:ind w:left="1620" w:right="539" w:hanging="360"/>
        <w:spacing w:after="0" w:line="210" w:lineRule="auto"/>
        <w:tabs>
          <w:tab w:leader="none" w:pos="16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The CAP total figures were calculated using the same methodology described in footnote (a) to the “PEO — Reconciliation of SCT Total to CAP Total” table shown above.</w:t>
      </w:r>
    </w:p>
    <w:p>
      <w:pPr>
        <w:spacing w:after="0" w:line="114" w:lineRule="exact"/>
        <w:rPr>
          <w:sz w:val="20"/>
          <w:szCs w:val="20"/>
          <w:color w:val="auto"/>
        </w:rPr>
      </w:pPr>
    </w:p>
    <w:p>
      <w:pPr>
        <w:ind w:left="1260" w:right="959" w:firstLine="360"/>
        <w:spacing w:after="0" w:line="287" w:lineRule="auto"/>
        <w:rPr>
          <w:sz w:val="20"/>
          <w:szCs w:val="20"/>
          <w:color w:val="auto"/>
        </w:rPr>
      </w:pPr>
      <w:r>
        <w:rPr>
          <w:rFonts w:ascii="Arial" w:cs="Arial" w:eastAsia="Arial" w:hAnsi="Arial"/>
          <w:sz w:val="18"/>
          <w:szCs w:val="18"/>
          <w:color w:val="auto"/>
        </w:rPr>
        <w:t>The calculation of the fair value of equity for the Non-PEO NEOs for the covered fiscal year is shown in the following table:</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060" w:type="dxa"/>
            <w:vAlign w:val="bottom"/>
            <w:tcBorders>
              <w:left w:val="single" w:sz="8" w:color="424E6A"/>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92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6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94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260" w:type="dxa"/>
            <w:vAlign w:val="bottom"/>
            <w:tcBorders>
              <w:right w:val="single" w:sz="8" w:color="424E6A"/>
            </w:tcBorders>
            <w:shd w:val="clear" w:color="auto" w:fill="424E6A"/>
          </w:tcPr>
          <w:p>
            <w:pPr>
              <w:spacing w:after="0"/>
              <w:rPr>
                <w:sz w:val="21"/>
                <w:szCs w:val="21"/>
                <w:color w:val="auto"/>
              </w:rPr>
            </w:pPr>
          </w:p>
        </w:tc>
      </w:tr>
      <w:tr>
        <w:trPr>
          <w:trHeight w:val="162"/>
        </w:trPr>
        <w:tc>
          <w:tcPr>
            <w:tcW w:w="10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YE Fair</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10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10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10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of DERs</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106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 at</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Paid During</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CAP</w:t>
            </w:r>
          </w:p>
        </w:tc>
      </w:tr>
      <w:tr>
        <w:trPr>
          <w:trHeight w:val="212"/>
        </w:trPr>
        <w:tc>
          <w:tcPr>
            <w:tcW w:w="106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50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1400" w:type="dxa"/>
            <w:vAlign w:val="bottom"/>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the Year</w:t>
            </w:r>
          </w:p>
        </w:tc>
        <w:tc>
          <w:tcPr>
            <w:tcW w:w="1680" w:type="dxa"/>
            <w:vAlign w:val="bottom"/>
            <w:tcBorders>
              <w:right w:val="single" w:sz="8" w:color="424E6A"/>
            </w:tcBorders>
            <w:gridSpan w:val="3"/>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7"/>
        </w:trPr>
        <w:tc>
          <w:tcPr>
            <w:tcW w:w="106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2024</w:t>
            </w:r>
          </w:p>
        </w:tc>
        <w:tc>
          <w:tcPr>
            <w:tcW w:w="110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​$900,645 ​​</w:t>
            </w:r>
          </w:p>
        </w:tc>
        <w:tc>
          <w:tcPr>
            <w:tcW w:w="32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​$1,046,869 ​​</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​$254,409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4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8"/>
                <w:szCs w:val="18"/>
                <w:color w:val="auto"/>
              </w:rPr>
              <w:t>​ ​$623,931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tcPr>
          <w:p>
            <w:pPr>
              <w:jc w:val="center"/>
              <w:ind w:right="124"/>
              <w:spacing w:after="0"/>
              <w:rPr>
                <w:sz w:val="20"/>
                <w:szCs w:val="20"/>
                <w:color w:val="auto"/>
              </w:rPr>
            </w:pPr>
            <w:r>
              <w:rPr>
                <w:rFonts w:ascii="Arial" w:cs="Arial" w:eastAsia="Arial" w:hAnsi="Arial"/>
                <w:sz w:val="18"/>
                <w:szCs w:val="18"/>
                <w:color w:val="auto"/>
              </w:rPr>
              <w:t>​​$2,825,854</w:t>
            </w:r>
          </w:p>
        </w:tc>
      </w:tr>
    </w:tbl>
    <w:p>
      <w:pPr>
        <w:spacing w:after="0" w:line="157" w:lineRule="exact"/>
        <w:rPr>
          <w:sz w:val="20"/>
          <w:szCs w:val="20"/>
          <w:color w:val="auto"/>
        </w:rPr>
      </w:pPr>
    </w:p>
    <w:p>
      <w:pPr>
        <w:ind w:left="1620" w:right="559" w:hanging="360"/>
        <w:spacing w:after="0" w:line="222"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Previously issued equity awards that expired during the covered fiscal year had no fair value at the end of the prior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i w:val="1"/>
          <w:iCs w:val="1"/>
          <w:color w:val="auto"/>
        </w:rPr>
        <w:t>Tabular Disclosure of Most Important Measures Linking Compensation Actually Paid During 2024 to Company Performance</w:t>
      </w:r>
    </w:p>
    <w:p>
      <w:pPr>
        <w:spacing w:after="0" w:line="7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following were the most important financial and non-financial performance measures, as determined by the Company, that link 2024 CAP to the Company’s performance for the most recently completed fiscal year (unranked):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102235</wp:posOffset>
            </wp:positionV>
            <wp:extent cx="4286250" cy="1054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86250" cy="1054735"/>
                    </a:xfrm>
                    <a:prstGeom prst="rect">
                      <a:avLst/>
                    </a:prstGeom>
                    <a:noFill/>
                  </pic:spPr>
                </pic:pic>
              </a:graphicData>
            </a:graphic>
          </wp:anchor>
        </w:drawing>
      </w:r>
    </w:p>
    <w:p>
      <w:pPr>
        <w:spacing w:after="0" w:line="121" w:lineRule="exact"/>
        <w:rPr>
          <w:sz w:val="20"/>
          <w:szCs w:val="20"/>
          <w:color w:val="auto"/>
        </w:rPr>
      </w:pPr>
    </w:p>
    <w:tbl>
      <w:tblPr>
        <w:tblLayout w:type="fixed"/>
        <w:tblInd w:w="1990" w:type="dxa"/>
        <w:tblCellMar>
          <w:top w:w="0" w:type="dxa"/>
          <w:left w:w="0" w:type="dxa"/>
          <w:bottom w:w="0" w:type="dxa"/>
          <w:right w:w="0" w:type="dxa"/>
        </w:tblCellMar>
      </w:tblPr>
      <w:tr>
        <w:trPr>
          <w:trHeight w:val="297"/>
        </w:trPr>
        <w:tc>
          <w:tcPr>
            <w:tcW w:w="10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FFFFFF"/>
              </w:rPr>
              <w:t>​</w:t>
            </w:r>
          </w:p>
        </w:tc>
        <w:tc>
          <w:tcPr>
            <w:tcW w:w="4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FFFFFF"/>
              </w:rPr>
              <w:t>Most Important Performance Measures</w:t>
            </w:r>
          </w:p>
        </w:tc>
        <w:tc>
          <w:tcPr>
            <w:tcW w:w="9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4"/>
                <w:szCs w:val="24"/>
                <w:color w:val="auto"/>
              </w:rPr>
            </w:pPr>
          </w:p>
        </w:tc>
      </w:tr>
      <w:tr>
        <w:trPr>
          <w:trHeight w:val="245"/>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8"/>
              </w:rPr>
              <w:t>Adjusted EBITDA Attributable to PAA</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DCF per CUE</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TSR</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TRIR</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7"/>
              </w:rPr>
              <w:t>FRR</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-864870</wp:posOffset>
            </wp:positionV>
            <wp:extent cx="427736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77360" cy="17145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-521970</wp:posOffset>
            </wp:positionV>
            <wp:extent cx="427736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77360" cy="17145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-179070</wp:posOffset>
            </wp:positionV>
            <wp:extent cx="427736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96" w:lineRule="exact"/>
        <w:rPr>
          <w:sz w:val="20"/>
          <w:szCs w:val="20"/>
          <w:color w:val="auto"/>
        </w:rPr>
      </w:pPr>
    </w:p>
    <w:p>
      <w:pPr>
        <w:ind w:left="1260" w:right="659" w:firstLine="360"/>
        <w:spacing w:after="0" w:line="318" w:lineRule="auto"/>
        <w:rPr>
          <w:sz w:val="20"/>
          <w:szCs w:val="20"/>
          <w:color w:val="auto"/>
        </w:rPr>
      </w:pPr>
      <w:r>
        <w:rPr>
          <w:rFonts w:ascii="Arial" w:cs="Arial" w:eastAsia="Arial" w:hAnsi="Arial"/>
          <w:sz w:val="17"/>
          <w:szCs w:val="17"/>
          <w:color w:val="auto"/>
        </w:rPr>
        <w:t>For further information regarding these performance measures and their function in our executive compensation program, please see “Compensation Discussion and Analysis” beginning on page 26.</w:t>
      </w:r>
    </w:p>
    <w:p>
      <w:pPr>
        <w:spacing w:after="0" w:line="118" w:lineRule="exact"/>
        <w:rPr>
          <w:sz w:val="20"/>
          <w:szCs w:val="20"/>
          <w:color w:val="auto"/>
        </w:rPr>
      </w:pPr>
    </w:p>
    <w:p>
      <w:pPr>
        <w:ind w:left="1260" w:right="979"/>
        <w:spacing w:after="0" w:line="285" w:lineRule="auto"/>
        <w:rPr>
          <w:sz w:val="20"/>
          <w:szCs w:val="20"/>
          <w:color w:val="auto"/>
        </w:rPr>
      </w:pPr>
      <w:r>
        <w:rPr>
          <w:rFonts w:ascii="Arial" w:cs="Arial" w:eastAsia="Arial" w:hAnsi="Arial"/>
          <w:sz w:val="18"/>
          <w:szCs w:val="18"/>
          <w:i w:val="1"/>
          <w:iCs w:val="1"/>
          <w:color w:val="auto"/>
        </w:rPr>
        <w:t>Disclosure of the Relationship Between Compensation Actually Paid and Financial Performance Measures</w:t>
      </w:r>
    </w:p>
    <w:p>
      <w:pPr>
        <w:spacing w:after="0" w:line="87"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color w:val="auto"/>
        </w:rPr>
        <w:t>The graphs below describe the relationship between CAP (as calculated above) and our financial and stock performance for the indicated years. In addition, the first table below compares our cumulative TSR to peer group TSR for the indicated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94615</wp:posOffset>
            </wp:positionV>
            <wp:extent cx="5203190" cy="4243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3190" cy="42437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569595</wp:posOffset>
            </wp:positionV>
            <wp:extent cx="5186045" cy="2168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5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2024 (other than Messrs. Chiang and Pefanis who were not compensated separately for their services as directors and whose executive compensation is set forth in the Summary Compensation Table above):</w:t>
      </w:r>
    </w:p>
    <w:p>
      <w:pPr>
        <w:spacing w:after="0" w:line="144"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3440" w:type="dxa"/>
            <w:vAlign w:val="bottom"/>
            <w:tcBorders>
              <w:left w:val="single" w:sz="8" w:color="424E6A"/>
              <w:right w:val="single" w:sz="8" w:color="424E6A"/>
            </w:tcBorders>
            <w:shd w:val="clear" w:color="auto" w:fill="424E6A"/>
          </w:tcPr>
          <w:p>
            <w:pPr>
              <w:spacing w:after="0"/>
              <w:rPr>
                <w:sz w:val="20"/>
                <w:szCs w:val="20"/>
                <w:color w:val="auto"/>
              </w:rPr>
            </w:pPr>
          </w:p>
        </w:tc>
        <w:tc>
          <w:tcPr>
            <w:tcW w:w="104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rPr>
              <w:t>Fees</w:t>
            </w:r>
          </w:p>
        </w:tc>
        <w:tc>
          <w:tcPr>
            <w:tcW w:w="1120" w:type="dxa"/>
            <w:vAlign w:val="bottom"/>
            <w:tcBorders>
              <w:right w:val="single" w:sz="8" w:color="424E6A"/>
            </w:tcBorders>
            <w:shd w:val="clear" w:color="auto" w:fill="424E6A"/>
          </w:tcPr>
          <w:p>
            <w:pPr>
              <w:spacing w:after="0"/>
              <w:rPr>
                <w:sz w:val="20"/>
                <w:szCs w:val="20"/>
                <w:color w:val="auto"/>
              </w:rPr>
            </w:pPr>
          </w:p>
        </w:tc>
        <w:tc>
          <w:tcPr>
            <w:tcW w:w="1460" w:type="dxa"/>
            <w:vAlign w:val="bottom"/>
            <w:tcBorders>
              <w:right w:val="single" w:sz="8" w:color="424E6A"/>
            </w:tcBorders>
            <w:shd w:val="clear" w:color="auto" w:fill="424E6A"/>
          </w:tcPr>
          <w:p>
            <w:pPr>
              <w:spacing w:after="0"/>
              <w:rPr>
                <w:sz w:val="20"/>
                <w:szCs w:val="20"/>
                <w:color w:val="auto"/>
              </w:rPr>
            </w:pPr>
          </w:p>
        </w:tc>
        <w:tc>
          <w:tcPr>
            <w:tcW w:w="1160" w:type="dxa"/>
            <w:vAlign w:val="bottom"/>
            <w:tcBorders>
              <w:right w:val="single" w:sz="8" w:color="424E6A"/>
            </w:tcBorders>
            <w:shd w:val="clear" w:color="auto" w:fill="424E6A"/>
          </w:tcPr>
          <w:p>
            <w:pPr>
              <w:spacing w:after="0"/>
              <w:rPr>
                <w:sz w:val="20"/>
                <w:szCs w:val="20"/>
                <w:color w:val="auto"/>
              </w:rPr>
            </w:pPr>
          </w:p>
        </w:tc>
      </w:tr>
      <w:tr>
        <w:trPr>
          <w:trHeight w:val="162"/>
        </w:trPr>
        <w:tc>
          <w:tcPr>
            <w:tcW w:w="3440" w:type="dxa"/>
            <w:vAlign w:val="bottom"/>
            <w:tcBorders>
              <w:left w:val="single" w:sz="8" w:color="424E6A"/>
              <w:right w:val="single" w:sz="8" w:color="424E6A"/>
            </w:tcBorders>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jc w:val="center"/>
              <w:ind w:right="96"/>
              <w:spacing w:after="0"/>
              <w:rPr>
                <w:sz w:val="20"/>
                <w:szCs w:val="20"/>
                <w:color w:val="auto"/>
              </w:rPr>
            </w:pPr>
            <w:r>
              <w:rPr>
                <w:rFonts w:ascii="Arial" w:cs="Arial" w:eastAsia="Arial" w:hAnsi="Arial"/>
                <w:sz w:val="14"/>
                <w:szCs w:val="14"/>
                <w:b w:val="1"/>
                <w:bCs w:val="1"/>
                <w:color w:val="FFFFFF"/>
              </w:rPr>
              <w:t>Earned or</w:t>
            </w:r>
          </w:p>
        </w:tc>
        <w:tc>
          <w:tcPr>
            <w:tcW w:w="1120" w:type="dxa"/>
            <w:vAlign w:val="bottom"/>
            <w:tcBorders>
              <w:right w:val="single" w:sz="8" w:color="424E6A"/>
            </w:tcBorders>
            <w:shd w:val="clear" w:color="auto" w:fill="424E6A"/>
          </w:tcPr>
          <w:p>
            <w:pPr>
              <w:spacing w:after="0"/>
              <w:rPr>
                <w:sz w:val="14"/>
                <w:szCs w:val="14"/>
                <w:color w:val="auto"/>
              </w:rPr>
            </w:pPr>
          </w:p>
        </w:tc>
        <w:tc>
          <w:tcPr>
            <w:tcW w:w="1460" w:type="dxa"/>
            <w:vAlign w:val="bottom"/>
            <w:tcBorders>
              <w:right w:val="single" w:sz="8" w:color="424E6A"/>
            </w:tcBorders>
            <w:shd w:val="clear" w:color="auto" w:fill="424E6A"/>
          </w:tcPr>
          <w:p>
            <w:pPr>
              <w:spacing w:after="0"/>
              <w:rPr>
                <w:sz w:val="14"/>
                <w:szCs w:val="14"/>
                <w:color w:val="auto"/>
              </w:rPr>
            </w:pPr>
          </w:p>
        </w:tc>
        <w:tc>
          <w:tcPr>
            <w:tcW w:w="1160" w:type="dxa"/>
            <w:vAlign w:val="bottom"/>
            <w:tcBorders>
              <w:right w:val="single" w:sz="8" w:color="424E6A"/>
            </w:tcBorders>
            <w:shd w:val="clear" w:color="auto" w:fill="424E6A"/>
          </w:tcPr>
          <w:p>
            <w:pPr>
              <w:spacing w:after="0"/>
              <w:rPr>
                <w:sz w:val="14"/>
                <w:szCs w:val="14"/>
                <w:color w:val="auto"/>
              </w:rPr>
            </w:pPr>
          </w:p>
        </w:tc>
      </w:tr>
      <w:tr>
        <w:trPr>
          <w:trHeight w:val="162"/>
        </w:trPr>
        <w:tc>
          <w:tcPr>
            <w:tcW w:w="3440" w:type="dxa"/>
            <w:vAlign w:val="bottom"/>
            <w:tcBorders>
              <w:left w:val="single" w:sz="8" w:color="424E6A"/>
              <w:right w:val="single" w:sz="8" w:color="424E6A"/>
            </w:tcBorders>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jc w:val="center"/>
              <w:ind w:right="96"/>
              <w:spacing w:after="0"/>
              <w:rPr>
                <w:sz w:val="20"/>
                <w:szCs w:val="20"/>
                <w:color w:val="auto"/>
              </w:rPr>
            </w:pPr>
            <w:r>
              <w:rPr>
                <w:rFonts w:ascii="Arial" w:cs="Arial" w:eastAsia="Arial" w:hAnsi="Arial"/>
                <w:sz w:val="14"/>
                <w:szCs w:val="14"/>
                <w:b w:val="1"/>
                <w:bCs w:val="1"/>
                <w:color w:val="FFFFFF"/>
              </w:rPr>
              <w:t>Paid in</w:t>
            </w: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4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160" w:type="dxa"/>
            <w:vAlign w:val="bottom"/>
            <w:tcBorders>
              <w:right w:val="single" w:sz="8" w:color="424E6A"/>
            </w:tcBorders>
            <w:shd w:val="clear" w:color="auto" w:fill="424E6A"/>
          </w:tcPr>
          <w:p>
            <w:pPr>
              <w:spacing w:after="0"/>
              <w:rPr>
                <w:sz w:val="14"/>
                <w:szCs w:val="14"/>
                <w:color w:val="auto"/>
              </w:rPr>
            </w:pPr>
          </w:p>
        </w:tc>
      </w:tr>
      <w:tr>
        <w:trPr>
          <w:trHeight w:val="162"/>
        </w:trPr>
        <w:tc>
          <w:tcPr>
            <w:tcW w:w="3440" w:type="dxa"/>
            <w:vAlign w:val="bottom"/>
            <w:tcBorders>
              <w:left w:val="single" w:sz="8" w:color="424E6A"/>
              <w:right w:val="single" w:sz="8" w:color="424E6A"/>
            </w:tcBorders>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rPr>
              <w:t>Cash</w:t>
            </w: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4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tcBorders>
              <w:right w:val="single" w:sz="8" w:color="424E6A"/>
            </w:tcBorders>
            <w:shd w:val="clear" w:color="auto" w:fill="424E6A"/>
          </w:tcPr>
          <w:p>
            <w:pPr>
              <w:jc w:val="right"/>
              <w:ind w:right="373"/>
              <w:spacing w:after="0"/>
              <w:rPr>
                <w:sz w:val="20"/>
                <w:szCs w:val="20"/>
                <w:color w:val="auto"/>
              </w:rPr>
            </w:pPr>
            <w:r>
              <w:rPr>
                <w:rFonts w:ascii="Arial" w:cs="Arial" w:eastAsia="Arial" w:hAnsi="Arial"/>
                <w:sz w:val="14"/>
                <w:szCs w:val="14"/>
                <w:b w:val="1"/>
                <w:bCs w:val="1"/>
                <w:color w:val="FFFFFF"/>
              </w:rPr>
              <w:t>Total</w:t>
            </w:r>
          </w:p>
        </w:tc>
      </w:tr>
      <w:tr>
        <w:trPr>
          <w:trHeight w:val="212"/>
        </w:trPr>
        <w:tc>
          <w:tcPr>
            <w:tcW w:w="344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040" w:type="dxa"/>
            <w:vAlign w:val="bottom"/>
            <w:tcBorders>
              <w:right w:val="single" w:sz="8" w:color="424E6A"/>
            </w:tcBorders>
            <w:shd w:val="clear" w:color="auto" w:fill="424E6A"/>
          </w:tcPr>
          <w:p>
            <w:pPr>
              <w:jc w:val="center"/>
              <w:ind w:right="56"/>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17"/>
                <w:szCs w:val="17"/>
                <w:b w:val="1"/>
                <w:bCs w:val="1"/>
                <w:color w:val="FFFFFF"/>
                <w:w w:val="83"/>
                <w:vertAlign w:val="superscript"/>
              </w:rPr>
              <w:t>(1)</w:t>
            </w:r>
          </w:p>
        </w:tc>
        <w:tc>
          <w:tcPr>
            <w:tcW w:w="14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424E6A"/>
            </w:tcBorders>
            <w:shd w:val="clear" w:color="auto" w:fill="424E6A"/>
          </w:tcPr>
          <w:p>
            <w:pPr>
              <w:jc w:val="right"/>
              <w:ind w:right="433"/>
              <w:spacing w:after="0"/>
              <w:rPr>
                <w:sz w:val="20"/>
                <w:szCs w:val="20"/>
                <w:color w:val="auto"/>
              </w:rPr>
            </w:pPr>
            <w:r>
              <w:rPr>
                <w:rFonts w:ascii="Arial" w:cs="Arial" w:eastAsia="Arial" w:hAnsi="Arial"/>
                <w:sz w:val="14"/>
                <w:szCs w:val="14"/>
                <w:b w:val="1"/>
                <w:bCs w:val="1"/>
                <w:color w:val="FFFFFF"/>
              </w:rPr>
              <w:t>($)</w:t>
            </w:r>
          </w:p>
        </w:tc>
      </w:tr>
      <w:tr>
        <w:trPr>
          <w:trHeight w:val="243"/>
        </w:trPr>
        <w:tc>
          <w:tcPr>
            <w:tcW w:w="3440" w:type="dxa"/>
            <w:vAlign w:val="bottom"/>
            <w:tcBorders>
              <w:left w:val="single" w:sz="8" w:color="424E6A"/>
              <w:bottom w:val="single" w:sz="8" w:color="424E6A"/>
              <w:right w:val="single" w:sz="8" w:color="424E6A"/>
            </w:tcBorders>
            <w:shd w:val="clear" w:color="auto" w:fill="D9DCE1"/>
          </w:tcPr>
          <w:p>
            <w:pPr>
              <w:ind w:left="60"/>
              <w:spacing w:after="0" w:line="243"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293,750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18,465</w:t>
            </w:r>
          </w:p>
        </w:tc>
        <w:tc>
          <w:tcPr>
            <w:tcW w:w="1160" w:type="dxa"/>
            <w:vAlign w:val="bottom"/>
            <w:tcBorders>
              <w:bottom w:val="single" w:sz="8" w:color="424E6A"/>
              <w:right w:val="single" w:sz="8" w:color="424E6A"/>
            </w:tcBorders>
            <w:shd w:val="clear" w:color="auto" w:fill="D9DCE1"/>
          </w:tcPr>
          <w:p>
            <w:pPr>
              <w:jc w:val="right"/>
              <w:ind w:right="173"/>
              <w:spacing w:after="0"/>
              <w:rPr>
                <w:sz w:val="20"/>
                <w:szCs w:val="20"/>
                <w:color w:val="auto"/>
              </w:rPr>
            </w:pPr>
            <w:r>
              <w:rPr>
                <w:rFonts w:ascii="Arial" w:cs="Arial" w:eastAsia="Arial" w:hAnsi="Arial"/>
                <w:sz w:val="18"/>
                <w:szCs w:val="18"/>
                <w:color w:val="auto"/>
              </w:rPr>
              <w:t>312,215</w:t>
            </w:r>
          </w:p>
        </w:tc>
      </w:tr>
      <w:tr>
        <w:trPr>
          <w:trHeight w:val="234"/>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Victor Burk</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145,000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right"/>
              <w:ind w:right="173"/>
              <w:spacing w:after="0"/>
              <w:rPr>
                <w:sz w:val="20"/>
                <w:szCs w:val="20"/>
                <w:color w:val="auto"/>
              </w:rPr>
            </w:pPr>
            <w:r>
              <w:rPr>
                <w:rFonts w:ascii="Arial" w:cs="Arial" w:eastAsia="Arial" w:hAnsi="Arial"/>
                <w:sz w:val="18"/>
                <w:szCs w:val="18"/>
                <w:color w:val="auto"/>
              </w:rPr>
              <w:t>287,749</w:t>
            </w:r>
          </w:p>
        </w:tc>
      </w:tr>
      <w:tr>
        <w:trPr>
          <w:trHeight w:val="237"/>
        </w:trPr>
        <w:tc>
          <w:tcPr>
            <w:tcW w:w="34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Ellen R. DeSanctis</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130,000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right"/>
              <w:ind w:right="173"/>
              <w:spacing w:after="0"/>
              <w:rPr>
                <w:sz w:val="20"/>
                <w:szCs w:val="20"/>
                <w:color w:val="auto"/>
              </w:rPr>
            </w:pPr>
            <w:r>
              <w:rPr>
                <w:rFonts w:ascii="Arial" w:cs="Arial" w:eastAsia="Arial" w:hAnsi="Arial"/>
                <w:sz w:val="18"/>
                <w:szCs w:val="18"/>
                <w:color w:val="auto"/>
              </w:rPr>
              <w:t>272,749</w:t>
            </w:r>
          </w:p>
        </w:tc>
      </w:tr>
      <w:tr>
        <w:trPr>
          <w:trHeight w:val="237"/>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Kevin S. McCarthy</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115,000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right"/>
              <w:ind w:right="173"/>
              <w:spacing w:after="0"/>
              <w:rPr>
                <w:sz w:val="20"/>
                <w:szCs w:val="20"/>
                <w:color w:val="auto"/>
              </w:rPr>
            </w:pPr>
            <w:r>
              <w:rPr>
                <w:rFonts w:ascii="Arial" w:cs="Arial" w:eastAsia="Arial" w:hAnsi="Arial"/>
                <w:sz w:val="18"/>
                <w:szCs w:val="18"/>
                <w:color w:val="auto"/>
              </w:rPr>
              <w:t>257,749</w:t>
            </w:r>
          </w:p>
        </w:tc>
      </w:tr>
      <w:tr>
        <w:trPr>
          <w:trHeight w:val="236"/>
        </w:trPr>
        <w:tc>
          <w:tcPr>
            <w:tcW w:w="34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Gary R. Petersen</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115,000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right"/>
              <w:ind w:right="173"/>
              <w:spacing w:after="0"/>
              <w:rPr>
                <w:sz w:val="20"/>
                <w:szCs w:val="20"/>
                <w:color w:val="auto"/>
              </w:rPr>
            </w:pPr>
            <w:r>
              <w:rPr>
                <w:rFonts w:ascii="Arial" w:cs="Arial" w:eastAsia="Arial" w:hAnsi="Arial"/>
                <w:sz w:val="18"/>
                <w:szCs w:val="18"/>
                <w:color w:val="auto"/>
              </w:rPr>
              <w:t>257,749</w:t>
            </w:r>
          </w:p>
        </w:tc>
      </w:tr>
      <w:tr>
        <w:trPr>
          <w:trHeight w:val="237"/>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Alexandra D. Pruner</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130,000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right"/>
              <w:ind w:right="173"/>
              <w:spacing w:after="0"/>
              <w:rPr>
                <w:sz w:val="20"/>
                <w:szCs w:val="20"/>
                <w:color w:val="auto"/>
              </w:rPr>
            </w:pPr>
            <w:r>
              <w:rPr>
                <w:rFonts w:ascii="Arial" w:cs="Arial" w:eastAsia="Arial" w:hAnsi="Arial"/>
                <w:sz w:val="18"/>
                <w:szCs w:val="18"/>
                <w:color w:val="auto"/>
              </w:rPr>
              <w:t>272,749</w:t>
            </w:r>
          </w:p>
        </w:tc>
      </w:tr>
      <w:tr>
        <w:trPr>
          <w:trHeight w:val="236"/>
        </w:trPr>
        <w:tc>
          <w:tcPr>
            <w:tcW w:w="34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John T. Raymond</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133,750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right"/>
              <w:ind w:right="173"/>
              <w:spacing w:after="0"/>
              <w:rPr>
                <w:sz w:val="20"/>
                <w:szCs w:val="20"/>
                <w:color w:val="auto"/>
              </w:rPr>
            </w:pPr>
            <w:r>
              <w:rPr>
                <w:rFonts w:ascii="Arial" w:cs="Arial" w:eastAsia="Arial" w:hAnsi="Arial"/>
                <w:sz w:val="18"/>
                <w:szCs w:val="18"/>
                <w:color w:val="auto"/>
              </w:rPr>
              <w:t>276,499</w:t>
            </w:r>
          </w:p>
        </w:tc>
      </w:tr>
      <w:tr>
        <w:trPr>
          <w:trHeight w:val="237"/>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Bobby S. Shackouls</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168,750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right"/>
              <w:ind w:right="173"/>
              <w:spacing w:after="0"/>
              <w:rPr>
                <w:sz w:val="20"/>
                <w:szCs w:val="20"/>
                <w:color w:val="auto"/>
              </w:rPr>
            </w:pPr>
            <w:r>
              <w:rPr>
                <w:rFonts w:ascii="Arial" w:cs="Arial" w:eastAsia="Arial" w:hAnsi="Arial"/>
                <w:sz w:val="18"/>
                <w:szCs w:val="18"/>
                <w:color w:val="auto"/>
              </w:rPr>
              <w:t>311,499</w:t>
            </w:r>
          </w:p>
        </w:tc>
      </w:tr>
      <w:tr>
        <w:trPr>
          <w:trHeight w:val="239"/>
        </w:trPr>
        <w:tc>
          <w:tcPr>
            <w:tcW w:w="3440" w:type="dxa"/>
            <w:vAlign w:val="bottom"/>
            <w:tcBorders>
              <w:left w:val="single" w:sz="8" w:color="424E6A"/>
              <w:bottom w:val="single" w:sz="8" w:color="424E6A"/>
              <w:right w:val="single" w:sz="8" w:color="424E6A"/>
            </w:tcBorders>
            <w:shd w:val="clear" w:color="auto" w:fill="D9DCE1"/>
          </w:tcPr>
          <w:p>
            <w:pPr>
              <w:ind w:left="60"/>
              <w:spacing w:after="0" w:line="239" w:lineRule="exact"/>
              <w:rPr>
                <w:sz w:val="20"/>
                <w:szCs w:val="20"/>
                <w:color w:val="auto"/>
              </w:rPr>
            </w:pPr>
            <w:r>
              <w:rPr>
                <w:rFonts w:ascii="Arial" w:cs="Arial" w:eastAsia="Arial" w:hAnsi="Arial"/>
                <w:sz w:val="18"/>
                <w:szCs w:val="18"/>
                <w:color w:val="auto"/>
              </w:rPr>
              <w:t>Christopher M. Temple</w:t>
            </w:r>
            <w:r>
              <w:rPr>
                <w:rFonts w:ascii="Arial" w:cs="Arial" w:eastAsia="Arial" w:hAnsi="Arial"/>
                <w:sz w:val="23"/>
                <w:szCs w:val="23"/>
                <w:color w:val="auto"/>
                <w:vertAlign w:val="superscript"/>
              </w:rPr>
              <w:t>(3)</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57,500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right"/>
              <w:ind w:right="173"/>
              <w:spacing w:after="0"/>
              <w:rPr>
                <w:sz w:val="20"/>
                <w:szCs w:val="20"/>
                <w:color w:val="auto"/>
              </w:rPr>
            </w:pPr>
            <w:r>
              <w:rPr>
                <w:rFonts w:ascii="Arial" w:cs="Arial" w:eastAsia="Arial" w:hAnsi="Arial"/>
                <w:sz w:val="18"/>
                <w:szCs w:val="18"/>
                <w:color w:val="auto"/>
              </w:rPr>
              <w:t>57,500</w:t>
            </w:r>
          </w:p>
        </w:tc>
      </w:tr>
      <w:tr>
        <w:trPr>
          <w:trHeight w:val="234"/>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Lawrence M. Ziemba</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148,750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142,749</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right"/>
              <w:ind w:right="173"/>
              <w:spacing w:after="0"/>
              <w:rPr>
                <w:sz w:val="20"/>
                <w:szCs w:val="20"/>
                <w:color w:val="auto"/>
              </w:rPr>
            </w:pPr>
            <w:r>
              <w:rPr>
                <w:rFonts w:ascii="Arial" w:cs="Arial" w:eastAsia="Arial" w:hAnsi="Arial"/>
                <w:sz w:val="18"/>
                <w:szCs w:val="18"/>
                <w:color w:val="auto"/>
              </w:rPr>
              <w:t>291,499</w:t>
            </w:r>
          </w:p>
        </w:tc>
      </w:tr>
    </w:tbl>
    <w:p>
      <w:pPr>
        <w:spacing w:after="0" w:line="170" w:lineRule="exact"/>
        <w:rPr>
          <w:sz w:val="20"/>
          <w:szCs w:val="20"/>
          <w:color w:val="auto"/>
        </w:rPr>
      </w:pPr>
    </w:p>
    <w:p>
      <w:pPr>
        <w:ind w:left="1620" w:right="439" w:hanging="360"/>
        <w:spacing w:after="0"/>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The dollar value of long-term incentive awards granted during 2024 is based on the grant date fair value computed in accordance with FASB ASC Topic 718. See Note 17 to our Consolidated Financial Statements included in our 2024 Annual Report for additional discussion regarding the calculation of grant date fair values. In August 2024, each of Messrs. Burk, McCarthy, Petersen, Raymond, Shackouls and Ziemba, Ms. DeSanctis and Ms. Pruner received an annual long-term incentive award for 7,650 PAGP phantom Class A shares. See “— Long-Term Equity Awards” below for further information regarding long-term incentive awards granted to our non-employee directors. The aggregate number of outstanding long-term incentive awards held by our non-employee directors as of December 31, 2024 were as follows:</w:t>
      </w: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180" w:type="dxa"/>
            <w:vAlign w:val="bottom"/>
            <w:tcBorders>
              <w:left w:val="single" w:sz="8" w:color="424E6A"/>
            </w:tcBorders>
            <w:shd w:val="clear" w:color="auto" w:fill="424E6A"/>
          </w:tcPr>
          <w:p>
            <w:pPr>
              <w:spacing w:after="0"/>
              <w:rPr>
                <w:sz w:val="21"/>
                <w:szCs w:val="21"/>
                <w:color w:val="auto"/>
              </w:rPr>
            </w:pPr>
          </w:p>
        </w:tc>
        <w:tc>
          <w:tcPr>
            <w:tcW w:w="2920" w:type="dxa"/>
            <w:vAlign w:val="bottom"/>
            <w:shd w:val="clear" w:color="auto" w:fill="424E6A"/>
          </w:tcPr>
          <w:p>
            <w:pPr>
              <w:spacing w:after="0"/>
              <w:rPr>
                <w:sz w:val="21"/>
                <w:szCs w:val="21"/>
                <w:color w:val="auto"/>
              </w:rPr>
            </w:pPr>
          </w:p>
        </w:tc>
        <w:tc>
          <w:tcPr>
            <w:tcW w:w="214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2260" w:type="dxa"/>
            <w:vAlign w:val="bottom"/>
            <w:gridSpan w:val="4"/>
            <w:shd w:val="clear" w:color="auto" w:fill="424E6A"/>
          </w:tcPr>
          <w:p>
            <w:pPr>
              <w:jc w:val="center"/>
              <w:ind w:right="14"/>
              <w:spacing w:after="0"/>
              <w:rPr>
                <w:sz w:val="20"/>
                <w:szCs w:val="20"/>
                <w:color w:val="auto"/>
              </w:rPr>
            </w:pPr>
            <w:r>
              <w:rPr>
                <w:rFonts w:ascii="Arial" w:cs="Arial" w:eastAsia="Arial" w:hAnsi="Arial"/>
                <w:sz w:val="14"/>
                <w:szCs w:val="14"/>
                <w:b w:val="1"/>
                <w:bCs w:val="1"/>
                <w:color w:val="FFFFFF"/>
              </w:rPr>
              <w:t>Number of LTIP Awards Held</w:t>
            </w:r>
          </w:p>
        </w:tc>
        <w:tc>
          <w:tcPr>
            <w:tcW w:w="240" w:type="dxa"/>
            <w:vAlign w:val="bottom"/>
            <w:tcBorders>
              <w:right w:val="single" w:sz="8" w:color="424E6A"/>
            </w:tcBorders>
            <w:shd w:val="clear" w:color="auto" w:fill="424E6A"/>
          </w:tcPr>
          <w:p>
            <w:pPr>
              <w:spacing w:after="0"/>
              <w:rPr>
                <w:sz w:val="21"/>
                <w:szCs w:val="21"/>
                <w:color w:val="auto"/>
              </w:rPr>
            </w:pPr>
          </w:p>
        </w:tc>
      </w:tr>
      <w:tr>
        <w:trPr>
          <w:trHeight w:val="171"/>
        </w:trPr>
        <w:tc>
          <w:tcPr>
            <w:tcW w:w="18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2920" w:type="dxa"/>
            <w:vAlign w:val="bottom"/>
            <w:shd w:val="clear" w:color="auto" w:fill="424E6A"/>
          </w:tcPr>
          <w:p>
            <w:pPr>
              <w:spacing w:after="0"/>
              <w:rPr>
                <w:sz w:val="14"/>
                <w:szCs w:val="14"/>
                <w:color w:val="auto"/>
              </w:rPr>
            </w:pPr>
          </w:p>
        </w:tc>
        <w:tc>
          <w:tcPr>
            <w:tcW w:w="2260" w:type="dxa"/>
            <w:vAlign w:val="bottom"/>
            <w:gridSpan w:val="2"/>
            <w:shd w:val="clear" w:color="auto" w:fill="424E6A"/>
          </w:tcPr>
          <w:p>
            <w:pPr>
              <w:ind w:left="2020"/>
              <w:spacing w:after="0"/>
              <w:rPr>
                <w:sz w:val="20"/>
                <w:szCs w:val="20"/>
                <w:color w:val="auto"/>
              </w:rPr>
            </w:pPr>
            <w:r>
              <w:rPr>
                <w:rFonts w:ascii="Arial" w:cs="Arial" w:eastAsia="Arial" w:hAnsi="Arial"/>
                <w:sz w:val="14"/>
                <w:szCs w:val="14"/>
                <w:b w:val="1"/>
                <w:bCs w:val="1"/>
                <w:color w:val="FFFFFF"/>
              </w:rPr>
              <w:t>​ ​</w:t>
            </w:r>
          </w:p>
        </w:tc>
        <w:tc>
          <w:tcPr>
            <w:tcW w:w="2260" w:type="dxa"/>
            <w:vAlign w:val="bottom"/>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as of December 31, 2024</w:t>
            </w:r>
          </w:p>
        </w:tc>
        <w:tc>
          <w:tcPr>
            <w:tcW w:w="240" w:type="dxa"/>
            <w:vAlign w:val="bottom"/>
            <w:tcBorders>
              <w:right w:val="single" w:sz="8" w:color="424E6A"/>
            </w:tcBorders>
            <w:shd w:val="clear" w:color="auto" w:fill="424E6A"/>
          </w:tcPr>
          <w:p>
            <w:pPr>
              <w:spacing w:after="0"/>
              <w:rPr>
                <w:sz w:val="20"/>
                <w:szCs w:val="20"/>
                <w:color w:val="auto"/>
              </w:rPr>
            </w:pPr>
            <w:r>
              <w:rPr>
                <w:rFonts w:ascii="Arial" w:cs="Arial" w:eastAsia="Arial" w:hAnsi="Arial"/>
                <w:sz w:val="14"/>
                <w:szCs w:val="14"/>
                <w:b w:val="1"/>
                <w:bCs w:val="1"/>
                <w:color w:val="FFFFFF"/>
              </w:rPr>
              <w:t>​</w:t>
            </w:r>
          </w:p>
        </w:tc>
      </w:tr>
      <w:tr>
        <w:trPr>
          <w:trHeight w:val="160"/>
        </w:trPr>
        <w:tc>
          <w:tcPr>
            <w:tcW w:w="180" w:type="dxa"/>
            <w:vAlign w:val="bottom"/>
            <w:tcBorders>
              <w:top w:val="single" w:sz="8" w:color="424E6A"/>
              <w:left w:val="single" w:sz="8" w:color="424E6A"/>
            </w:tcBorders>
            <w:shd w:val="clear" w:color="auto" w:fill="424E6A"/>
          </w:tcPr>
          <w:p>
            <w:pPr>
              <w:spacing w:after="0"/>
              <w:rPr>
                <w:sz w:val="13"/>
                <w:szCs w:val="13"/>
                <w:color w:val="auto"/>
              </w:rPr>
            </w:pPr>
          </w:p>
        </w:tc>
        <w:tc>
          <w:tcPr>
            <w:tcW w:w="2920" w:type="dxa"/>
            <w:vAlign w:val="bottom"/>
            <w:tcBorders>
              <w:top w:val="single" w:sz="8" w:color="424E6A"/>
            </w:tcBorders>
            <w:shd w:val="clear" w:color="auto" w:fill="424E6A"/>
          </w:tcPr>
          <w:p>
            <w:pPr>
              <w:spacing w:after="0"/>
              <w:rPr>
                <w:sz w:val="13"/>
                <w:szCs w:val="13"/>
                <w:color w:val="auto"/>
              </w:rPr>
            </w:pPr>
          </w:p>
        </w:tc>
        <w:tc>
          <w:tcPr>
            <w:tcW w:w="2140" w:type="dxa"/>
            <w:vAlign w:val="bottom"/>
            <w:tcBorders>
              <w:top w:val="single" w:sz="8" w:color="424E6A"/>
              <w:right w:val="single" w:sz="8" w:color="424E6A"/>
            </w:tcBorders>
            <w:shd w:val="clear" w:color="auto" w:fill="424E6A"/>
          </w:tcPr>
          <w:p>
            <w:pPr>
              <w:spacing w:after="0"/>
              <w:rPr>
                <w:sz w:val="13"/>
                <w:szCs w:val="13"/>
                <w:color w:val="auto"/>
              </w:rPr>
            </w:pPr>
          </w:p>
        </w:tc>
        <w:tc>
          <w:tcPr>
            <w:tcW w:w="120" w:type="dxa"/>
            <w:vAlign w:val="bottom"/>
            <w:tcBorders>
              <w:top w:val="single" w:sz="8" w:color="auto"/>
            </w:tcBorders>
            <w:shd w:val="clear" w:color="auto" w:fill="424E6A"/>
          </w:tcPr>
          <w:p>
            <w:pPr>
              <w:spacing w:after="0"/>
              <w:rPr>
                <w:sz w:val="13"/>
                <w:szCs w:val="13"/>
                <w:color w:val="auto"/>
              </w:rPr>
            </w:pPr>
          </w:p>
        </w:tc>
        <w:tc>
          <w:tcPr>
            <w:tcW w:w="780" w:type="dxa"/>
            <w:vAlign w:val="bottom"/>
            <w:tcBorders>
              <w:top w:val="single" w:sz="8" w:color="auto"/>
            </w:tcBorders>
            <w:shd w:val="clear" w:color="auto" w:fill="424E6A"/>
          </w:tcPr>
          <w:p>
            <w:pPr>
              <w:jc w:val="center"/>
              <w:spacing w:after="0" w:line="160" w:lineRule="exact"/>
              <w:rPr>
                <w:sz w:val="20"/>
                <w:szCs w:val="20"/>
                <w:color w:val="auto"/>
              </w:rPr>
            </w:pPr>
            <w:r>
              <w:rPr>
                <w:rFonts w:ascii="Arial" w:cs="Arial" w:eastAsia="Arial" w:hAnsi="Arial"/>
                <w:sz w:val="14"/>
                <w:szCs w:val="14"/>
                <w:b w:val="1"/>
                <w:bCs w:val="1"/>
                <w:color w:val="FFFFFF"/>
              </w:rPr>
              <w:t>PAGP</w:t>
            </w:r>
          </w:p>
        </w:tc>
        <w:tc>
          <w:tcPr>
            <w:tcW w:w="280" w:type="dxa"/>
            <w:vAlign w:val="bottom"/>
            <w:tcBorders>
              <w:top w:val="single" w:sz="8" w:color="auto"/>
              <w:right w:val="single" w:sz="8" w:color="424E6A"/>
            </w:tcBorders>
            <w:shd w:val="clear" w:color="auto" w:fill="424E6A"/>
          </w:tcPr>
          <w:p>
            <w:pPr>
              <w:spacing w:after="0"/>
              <w:rPr>
                <w:sz w:val="13"/>
                <w:szCs w:val="13"/>
                <w:color w:val="auto"/>
              </w:rPr>
            </w:pPr>
          </w:p>
        </w:tc>
        <w:tc>
          <w:tcPr>
            <w:tcW w:w="280" w:type="dxa"/>
            <w:vAlign w:val="bottom"/>
            <w:tcBorders>
              <w:top w:val="single" w:sz="8" w:color="auto"/>
            </w:tcBorders>
            <w:shd w:val="clear" w:color="auto" w:fill="424E6A"/>
          </w:tcPr>
          <w:p>
            <w:pPr>
              <w:spacing w:after="0"/>
              <w:rPr>
                <w:sz w:val="13"/>
                <w:szCs w:val="13"/>
                <w:color w:val="auto"/>
              </w:rPr>
            </w:pPr>
          </w:p>
        </w:tc>
        <w:tc>
          <w:tcPr>
            <w:tcW w:w="920" w:type="dxa"/>
            <w:vAlign w:val="bottom"/>
            <w:tcBorders>
              <w:top w:val="single" w:sz="8" w:color="auto"/>
            </w:tcBorders>
            <w:shd w:val="clear" w:color="auto" w:fill="424E6A"/>
          </w:tcPr>
          <w:p>
            <w:pPr>
              <w:spacing w:after="0"/>
              <w:rPr>
                <w:sz w:val="13"/>
                <w:szCs w:val="13"/>
                <w:color w:val="auto"/>
              </w:rPr>
            </w:pPr>
          </w:p>
        </w:tc>
        <w:tc>
          <w:tcPr>
            <w:tcW w:w="240" w:type="dxa"/>
            <w:vAlign w:val="bottom"/>
            <w:tcBorders>
              <w:top w:val="single" w:sz="8" w:color="auto"/>
              <w:right w:val="single" w:sz="8" w:color="424E6A"/>
            </w:tcBorders>
            <w:shd w:val="clear" w:color="auto" w:fill="424E6A"/>
          </w:tcPr>
          <w:p>
            <w:pPr>
              <w:spacing w:after="0"/>
              <w:rPr>
                <w:sz w:val="13"/>
                <w:szCs w:val="13"/>
                <w:color w:val="auto"/>
              </w:rPr>
            </w:pPr>
          </w:p>
        </w:tc>
      </w:tr>
      <w:tr>
        <w:trPr>
          <w:trHeight w:val="162"/>
        </w:trPr>
        <w:tc>
          <w:tcPr>
            <w:tcW w:w="180" w:type="dxa"/>
            <w:vAlign w:val="bottom"/>
            <w:tcBorders>
              <w:left w:val="single" w:sz="8" w:color="424E6A"/>
            </w:tcBorders>
            <w:shd w:val="clear" w:color="auto" w:fill="424E6A"/>
          </w:tcPr>
          <w:p>
            <w:pPr>
              <w:spacing w:after="0"/>
              <w:rPr>
                <w:sz w:val="14"/>
                <w:szCs w:val="14"/>
                <w:color w:val="auto"/>
              </w:rPr>
            </w:pPr>
          </w:p>
        </w:tc>
        <w:tc>
          <w:tcPr>
            <w:tcW w:w="2920" w:type="dxa"/>
            <w:vAlign w:val="bottom"/>
            <w:shd w:val="clear" w:color="auto" w:fill="424E6A"/>
          </w:tcPr>
          <w:p>
            <w:pPr>
              <w:spacing w:after="0"/>
              <w:rPr>
                <w:sz w:val="14"/>
                <w:szCs w:val="14"/>
                <w:color w:val="auto"/>
              </w:rPr>
            </w:pPr>
          </w:p>
        </w:tc>
        <w:tc>
          <w:tcPr>
            <w:tcW w:w="2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w:t>
            </w:r>
          </w:p>
        </w:tc>
        <w:tc>
          <w:tcPr>
            <w:tcW w:w="28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r>
      <w:tr>
        <w:trPr>
          <w:trHeight w:val="162"/>
        </w:trPr>
        <w:tc>
          <w:tcPr>
            <w:tcW w:w="180" w:type="dxa"/>
            <w:vAlign w:val="bottom"/>
            <w:tcBorders>
              <w:left w:val="single" w:sz="8" w:color="424E6A"/>
            </w:tcBorders>
            <w:shd w:val="clear" w:color="auto" w:fill="424E6A"/>
          </w:tcPr>
          <w:p>
            <w:pPr>
              <w:spacing w:after="0"/>
              <w:rPr>
                <w:sz w:val="14"/>
                <w:szCs w:val="14"/>
                <w:color w:val="auto"/>
              </w:rPr>
            </w:pPr>
          </w:p>
        </w:tc>
        <w:tc>
          <w:tcPr>
            <w:tcW w:w="2920" w:type="dxa"/>
            <w:vAlign w:val="bottom"/>
            <w:shd w:val="clear" w:color="auto" w:fill="424E6A"/>
          </w:tcPr>
          <w:p>
            <w:pPr>
              <w:spacing w:after="0"/>
              <w:rPr>
                <w:sz w:val="14"/>
                <w:szCs w:val="14"/>
                <w:color w:val="auto"/>
              </w:rPr>
            </w:pPr>
          </w:p>
        </w:tc>
        <w:tc>
          <w:tcPr>
            <w:tcW w:w="2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w:t>
            </w:r>
          </w:p>
        </w:tc>
        <w:tc>
          <w:tcPr>
            <w:tcW w:w="28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920" w:type="dxa"/>
            <w:vAlign w:val="bottom"/>
            <w:shd w:val="clear" w:color="auto" w:fill="424E6A"/>
          </w:tcPr>
          <w:p>
            <w:pPr>
              <w:ind w:left="140"/>
              <w:spacing w:after="0"/>
              <w:rPr>
                <w:sz w:val="20"/>
                <w:szCs w:val="20"/>
                <w:color w:val="auto"/>
              </w:rPr>
            </w:pPr>
            <w:r>
              <w:rPr>
                <w:rFonts w:ascii="Arial" w:cs="Arial" w:eastAsia="Arial" w:hAnsi="Arial"/>
                <w:sz w:val="14"/>
                <w:szCs w:val="14"/>
                <w:b w:val="1"/>
                <w:bCs w:val="1"/>
                <w:color w:val="FFFFFF"/>
              </w:rPr>
              <w:t>Vesting</w:t>
            </w:r>
          </w:p>
        </w:tc>
        <w:tc>
          <w:tcPr>
            <w:tcW w:w="240" w:type="dxa"/>
            <w:vAlign w:val="bottom"/>
            <w:tcBorders>
              <w:right w:val="single" w:sz="8" w:color="424E6A"/>
            </w:tcBorders>
            <w:shd w:val="clear" w:color="auto" w:fill="424E6A"/>
          </w:tcPr>
          <w:p>
            <w:pPr>
              <w:spacing w:after="0"/>
              <w:rPr>
                <w:sz w:val="14"/>
                <w:szCs w:val="14"/>
                <w:color w:val="auto"/>
              </w:rPr>
            </w:pPr>
          </w:p>
        </w:tc>
      </w:tr>
      <w:tr>
        <w:trPr>
          <w:trHeight w:val="185"/>
        </w:trPr>
        <w:tc>
          <w:tcPr>
            <w:tcW w:w="3100" w:type="dxa"/>
            <w:vAlign w:val="bottom"/>
            <w:tcBorders>
              <w:left w:val="single" w:sz="8" w:color="424E6A"/>
            </w:tcBorders>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​Director Name:</w:t>
            </w:r>
          </w:p>
        </w:tc>
        <w:tc>
          <w:tcPr>
            <w:tcW w:w="2260" w:type="dxa"/>
            <w:vAlign w:val="bottom"/>
            <w:gridSpan w:val="2"/>
            <w:shd w:val="clear" w:color="auto" w:fill="424E6A"/>
          </w:tcPr>
          <w:p>
            <w:pPr>
              <w:ind w:left="2060"/>
              <w:spacing w:after="0"/>
              <w:rPr>
                <w:sz w:val="20"/>
                <w:szCs w:val="20"/>
                <w:color w:val="auto"/>
              </w:rPr>
            </w:pPr>
            <w:r>
              <w:rPr>
                <w:rFonts w:ascii="Arial" w:cs="Arial" w:eastAsia="Arial" w:hAnsi="Arial"/>
                <w:sz w:val="14"/>
                <w:szCs w:val="14"/>
                <w:b w:val="1"/>
                <w:bCs w:val="1"/>
                <w:color w:val="FFFFFF"/>
              </w:rPr>
              <w:t>​ ​</w:t>
            </w: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Shares (#)</w:t>
            </w:r>
          </w:p>
        </w:tc>
        <w:tc>
          <w:tcPr>
            <w:tcW w:w="28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24E6A"/>
          </w:tcPr>
          <w:p>
            <w:pPr>
              <w:ind w:left="260"/>
              <w:spacing w:after="0"/>
              <w:rPr>
                <w:sz w:val="20"/>
                <w:szCs w:val="20"/>
                <w:color w:val="auto"/>
              </w:rPr>
            </w:pPr>
            <w:r>
              <w:rPr>
                <w:rFonts w:ascii="Arial" w:cs="Arial" w:eastAsia="Arial" w:hAnsi="Arial"/>
                <w:sz w:val="14"/>
                <w:szCs w:val="14"/>
                <w:b w:val="1"/>
                <w:bCs w:val="1"/>
                <w:color w:val="FFFFFF"/>
              </w:rPr>
              <w:t>Date</w:t>
            </w:r>
          </w:p>
        </w:tc>
        <w:tc>
          <w:tcPr>
            <w:tcW w:w="24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r>
      <w:tr>
        <w:trPr>
          <w:trHeight w:val="216"/>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​Burk</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20" w:type="dxa"/>
            <w:vAlign w:val="bottom"/>
            <w:tcBorders>
              <w:bottom w:val="single" w:sz="8" w:color="424E6A"/>
            </w:tcBorders>
          </w:tcPr>
          <w:p>
            <w:pPr>
              <w:spacing w:after="0"/>
              <w:rPr>
                <w:sz w:val="18"/>
                <w:szCs w:val="18"/>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09"/>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​DeSanctis</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 7,650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10"/>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​McCarthy</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20" w:type="dxa"/>
            <w:vAlign w:val="bottom"/>
            <w:tcBorders>
              <w:bottom w:val="single" w:sz="8" w:color="424E6A"/>
            </w:tcBorders>
          </w:tcPr>
          <w:p>
            <w:pPr>
              <w:spacing w:after="0"/>
              <w:rPr>
                <w:sz w:val="18"/>
                <w:szCs w:val="18"/>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09"/>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​Petersen</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8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20" w:type="dxa"/>
            <w:vAlign w:val="bottom"/>
            <w:tcBorders>
              <w:bottom w:val="single" w:sz="8" w:color="424E6A"/>
            </w:tcBorders>
          </w:tcPr>
          <w:p>
            <w:pPr>
              <w:spacing w:after="0"/>
              <w:rPr>
                <w:sz w:val="18"/>
                <w:szCs w:val="18"/>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09"/>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​Pruner</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20" w:type="dxa"/>
            <w:vAlign w:val="bottom"/>
            <w:tcBorders>
              <w:bottom w:val="single" w:sz="8" w:color="424E6A"/>
            </w:tcBorders>
          </w:tcPr>
          <w:p>
            <w:pPr>
              <w:spacing w:after="0"/>
              <w:rPr>
                <w:sz w:val="18"/>
                <w:szCs w:val="18"/>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23"/>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​Raymond</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20" w:type="dxa"/>
            <w:vAlign w:val="bottom"/>
            <w:tcBorders>
              <w:bottom w:val="single" w:sz="8" w:color="424E6A"/>
            </w:tcBorders>
          </w:tcPr>
          <w:p>
            <w:pPr>
              <w:spacing w:after="0"/>
              <w:rPr>
                <w:sz w:val="19"/>
                <w:szCs w:val="19"/>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23"/>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​Shackouls</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w:t>
            </w:r>
          </w:p>
        </w:tc>
        <w:tc>
          <w:tcPr>
            <w:tcW w:w="2920" w:type="dxa"/>
            <w:vAlign w:val="bottom"/>
            <w:tcBorders>
              <w:bottom w:val="single" w:sz="8" w:color="424E6A"/>
            </w:tcBorders>
          </w:tcPr>
          <w:p>
            <w:pPr>
              <w:spacing w:after="0"/>
              <w:rPr>
                <w:sz w:val="19"/>
                <w:szCs w:val="19"/>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23"/>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​Ziemba</w:t>
            </w: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7,650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20" w:type="dxa"/>
            <w:vAlign w:val="bottom"/>
            <w:tcBorders>
              <w:bottom w:val="single" w:sz="8" w:color="424E6A"/>
            </w:tcBorders>
          </w:tcPr>
          <w:p>
            <w:pPr>
              <w:spacing w:after="0"/>
              <w:rPr>
                <w:sz w:val="19"/>
                <w:szCs w:val="19"/>
                <w:color w:val="auto"/>
              </w:rPr>
            </w:pPr>
          </w:p>
        </w:tc>
        <w:tc>
          <w:tcPr>
            <w:tcW w:w="214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2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​19,550</w:t>
            </w:r>
          </w:p>
        </w:tc>
        <w:tc>
          <w:tcPr>
            <w:tcW w:w="2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bl>
    <w:p>
      <w:pPr>
        <w:spacing w:after="0" w:line="170" w:lineRule="exact"/>
        <w:rPr>
          <w:sz w:val="20"/>
          <w:szCs w:val="20"/>
          <w:color w:val="auto"/>
        </w:rPr>
      </w:pPr>
    </w:p>
    <w:p>
      <w:pPr>
        <w:ind w:left="1620" w:right="479" w:hanging="360"/>
        <w:spacing w:after="0" w:line="247" w:lineRule="auto"/>
        <w:tabs>
          <w:tab w:leader="none" w:pos="1620" w:val="left"/>
        </w:tabs>
        <w:numPr>
          <w:ilvl w:val="0"/>
          <w:numId w:val="71"/>
        </w:numPr>
        <w:rPr>
          <w:rFonts w:ascii="Arial" w:cs="Arial" w:eastAsia="Arial" w:hAnsi="Arial"/>
          <w:sz w:val="26"/>
          <w:szCs w:val="26"/>
          <w:color w:val="auto"/>
          <w:vertAlign w:val="superscript"/>
        </w:rPr>
      </w:pPr>
      <w:r>
        <w:rPr>
          <w:rFonts w:ascii="Arial" w:cs="Arial" w:eastAsia="Arial" w:hAnsi="Arial"/>
          <w:sz w:val="17"/>
          <w:szCs w:val="17"/>
          <w:color w:val="auto"/>
        </w:rPr>
        <w:t>Mr. Armstrong served as Senior Advisor to the CEO during 2024 and received a salary of $293,750 and other compensation of $18,465 (comprising 401(k) plan matching contributions and premium payments for group term life insurance) for his services as an employee and as a director. Pursuant to his employment agreement, which was amended and restated in May 2024, Mr. Armstrong will continue to serve as a director and will also serve as Senior Advisor to the CEO until the date of the 2027 annual meeting and he will receive an annual base salary of $325,000 for these services.</w:t>
      </w: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Mr. Armstrong does not hold any LTIP awards.</w:t>
      </w:r>
    </w:p>
    <w:p>
      <w:pPr>
        <w:spacing w:after="0" w:line="58" w:lineRule="exact"/>
        <w:rPr>
          <w:rFonts w:ascii="Arial" w:cs="Arial" w:eastAsia="Arial" w:hAnsi="Arial"/>
          <w:sz w:val="26"/>
          <w:szCs w:val="26"/>
          <w:color w:val="auto"/>
          <w:vertAlign w:val="superscript"/>
        </w:rPr>
      </w:pPr>
    </w:p>
    <w:p>
      <w:pPr>
        <w:ind w:left="1620" w:right="1499" w:hanging="360"/>
        <w:spacing w:after="0" w:line="210"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Mr. Temple served as a Director until May 2024. Amount in table reflects partial year of compensation.</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Adjustments for Non-Employee Directors</w:t>
      </w:r>
    </w:p>
    <w:p>
      <w:pPr>
        <w:spacing w:after="0" w:line="14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In February 2024, based on updated market data received from Meridian and in order to stay competitive with our peers and remain positioned to attract new directors, the Compensation Committee recommended, and the Board approved, (i) a $5,000 increase in the additional annual retainer paid to committee chairs other than the Audit Committee chair from $15,000 to $20,000, and (ii) a $20,000 increase in the value of annual equity awards for non-employee directors from $125,000 to $145,000.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56" w:lineRule="exact"/>
        <w:rPr>
          <w:sz w:val="20"/>
          <w:szCs w:val="20"/>
          <w:color w:val="auto"/>
        </w:rPr>
      </w:pPr>
    </w:p>
    <w:p>
      <w:pPr>
        <w:ind w:left="1260" w:right="459" w:firstLine="360"/>
        <w:spacing w:after="0" w:line="247" w:lineRule="auto"/>
        <w:rPr>
          <w:sz w:val="20"/>
          <w:szCs w:val="20"/>
          <w:color w:val="auto"/>
        </w:rPr>
      </w:pPr>
      <w:r>
        <w:rPr>
          <w:rFonts w:ascii="Arial" w:cs="Arial" w:eastAsia="Arial" w:hAnsi="Arial"/>
          <w:sz w:val="18"/>
          <w:szCs w:val="18"/>
          <w:color w:val="auto"/>
        </w:rPr>
        <w:t>During 2024, our non-employee directors received an annual retainer fee of $115,000. In addition to their annual retainer, each committee chair (other than the Audit Committee chair) received an additional retainer of $20,000, the Audit Committee chair received an additional retainer of $30,000, each other member of the Audit Committee received an additional retainer of $15,000, and the Lead Director received an additional retainer of $35,000. As a result of the increase in the additional retainer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paid to committee chairs (other than the Audit Committee chair) that was approved in February 2024, the amounts shown in the table above reflect a blended rate for those directors who served as committee chairs during 2024 (other than the Audit Committee chair).</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6"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Our non-employee directors receive annual LTIP awards as part of their compensation. In 2024, such LTIP awards consisted of PAGP phantom Class A shares having a market value on the date of grant equal to approximately $145,000 (based on a volume weighted average price for the 10-trading day period beginning five days before and ending five days after the ex-dividend date immediately preceding the date of grant). The annual LTIP awards granted in 2024 will vest (become payable in PAGP Class A shares on a one-for-one basis) on the August 2025 distribution date and include associated DERs. Outstanding director LTIP awards granted prior to 2022 will vest four years after the date of grant.</w:t>
      </w:r>
    </w:p>
    <w:p>
      <w:pPr>
        <w:spacing w:after="0" w:line="104"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All non-employee director LTIP awards vest in full upon the next following distribution date after the death or disability (as determined in good faith by the Board) of the director. The non-employee director LTIP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5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All American Pipeline, L.P.</w:t>
      </w:r>
    </w:p>
    <w:p>
      <w:pPr>
        <w:spacing w:after="0" w:line="158" w:lineRule="exact"/>
        <w:rPr>
          <w:sz w:val="20"/>
          <w:szCs w:val="20"/>
          <w:color w:val="auto"/>
        </w:rPr>
      </w:pPr>
    </w:p>
    <w:p>
      <w:pPr>
        <w:ind w:left="1260" w:right="480" w:firstLine="360"/>
        <w:spacing w:after="0" w:line="271" w:lineRule="auto"/>
        <w:rPr>
          <w:sz w:val="20"/>
          <w:szCs w:val="20"/>
          <w:color w:val="auto"/>
        </w:rPr>
      </w:pPr>
      <w:r>
        <w:rPr>
          <w:rFonts w:ascii="Arial" w:cs="Arial" w:eastAsia="Arial" w:hAnsi="Arial"/>
          <w:sz w:val="17"/>
          <w:szCs w:val="17"/>
          <w:color w:val="auto"/>
        </w:rPr>
        <w:t>Our common units and Series A preferred units outstanding (collectively, our “Common Unit Equivalents”) represent 100% of our voting securities. Ownership of the non-economic general partner interest is discussed separately below under “— Beneficial Ownership of General Partner Interest.” The following table sets forth certain information regarding the beneficial ownership of our common units and Series A preferred units as of March 24, 2025 (unless otherwise noted) by each person who is known to us to beneficially own more than 5% of our common units, each person who is known to us to own more than 5% of our Series A preferred units, the Named Executive Officers, our directors, and all directors and executive officers as a group. As reflected below, Plains AAP is the record owner of over 30% of our common units; however, it is not entitled to vote such units for the election of directors at our Annual Meeting. See pages 9-11 for additional information regarding our ownership and voting structure.</w:t>
      </w:r>
    </w:p>
    <w:p>
      <w:pPr>
        <w:spacing w:after="0" w:line="188" w:lineRule="exact"/>
        <w:rPr>
          <w:sz w:val="20"/>
          <w:szCs w:val="20"/>
          <w:color w:val="auto"/>
        </w:rPr>
      </w:pPr>
    </w:p>
    <w:tbl>
      <w:tblPr>
        <w:tblLayout w:type="fixed"/>
        <w:tblInd w:w="830" w:type="dxa"/>
        <w:tblCellMar>
          <w:top w:w="0" w:type="dxa"/>
          <w:left w:w="0" w:type="dxa"/>
          <w:bottom w:w="0" w:type="dxa"/>
          <w:right w:w="0" w:type="dxa"/>
        </w:tblCellMar>
      </w:tblPr>
      <w:tr>
        <w:trPr>
          <w:trHeight w:val="234"/>
        </w:trPr>
        <w:tc>
          <w:tcPr>
            <w:tcW w:w="2180" w:type="dxa"/>
            <w:vAlign w:val="bottom"/>
            <w:tcBorders>
              <w:left w:val="single" w:sz="8" w:color="424E6A"/>
              <w:right w:val="single" w:sz="8" w:color="424E6A"/>
            </w:tcBorders>
            <w:shd w:val="clear" w:color="auto" w:fill="424E6A"/>
          </w:tcPr>
          <w:p>
            <w:pPr>
              <w:spacing w:after="0"/>
              <w:rPr>
                <w:sz w:val="20"/>
                <w:szCs w:val="20"/>
                <w:color w:val="auto"/>
              </w:rPr>
            </w:pPr>
          </w:p>
        </w:tc>
        <w:tc>
          <w:tcPr>
            <w:tcW w:w="1700" w:type="dxa"/>
            <w:vAlign w:val="bottom"/>
            <w:tcBorders>
              <w:right w:val="single" w:sz="8" w:color="424E6A"/>
            </w:tcBorders>
            <w:shd w:val="clear" w:color="auto" w:fill="424E6A"/>
          </w:tcPr>
          <w:p>
            <w:pPr>
              <w:spacing w:after="0"/>
              <w:rPr>
                <w:sz w:val="20"/>
                <w:szCs w:val="20"/>
                <w:color w:val="auto"/>
              </w:rPr>
            </w:pPr>
          </w:p>
        </w:tc>
        <w:tc>
          <w:tcPr>
            <w:tcW w:w="1380" w:type="dxa"/>
            <w:vAlign w:val="bottom"/>
            <w:tcBorders>
              <w:right w:val="single" w:sz="8" w:color="424E6A"/>
            </w:tcBorders>
            <w:shd w:val="clear" w:color="auto" w:fill="424E6A"/>
          </w:tcPr>
          <w:p>
            <w:pPr>
              <w:spacing w:after="0"/>
              <w:rPr>
                <w:sz w:val="20"/>
                <w:szCs w:val="20"/>
                <w:color w:val="auto"/>
              </w:rPr>
            </w:pPr>
          </w:p>
        </w:tc>
        <w:tc>
          <w:tcPr>
            <w:tcW w:w="1260" w:type="dxa"/>
            <w:vAlign w:val="bottom"/>
            <w:tcBorders>
              <w:right w:val="single" w:sz="8" w:color="424E6A"/>
            </w:tcBorders>
            <w:shd w:val="clear" w:color="auto" w:fill="424E6A"/>
          </w:tcPr>
          <w:p>
            <w:pPr>
              <w:spacing w:after="0"/>
              <w:rPr>
                <w:sz w:val="20"/>
                <w:szCs w:val="20"/>
                <w:color w:val="auto"/>
              </w:rPr>
            </w:pPr>
          </w:p>
        </w:tc>
        <w:tc>
          <w:tcPr>
            <w:tcW w:w="1260" w:type="dxa"/>
            <w:vAlign w:val="bottom"/>
            <w:tcBorders>
              <w:right w:val="single" w:sz="8" w:color="424E6A"/>
            </w:tcBorders>
            <w:shd w:val="clear" w:color="auto" w:fill="424E6A"/>
          </w:tcPr>
          <w:p>
            <w:pPr>
              <w:spacing w:after="0"/>
              <w:rPr>
                <w:sz w:val="20"/>
                <w:szCs w:val="20"/>
                <w:color w:val="auto"/>
              </w:rPr>
            </w:pPr>
          </w:p>
        </w:tc>
        <w:tc>
          <w:tcPr>
            <w:tcW w:w="13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62"/>
        </w:trPr>
        <w:tc>
          <w:tcPr>
            <w:tcW w:w="2180" w:type="dxa"/>
            <w:vAlign w:val="bottom"/>
            <w:tcBorders>
              <w:left w:val="single" w:sz="8" w:color="424E6A"/>
              <w:right w:val="single" w:sz="8" w:color="424E6A"/>
            </w:tcBorders>
            <w:shd w:val="clear" w:color="auto" w:fill="424E6A"/>
          </w:tcPr>
          <w:p>
            <w:pPr>
              <w:spacing w:after="0"/>
              <w:rPr>
                <w:sz w:val="14"/>
                <w:szCs w:val="14"/>
                <w:color w:val="auto"/>
              </w:rPr>
            </w:pPr>
          </w:p>
        </w:tc>
        <w:tc>
          <w:tcPr>
            <w:tcW w:w="1700" w:type="dxa"/>
            <w:vAlign w:val="bottom"/>
            <w:tcBorders>
              <w:right w:val="single" w:sz="8" w:color="424E6A"/>
            </w:tcBorders>
            <w:shd w:val="clear" w:color="auto" w:fill="424E6A"/>
          </w:tcPr>
          <w:p>
            <w:pPr>
              <w:spacing w:after="0"/>
              <w:rPr>
                <w:sz w:val="14"/>
                <w:szCs w:val="14"/>
                <w:color w:val="auto"/>
              </w:rPr>
            </w:pPr>
          </w:p>
        </w:tc>
        <w:tc>
          <w:tcPr>
            <w:tcW w:w="138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3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62"/>
        </w:trPr>
        <w:tc>
          <w:tcPr>
            <w:tcW w:w="218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Name of Beneficial Owner</w:t>
            </w:r>
          </w:p>
        </w:tc>
        <w:tc>
          <w:tcPr>
            <w:tcW w:w="1700" w:type="dxa"/>
            <w:vAlign w:val="bottom"/>
            <w:tcBorders>
              <w:right w:val="single" w:sz="8" w:color="424E6A"/>
            </w:tcBorders>
            <w:shd w:val="clear" w:color="auto" w:fill="424E6A"/>
          </w:tcPr>
          <w:p>
            <w:pPr>
              <w:spacing w:after="0"/>
              <w:rPr>
                <w:sz w:val="14"/>
                <w:szCs w:val="14"/>
                <w:color w:val="auto"/>
              </w:rPr>
            </w:pPr>
          </w:p>
        </w:tc>
        <w:tc>
          <w:tcPr>
            <w:tcW w:w="1380" w:type="dxa"/>
            <w:vAlign w:val="bottom"/>
            <w:tcBorders>
              <w:right w:val="single" w:sz="8" w:color="424E6A"/>
            </w:tcBorders>
            <w:shd w:val="clear" w:color="auto" w:fill="424E6A"/>
          </w:tcPr>
          <w:p>
            <w:pPr>
              <w:jc w:val="center"/>
              <w:ind w:left="40"/>
              <w:spacing w:after="0"/>
              <w:rPr>
                <w:sz w:val="20"/>
                <w:szCs w:val="20"/>
                <w:color w:val="auto"/>
              </w:rPr>
            </w:pPr>
            <w:r>
              <w:rPr>
                <w:rFonts w:ascii="Arial" w:cs="Arial" w:eastAsia="Arial" w:hAnsi="Arial"/>
                <w:sz w:val="14"/>
                <w:szCs w:val="14"/>
                <w:b w:val="1"/>
                <w:bCs w:val="1"/>
                <w:color w:val="FFFFFF"/>
              </w:rPr>
              <w:t>Percentage</w:t>
            </w:r>
          </w:p>
        </w:tc>
        <w:tc>
          <w:tcPr>
            <w:tcW w:w="1260" w:type="dxa"/>
            <w:vAlign w:val="bottom"/>
            <w:tcBorders>
              <w:right w:val="single" w:sz="8" w:color="424E6A"/>
            </w:tcBorders>
            <w:shd w:val="clear" w:color="auto" w:fill="424E6A"/>
          </w:tcPr>
          <w:p>
            <w:pPr>
              <w:jc w:val="center"/>
              <w:ind w:right="120"/>
              <w:spacing w:after="0"/>
              <w:rPr>
                <w:sz w:val="20"/>
                <w:szCs w:val="20"/>
                <w:color w:val="auto"/>
              </w:rPr>
            </w:pPr>
            <w:r>
              <w:rPr>
                <w:rFonts w:ascii="Arial" w:cs="Arial" w:eastAsia="Arial" w:hAnsi="Arial"/>
                <w:sz w:val="14"/>
                <w:szCs w:val="14"/>
                <w:b w:val="1"/>
                <w:bCs w:val="1"/>
                <w:color w:val="FFFFFF"/>
              </w:rPr>
              <w:t>Series A</w:t>
            </w:r>
          </w:p>
        </w:tc>
        <w:tc>
          <w:tcPr>
            <w:tcW w:w="12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of Series A</w:t>
            </w:r>
          </w:p>
        </w:tc>
        <w:tc>
          <w:tcPr>
            <w:tcW w:w="13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162"/>
        </w:trPr>
        <w:tc>
          <w:tcPr>
            <w:tcW w:w="218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and Address (in the case of</w:t>
            </w:r>
          </w:p>
        </w:tc>
        <w:tc>
          <w:tcPr>
            <w:tcW w:w="1700" w:type="dxa"/>
            <w:vAlign w:val="bottom"/>
            <w:tcBorders>
              <w:right w:val="single" w:sz="8" w:color="424E6A"/>
            </w:tcBorders>
            <w:shd w:val="clear" w:color="auto" w:fill="424E6A"/>
          </w:tcPr>
          <w:p>
            <w:pPr>
              <w:jc w:val="right"/>
              <w:ind w:right="600"/>
              <w:spacing w:after="0"/>
              <w:rPr>
                <w:sz w:val="20"/>
                <w:szCs w:val="20"/>
                <w:color w:val="auto"/>
              </w:rPr>
            </w:pPr>
            <w:r>
              <w:rPr>
                <w:rFonts w:ascii="Arial" w:cs="Arial" w:eastAsia="Arial" w:hAnsi="Arial"/>
                <w:sz w:val="14"/>
                <w:szCs w:val="14"/>
                <w:b w:val="1"/>
                <w:bCs w:val="1"/>
                <w:color w:val="FFFFFF"/>
              </w:rPr>
              <w:t>Common</w:t>
            </w:r>
          </w:p>
        </w:tc>
        <w:tc>
          <w:tcPr>
            <w:tcW w:w="1380" w:type="dxa"/>
            <w:vAlign w:val="bottom"/>
            <w:tcBorders>
              <w:right w:val="single" w:sz="8" w:color="424E6A"/>
            </w:tcBorders>
            <w:shd w:val="clear" w:color="auto" w:fill="424E6A"/>
          </w:tcPr>
          <w:p>
            <w:pPr>
              <w:jc w:val="center"/>
              <w:ind w:left="60"/>
              <w:spacing w:after="0"/>
              <w:rPr>
                <w:sz w:val="20"/>
                <w:szCs w:val="20"/>
                <w:color w:val="auto"/>
              </w:rPr>
            </w:pPr>
            <w:r>
              <w:rPr>
                <w:rFonts w:ascii="Arial" w:cs="Arial" w:eastAsia="Arial" w:hAnsi="Arial"/>
                <w:sz w:val="14"/>
                <w:szCs w:val="14"/>
                <w:b w:val="1"/>
                <w:bCs w:val="1"/>
                <w:color w:val="FFFFFF"/>
              </w:rPr>
              <w:t>of Common</w:t>
            </w:r>
          </w:p>
        </w:tc>
        <w:tc>
          <w:tcPr>
            <w:tcW w:w="1260" w:type="dxa"/>
            <w:vAlign w:val="bottom"/>
            <w:tcBorders>
              <w:right w:val="single" w:sz="8" w:color="424E6A"/>
            </w:tcBorders>
            <w:shd w:val="clear" w:color="auto" w:fill="424E6A"/>
          </w:tcPr>
          <w:p>
            <w:pPr>
              <w:jc w:val="center"/>
              <w:ind w:right="100"/>
              <w:spacing w:after="0"/>
              <w:rPr>
                <w:sz w:val="20"/>
                <w:szCs w:val="20"/>
                <w:color w:val="auto"/>
              </w:rPr>
            </w:pPr>
            <w:r>
              <w:rPr>
                <w:rFonts w:ascii="Arial" w:cs="Arial" w:eastAsia="Arial" w:hAnsi="Arial"/>
                <w:sz w:val="14"/>
                <w:szCs w:val="14"/>
                <w:b w:val="1"/>
                <w:bCs w:val="1"/>
                <w:color w:val="FFFFFF"/>
              </w:rPr>
              <w:t>Preferred</w:t>
            </w:r>
          </w:p>
        </w:tc>
        <w:tc>
          <w:tcPr>
            <w:tcW w:w="12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1300" w:type="dxa"/>
            <w:vAlign w:val="bottom"/>
            <w:tcBorders>
              <w:right w:val="single" w:sz="8" w:color="424E6A"/>
            </w:tcBorders>
            <w:shd w:val="clear" w:color="auto" w:fill="424E6A"/>
          </w:tcPr>
          <w:p>
            <w:pPr>
              <w:jc w:val="center"/>
              <w:ind w:right="21"/>
              <w:spacing w:after="0"/>
              <w:rPr>
                <w:sz w:val="20"/>
                <w:szCs w:val="20"/>
                <w:color w:val="auto"/>
              </w:rPr>
            </w:pPr>
            <w:r>
              <w:rPr>
                <w:rFonts w:ascii="Arial" w:cs="Arial" w:eastAsia="Arial" w:hAnsi="Arial"/>
                <w:sz w:val="14"/>
                <w:szCs w:val="14"/>
                <w:b w:val="1"/>
                <w:bCs w:val="1"/>
                <w:color w:val="FFFFFF"/>
              </w:rPr>
              <w:t>Unit</w:t>
            </w:r>
          </w:p>
        </w:tc>
        <w:tc>
          <w:tcPr>
            <w:tcW w:w="0" w:type="dxa"/>
            <w:vAlign w:val="bottom"/>
          </w:tcPr>
          <w:p>
            <w:pPr>
              <w:spacing w:after="0"/>
              <w:rPr>
                <w:sz w:val="1"/>
                <w:szCs w:val="1"/>
                <w:color w:val="auto"/>
              </w:rPr>
            </w:pPr>
          </w:p>
        </w:tc>
      </w:tr>
      <w:tr>
        <w:trPr>
          <w:trHeight w:val="212"/>
        </w:trPr>
        <w:tc>
          <w:tcPr>
            <w:tcW w:w="218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Owners of more than 5%)</w:t>
            </w:r>
          </w:p>
        </w:tc>
        <w:tc>
          <w:tcPr>
            <w:tcW w:w="1700" w:type="dxa"/>
            <w:vAlign w:val="bottom"/>
            <w:tcBorders>
              <w:right w:val="single" w:sz="8" w:color="424E6A"/>
            </w:tcBorders>
            <w:shd w:val="clear" w:color="auto" w:fill="424E6A"/>
          </w:tcPr>
          <w:p>
            <w:pPr>
              <w:jc w:val="right"/>
              <w:ind w:right="700"/>
              <w:spacing w:after="0"/>
              <w:rPr>
                <w:sz w:val="20"/>
                <w:szCs w:val="20"/>
                <w:color w:val="auto"/>
              </w:rPr>
            </w:pPr>
            <w:r>
              <w:rPr>
                <w:rFonts w:ascii="Arial" w:cs="Arial" w:eastAsia="Arial" w:hAnsi="Arial"/>
                <w:sz w:val="14"/>
                <w:szCs w:val="14"/>
                <w:b w:val="1"/>
                <w:bCs w:val="1"/>
                <w:color w:val="FFFFFF"/>
              </w:rPr>
              <w:t>Units</w:t>
            </w:r>
          </w:p>
        </w:tc>
        <w:tc>
          <w:tcPr>
            <w:tcW w:w="1380" w:type="dxa"/>
            <w:vAlign w:val="bottom"/>
            <w:tcBorders>
              <w:right w:val="single" w:sz="8" w:color="424E6A"/>
            </w:tcBorders>
            <w:shd w:val="clear" w:color="auto" w:fill="424E6A"/>
          </w:tcPr>
          <w:p>
            <w:pPr>
              <w:jc w:val="center"/>
              <w:ind w:left="100"/>
              <w:spacing w:after="0"/>
              <w:rPr>
                <w:sz w:val="20"/>
                <w:szCs w:val="20"/>
                <w:color w:val="auto"/>
              </w:rPr>
            </w:pPr>
            <w:r>
              <w:rPr>
                <w:rFonts w:ascii="Arial" w:cs="Arial" w:eastAsia="Arial" w:hAnsi="Arial"/>
                <w:sz w:val="14"/>
                <w:szCs w:val="14"/>
                <w:b w:val="1"/>
                <w:bCs w:val="1"/>
                <w:color w:val="FFFFFF"/>
              </w:rPr>
              <w:t>Units</w:t>
            </w:r>
          </w:p>
        </w:tc>
        <w:tc>
          <w:tcPr>
            <w:tcW w:w="1260" w:type="dxa"/>
            <w:vAlign w:val="bottom"/>
            <w:tcBorders>
              <w:right w:val="single" w:sz="8" w:color="424E6A"/>
            </w:tcBorders>
            <w:shd w:val="clear" w:color="auto" w:fill="424E6A"/>
          </w:tcPr>
          <w:p>
            <w:pPr>
              <w:jc w:val="center"/>
              <w:ind w:right="80"/>
              <w:spacing w:after="0"/>
              <w:rPr>
                <w:sz w:val="20"/>
                <w:szCs w:val="20"/>
                <w:color w:val="auto"/>
              </w:rPr>
            </w:pPr>
            <w:r>
              <w:rPr>
                <w:rFonts w:ascii="Arial" w:cs="Arial" w:eastAsia="Arial" w:hAnsi="Arial"/>
                <w:sz w:val="14"/>
                <w:szCs w:val="14"/>
                <w:b w:val="1"/>
                <w:bCs w:val="1"/>
                <w:color w:val="FFFFFF"/>
                <w:w w:val="94"/>
              </w:rPr>
              <w:t>Units</w:t>
            </w:r>
            <w:r>
              <w:rPr>
                <w:rFonts w:ascii="Arial" w:cs="Arial" w:eastAsia="Arial" w:hAnsi="Arial"/>
                <w:sz w:val="17"/>
                <w:szCs w:val="17"/>
                <w:b w:val="1"/>
                <w:bCs w:val="1"/>
                <w:color w:val="FFFFFF"/>
                <w:w w:val="94"/>
                <w:vertAlign w:val="superscript"/>
              </w:rPr>
              <w:t>(1)</w:t>
            </w:r>
          </w:p>
        </w:tc>
        <w:tc>
          <w:tcPr>
            <w:tcW w:w="1260" w:type="dxa"/>
            <w:vAlign w:val="bottom"/>
            <w:tcBorders>
              <w:right w:val="single" w:sz="8" w:color="424E6A"/>
            </w:tcBorders>
            <w:shd w:val="clear" w:color="auto" w:fill="424E6A"/>
          </w:tcPr>
          <w:p>
            <w:pPr>
              <w:jc w:val="center"/>
              <w:ind w:left="20"/>
              <w:spacing w:after="0"/>
              <w:rPr>
                <w:sz w:val="20"/>
                <w:szCs w:val="20"/>
                <w:color w:val="auto"/>
              </w:rPr>
            </w:pPr>
            <w:r>
              <w:rPr>
                <w:rFonts w:ascii="Arial" w:cs="Arial" w:eastAsia="Arial" w:hAnsi="Arial"/>
                <w:sz w:val="14"/>
                <w:szCs w:val="14"/>
                <w:b w:val="1"/>
                <w:bCs w:val="1"/>
                <w:color w:val="FFFFFF"/>
              </w:rPr>
              <w:t>Units</w:t>
            </w:r>
          </w:p>
        </w:tc>
        <w:tc>
          <w:tcPr>
            <w:tcW w:w="1300" w:type="dxa"/>
            <w:vAlign w:val="bottom"/>
            <w:tcBorders>
              <w:right w:val="single" w:sz="8" w:color="424E6A"/>
            </w:tcBorders>
            <w:shd w:val="clear" w:color="auto" w:fill="424E6A"/>
          </w:tcPr>
          <w:p>
            <w:pPr>
              <w:jc w:val="center"/>
              <w:ind w:right="1"/>
              <w:spacing w:after="0"/>
              <w:rPr>
                <w:sz w:val="20"/>
                <w:szCs w:val="20"/>
                <w:color w:val="auto"/>
              </w:rPr>
            </w:pPr>
            <w:r>
              <w:rPr>
                <w:rFonts w:ascii="Arial" w:cs="Arial" w:eastAsia="Arial" w:hAnsi="Arial"/>
                <w:sz w:val="14"/>
                <w:szCs w:val="14"/>
                <w:b w:val="1"/>
                <w:bCs w:val="1"/>
                <w:color w:val="FFFFFF"/>
              </w:rPr>
              <w:t>Equivalents**</w:t>
            </w:r>
          </w:p>
        </w:tc>
        <w:tc>
          <w:tcPr>
            <w:tcW w:w="0" w:type="dxa"/>
            <w:vAlign w:val="bottom"/>
          </w:tcPr>
          <w:p>
            <w:pPr>
              <w:spacing w:after="0"/>
              <w:rPr>
                <w:sz w:val="1"/>
                <w:szCs w:val="1"/>
                <w:color w:val="auto"/>
              </w:rPr>
            </w:pPr>
          </w:p>
        </w:tc>
      </w:tr>
      <w:tr>
        <w:trPr>
          <w:trHeight w:val="243"/>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Plains AAP, L.P.</w:t>
            </w:r>
            <w:r>
              <w:rPr>
                <w:rFonts w:ascii="Arial" w:cs="Arial" w:eastAsia="Arial" w:hAnsi="Arial"/>
                <w:sz w:val="19"/>
                <w:szCs w:val="19"/>
                <w:color w:val="auto"/>
                <w:vertAlign w:val="superscript"/>
              </w:rPr>
              <w:t>(2)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232,855,930</w:t>
            </w:r>
          </w:p>
        </w:tc>
        <w:tc>
          <w:tcPr>
            <w:tcW w:w="1380" w:type="dxa"/>
            <w:vAlign w:val="bottom"/>
            <w:tcBorders>
              <w:bottom w:val="single" w:sz="8" w:color="424E6A"/>
              <w:right w:val="single" w:sz="8" w:color="424E6A"/>
            </w:tcBorders>
            <w:shd w:val="clear" w:color="auto" w:fill="D9DCE1"/>
          </w:tcPr>
          <w:p>
            <w:pPr>
              <w:jc w:val="right"/>
              <w:ind w:right="220"/>
              <w:spacing w:after="0"/>
              <w:rPr>
                <w:sz w:val="20"/>
                <w:szCs w:val="20"/>
                <w:color w:val="auto"/>
              </w:rPr>
            </w:pPr>
            <w:r>
              <w:rPr>
                <w:rFonts w:ascii="Arial" w:cs="Arial" w:eastAsia="Arial" w:hAnsi="Arial"/>
                <w:sz w:val="16"/>
                <w:szCs w:val="16"/>
                <w:color w:val="auto"/>
              </w:rPr>
              <w:t>33.1%</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301"/>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ALPS Advisors, Inc.</w:t>
            </w:r>
            <w:r>
              <w:rPr>
                <w:rFonts w:ascii="Arial" w:cs="Arial" w:eastAsia="Arial" w:hAnsi="Arial"/>
                <w:sz w:val="19"/>
                <w:szCs w:val="19"/>
                <w:color w:val="auto"/>
                <w:vertAlign w:val="superscript"/>
              </w:rPr>
              <w:t>(3)</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69,040,345</w:t>
            </w:r>
          </w:p>
        </w:tc>
        <w:tc>
          <w:tcPr>
            <w:tcW w:w="1380" w:type="dxa"/>
            <w:vAlign w:val="bottom"/>
            <w:tcBorders>
              <w:bottom w:val="single" w:sz="8" w:color="424E6A"/>
              <w:right w:val="single" w:sz="8" w:color="424E6A"/>
            </w:tcBorders>
          </w:tcPr>
          <w:p>
            <w:pPr>
              <w:jc w:val="right"/>
              <w:ind w:right="220"/>
              <w:spacing w:after="0"/>
              <w:rPr>
                <w:sz w:val="20"/>
                <w:szCs w:val="20"/>
                <w:color w:val="auto"/>
              </w:rPr>
            </w:pPr>
            <w:r>
              <w:rPr>
                <w:rFonts w:ascii="Arial" w:cs="Arial" w:eastAsia="Arial" w:hAnsi="Arial"/>
                <w:sz w:val="16"/>
                <w:szCs w:val="16"/>
                <w:color w:val="auto"/>
              </w:rPr>
              <w:t>9.8%</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301"/>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9"/>
        </w:trPr>
        <w:tc>
          <w:tcPr>
            <w:tcW w:w="2180" w:type="dxa"/>
            <w:vAlign w:val="bottom"/>
            <w:tcBorders>
              <w:left w:val="single" w:sz="8" w:color="424E6A"/>
              <w:right w:val="single" w:sz="8" w:color="424E6A"/>
            </w:tcBorders>
            <w:shd w:val="clear" w:color="auto" w:fill="D9DCE1"/>
          </w:tcPr>
          <w:p>
            <w:pPr>
              <w:ind w:left="80"/>
              <w:spacing w:after="0" w:line="180" w:lineRule="exact"/>
              <w:rPr>
                <w:sz w:val="20"/>
                <w:szCs w:val="20"/>
                <w:color w:val="auto"/>
              </w:rPr>
            </w:pPr>
            <w:r>
              <w:rPr>
                <w:rFonts w:ascii="Arial" w:cs="Arial" w:eastAsia="Arial" w:hAnsi="Arial"/>
                <w:sz w:val="16"/>
                <w:szCs w:val="16"/>
                <w:color w:val="auto"/>
              </w:rPr>
              <w:t>EMG Fund IV PAA</w:t>
            </w:r>
          </w:p>
        </w:tc>
        <w:tc>
          <w:tcPr>
            <w:tcW w:w="1700" w:type="dxa"/>
            <w:vAlign w:val="bottom"/>
            <w:tcBorders>
              <w:right w:val="single" w:sz="8" w:color="424E6A"/>
            </w:tcBorders>
            <w:shd w:val="clear" w:color="auto" w:fill="D9DCE1"/>
          </w:tcPr>
          <w:p>
            <w:pPr>
              <w:spacing w:after="0"/>
              <w:rPr>
                <w:sz w:val="15"/>
                <w:szCs w:val="15"/>
                <w:color w:val="auto"/>
              </w:rPr>
            </w:pPr>
          </w:p>
        </w:tc>
        <w:tc>
          <w:tcPr>
            <w:tcW w:w="138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424E6A"/>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Holdings, LLC</w:t>
            </w:r>
            <w:r>
              <w:rPr>
                <w:rFonts w:ascii="Arial" w:cs="Arial" w:eastAsia="Arial" w:hAnsi="Arial"/>
                <w:sz w:val="19"/>
                <w:szCs w:val="19"/>
                <w:color w:val="auto"/>
                <w:vertAlign w:val="superscript"/>
              </w:rPr>
              <w:t>(4)</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20,376,259</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34.9%</w:t>
            </w:r>
          </w:p>
        </w:tc>
        <w:tc>
          <w:tcPr>
            <w:tcW w:w="1300" w:type="dxa"/>
            <w:vAlign w:val="bottom"/>
            <w:tcBorders>
              <w:bottom w:val="single" w:sz="8" w:color="424E6A"/>
              <w:right w:val="single" w:sz="8" w:color="424E6A"/>
            </w:tcBorders>
            <w:shd w:val="clear" w:color="auto" w:fill="D9DCE1"/>
          </w:tcPr>
          <w:p>
            <w:pPr>
              <w:jc w:val="right"/>
              <w:ind w:right="30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EnCap Partners LLC</w:t>
            </w:r>
            <w:r>
              <w:rPr>
                <w:rFonts w:ascii="Arial" w:cs="Arial" w:eastAsia="Arial" w:hAnsi="Arial"/>
                <w:sz w:val="19"/>
                <w:szCs w:val="19"/>
                <w:color w:val="auto"/>
                <w:vertAlign w:val="superscript"/>
              </w:rPr>
              <w:t>(5)</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12,678,560</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21.7%</w:t>
            </w:r>
          </w:p>
        </w:tc>
        <w:tc>
          <w:tcPr>
            <w:tcW w:w="1300" w:type="dxa"/>
            <w:vAlign w:val="bottom"/>
            <w:tcBorders>
              <w:bottom w:val="single" w:sz="8" w:color="424E6A"/>
              <w:right w:val="single" w:sz="8" w:color="424E6A"/>
            </w:tcBorders>
          </w:tcPr>
          <w:p>
            <w:pPr>
              <w:jc w:val="right"/>
              <w:ind w:right="30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9"/>
        </w:trPr>
        <w:tc>
          <w:tcPr>
            <w:tcW w:w="2180" w:type="dxa"/>
            <w:vAlign w:val="bottom"/>
            <w:tcBorders>
              <w:left w:val="single" w:sz="8" w:color="424E6A"/>
              <w:right w:val="single" w:sz="8" w:color="424E6A"/>
            </w:tcBorders>
            <w:shd w:val="clear" w:color="auto" w:fill="D9DCE1"/>
          </w:tcPr>
          <w:p>
            <w:pPr>
              <w:ind w:left="80"/>
              <w:spacing w:after="0" w:line="180" w:lineRule="exact"/>
              <w:rPr>
                <w:sz w:val="20"/>
                <w:szCs w:val="20"/>
                <w:color w:val="auto"/>
              </w:rPr>
            </w:pPr>
            <w:r>
              <w:rPr>
                <w:rFonts w:ascii="Arial" w:cs="Arial" w:eastAsia="Arial" w:hAnsi="Arial"/>
                <w:sz w:val="16"/>
                <w:szCs w:val="16"/>
                <w:color w:val="auto"/>
              </w:rPr>
              <w:t>FR XIII PAA Holdings</w:t>
            </w:r>
          </w:p>
        </w:tc>
        <w:tc>
          <w:tcPr>
            <w:tcW w:w="1700" w:type="dxa"/>
            <w:vAlign w:val="bottom"/>
            <w:tcBorders>
              <w:right w:val="single" w:sz="8" w:color="424E6A"/>
            </w:tcBorders>
            <w:shd w:val="clear" w:color="auto" w:fill="D9DCE1"/>
          </w:tcPr>
          <w:p>
            <w:pPr>
              <w:spacing w:after="0"/>
              <w:rPr>
                <w:sz w:val="15"/>
                <w:szCs w:val="15"/>
                <w:color w:val="auto"/>
              </w:rPr>
            </w:pPr>
          </w:p>
        </w:tc>
        <w:tc>
          <w:tcPr>
            <w:tcW w:w="138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424E6A"/>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Holdco LLC</w:t>
            </w:r>
            <w:r>
              <w:rPr>
                <w:rFonts w:ascii="Arial" w:cs="Arial" w:eastAsia="Arial" w:hAnsi="Arial"/>
                <w:sz w:val="19"/>
                <w:szCs w:val="19"/>
                <w:color w:val="auto"/>
                <w:vertAlign w:val="superscript"/>
              </w:rPr>
              <w:t>(6)</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6,410,139</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11.0%</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Stonepeak Partners LLC</w:t>
            </w:r>
            <w:r>
              <w:rPr>
                <w:rFonts w:ascii="Arial" w:cs="Arial" w:eastAsia="Arial" w:hAnsi="Arial"/>
                <w:sz w:val="19"/>
                <w:szCs w:val="19"/>
                <w:color w:val="auto"/>
                <w:vertAlign w:val="superscript"/>
              </w:rPr>
              <w:t>(7)</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6,339,278</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10.8%</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180" w:type="dxa"/>
            <w:vAlign w:val="bottom"/>
            <w:tcBorders>
              <w:left w:val="single" w:sz="8" w:color="424E6A"/>
              <w:right w:val="single" w:sz="8" w:color="424E6A"/>
            </w:tcBorders>
            <w:shd w:val="clear" w:color="auto" w:fill="D9DCE1"/>
          </w:tcPr>
          <w:p>
            <w:pPr>
              <w:ind w:left="80"/>
              <w:spacing w:after="0" w:line="182" w:lineRule="exact"/>
              <w:rPr>
                <w:sz w:val="20"/>
                <w:szCs w:val="20"/>
                <w:color w:val="auto"/>
              </w:rPr>
            </w:pPr>
            <w:r>
              <w:rPr>
                <w:rFonts w:ascii="Arial" w:cs="Arial" w:eastAsia="Arial" w:hAnsi="Arial"/>
                <w:sz w:val="16"/>
                <w:szCs w:val="16"/>
                <w:color w:val="auto"/>
              </w:rPr>
              <w:t>Atlas Point Energy</w:t>
            </w:r>
          </w:p>
        </w:tc>
        <w:tc>
          <w:tcPr>
            <w:tcW w:w="1700" w:type="dxa"/>
            <w:vAlign w:val="bottom"/>
            <w:tcBorders>
              <w:right w:val="single" w:sz="8" w:color="424E6A"/>
            </w:tcBorders>
            <w:shd w:val="clear" w:color="auto" w:fill="D9DCE1"/>
          </w:tcPr>
          <w:p>
            <w:pPr>
              <w:spacing w:after="0"/>
              <w:rPr>
                <w:sz w:val="15"/>
                <w:szCs w:val="15"/>
                <w:color w:val="auto"/>
              </w:rPr>
            </w:pPr>
          </w:p>
        </w:tc>
        <w:tc>
          <w:tcPr>
            <w:tcW w:w="138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80" w:type="dxa"/>
            <w:vAlign w:val="bottom"/>
            <w:tcBorders>
              <w:left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Infrastructure Fund</w:t>
            </w:r>
          </w:p>
        </w:tc>
        <w:tc>
          <w:tcPr>
            <w:tcW w:w="1700" w:type="dxa"/>
            <w:vAlign w:val="bottom"/>
            <w:tcBorders>
              <w:right w:val="single" w:sz="8" w:color="424E6A"/>
            </w:tcBorders>
            <w:shd w:val="clear" w:color="auto" w:fill="D9DCE1"/>
          </w:tcPr>
          <w:p>
            <w:pPr>
              <w:spacing w:after="0"/>
              <w:rPr>
                <w:sz w:val="16"/>
                <w:szCs w:val="16"/>
                <w:color w:val="auto"/>
              </w:rPr>
            </w:pPr>
          </w:p>
        </w:tc>
        <w:tc>
          <w:tcPr>
            <w:tcW w:w="1380" w:type="dxa"/>
            <w:vAlign w:val="bottom"/>
            <w:tcBorders>
              <w:right w:val="single" w:sz="8" w:color="424E6A"/>
            </w:tcBorders>
            <w:shd w:val="clear" w:color="auto" w:fill="D9DCE1"/>
          </w:tcPr>
          <w:p>
            <w:pPr>
              <w:spacing w:after="0"/>
              <w:rPr>
                <w:sz w:val="16"/>
                <w:szCs w:val="16"/>
                <w:color w:val="auto"/>
              </w:rPr>
            </w:pPr>
          </w:p>
        </w:tc>
        <w:tc>
          <w:tcPr>
            <w:tcW w:w="1260" w:type="dxa"/>
            <w:vAlign w:val="bottom"/>
            <w:tcBorders>
              <w:right w:val="single" w:sz="8" w:color="424E6A"/>
            </w:tcBorders>
            <w:shd w:val="clear" w:color="auto" w:fill="D9DCE1"/>
          </w:tcPr>
          <w:p>
            <w:pPr>
              <w:spacing w:after="0"/>
              <w:rPr>
                <w:sz w:val="16"/>
                <w:szCs w:val="16"/>
                <w:color w:val="auto"/>
              </w:rPr>
            </w:pPr>
          </w:p>
        </w:tc>
        <w:tc>
          <w:tcPr>
            <w:tcW w:w="1260" w:type="dxa"/>
            <w:vAlign w:val="bottom"/>
            <w:tcBorders>
              <w:right w:val="single" w:sz="8" w:color="424E6A"/>
            </w:tcBorders>
            <w:shd w:val="clear" w:color="auto" w:fill="D9DCE1"/>
          </w:tcPr>
          <w:p>
            <w:pPr>
              <w:spacing w:after="0"/>
              <w:rPr>
                <w:sz w:val="16"/>
                <w:szCs w:val="16"/>
                <w:color w:val="auto"/>
              </w:rPr>
            </w:pPr>
          </w:p>
        </w:tc>
        <w:tc>
          <w:tcPr>
            <w:tcW w:w="1300" w:type="dxa"/>
            <w:vAlign w:val="bottom"/>
            <w:tcBorders>
              <w:right w:val="single" w:sz="8" w:color="424E6A"/>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424E6A"/>
              <w:bottom w:val="single" w:sz="8" w:color="424E6A"/>
              <w:right w:val="single" w:sz="8" w:color="424E6A"/>
            </w:tcBorders>
            <w:shd w:val="clear" w:color="auto" w:fill="D9DCE1"/>
          </w:tcPr>
          <w:p>
            <w:pPr>
              <w:ind w:left="240"/>
              <w:spacing w:after="0" w:line="232" w:lineRule="exact"/>
              <w:rPr>
                <w:sz w:val="20"/>
                <w:szCs w:val="20"/>
                <w:color w:val="auto"/>
              </w:rPr>
            </w:pPr>
            <w:r>
              <w:rPr>
                <w:rFonts w:ascii="Arial" w:cs="Arial" w:eastAsia="Arial" w:hAnsi="Arial"/>
                <w:sz w:val="26"/>
                <w:szCs w:val="26"/>
                <w:color w:val="auto"/>
                <w:vertAlign w:val="subscript"/>
              </w:rPr>
              <w:t>LLC</w:t>
            </w:r>
            <w:r>
              <w:rPr>
                <w:rFonts w:ascii="Arial" w:cs="Arial" w:eastAsia="Arial" w:hAnsi="Arial"/>
                <w:sz w:val="9"/>
                <w:szCs w:val="9"/>
                <w:color w:val="auto"/>
              </w:rPr>
              <w:t>(8)</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5,380,953</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9.2%</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AP Lethe SPV LP</w:t>
            </w:r>
            <w:r>
              <w:rPr>
                <w:rFonts w:ascii="Arial" w:cs="Arial" w:eastAsia="Arial" w:hAnsi="Arial"/>
                <w:sz w:val="19"/>
                <w:szCs w:val="19"/>
                <w:color w:val="auto"/>
                <w:vertAlign w:val="superscript"/>
              </w:rPr>
              <w:t>(9)</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3,812,538</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6.5%</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Willie Chiang</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260"/>
              <w:spacing w:after="0"/>
              <w:rPr>
                <w:sz w:val="20"/>
                <w:szCs w:val="20"/>
                <w:color w:val="auto"/>
              </w:rPr>
            </w:pPr>
            <w:r>
              <w:rPr>
                <w:rFonts w:ascii="Arial" w:cs="Arial" w:eastAsia="Arial" w:hAnsi="Arial"/>
                <w:sz w:val="16"/>
                <w:szCs w:val="16"/>
                <w:color w:val="auto"/>
              </w:rPr>
              <w:t>846,512</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Harry N. Pefanis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420,194</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Al Swanson</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260"/>
              <w:spacing w:after="0"/>
              <w:rPr>
                <w:sz w:val="20"/>
                <w:szCs w:val="20"/>
                <w:color w:val="auto"/>
              </w:rPr>
            </w:pPr>
            <w:r>
              <w:rPr>
                <w:rFonts w:ascii="Arial" w:cs="Arial" w:eastAsia="Arial" w:hAnsi="Arial"/>
                <w:sz w:val="16"/>
                <w:szCs w:val="16"/>
                <w:color w:val="auto"/>
              </w:rPr>
              <w:t>494,714</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Richard McGee</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260"/>
              <w:spacing w:after="0"/>
              <w:rPr>
                <w:sz w:val="20"/>
                <w:szCs w:val="20"/>
                <w:color w:val="auto"/>
              </w:rPr>
            </w:pPr>
            <w:r>
              <w:rPr>
                <w:rFonts w:ascii="Arial" w:cs="Arial" w:eastAsia="Arial" w:hAnsi="Arial"/>
                <w:sz w:val="16"/>
                <w:szCs w:val="16"/>
                <w:color w:val="auto"/>
              </w:rPr>
              <w:t>499,166</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Chris Chandler</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260"/>
              <w:spacing w:after="0"/>
              <w:rPr>
                <w:sz w:val="20"/>
                <w:szCs w:val="20"/>
                <w:color w:val="auto"/>
              </w:rPr>
            </w:pPr>
            <w:r>
              <w:rPr>
                <w:rFonts w:ascii="Arial" w:cs="Arial" w:eastAsia="Arial" w:hAnsi="Arial"/>
                <w:sz w:val="16"/>
                <w:szCs w:val="16"/>
                <w:color w:val="auto"/>
              </w:rPr>
              <w:t>355,705</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Jeremy Goebel</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260"/>
              <w:spacing w:after="0"/>
              <w:rPr>
                <w:sz w:val="20"/>
                <w:szCs w:val="20"/>
                <w:color w:val="auto"/>
              </w:rPr>
            </w:pPr>
            <w:r>
              <w:rPr>
                <w:rFonts w:ascii="Arial" w:cs="Arial" w:eastAsia="Arial" w:hAnsi="Arial"/>
                <w:sz w:val="16"/>
                <w:szCs w:val="16"/>
                <w:color w:val="auto"/>
              </w:rPr>
              <w:t>380,737</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Greg L. Armstrong</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1,508,418</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Victor Burk</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37,043</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Ellen DeSanctis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Kevin S. McCarthy</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200,000</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Gary R. Petersen</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68,200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Alexandra D. Pruner</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John T. Raymond</w:t>
            </w:r>
            <w:r>
              <w:rPr>
                <w:rFonts w:ascii="Arial" w:cs="Arial" w:eastAsia="Arial" w:hAnsi="Arial"/>
                <w:sz w:val="19"/>
                <w:szCs w:val="19"/>
                <w:color w:val="auto"/>
                <w:vertAlign w:val="superscript"/>
              </w:rPr>
              <w:t>(4)(12)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1,602,616</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20,376,259</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34.9%</w:t>
            </w:r>
          </w:p>
        </w:tc>
        <w:tc>
          <w:tcPr>
            <w:tcW w:w="1300" w:type="dxa"/>
            <w:vAlign w:val="bottom"/>
            <w:tcBorders>
              <w:bottom w:val="single" w:sz="8" w:color="424E6A"/>
              <w:right w:val="single" w:sz="8" w:color="424E6A"/>
            </w:tcBorders>
            <w:shd w:val="clear" w:color="auto" w:fill="D9DCE1"/>
          </w:tcPr>
          <w:p>
            <w:pPr>
              <w:jc w:val="right"/>
              <w:ind w:right="30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Bobby S. Shackouls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35,033</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Lawrence M. Ziemba</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2,346</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180" w:type="dxa"/>
            <w:vAlign w:val="bottom"/>
            <w:tcBorders>
              <w:left w:val="single" w:sz="8" w:color="424E6A"/>
              <w:right w:val="single" w:sz="8" w:color="424E6A"/>
            </w:tcBorders>
          </w:tcPr>
          <w:p>
            <w:pPr>
              <w:ind w:left="80"/>
              <w:spacing w:after="0" w:line="182" w:lineRule="exact"/>
              <w:rPr>
                <w:sz w:val="20"/>
                <w:szCs w:val="20"/>
                <w:color w:val="auto"/>
              </w:rPr>
            </w:pPr>
            <w:r>
              <w:rPr>
                <w:rFonts w:ascii="Arial" w:cs="Arial" w:eastAsia="Arial" w:hAnsi="Arial"/>
                <w:sz w:val="16"/>
                <w:szCs w:val="16"/>
                <w:color w:val="auto"/>
              </w:rPr>
              <w:t>All directors and executive</w:t>
            </w:r>
          </w:p>
        </w:tc>
        <w:tc>
          <w:tcPr>
            <w:tcW w:w="1700" w:type="dxa"/>
            <w:vAlign w:val="bottom"/>
            <w:tcBorders>
              <w:right w:val="single" w:sz="8" w:color="424E6A"/>
            </w:tcBorders>
          </w:tcPr>
          <w:p>
            <w:pPr>
              <w:spacing w:after="0"/>
              <w:rPr>
                <w:sz w:val="15"/>
                <w:szCs w:val="15"/>
                <w:color w:val="auto"/>
              </w:rPr>
            </w:pPr>
          </w:p>
        </w:tc>
        <w:tc>
          <w:tcPr>
            <w:tcW w:w="1380" w:type="dxa"/>
            <w:vAlign w:val="bottom"/>
            <w:tcBorders>
              <w:right w:val="single" w:sz="8" w:color="424E6A"/>
            </w:tcBorders>
          </w:tcPr>
          <w:p>
            <w:pPr>
              <w:spacing w:after="0"/>
              <w:rPr>
                <w:sz w:val="15"/>
                <w:szCs w:val="15"/>
                <w:color w:val="auto"/>
              </w:rPr>
            </w:pPr>
          </w:p>
        </w:tc>
        <w:tc>
          <w:tcPr>
            <w:tcW w:w="1260" w:type="dxa"/>
            <w:vAlign w:val="bottom"/>
            <w:tcBorders>
              <w:right w:val="single" w:sz="8" w:color="424E6A"/>
            </w:tcBorders>
          </w:tcPr>
          <w:p>
            <w:pPr>
              <w:spacing w:after="0"/>
              <w:rPr>
                <w:sz w:val="15"/>
                <w:szCs w:val="15"/>
                <w:color w:val="auto"/>
              </w:rPr>
            </w:pPr>
          </w:p>
        </w:tc>
        <w:tc>
          <w:tcPr>
            <w:tcW w:w="1260" w:type="dxa"/>
            <w:vAlign w:val="bottom"/>
            <w:tcBorders>
              <w:right w:val="single" w:sz="8" w:color="424E6A"/>
            </w:tcBorders>
          </w:tcPr>
          <w:p>
            <w:pPr>
              <w:spacing w:after="0"/>
              <w:rPr>
                <w:sz w:val="15"/>
                <w:szCs w:val="15"/>
                <w:color w:val="auto"/>
              </w:rPr>
            </w:pPr>
          </w:p>
        </w:tc>
        <w:tc>
          <w:tcPr>
            <w:tcW w:w="130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80" w:type="dxa"/>
            <w:vAlign w:val="bottom"/>
            <w:tcBorders>
              <w:left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officers as a group</w:t>
            </w:r>
          </w:p>
        </w:tc>
        <w:tc>
          <w:tcPr>
            <w:tcW w:w="1700" w:type="dxa"/>
            <w:vAlign w:val="bottom"/>
            <w:tcBorders>
              <w:right w:val="single" w:sz="8" w:color="424E6A"/>
            </w:tcBorders>
            <w:vMerge w:val="restart"/>
          </w:tcPr>
          <w:p>
            <w:pPr>
              <w:jc w:val="right"/>
              <w:ind w:right="80"/>
              <w:spacing w:after="0"/>
              <w:rPr>
                <w:sz w:val="20"/>
                <w:szCs w:val="20"/>
                <w:color w:val="auto"/>
              </w:rPr>
            </w:pPr>
            <w:r>
              <w:rPr>
                <w:rFonts w:ascii="Arial" w:cs="Arial" w:eastAsia="Arial" w:hAnsi="Arial"/>
                <w:sz w:val="16"/>
                <w:szCs w:val="16"/>
                <w:color w:val="auto"/>
              </w:rPr>
              <w:t>6,649,245</w:t>
            </w:r>
            <w:r>
              <w:rPr>
                <w:rFonts w:ascii="Arial" w:cs="Arial" w:eastAsia="Arial" w:hAnsi="Arial"/>
                <w:sz w:val="19"/>
                <w:szCs w:val="19"/>
                <w:color w:val="auto"/>
                <w:vertAlign w:val="superscript"/>
              </w:rPr>
              <w:t>(10)(11)</w:t>
            </w:r>
          </w:p>
        </w:tc>
        <w:tc>
          <w:tcPr>
            <w:tcW w:w="1380" w:type="dxa"/>
            <w:vAlign w:val="bottom"/>
            <w:tcBorders>
              <w:right w:val="single" w:sz="8" w:color="424E6A"/>
            </w:tcBorders>
          </w:tcPr>
          <w:p>
            <w:pPr>
              <w:spacing w:after="0"/>
              <w:rPr>
                <w:sz w:val="16"/>
                <w:szCs w:val="16"/>
                <w:color w:val="auto"/>
              </w:rPr>
            </w:pPr>
          </w:p>
        </w:tc>
        <w:tc>
          <w:tcPr>
            <w:tcW w:w="1260" w:type="dxa"/>
            <w:vAlign w:val="bottom"/>
            <w:tcBorders>
              <w:right w:val="single" w:sz="8" w:color="424E6A"/>
            </w:tcBorders>
            <w:vMerge w:val="restart"/>
          </w:tcPr>
          <w:p>
            <w:pPr>
              <w:jc w:val="right"/>
              <w:ind w:right="40"/>
              <w:spacing w:after="0"/>
              <w:rPr>
                <w:sz w:val="20"/>
                <w:szCs w:val="20"/>
                <w:color w:val="auto"/>
              </w:rPr>
            </w:pPr>
            <w:r>
              <w:rPr>
                <w:rFonts w:ascii="Arial" w:cs="Arial" w:eastAsia="Arial" w:hAnsi="Arial"/>
                <w:sz w:val="16"/>
                <w:szCs w:val="16"/>
                <w:color w:val="auto"/>
              </w:rPr>
              <w:t>20,376,259</w:t>
            </w:r>
            <w:r>
              <w:rPr>
                <w:rFonts w:ascii="Arial" w:cs="Arial" w:eastAsia="Arial" w:hAnsi="Arial"/>
                <w:sz w:val="19"/>
                <w:szCs w:val="19"/>
                <w:color w:val="auto"/>
                <w:vertAlign w:val="superscript"/>
              </w:rPr>
              <w:t>(11)</w:t>
            </w:r>
          </w:p>
        </w:tc>
        <w:tc>
          <w:tcPr>
            <w:tcW w:w="1260" w:type="dxa"/>
            <w:vAlign w:val="bottom"/>
            <w:tcBorders>
              <w:right w:val="single" w:sz="8" w:color="424E6A"/>
            </w:tcBorders>
          </w:tcPr>
          <w:p>
            <w:pPr>
              <w:spacing w:after="0"/>
              <w:rPr>
                <w:sz w:val="16"/>
                <w:szCs w:val="16"/>
                <w:color w:val="auto"/>
              </w:rPr>
            </w:pPr>
          </w:p>
        </w:tc>
        <w:tc>
          <w:tcPr>
            <w:tcW w:w="130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180" w:type="dxa"/>
            <w:vAlign w:val="bottom"/>
            <w:tcBorders>
              <w:left w:val="single" w:sz="8" w:color="424E6A"/>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(16 persons)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vMerge w:val="continue"/>
          </w:tcPr>
          <w:p>
            <w:pPr>
              <w:spacing w:after="0"/>
              <w:rPr>
                <w:sz w:val="21"/>
                <w:szCs w:val="21"/>
                <w:color w:val="auto"/>
              </w:rPr>
            </w:pP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vMerge w:val="continue"/>
          </w:tcPr>
          <w:p>
            <w:pPr>
              <w:spacing w:after="0"/>
              <w:rPr>
                <w:sz w:val="21"/>
                <w:szCs w:val="21"/>
                <w:color w:val="auto"/>
              </w:rPr>
            </w:pP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34.9%</w:t>
            </w:r>
          </w:p>
        </w:tc>
        <w:tc>
          <w:tcPr>
            <w:tcW w:w="1300" w:type="dxa"/>
            <w:vAlign w:val="bottom"/>
            <w:tcBorders>
              <w:bottom w:val="single" w:sz="8" w:color="424E6A"/>
              <w:right w:val="single" w:sz="8" w:color="424E6A"/>
            </w:tcBorders>
          </w:tcPr>
          <w:p>
            <w:pPr>
              <w:jc w:val="right"/>
              <w:ind w:right="30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1239" w:hanging="360"/>
        <w:spacing w:after="0" w:line="269"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Common Unit Equivalents include outstanding common units and Series A preferred units combined.</w:t>
      </w:r>
    </w:p>
    <w:p>
      <w:pPr>
        <w:spacing w:after="0" w:line="36" w:lineRule="exact"/>
        <w:rPr>
          <w:sz w:val="20"/>
          <w:szCs w:val="20"/>
          <w:color w:val="auto"/>
        </w:rPr>
      </w:pPr>
    </w:p>
    <w:p>
      <w:pPr>
        <w:ind w:left="1620" w:right="479" w:hanging="360"/>
        <w:spacing w:after="0" w:line="232"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at any time by the holders or by us.</w:t>
      </w:r>
    </w:p>
    <w:p>
      <w:pPr>
        <w:spacing w:after="0" w:line="47" w:lineRule="exact"/>
        <w:rPr>
          <w:rFonts w:ascii="Arial" w:cs="Arial" w:eastAsia="Arial" w:hAnsi="Arial"/>
          <w:sz w:val="27"/>
          <w:szCs w:val="27"/>
          <w:color w:val="auto"/>
          <w:vertAlign w:val="superscript"/>
        </w:rPr>
      </w:pPr>
    </w:p>
    <w:p>
      <w:pPr>
        <w:ind w:left="1620" w:right="499" w:hanging="360"/>
        <w:spacing w:after="0" w:line="233" w:lineRule="auto"/>
        <w:tabs>
          <w:tab w:leader="none" w:pos="1620" w:val="left"/>
        </w:tabs>
        <w:numPr>
          <w:ilvl w:val="0"/>
          <w:numId w:val="74"/>
        </w:numPr>
        <w:rPr>
          <w:rFonts w:ascii="Arial" w:cs="Arial" w:eastAsia="Arial" w:hAnsi="Arial"/>
          <w:sz w:val="26"/>
          <w:szCs w:val="26"/>
          <w:color w:val="auto"/>
          <w:vertAlign w:val="superscript"/>
        </w:rPr>
      </w:pPr>
      <w:r>
        <w:rPr>
          <w:rFonts w:ascii="Arial" w:cs="Arial" w:eastAsia="Arial" w:hAnsi="Arial"/>
          <w:sz w:val="17"/>
          <w:szCs w:val="17"/>
          <w:color w:val="auto"/>
        </w:rPr>
        <w:t>The address for this holder is 333 Clay Street, Suite 1600, Houston, Texas 77002. The number of common units owned by Plains AAP equals the number of outstanding Class A and Class B shares of PAGP (232,855,930). Plains AAP is not entitled to vote these units in the election of directors.</w:t>
      </w:r>
    </w:p>
    <w:p>
      <w:pPr>
        <w:spacing w:after="0" w:line="59" w:lineRule="exact"/>
        <w:rPr>
          <w:rFonts w:ascii="Arial" w:cs="Arial" w:eastAsia="Arial" w:hAnsi="Arial"/>
          <w:sz w:val="26"/>
          <w:szCs w:val="26"/>
          <w:color w:val="auto"/>
          <w:vertAlign w:val="superscript"/>
        </w:rPr>
      </w:pPr>
    </w:p>
    <w:p>
      <w:pPr>
        <w:ind w:left="1620" w:right="439" w:hanging="360"/>
        <w:spacing w:after="0" w:line="222"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2024 as reported in a Schedule 13G filed with the SEC on February 13, 2025. The address of this holder is 1290 Broadway, Suite 1000, Denver, Colorado 80203.</w:t>
      </w:r>
    </w:p>
    <w:p>
      <w:pPr>
        <w:spacing w:after="0" w:line="45" w:lineRule="exact"/>
        <w:rPr>
          <w:rFonts w:ascii="Arial" w:cs="Arial" w:eastAsia="Arial" w:hAnsi="Arial"/>
          <w:sz w:val="27"/>
          <w:szCs w:val="27"/>
          <w:color w:val="auto"/>
          <w:vertAlign w:val="superscript"/>
        </w:rPr>
      </w:pPr>
    </w:p>
    <w:p>
      <w:pPr>
        <w:ind w:left="1620" w:right="599" w:hanging="360"/>
        <w:spacing w:after="0" w:line="235"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46" w:lineRule="exact"/>
        <w:rPr>
          <w:rFonts w:ascii="Arial" w:cs="Arial" w:eastAsia="Arial" w:hAnsi="Arial"/>
          <w:sz w:val="27"/>
          <w:szCs w:val="27"/>
          <w:color w:val="auto"/>
          <w:vertAlign w:val="superscript"/>
        </w:rPr>
      </w:pPr>
    </w:p>
    <w:p>
      <w:pPr>
        <w:ind w:left="1620" w:right="419" w:hanging="360"/>
        <w:spacing w:after="0" w:line="210"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EnCap Partners, LLC, whose address is 9651 Katy Freeway, 6th Floor, Houston, Texas 77024.</w:t>
      </w:r>
    </w:p>
    <w:p>
      <w:pPr>
        <w:spacing w:after="0" w:line="2" w:lineRule="exact"/>
        <w:rPr>
          <w:rFonts w:ascii="Arial" w:cs="Arial" w:eastAsia="Arial" w:hAnsi="Arial"/>
          <w:sz w:val="27"/>
          <w:szCs w:val="27"/>
          <w:color w:val="auto"/>
          <w:vertAlign w:val="superscript"/>
        </w:rPr>
      </w:pPr>
    </w:p>
    <w:p>
      <w:pPr>
        <w:ind w:left="1620" w:hanging="360"/>
        <w:spacing w:after="0" w:line="229"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600 Travis, Suite 6000, Houston, Texas 77002.</w:t>
      </w:r>
    </w:p>
    <w:p>
      <w:pPr>
        <w:spacing w:after="0" w:line="76" w:lineRule="exact"/>
        <w:rPr>
          <w:rFonts w:ascii="Arial" w:cs="Arial" w:eastAsia="Arial" w:hAnsi="Arial"/>
          <w:sz w:val="27"/>
          <w:szCs w:val="27"/>
          <w:color w:val="auto"/>
          <w:vertAlign w:val="superscript"/>
        </w:rPr>
      </w:pPr>
    </w:p>
    <w:p>
      <w:pPr>
        <w:ind w:left="1620" w:right="839" w:hanging="360"/>
        <w:spacing w:after="0" w:line="202"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Stonepeak Partners LLC, whose address is 550 W. 34th Street, 48th Floor, New York, New York 10001.</w:t>
      </w:r>
    </w:p>
    <w:p>
      <w:pPr>
        <w:spacing w:after="0" w:line="25" w:lineRule="exact"/>
        <w:rPr>
          <w:rFonts w:ascii="Arial" w:cs="Arial" w:eastAsia="Arial" w:hAnsi="Arial"/>
          <w:sz w:val="27"/>
          <w:szCs w:val="27"/>
          <w:color w:val="auto"/>
          <w:vertAlign w:val="superscript"/>
        </w:rPr>
      </w:pPr>
    </w:p>
    <w:p>
      <w:pPr>
        <w:ind w:left="1620" w:hanging="360"/>
        <w:spacing w:after="0"/>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3290 Northside Parkway,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Atlanta, GA 30327.</w:t>
      </w:r>
    </w:p>
    <w:p>
      <w:pPr>
        <w:spacing w:after="0" w:line="38" w:lineRule="exact"/>
        <w:rPr>
          <w:rFonts w:ascii="Arial" w:cs="Arial" w:eastAsia="Arial" w:hAnsi="Arial"/>
          <w:sz w:val="27"/>
          <w:szCs w:val="27"/>
          <w:color w:val="auto"/>
          <w:vertAlign w:val="superscript"/>
        </w:rPr>
      </w:pPr>
    </w:p>
    <w:p>
      <w:pPr>
        <w:ind w:left="1620" w:hanging="360"/>
        <w:spacing w:after="0" w:line="229"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9 West 57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New York, NY 10019.</w:t>
      </w:r>
    </w:p>
    <w:p>
      <w:pPr>
        <w:ind w:left="1620" w:right="999" w:hanging="360"/>
        <w:spacing w:after="0" w:line="202"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units granted under our Long-Term Incentive Plans. See “Executive Compensation  —  Outstanding Equity Awards at Fiscal Year-End”.</w:t>
      </w:r>
    </w:p>
    <w:p>
      <w:pPr>
        <w:spacing w:after="0" w:line="45" w:lineRule="exact"/>
        <w:rPr>
          <w:rFonts w:ascii="Arial" w:cs="Arial" w:eastAsia="Arial" w:hAnsi="Arial"/>
          <w:sz w:val="27"/>
          <w:szCs w:val="27"/>
          <w:color w:val="auto"/>
          <w:vertAlign w:val="superscript"/>
        </w:rPr>
      </w:pPr>
    </w:p>
    <w:p>
      <w:pPr>
        <w:ind w:left="1620" w:right="499" w:hanging="360"/>
        <w:spacing w:after="0" w:line="210"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units were pledged by directors or Named Executive Officers as of March 24, 2025.</w:t>
      </w:r>
    </w:p>
    <w:p>
      <w:pPr>
        <w:spacing w:after="0" w:line="60" w:lineRule="exact"/>
        <w:rPr>
          <w:rFonts w:ascii="Arial" w:cs="Arial" w:eastAsia="Arial" w:hAnsi="Arial"/>
          <w:sz w:val="27"/>
          <w:szCs w:val="27"/>
          <w:color w:val="auto"/>
          <w:vertAlign w:val="superscript"/>
        </w:rPr>
      </w:pPr>
    </w:p>
    <w:p>
      <w:pPr>
        <w:ind w:left="1620" w:right="479" w:hanging="360"/>
        <w:spacing w:after="0" w:line="235"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In addition to owning the common units or Series A preferred units as shown in the table above, certain of our Named Executive Officers and directors also own PAGP Class A shares or PAGP Class B shares and are entitled to vote those shares in the election of directors at the PAGP Annual Meeting. Information regarding the beneficial ownership of PAGP and PAA voting securities (exclusive of unvested equity awards) by our Named Executive Officers, directors and all director and executive officers as a group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340" w:type="dxa"/>
            <w:vAlign w:val="bottom"/>
            <w:tcBorders>
              <w:left w:val="single" w:sz="8" w:color="424E6A"/>
            </w:tcBorders>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84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260" w:type="dxa"/>
            <w:vAlign w:val="bottom"/>
            <w:shd w:val="clear" w:color="auto" w:fill="424E6A"/>
          </w:tcPr>
          <w:p>
            <w:pPr>
              <w:spacing w:after="0"/>
              <w:rPr>
                <w:sz w:val="21"/>
                <w:szCs w:val="21"/>
                <w:color w:val="auto"/>
              </w:rPr>
            </w:pPr>
          </w:p>
        </w:tc>
        <w:tc>
          <w:tcPr>
            <w:tcW w:w="880" w:type="dxa"/>
            <w:vAlign w:val="bottom"/>
            <w:tcBorders>
              <w:right w:val="single" w:sz="8" w:color="424E6A"/>
            </w:tcBorders>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Total</w:t>
            </w:r>
          </w:p>
        </w:tc>
        <w:tc>
          <w:tcPr>
            <w:tcW w:w="300" w:type="dxa"/>
            <w:vAlign w:val="bottom"/>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180" w:type="dxa"/>
            <w:vAlign w:val="bottom"/>
            <w:tcBorders>
              <w:right w:val="single" w:sz="8" w:color="424E6A"/>
            </w:tcBorders>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4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w w:val="95"/>
              </w:rPr>
              <w:t>PAGP</w:t>
            </w:r>
          </w:p>
        </w:tc>
        <w:tc>
          <w:tcPr>
            <w:tcW w:w="30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148"/>
              <w:spacing w:after="0"/>
              <w:rPr>
                <w:sz w:val="20"/>
                <w:szCs w:val="20"/>
                <w:color w:val="auto"/>
              </w:rPr>
            </w:pPr>
            <w:r>
              <w:rPr>
                <w:rFonts w:ascii="Arial" w:cs="Arial" w:eastAsia="Arial" w:hAnsi="Arial"/>
                <w:sz w:val="14"/>
                <w:szCs w:val="14"/>
                <w:b w:val="1"/>
                <w:bCs w:val="1"/>
                <w:color w:val="FFFFFF"/>
              </w:rPr>
              <w:t>Total</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69"/>
              <w:spacing w:after="0"/>
              <w:rPr>
                <w:sz w:val="20"/>
                <w:szCs w:val="20"/>
                <w:color w:val="auto"/>
              </w:rPr>
            </w:pPr>
            <w:r>
              <w:rPr>
                <w:rFonts w:ascii="Arial" w:cs="Arial" w:eastAsia="Arial" w:hAnsi="Arial"/>
                <w:sz w:val="14"/>
                <w:szCs w:val="14"/>
                <w:b w:val="1"/>
                <w:bCs w:val="1"/>
                <w:color w:val="FFFFFF"/>
              </w:rPr>
              <w:t>Percentage</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ind w:left="240"/>
              <w:spacing w:after="0"/>
              <w:rPr>
                <w:sz w:val="20"/>
                <w:szCs w:val="20"/>
                <w:color w:val="auto"/>
              </w:rPr>
            </w:pPr>
            <w:r>
              <w:rPr>
                <w:rFonts w:ascii="Arial" w:cs="Arial" w:eastAsia="Arial" w:hAnsi="Arial"/>
                <w:sz w:val="14"/>
                <w:szCs w:val="14"/>
                <w:b w:val="1"/>
                <w:bCs w:val="1"/>
                <w:color w:val="FFFFFF"/>
              </w:rPr>
              <w:t>Total PAA</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rPr>
              <w:t>Class A</w:t>
            </w:r>
          </w:p>
        </w:tc>
        <w:tc>
          <w:tcPr>
            <w:tcW w:w="940" w:type="dxa"/>
            <w:vAlign w:val="bottom"/>
            <w:gridSpan w:val="2"/>
            <w:shd w:val="clear" w:color="auto" w:fill="424E6A"/>
          </w:tcPr>
          <w:p>
            <w:pPr>
              <w:ind w:left="200"/>
              <w:spacing w:after="0"/>
              <w:rPr>
                <w:sz w:val="20"/>
                <w:szCs w:val="20"/>
                <w:color w:val="auto"/>
              </w:rPr>
            </w:pPr>
            <w:r>
              <w:rPr>
                <w:rFonts w:ascii="Arial" w:cs="Arial" w:eastAsia="Arial" w:hAnsi="Arial"/>
                <w:sz w:val="14"/>
                <w:szCs w:val="14"/>
                <w:b w:val="1"/>
                <w:bCs w:val="1"/>
                <w:color w:val="FFFFFF"/>
              </w:rPr>
              <w:t>Combined</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69"/>
              <w:spacing w:after="0"/>
              <w:rPr>
                <w:sz w:val="20"/>
                <w:szCs w:val="20"/>
                <w:color w:val="auto"/>
              </w:rPr>
            </w:pPr>
            <w:r>
              <w:rPr>
                <w:rFonts w:ascii="Arial" w:cs="Arial" w:eastAsia="Arial" w:hAnsi="Arial"/>
                <w:sz w:val="14"/>
                <w:szCs w:val="14"/>
                <w:b w:val="1"/>
                <w:bCs w:val="1"/>
                <w:color w:val="FFFFFF"/>
              </w:rPr>
              <w:t>of</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Common and</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PAGP</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rPr>
              <w:t>PAGP</w:t>
            </w: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and</w:t>
            </w:r>
          </w:p>
        </w:tc>
        <w:tc>
          <w:tcPr>
            <w:tcW w:w="30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88"/>
              <w:spacing w:after="0"/>
              <w:rPr>
                <w:sz w:val="20"/>
                <w:szCs w:val="20"/>
                <w:color w:val="auto"/>
              </w:rPr>
            </w:pPr>
            <w:r>
              <w:rPr>
                <w:rFonts w:ascii="Arial" w:cs="Arial" w:eastAsia="Arial" w:hAnsi="Arial"/>
                <w:sz w:val="14"/>
                <w:szCs w:val="14"/>
                <w:b w:val="1"/>
                <w:bCs w:val="1"/>
                <w:color w:val="FFFFFF"/>
              </w:rPr>
              <w:t>PAA/​</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89"/>
              <w:spacing w:after="0"/>
              <w:rPr>
                <w:sz w:val="20"/>
                <w:szCs w:val="20"/>
                <w:color w:val="auto"/>
              </w:rPr>
            </w:pPr>
            <w:r>
              <w:rPr>
                <w:rFonts w:ascii="Arial" w:cs="Arial" w:eastAsia="Arial" w:hAnsi="Arial"/>
                <w:sz w:val="14"/>
                <w:szCs w:val="14"/>
                <w:b w:val="1"/>
                <w:bCs w:val="1"/>
                <w:color w:val="FFFFFF"/>
              </w:rPr>
              <w:t>Overall</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40" w:type="dxa"/>
            <w:vAlign w:val="bottom"/>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rPr>
              <w:t>Series A</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Class A</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rPr>
              <w:t>Class B</w:t>
            </w: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Class B</w:t>
            </w:r>
          </w:p>
        </w:tc>
        <w:tc>
          <w:tcPr>
            <w:tcW w:w="30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108"/>
              <w:spacing w:after="0"/>
              <w:rPr>
                <w:sz w:val="20"/>
                <w:szCs w:val="20"/>
                <w:color w:val="auto"/>
              </w:rPr>
            </w:pPr>
            <w:r>
              <w:rPr>
                <w:rFonts w:ascii="Arial" w:cs="Arial" w:eastAsia="Arial" w:hAnsi="Arial"/>
                <w:sz w:val="14"/>
                <w:szCs w:val="14"/>
                <w:b w:val="1"/>
                <w:bCs w:val="1"/>
                <w:color w:val="FFFFFF"/>
              </w:rPr>
              <w:t>PAGP</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89"/>
              <w:spacing w:after="0"/>
              <w:rPr>
                <w:sz w:val="20"/>
                <w:szCs w:val="20"/>
                <w:color w:val="auto"/>
              </w:rPr>
            </w:pPr>
            <w:r>
              <w:rPr>
                <w:rFonts w:ascii="Arial" w:cs="Arial" w:eastAsia="Arial" w:hAnsi="Arial"/>
                <w:sz w:val="14"/>
                <w:szCs w:val="14"/>
                <w:b w:val="1"/>
                <w:bCs w:val="1"/>
                <w:color w:val="FFFFFF"/>
              </w:rPr>
              <w:t>Voting</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20" w:type="dxa"/>
            <w:vAlign w:val="bottom"/>
            <w:tcBorders>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11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 Units</w:t>
            </w:r>
          </w:p>
        </w:tc>
        <w:tc>
          <w:tcPr>
            <w:tcW w:w="200" w:type="dxa"/>
            <w:vAlign w:val="bottom"/>
            <w:tcBorders>
              <w:right w:val="single" w:sz="8" w:color="424E6A"/>
            </w:tcBorders>
            <w:shd w:val="clear" w:color="auto" w:fill="424E6A"/>
          </w:tcPr>
          <w:p>
            <w:pPr>
              <w:jc w:val="right"/>
              <w:ind w:right="8"/>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Shares</w:t>
            </w:r>
          </w:p>
        </w:tc>
        <w:tc>
          <w:tcPr>
            <w:tcW w:w="160" w:type="dxa"/>
            <w:vAlign w:val="bottom"/>
            <w:tcBorders>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424E6A"/>
          </w:tcPr>
          <w:p>
            <w:pPr>
              <w:spacing w:after="0"/>
              <w:rPr>
                <w:sz w:val="18"/>
                <w:szCs w:val="18"/>
                <w:color w:val="auto"/>
              </w:rPr>
            </w:pPr>
          </w:p>
        </w:tc>
        <w:tc>
          <w:tcPr>
            <w:tcW w:w="880" w:type="dxa"/>
            <w:vAlign w:val="bottom"/>
            <w:tcBorders>
              <w:right w:val="single" w:sz="8" w:color="424E6A"/>
            </w:tcBorders>
            <w:shd w:val="clear" w:color="auto" w:fill="424E6A"/>
          </w:tcPr>
          <w:p>
            <w:pPr>
              <w:jc w:val="center"/>
              <w:ind w:right="208"/>
              <w:spacing w:after="0"/>
              <w:rPr>
                <w:sz w:val="20"/>
                <w:szCs w:val="20"/>
                <w:color w:val="auto"/>
              </w:rPr>
            </w:pPr>
            <w:r>
              <w:rPr>
                <w:rFonts w:ascii="Arial" w:cs="Arial" w:eastAsia="Arial" w:hAnsi="Arial"/>
                <w:sz w:val="14"/>
                <w:szCs w:val="14"/>
                <w:b w:val="1"/>
                <w:bCs w:val="1"/>
                <w:color w:val="FFFFFF"/>
              </w:rPr>
              <w:t>Shares</w:t>
            </w:r>
          </w:p>
        </w:tc>
        <w:tc>
          <w:tcPr>
            <w:tcW w:w="240" w:type="dxa"/>
            <w:vAlign w:val="bottom"/>
            <w:shd w:val="clear" w:color="auto" w:fill="424E6A"/>
          </w:tcPr>
          <w:p>
            <w:pPr>
              <w:spacing w:after="0"/>
              <w:rPr>
                <w:sz w:val="18"/>
                <w:szCs w:val="18"/>
                <w:color w:val="auto"/>
              </w:rPr>
            </w:pPr>
          </w:p>
        </w:tc>
        <w:tc>
          <w:tcPr>
            <w:tcW w:w="880" w:type="dxa"/>
            <w:vAlign w:val="bottom"/>
            <w:tcBorders>
              <w:right w:val="single" w:sz="8" w:color="424E6A"/>
            </w:tcBorders>
            <w:shd w:val="clear" w:color="auto" w:fill="424E6A"/>
          </w:tcPr>
          <w:p>
            <w:pPr>
              <w:jc w:val="center"/>
              <w:ind w:right="208"/>
              <w:spacing w:after="0"/>
              <w:rPr>
                <w:sz w:val="20"/>
                <w:szCs w:val="20"/>
                <w:color w:val="auto"/>
              </w:rPr>
            </w:pPr>
            <w:r>
              <w:rPr>
                <w:rFonts w:ascii="Arial" w:cs="Arial" w:eastAsia="Arial" w:hAnsi="Arial"/>
                <w:sz w:val="14"/>
                <w:szCs w:val="14"/>
                <w:b w:val="1"/>
                <w:bCs w:val="1"/>
                <w:color w:val="FFFFFF"/>
              </w:rPr>
              <w:t>Shares</w:t>
            </w:r>
          </w:p>
        </w:tc>
        <w:tc>
          <w:tcPr>
            <w:tcW w:w="940" w:type="dxa"/>
            <w:vAlign w:val="bottom"/>
            <w:gridSpan w:val="2"/>
            <w:shd w:val="clear" w:color="auto" w:fill="424E6A"/>
          </w:tcPr>
          <w:p>
            <w:pPr>
              <w:ind w:left="200"/>
              <w:spacing w:after="0"/>
              <w:rPr>
                <w:sz w:val="20"/>
                <w:szCs w:val="20"/>
                <w:color w:val="auto"/>
              </w:rPr>
            </w:pPr>
            <w:r>
              <w:rPr>
                <w:rFonts w:ascii="Arial" w:cs="Arial" w:eastAsia="Arial" w:hAnsi="Arial"/>
                <w:sz w:val="14"/>
                <w:szCs w:val="14"/>
                <w:b w:val="1"/>
                <w:bCs w:val="1"/>
                <w:color w:val="FFFFFF"/>
                <w:w w:val="99"/>
              </w:rPr>
              <w:t>Ownership</w:t>
            </w:r>
          </w:p>
        </w:tc>
        <w:tc>
          <w:tcPr>
            <w:tcW w:w="180" w:type="dxa"/>
            <w:vAlign w:val="bottom"/>
            <w:tcBorders>
              <w:right w:val="single" w:sz="8" w:color="424E6A"/>
            </w:tcBorders>
            <w:shd w:val="clear" w:color="auto" w:fill="424E6A"/>
          </w:tcPr>
          <w:p>
            <w:pPr>
              <w:spacing w:after="0"/>
              <w:rPr>
                <w:sz w:val="18"/>
                <w:szCs w:val="18"/>
                <w:color w:val="auto"/>
              </w:rPr>
            </w:pPr>
          </w:p>
        </w:tc>
        <w:tc>
          <w:tcPr>
            <w:tcW w:w="960" w:type="dxa"/>
            <w:vAlign w:val="bottom"/>
            <w:gridSpan w:val="2"/>
            <w:shd w:val="clear" w:color="auto" w:fill="424E6A"/>
          </w:tcPr>
          <w:p>
            <w:pPr>
              <w:jc w:val="center"/>
              <w:ind w:left="129"/>
              <w:spacing w:after="0"/>
              <w:rPr>
                <w:sz w:val="20"/>
                <w:szCs w:val="20"/>
                <w:color w:val="auto"/>
              </w:rPr>
            </w:pPr>
            <w:r>
              <w:rPr>
                <w:rFonts w:ascii="Arial" w:cs="Arial" w:eastAsia="Arial" w:hAnsi="Arial"/>
                <w:sz w:val="14"/>
                <w:szCs w:val="14"/>
                <w:b w:val="1"/>
                <w:bCs w:val="1"/>
                <w:color w:val="FFFFFF"/>
              </w:rPr>
              <w:t>Interests</w:t>
            </w:r>
          </w:p>
        </w:tc>
        <w:tc>
          <w:tcPr>
            <w:tcW w:w="22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Willie Chiang</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846,512</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378,704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353,489</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732,193</w:t>
            </w:r>
          </w:p>
        </w:tc>
        <w:tc>
          <w:tcPr>
            <w:tcW w:w="1120" w:type="dxa"/>
            <w:vAlign w:val="bottom"/>
            <w:tcBorders>
              <w:bottom w:val="single" w:sz="8" w:color="424E6A"/>
              <w:right w:val="single" w:sz="8" w:color="424E6A"/>
            </w:tcBorders>
            <w:gridSpan w:val="3"/>
            <w:shd w:val="clear" w:color="auto" w:fill="D9DCE1"/>
          </w:tcPr>
          <w:p>
            <w:pPr>
              <w:jc w:val="right"/>
              <w:ind w:right="6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1,578,705</w:t>
            </w:r>
            <w:r>
              <w:rPr>
                <w:rFonts w:ascii="Arial" w:cs="Arial" w:eastAsia="Arial" w:hAnsi="Arial"/>
                <w:sz w:val="26"/>
                <w:szCs w:val="26"/>
                <w:color w:val="auto"/>
                <w:vertAlign w:val="subscript"/>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Harry Pefanis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420,194</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1,108,653</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tcPr>
          <w:p>
            <w:pPr>
              <w:jc w:val="right"/>
              <w:ind w:right="14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2,268,988</w:t>
            </w:r>
          </w:p>
        </w:tc>
        <w:tc>
          <w:tcPr>
            <w:tcW w:w="1120" w:type="dxa"/>
            <w:vAlign w:val="bottom"/>
            <w:tcBorders>
              <w:bottom w:val="single" w:sz="8" w:color="424E6A"/>
              <w:right w:val="single" w:sz="8" w:color="424E6A"/>
            </w:tcBorders>
            <w:gridSpan w:val="2"/>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3,377,641</w:t>
            </w:r>
          </w:p>
        </w:tc>
        <w:tc>
          <w:tcPr>
            <w:tcW w:w="1120" w:type="dxa"/>
            <w:vAlign w:val="bottom"/>
            <w:tcBorders>
              <w:bottom w:val="single" w:sz="8" w:color="424E6A"/>
              <w:right w:val="single" w:sz="8" w:color="424E6A"/>
            </w:tcBorders>
            <w:gridSpan w:val="3"/>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3,797,835</w:t>
            </w:r>
            <w:r>
              <w:rPr>
                <w:rFonts w:ascii="Arial" w:cs="Arial" w:eastAsia="Arial" w:hAnsi="Arial"/>
                <w:sz w:val="25"/>
                <w:szCs w:val="25"/>
                <w:color w:val="auto"/>
                <w:vertAlign w:val="subscript"/>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Al Swanson</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494,714</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shd w:val="clear" w:color="auto" w:fill="D9DCE1"/>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1,351,839</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right w:val="single" w:sz="8" w:color="424E6A"/>
            </w:tcBorders>
            <w:gridSpan w:val="2"/>
            <w:shd w:val="clear" w:color="auto" w:fill="D9DCE1"/>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1,351,839</w:t>
            </w:r>
          </w:p>
        </w:tc>
        <w:tc>
          <w:tcPr>
            <w:tcW w:w="1120" w:type="dxa"/>
            <w:vAlign w:val="bottom"/>
            <w:tcBorders>
              <w:bottom w:val="single" w:sz="8" w:color="424E6A"/>
              <w:right w:val="single" w:sz="8" w:color="424E6A"/>
            </w:tcBorders>
            <w:gridSpan w:val="3"/>
            <w:shd w:val="clear" w:color="auto" w:fill="D9DCE1"/>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1,846,553</w:t>
            </w:r>
            <w:r>
              <w:rPr>
                <w:rFonts w:ascii="Arial" w:cs="Arial" w:eastAsia="Arial" w:hAnsi="Arial"/>
                <w:sz w:val="25"/>
                <w:szCs w:val="25"/>
                <w:color w:val="auto"/>
                <w:vertAlign w:val="subscript"/>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Richard McGee</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499,166</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429,346</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429,346</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928,512</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Chris Chandler</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355,705</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355,705</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Jeremy Goebel</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380,737</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1,314</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35,350</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36,664</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417,401</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Greg Armstrong</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1,508,418</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shd w:val="clear" w:color="auto" w:fill="D9DCE1"/>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1,865,812</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shd w:val="clear" w:color="auto" w:fill="D9DCE1"/>
          </w:tcPr>
          <w:p>
            <w:pPr>
              <w:jc w:val="right"/>
              <w:ind w:right="14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4,492,268</w:t>
            </w:r>
          </w:p>
        </w:tc>
        <w:tc>
          <w:tcPr>
            <w:tcW w:w="1120" w:type="dxa"/>
            <w:vAlign w:val="bottom"/>
            <w:tcBorders>
              <w:bottom w:val="single" w:sz="8" w:color="424E6A"/>
              <w:right w:val="single" w:sz="8" w:color="424E6A"/>
            </w:tcBorders>
            <w:gridSpan w:val="2"/>
            <w:shd w:val="clear" w:color="auto" w:fill="D9DCE1"/>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6,358,080</w:t>
            </w:r>
          </w:p>
        </w:tc>
        <w:tc>
          <w:tcPr>
            <w:tcW w:w="1120" w:type="dxa"/>
            <w:vAlign w:val="bottom"/>
            <w:tcBorders>
              <w:bottom w:val="single" w:sz="8" w:color="424E6A"/>
              <w:right w:val="single" w:sz="8" w:color="424E6A"/>
            </w:tcBorders>
            <w:gridSpan w:val="3"/>
            <w:shd w:val="clear" w:color="auto" w:fill="D9DCE1"/>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7,866,498</w:t>
            </w:r>
            <w:r>
              <w:rPr>
                <w:rFonts w:ascii="Arial" w:cs="Arial" w:eastAsia="Arial" w:hAnsi="Arial"/>
                <w:sz w:val="25"/>
                <w:szCs w:val="25"/>
                <w:color w:val="auto"/>
                <w:vertAlign w:val="subscript"/>
              </w:rPr>
              <w:t>​</w:t>
            </w:r>
          </w:p>
        </w:tc>
        <w:tc>
          <w:tcPr>
            <w:tcW w:w="960" w:type="dxa"/>
            <w:vAlign w:val="bottom"/>
            <w:tcBorders>
              <w:bottom w:val="single" w:sz="8" w:color="424E6A"/>
            </w:tcBorders>
            <w:gridSpan w:val="2"/>
            <w:shd w:val="clear" w:color="auto" w:fill="D9DCE1"/>
          </w:tcPr>
          <w:p>
            <w:pPr>
              <w:ind w:left="4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Victor Burk</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37,043</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23,373</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23,373</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60,416</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Ellen DeSanctis</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29,450</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29,450</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29,450</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Kevin McCarthy</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200,000</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129,141</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129,141</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329,141</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Gary Petersen</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68,200</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48,594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48,594</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116,794</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Alexandra Pruner</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61,344</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61,344</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61,344</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John Raymond</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21,978,875</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295,844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shd w:val="clear" w:color="auto" w:fill="D9DCE1"/>
          </w:tcPr>
          <w:p>
            <w:pPr>
              <w:jc w:val="right"/>
              <w:ind w:right="14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11,458,736</w:t>
            </w:r>
          </w:p>
        </w:tc>
        <w:tc>
          <w:tcPr>
            <w:tcW w:w="1120" w:type="dxa"/>
            <w:vAlign w:val="bottom"/>
            <w:tcBorders>
              <w:bottom w:val="single" w:sz="8" w:color="424E6A"/>
              <w:right w:val="single" w:sz="8" w:color="424E6A"/>
            </w:tcBorders>
            <w:gridSpan w:val="2"/>
            <w:shd w:val="clear" w:color="auto" w:fill="D9DCE1"/>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11,754,580</w:t>
            </w:r>
          </w:p>
        </w:tc>
        <w:tc>
          <w:tcPr>
            <w:tcW w:w="1120" w:type="dxa"/>
            <w:vAlign w:val="bottom"/>
            <w:tcBorders>
              <w:bottom w:val="single" w:sz="8" w:color="424E6A"/>
              <w:right w:val="single" w:sz="8" w:color="424E6A"/>
            </w:tcBorders>
            <w:gridSpan w:val="3"/>
            <w:shd w:val="clear" w:color="auto" w:fill="D9DCE1"/>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33,733,455</w:t>
            </w:r>
            <w:r>
              <w:rPr>
                <w:rFonts w:ascii="Arial" w:cs="Arial" w:eastAsia="Arial" w:hAnsi="Arial"/>
                <w:sz w:val="25"/>
                <w:szCs w:val="25"/>
                <w:color w:val="auto"/>
                <w:vertAlign w:val="subscript"/>
              </w:rPr>
              <w:t>​</w:t>
            </w:r>
          </w:p>
        </w:tc>
        <w:tc>
          <w:tcPr>
            <w:tcW w:w="960" w:type="dxa"/>
            <w:vAlign w:val="bottom"/>
            <w:tcBorders>
              <w:bottom w:val="single" w:sz="8" w:color="424E6A"/>
            </w:tcBorders>
            <w:gridSpan w:val="2"/>
            <w:shd w:val="clear" w:color="auto" w:fill="D9DCE1"/>
          </w:tcPr>
          <w:p>
            <w:pPr>
              <w:ind w:left="4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4.4%</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Bobby Shackouls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35,033</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53,851</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53,851</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88,884</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highlight w:val="lightGray"/>
              </w:rPr>
              <w:t>Lawrence Ziemba</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highlight w:val="lightGray"/>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2,346</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68,230</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68,230</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70,576</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3"/>
        </w:trPr>
        <w:tc>
          <w:tcPr>
            <w:tcW w:w="1340" w:type="dxa"/>
            <w:vAlign w:val="bottom"/>
            <w:tcBorders>
              <w:left w:val="single" w:sz="8" w:color="424E6A"/>
            </w:tcBorders>
          </w:tcPr>
          <w:p>
            <w:pPr>
              <w:ind w:left="60"/>
              <w:spacing w:after="0"/>
              <w:rPr>
                <w:sz w:val="20"/>
                <w:szCs w:val="20"/>
                <w:color w:val="auto"/>
              </w:rPr>
            </w:pPr>
            <w:r>
              <w:rPr>
                <w:rFonts w:ascii="Arial" w:cs="Arial" w:eastAsia="Arial" w:hAnsi="Arial"/>
                <w:sz w:val="14"/>
                <w:szCs w:val="14"/>
                <w:color w:val="auto"/>
              </w:rPr>
              <w:t>All directors and</w:t>
            </w:r>
          </w:p>
        </w:tc>
        <w:tc>
          <w:tcPr>
            <w:tcW w:w="120" w:type="dxa"/>
            <w:vAlign w:val="bottom"/>
            <w:tcBorders>
              <w:right w:val="single" w:sz="8" w:color="424E6A"/>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424E6A"/>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right w:val="single" w:sz="8" w:color="424E6A"/>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right w:val="single" w:sz="8" w:color="424E6A"/>
            </w:tcBorders>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40" w:type="dxa"/>
            <w:vAlign w:val="bottom"/>
            <w:tcBorders>
              <w:left w:val="single" w:sz="8" w:color="424E6A"/>
            </w:tcBorders>
          </w:tcPr>
          <w:p>
            <w:pPr>
              <w:ind w:left="220"/>
              <w:spacing w:after="0"/>
              <w:rPr>
                <w:sz w:val="20"/>
                <w:szCs w:val="20"/>
                <w:color w:val="auto"/>
              </w:rPr>
            </w:pPr>
            <w:r>
              <w:rPr>
                <w:rFonts w:ascii="Arial" w:cs="Arial" w:eastAsia="Arial" w:hAnsi="Arial"/>
                <w:sz w:val="14"/>
                <w:szCs w:val="14"/>
                <w:color w:val="auto"/>
              </w:rPr>
              <w:t>executive officers</w:t>
            </w:r>
          </w:p>
        </w:tc>
        <w:tc>
          <w:tcPr>
            <w:tcW w:w="120" w:type="dxa"/>
            <w:vAlign w:val="bottom"/>
            <w:tcBorders>
              <w:right w:val="single" w:sz="8" w:color="424E6A"/>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424E6A"/>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right w:val="single" w:sz="8" w:color="424E6A"/>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right w:val="single" w:sz="8" w:color="424E6A"/>
            </w:tcBorders>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424E6A"/>
            </w:tcBorders>
          </w:tcPr>
          <w:p>
            <w:pPr>
              <w:ind w:left="220"/>
              <w:spacing w:after="0"/>
              <w:rPr>
                <w:sz w:val="20"/>
                <w:szCs w:val="20"/>
                <w:color w:val="auto"/>
              </w:rPr>
            </w:pPr>
            <w:r>
              <w:rPr>
                <w:rFonts w:ascii="Arial" w:cs="Arial" w:eastAsia="Arial" w:hAnsi="Arial"/>
                <w:sz w:val="14"/>
                <w:szCs w:val="14"/>
                <w:color w:val="auto"/>
              </w:rPr>
              <w:t>as a group</w:t>
            </w:r>
          </w:p>
        </w:tc>
        <w:tc>
          <w:tcPr>
            <w:tcW w:w="120" w:type="dxa"/>
            <w:vAlign w:val="bottom"/>
            <w:tcBorders>
              <w:right w:val="single" w:sz="8" w:color="424E6A"/>
            </w:tcBorders>
          </w:tcPr>
          <w:p>
            <w:pPr>
              <w:spacing w:after="0"/>
              <w:rPr>
                <w:sz w:val="15"/>
                <w:szCs w:val="15"/>
                <w:color w:val="auto"/>
              </w:rPr>
            </w:pPr>
          </w:p>
        </w:tc>
        <w:tc>
          <w:tcPr>
            <w:tcW w:w="1120" w:type="dxa"/>
            <w:vAlign w:val="bottom"/>
            <w:gridSpan w:val="2"/>
            <w:vMerge w:val="restart"/>
          </w:tcPr>
          <w:p>
            <w:pPr>
              <w:jc w:val="right"/>
              <w:ind w:right="8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27,025,504</w:t>
            </w:r>
          </w:p>
        </w:tc>
        <w:tc>
          <w:tcPr>
            <w:tcW w:w="200" w:type="dxa"/>
            <w:vAlign w:val="bottom"/>
            <w:tcBorders>
              <w:right w:val="single" w:sz="8" w:color="424E6A"/>
            </w:tcBorders>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5,416,149</w:t>
            </w:r>
          </w:p>
        </w:tc>
        <w:tc>
          <w:tcPr>
            <w:tcW w:w="160" w:type="dxa"/>
            <w:vAlign w:val="bottom"/>
            <w:tcBorders>
              <w:right w:val="single" w:sz="8" w:color="424E6A"/>
            </w:tcBorders>
          </w:tcPr>
          <w:p>
            <w:pPr>
              <w:spacing w:after="0"/>
              <w:rPr>
                <w:sz w:val="15"/>
                <w:szCs w:val="15"/>
                <w:color w:val="auto"/>
              </w:rPr>
            </w:pPr>
          </w:p>
        </w:tc>
        <w:tc>
          <w:tcPr>
            <w:tcW w:w="1140" w:type="dxa"/>
            <w:vAlign w:val="bottom"/>
            <w:tcBorders>
              <w:right w:val="single" w:sz="8" w:color="424E6A"/>
            </w:tcBorders>
            <w:gridSpan w:val="2"/>
            <w:vMerge w:val="restart"/>
          </w:tcPr>
          <w:p>
            <w:pPr>
              <w:jc w:val="right"/>
              <w:ind w:right="14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19,184,581</w:t>
            </w:r>
          </w:p>
        </w:tc>
        <w:tc>
          <w:tcPr>
            <w:tcW w:w="1120" w:type="dxa"/>
            <w:vAlign w:val="bottom"/>
            <w:tcBorders>
              <w:right w:val="single" w:sz="8" w:color="424E6A"/>
            </w:tcBorders>
            <w:gridSpan w:val="2"/>
            <w:vMerge w:val="restart"/>
          </w:tcPr>
          <w:p>
            <w:pPr>
              <w:jc w:val="right"/>
              <w:ind w:right="12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24,600,730</w:t>
            </w:r>
          </w:p>
        </w:tc>
        <w:tc>
          <w:tcPr>
            <w:tcW w:w="1120" w:type="dxa"/>
            <w:vAlign w:val="bottom"/>
            <w:tcBorders>
              <w:right w:val="single" w:sz="8" w:color="424E6A"/>
            </w:tcBorders>
            <w:gridSpan w:val="3"/>
            <w:vMerge w:val="restart"/>
          </w:tcPr>
          <w:p>
            <w:pPr>
              <w:jc w:val="right"/>
              <w:ind w:right="6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51,626,234</w:t>
            </w:r>
            <w:r>
              <w:rPr>
                <w:rFonts w:ascii="Arial" w:cs="Arial" w:eastAsia="Arial" w:hAnsi="Arial"/>
                <w:sz w:val="28"/>
                <w:szCs w:val="28"/>
                <w:color w:val="auto"/>
                <w:vertAlign w:val="subscript"/>
              </w:rPr>
              <w:t>​</w:t>
            </w:r>
          </w:p>
        </w:tc>
        <w:tc>
          <w:tcPr>
            <w:tcW w:w="960" w:type="dxa"/>
            <w:vAlign w:val="bottom"/>
            <w:gridSpan w:val="2"/>
            <w:vMerge w:val="restart"/>
          </w:tcPr>
          <w:p>
            <w:pPr>
              <w:ind w:left="4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6.8%</w:t>
            </w:r>
          </w:p>
        </w:tc>
        <w:tc>
          <w:tcPr>
            <w:tcW w:w="2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4"/>
                <w:szCs w:val="14"/>
                <w:color w:val="auto"/>
              </w:rPr>
              <w:t>(16 persons)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vMerge w:val="continue"/>
          </w:tcPr>
          <w:p>
            <w:pPr>
              <w:spacing w:after="0"/>
              <w:rPr>
                <w:sz w:val="18"/>
                <w:szCs w:val="18"/>
                <w:color w:val="auto"/>
              </w:rPr>
            </w:pP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vMerge w:val="continue"/>
          </w:tcPr>
          <w:p>
            <w:pPr>
              <w:spacing w:after="0"/>
              <w:rPr>
                <w:sz w:val="18"/>
                <w:szCs w:val="18"/>
                <w:color w:val="auto"/>
              </w:rPr>
            </w:pP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vMerge w:val="continue"/>
          </w:tcPr>
          <w:p>
            <w:pPr>
              <w:spacing w:after="0"/>
              <w:rPr>
                <w:sz w:val="18"/>
                <w:szCs w:val="18"/>
                <w:color w:val="auto"/>
              </w:rPr>
            </w:pPr>
          </w:p>
        </w:tc>
        <w:tc>
          <w:tcPr>
            <w:tcW w:w="1120" w:type="dxa"/>
            <w:vAlign w:val="bottom"/>
            <w:tcBorders>
              <w:bottom w:val="single" w:sz="8" w:color="424E6A"/>
              <w:right w:val="single" w:sz="8" w:color="424E6A"/>
            </w:tcBorders>
            <w:gridSpan w:val="2"/>
            <w:vMerge w:val="continue"/>
          </w:tcPr>
          <w:p>
            <w:pPr>
              <w:spacing w:after="0"/>
              <w:rPr>
                <w:sz w:val="18"/>
                <w:szCs w:val="18"/>
                <w:color w:val="auto"/>
              </w:rPr>
            </w:pPr>
          </w:p>
        </w:tc>
        <w:tc>
          <w:tcPr>
            <w:tcW w:w="1120" w:type="dxa"/>
            <w:vAlign w:val="bottom"/>
            <w:tcBorders>
              <w:bottom w:val="single" w:sz="8" w:color="424E6A"/>
              <w:right w:val="single" w:sz="8" w:color="424E6A"/>
            </w:tcBorders>
            <w:gridSpan w:val="3"/>
            <w:vMerge w:val="continue"/>
          </w:tcPr>
          <w:p>
            <w:pPr>
              <w:spacing w:after="0"/>
              <w:rPr>
                <w:sz w:val="18"/>
                <w:szCs w:val="18"/>
                <w:color w:val="auto"/>
              </w:rPr>
            </w:pPr>
          </w:p>
        </w:tc>
        <w:tc>
          <w:tcPr>
            <w:tcW w:w="960" w:type="dxa"/>
            <w:vAlign w:val="bottom"/>
            <w:tcBorders>
              <w:bottom w:val="single" w:sz="8" w:color="424E6A"/>
            </w:tcBorders>
            <w:gridSpan w:val="2"/>
            <w:vMerge w:val="continue"/>
          </w:tcPr>
          <w:p>
            <w:pPr>
              <w:spacing w:after="0"/>
              <w:rPr>
                <w:sz w:val="18"/>
                <w:szCs w:val="18"/>
                <w:color w:val="auto"/>
              </w:rPr>
            </w:pP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Plains AAP owns a significant limited partner interest in us and, indirectly through its 100% member interest in PAA GP LLC, our non-economic general partner interest. GP LLC owns the non-economic general partner interest in Plains AAP. The Class A limited partners of Plains AAP collectively own 100% of the economic interests in Plains AAP. The following table sets forth the percentage ownership of the Class A limited partners of Plains AAP, including certain of our directors and Named Executive Officers, as of March 24, 2025:</w:t>
      </w:r>
    </w:p>
    <w:p>
      <w:pPr>
        <w:spacing w:after="0" w:line="160"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5020" w:type="dxa"/>
            <w:vAlign w:val="bottom"/>
            <w:tcBorders>
              <w:left w:val="single" w:sz="8" w:color="424E6A"/>
            </w:tcBorders>
            <w:shd w:val="clear" w:color="auto" w:fill="424E6A"/>
          </w:tcPr>
          <w:p>
            <w:pPr>
              <w:spacing w:after="0"/>
              <w:rPr>
                <w:sz w:val="21"/>
                <w:szCs w:val="21"/>
                <w:color w:val="auto"/>
              </w:rPr>
            </w:pPr>
          </w:p>
        </w:tc>
        <w:tc>
          <w:tcPr>
            <w:tcW w:w="204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80" w:type="dxa"/>
            <w:vAlign w:val="bottom"/>
            <w:tcBorders>
              <w:right w:val="single" w:sz="8" w:color="424E6A"/>
            </w:tcBorders>
            <w:shd w:val="clear" w:color="auto" w:fill="424E6A"/>
          </w:tcPr>
          <w:p>
            <w:pPr>
              <w:spacing w:after="0"/>
              <w:rPr>
                <w:sz w:val="21"/>
                <w:szCs w:val="21"/>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Ownership</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500" w:type="dxa"/>
            <w:vAlign w:val="bottom"/>
            <w:shd w:val="clear" w:color="auto" w:fill="424E6A"/>
          </w:tcPr>
          <w:p>
            <w:pPr>
              <w:jc w:val="center"/>
              <w:ind w:right="194"/>
              <w:spacing w:after="0"/>
              <w:rPr>
                <w:sz w:val="20"/>
                <w:szCs w:val="20"/>
                <w:color w:val="auto"/>
              </w:rPr>
            </w:pPr>
            <w:r>
              <w:rPr>
                <w:rFonts w:ascii="Arial" w:cs="Arial" w:eastAsia="Arial" w:hAnsi="Arial"/>
                <w:sz w:val="14"/>
                <w:szCs w:val="14"/>
                <w:b w:val="1"/>
                <w:bCs w:val="1"/>
                <w:color w:val="FFFFFF"/>
              </w:rPr>
              <w:t>of</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Plains</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5"/>
              </w:rPr>
              <w:t>AAP, L.P.</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 of Owner and Address</w:t>
            </w: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 LP</w:t>
            </w:r>
          </w:p>
        </w:tc>
        <w:tc>
          <w:tcPr>
            <w:tcW w:w="280" w:type="dxa"/>
            <w:vAlign w:val="bottom"/>
            <w:tcBorders>
              <w:right w:val="single" w:sz="8" w:color="424E6A"/>
            </w:tcBorders>
            <w:shd w:val="clear" w:color="auto" w:fill="424E6A"/>
          </w:tcPr>
          <w:p>
            <w:pPr>
              <w:spacing w:after="0"/>
              <w:rPr>
                <w:sz w:val="14"/>
                <w:szCs w:val="14"/>
                <w:color w:val="auto"/>
              </w:rPr>
            </w:pPr>
          </w:p>
        </w:tc>
      </w:tr>
      <w:tr>
        <w:trPr>
          <w:trHeight w:val="212"/>
        </w:trPr>
        <w:tc>
          <w:tcPr>
            <w:tcW w:w="50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(in the case of Owners of more than 5%)</w:t>
            </w:r>
          </w:p>
        </w:tc>
        <w:tc>
          <w:tcPr>
            <w:tcW w:w="2040" w:type="dxa"/>
            <w:vAlign w:val="bottom"/>
            <w:tcBorders>
              <w:right w:val="single" w:sz="8" w:color="424E6A"/>
            </w:tcBorders>
            <w:shd w:val="clear" w:color="auto" w:fill="424E6A"/>
          </w:tcPr>
          <w:p>
            <w:pPr>
              <w:spacing w:after="0"/>
              <w:rPr>
                <w:sz w:val="18"/>
                <w:szCs w:val="18"/>
                <w:color w:val="auto"/>
              </w:rPr>
            </w:pPr>
          </w:p>
        </w:tc>
        <w:tc>
          <w:tcPr>
            <w:tcW w:w="100" w:type="dxa"/>
            <w:vAlign w:val="bottom"/>
            <w:shd w:val="clear" w:color="auto" w:fill="424E6A"/>
          </w:tcPr>
          <w:p>
            <w:pPr>
              <w:spacing w:after="0"/>
              <w:rPr>
                <w:sz w:val="18"/>
                <w:szCs w:val="18"/>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Interest</w:t>
            </w:r>
            <w:r>
              <w:rPr>
                <w:rFonts w:ascii="Arial" w:cs="Arial" w:eastAsia="Arial" w:hAnsi="Arial"/>
                <w:sz w:val="17"/>
                <w:szCs w:val="17"/>
                <w:b w:val="1"/>
                <w:bCs w:val="1"/>
                <w:color w:val="FFFFFF"/>
                <w:w w:val="96"/>
                <w:vertAlign w:val="superscript"/>
              </w:rPr>
              <w:t>(1)</w:t>
            </w:r>
          </w:p>
        </w:tc>
        <w:tc>
          <w:tcPr>
            <w:tcW w:w="280" w:type="dxa"/>
            <w:vAlign w:val="bottom"/>
            <w:tcBorders>
              <w:right w:val="single" w:sz="8" w:color="424E6A"/>
            </w:tcBorders>
            <w:shd w:val="clear" w:color="auto" w:fill="424E6A"/>
          </w:tcPr>
          <w:p>
            <w:pPr>
              <w:spacing w:after="0"/>
              <w:rPr>
                <w:sz w:val="18"/>
                <w:szCs w:val="18"/>
                <w:color w:val="auto"/>
              </w:rPr>
            </w:pPr>
          </w:p>
        </w:tc>
      </w:tr>
      <w:tr>
        <w:trPr>
          <w:trHeight w:val="256"/>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Plains GP Holdings, L.P.</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84.9% </w:t>
            </w:r>
            <w:r>
              <w:rPr>
                <w:rFonts w:ascii="Arial" w:cs="Arial" w:eastAsia="Arial" w:hAnsi="Arial"/>
                <w:sz w:val="29"/>
                <w:szCs w:val="29"/>
                <w:color w:val="auto"/>
                <w:vertAlign w:val="subscript"/>
              </w:rPr>
              <w:t>​</w:t>
            </w:r>
          </w:p>
        </w:tc>
      </w:tr>
      <w:tr>
        <w:trPr>
          <w:trHeight w:val="250"/>
        </w:trPr>
        <w:tc>
          <w:tcPr>
            <w:tcW w:w="5020" w:type="dxa"/>
            <w:vAlign w:val="bottom"/>
            <w:tcBorders>
              <w:left w:val="single" w:sz="8" w:color="424E6A"/>
              <w:bottom w:val="single" w:sz="8" w:color="424E6A"/>
            </w:tcBorders>
          </w:tcPr>
          <w:p>
            <w:pPr>
              <w:ind w:left="240"/>
              <w:spacing w:after="0"/>
              <w:rPr>
                <w:sz w:val="20"/>
                <w:szCs w:val="20"/>
                <w:color w:val="auto"/>
              </w:rPr>
            </w:pPr>
            <w:r>
              <w:rPr>
                <w:rFonts w:ascii="Arial" w:cs="Arial" w:eastAsia="Arial" w:hAnsi="Arial"/>
                <w:sz w:val="18"/>
                <w:szCs w:val="18"/>
                <w:color w:val="auto"/>
              </w:rPr>
              <w:t>333 Clay Street, Suite 1600</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tcPr>
          <w:p>
            <w:pPr>
              <w:ind w:left="240"/>
              <w:spacing w:after="0"/>
              <w:rPr>
                <w:sz w:val="20"/>
                <w:szCs w:val="20"/>
                <w:color w:val="auto"/>
              </w:rPr>
            </w:pPr>
            <w:r>
              <w:rPr>
                <w:rFonts w:ascii="Arial" w:cs="Arial" w:eastAsia="Arial" w:hAnsi="Arial"/>
                <w:sz w:val="18"/>
                <w:szCs w:val="18"/>
                <w:color w:val="auto"/>
              </w:rPr>
              <w:t>Houston, TX 77002</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Lynx Holdings I, LLC</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1.4% </w:t>
            </w:r>
            <w:r>
              <w:rPr>
                <w:rFonts w:ascii="Arial" w:cs="Arial" w:eastAsia="Arial" w:hAnsi="Arial"/>
                <w:sz w:val="28"/>
                <w:szCs w:val="28"/>
                <w:color w:val="auto"/>
                <w:vertAlign w:val="subscript"/>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John T. Raymond</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3.6% </w:t>
            </w:r>
            <w:r>
              <w:rPr>
                <w:rFonts w:ascii="Arial" w:cs="Arial" w:eastAsia="Arial" w:hAnsi="Arial"/>
                <w:sz w:val="28"/>
                <w:szCs w:val="28"/>
                <w:color w:val="auto"/>
                <w:vertAlign w:val="subscript"/>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1.9% </w:t>
            </w:r>
            <w:r>
              <w:rPr>
                <w:rFonts w:ascii="Arial" w:cs="Arial" w:eastAsia="Arial" w:hAnsi="Arial"/>
                <w:sz w:val="28"/>
                <w:szCs w:val="28"/>
                <w:color w:val="auto"/>
                <w:vertAlign w:val="subscript"/>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Willie Chiang</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Harry N. Pefanis</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shd w:val="clear" w:color="auto" w:fill="D9DCE1"/>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Richard McGee</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shd w:val="clear" w:color="auto" w:fill="D9DCE1"/>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Various Individual and Other Investors</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7.0% </w:t>
            </w:r>
            <w:r>
              <w:rPr>
                <w:rFonts w:ascii="Arial" w:cs="Arial" w:eastAsia="Arial" w:hAnsi="Arial"/>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419" w:hanging="360"/>
        <w:spacing w:after="0" w:line="210"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Plains AAP owns approximately 233 million PAA common units and a 100% member interest in PAA GP LLC, which owns our non-economic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2024. For a description of these plans, see “Certain Relationships and Related Transactions — Equity-Based Long-Term Incentive Plans.”</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355"/>
        </w:trPr>
        <w:tc>
          <w:tcPr>
            <w:tcW w:w="3100" w:type="dxa"/>
            <w:vAlign w:val="bottom"/>
            <w:tcBorders>
              <w:left w:val="single" w:sz="8" w:color="424E6A"/>
            </w:tcBorders>
            <w:shd w:val="clear" w:color="auto" w:fill="424E6A"/>
          </w:tcPr>
          <w:p>
            <w:pPr>
              <w:spacing w:after="0"/>
              <w:rPr>
                <w:sz w:val="24"/>
                <w:szCs w:val="24"/>
                <w:color w:val="auto"/>
              </w:rPr>
            </w:pPr>
          </w:p>
        </w:tc>
        <w:tc>
          <w:tcPr>
            <w:tcW w:w="200" w:type="dxa"/>
            <w:vAlign w:val="bottom"/>
            <w:tcBorders>
              <w:right w:val="single" w:sz="8" w:color="424E6A"/>
            </w:tcBorders>
            <w:shd w:val="clear" w:color="auto" w:fill="424E6A"/>
          </w:tcPr>
          <w:p>
            <w:pPr>
              <w:spacing w:after="0"/>
              <w:rPr>
                <w:sz w:val="24"/>
                <w:szCs w:val="24"/>
                <w:color w:val="auto"/>
              </w:rPr>
            </w:pPr>
          </w:p>
        </w:tc>
        <w:tc>
          <w:tcPr>
            <w:tcW w:w="100" w:type="dxa"/>
            <w:vAlign w:val="bottom"/>
            <w:shd w:val="clear" w:color="auto" w:fill="424E6A"/>
          </w:tcPr>
          <w:p>
            <w:pPr>
              <w:spacing w:after="0"/>
              <w:rPr>
                <w:sz w:val="24"/>
                <w:szCs w:val="24"/>
                <w:color w:val="auto"/>
              </w:rPr>
            </w:pPr>
          </w:p>
        </w:tc>
        <w:tc>
          <w:tcPr>
            <w:tcW w:w="960" w:type="dxa"/>
            <w:vAlign w:val="bottom"/>
            <w:shd w:val="clear" w:color="auto" w:fill="424E6A"/>
          </w:tcPr>
          <w:p>
            <w:pPr>
              <w:spacing w:after="0"/>
              <w:rPr>
                <w:sz w:val="24"/>
                <w:szCs w:val="24"/>
                <w:color w:val="auto"/>
              </w:rPr>
            </w:pPr>
          </w:p>
        </w:tc>
        <w:tc>
          <w:tcPr>
            <w:tcW w:w="280" w:type="dxa"/>
            <w:vAlign w:val="bottom"/>
            <w:shd w:val="clear" w:color="auto" w:fill="424E6A"/>
          </w:tcPr>
          <w:p>
            <w:pPr>
              <w:spacing w:after="0"/>
              <w:rPr>
                <w:sz w:val="24"/>
                <w:szCs w:val="24"/>
                <w:color w:val="auto"/>
              </w:rPr>
            </w:pPr>
          </w:p>
        </w:tc>
        <w:tc>
          <w:tcPr>
            <w:tcW w:w="260" w:type="dxa"/>
            <w:vAlign w:val="bottom"/>
            <w:tcBorders>
              <w:right w:val="single" w:sz="8" w:color="424E6A"/>
            </w:tcBorders>
            <w:shd w:val="clear" w:color="auto" w:fill="424E6A"/>
          </w:tcPr>
          <w:p>
            <w:pPr>
              <w:spacing w:after="0"/>
              <w:rPr>
                <w:sz w:val="24"/>
                <w:szCs w:val="24"/>
                <w:color w:val="auto"/>
              </w:rPr>
            </w:pPr>
          </w:p>
        </w:tc>
        <w:tc>
          <w:tcPr>
            <w:tcW w:w="1460" w:type="dxa"/>
            <w:vAlign w:val="bottom"/>
            <w:shd w:val="clear" w:color="auto" w:fill="424E6A"/>
          </w:tcPr>
          <w:p>
            <w:pPr>
              <w:spacing w:after="0"/>
              <w:rPr>
                <w:sz w:val="24"/>
                <w:szCs w:val="24"/>
                <w:color w:val="auto"/>
              </w:rPr>
            </w:pPr>
          </w:p>
        </w:tc>
        <w:tc>
          <w:tcPr>
            <w:tcW w:w="260" w:type="dxa"/>
            <w:vAlign w:val="bottom"/>
            <w:tcBorders>
              <w:right w:val="single" w:sz="8" w:color="424E6A"/>
            </w:tcBorders>
            <w:shd w:val="clear" w:color="auto" w:fill="424E6A"/>
          </w:tcPr>
          <w:p>
            <w:pPr>
              <w:spacing w:after="0"/>
              <w:rPr>
                <w:sz w:val="24"/>
                <w:szCs w:val="24"/>
                <w:color w:val="auto"/>
              </w:rPr>
            </w:pPr>
          </w:p>
        </w:tc>
        <w:tc>
          <w:tcPr>
            <w:tcW w:w="320" w:type="dxa"/>
            <w:vAlign w:val="bottom"/>
            <w:shd w:val="clear" w:color="auto" w:fill="424E6A"/>
          </w:tcPr>
          <w:p>
            <w:pPr>
              <w:spacing w:after="0"/>
              <w:rPr>
                <w:sz w:val="24"/>
                <w:szCs w:val="2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40" w:type="dxa"/>
            <w:vAlign w:val="bottom"/>
            <w:shd w:val="clear" w:color="auto" w:fill="424E6A"/>
          </w:tcPr>
          <w:p>
            <w:pPr>
              <w:spacing w:after="0"/>
              <w:rPr>
                <w:sz w:val="24"/>
                <w:szCs w:val="24"/>
                <w:color w:val="auto"/>
              </w:rPr>
            </w:pPr>
          </w:p>
        </w:tc>
        <w:tc>
          <w:tcPr>
            <w:tcW w:w="280" w:type="dxa"/>
            <w:vAlign w:val="bottom"/>
            <w:tcBorders>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Units</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Weighted Average</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Remaining</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Exercise Price of</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33"/>
              <w:spacing w:after="0"/>
              <w:rPr>
                <w:sz w:val="20"/>
                <w:szCs w:val="20"/>
                <w:color w:val="auto"/>
              </w:rPr>
            </w:pPr>
            <w:r>
              <w:rPr>
                <w:rFonts w:ascii="Arial" w:cs="Arial" w:eastAsia="Arial" w:hAnsi="Arial"/>
                <w:sz w:val="14"/>
                <w:szCs w:val="14"/>
                <w:b w:val="1"/>
                <w:bCs w:val="1"/>
                <w:color w:val="FFFFFF"/>
              </w:rPr>
              <w:t>Available for</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Outstanding</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Outstanding</w:t>
            </w:r>
          </w:p>
        </w:tc>
        <w:tc>
          <w:tcPr>
            <w:tcW w:w="260" w:type="dxa"/>
            <w:vAlign w:val="bottom"/>
            <w:tcBorders>
              <w:right w:val="single" w:sz="8" w:color="424E6A"/>
            </w:tcBorders>
            <w:shd w:val="clear" w:color="auto" w:fill="424E6A"/>
          </w:tcPr>
          <w:p>
            <w:pPr>
              <w:spacing w:after="0"/>
              <w:rPr>
                <w:sz w:val="14"/>
                <w:szCs w:val="14"/>
                <w:color w:val="auto"/>
              </w:rPr>
            </w:pPr>
          </w:p>
        </w:tc>
        <w:tc>
          <w:tcPr>
            <w:tcW w:w="1320" w:type="dxa"/>
            <w:vAlign w:val="bottom"/>
            <w:gridSpan w:val="3"/>
            <w:shd w:val="clear" w:color="auto" w:fill="424E6A"/>
          </w:tcPr>
          <w:p>
            <w:pPr>
              <w:jc w:val="center"/>
              <w:ind w:left="138"/>
              <w:spacing w:after="0"/>
              <w:rPr>
                <w:sz w:val="20"/>
                <w:szCs w:val="20"/>
                <w:color w:val="auto"/>
              </w:rPr>
            </w:pPr>
            <w:r>
              <w:rPr>
                <w:rFonts w:ascii="Arial" w:cs="Arial" w:eastAsia="Arial" w:hAnsi="Arial"/>
                <w:sz w:val="14"/>
                <w:szCs w:val="14"/>
                <w:b w:val="1"/>
                <w:bCs w:val="1"/>
                <w:color w:val="FFFFFF"/>
              </w:rPr>
              <w:t>Future Issuance</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60" w:type="dxa"/>
            <w:vAlign w:val="bottom"/>
            <w:shd w:val="clear" w:color="auto" w:fill="424E6A"/>
          </w:tcPr>
          <w:p>
            <w:pPr>
              <w:jc w:val="center"/>
              <w:ind w:left="184"/>
              <w:spacing w:after="0"/>
              <w:rPr>
                <w:sz w:val="20"/>
                <w:szCs w:val="20"/>
                <w:color w:val="auto"/>
              </w:rPr>
            </w:pPr>
            <w:r>
              <w:rPr>
                <w:rFonts w:ascii="Arial" w:cs="Arial" w:eastAsia="Arial" w:hAnsi="Arial"/>
                <w:sz w:val="14"/>
                <w:szCs w:val="14"/>
                <w:b w:val="1"/>
                <w:bCs w:val="1"/>
                <w:color w:val="FFFFFF"/>
              </w:rPr>
              <w:t>Options,</w:t>
            </w:r>
          </w:p>
        </w:tc>
        <w:tc>
          <w:tcPr>
            <w:tcW w:w="28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28"/>
              <w:spacing w:after="0"/>
              <w:rPr>
                <w:sz w:val="20"/>
                <w:szCs w:val="20"/>
                <w:color w:val="auto"/>
              </w:rPr>
            </w:pPr>
            <w:r>
              <w:rPr>
                <w:rFonts w:ascii="Arial" w:cs="Arial" w:eastAsia="Arial" w:hAnsi="Arial"/>
                <w:sz w:val="14"/>
                <w:szCs w:val="14"/>
                <w:b w:val="1"/>
                <w:bCs w:val="1"/>
                <w:color w:val="FFFFFF"/>
              </w:rPr>
              <w:t>Options,</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53"/>
              <w:spacing w:after="0"/>
              <w:rPr>
                <w:sz w:val="20"/>
                <w:szCs w:val="20"/>
                <w:color w:val="auto"/>
              </w:rPr>
            </w:pPr>
            <w:r>
              <w:rPr>
                <w:rFonts w:ascii="Arial" w:cs="Arial" w:eastAsia="Arial" w:hAnsi="Arial"/>
                <w:sz w:val="14"/>
                <w:szCs w:val="14"/>
                <w:b w:val="1"/>
                <w:bCs w:val="1"/>
                <w:color w:val="FFFFFF"/>
              </w:rPr>
              <w:t>under Equity</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Warrants and</w:t>
            </w:r>
          </w:p>
        </w:tc>
        <w:tc>
          <w:tcPr>
            <w:tcW w:w="260" w:type="dxa"/>
            <w:vAlign w:val="bottom"/>
            <w:tcBorders>
              <w:right w:val="single" w:sz="8" w:color="424E6A"/>
            </w:tcBorders>
            <w:shd w:val="clear" w:color="auto" w:fill="424E6A"/>
          </w:tcPr>
          <w:p>
            <w:pPr>
              <w:spacing w:after="0"/>
              <w:rPr>
                <w:sz w:val="14"/>
                <w:szCs w:val="14"/>
                <w:color w:val="auto"/>
              </w:rPr>
            </w:pPr>
          </w:p>
        </w:tc>
        <w:tc>
          <w:tcPr>
            <w:tcW w:w="1320" w:type="dxa"/>
            <w:vAlign w:val="bottom"/>
            <w:gridSpan w:val="3"/>
            <w:shd w:val="clear" w:color="auto" w:fill="424E6A"/>
          </w:tcPr>
          <w:p>
            <w:pPr>
              <w:jc w:val="center"/>
              <w:ind w:left="118"/>
              <w:spacing w:after="0"/>
              <w:rPr>
                <w:sz w:val="20"/>
                <w:szCs w:val="20"/>
                <w:color w:val="auto"/>
              </w:rPr>
            </w:pPr>
            <w:r>
              <w:rPr>
                <w:rFonts w:ascii="Arial" w:cs="Arial" w:eastAsia="Arial" w:hAnsi="Arial"/>
                <w:sz w:val="14"/>
                <w:szCs w:val="14"/>
                <w:b w:val="1"/>
                <w:bCs w:val="1"/>
                <w:color w:val="FFFFFF"/>
              </w:rPr>
              <w:t>Compensation</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60" w:type="dxa"/>
            <w:vAlign w:val="bottom"/>
            <w:shd w:val="clear" w:color="auto" w:fill="424E6A"/>
          </w:tcPr>
          <w:p>
            <w:pPr>
              <w:jc w:val="center"/>
              <w:ind w:left="164"/>
              <w:spacing w:after="0"/>
              <w:rPr>
                <w:sz w:val="20"/>
                <w:szCs w:val="20"/>
                <w:color w:val="auto"/>
              </w:rPr>
            </w:pPr>
            <w:r>
              <w:rPr>
                <w:rFonts w:ascii="Arial" w:cs="Arial" w:eastAsia="Arial" w:hAnsi="Arial"/>
                <w:sz w:val="14"/>
                <w:szCs w:val="14"/>
                <w:b w:val="1"/>
                <w:bCs w:val="1"/>
                <w:color w:val="FFFFFF"/>
              </w:rPr>
              <w:t>Rights</w:t>
            </w:r>
          </w:p>
        </w:tc>
        <w:tc>
          <w:tcPr>
            <w:tcW w:w="28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Rights</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Plans</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0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Plan Category</w:t>
            </w:r>
          </w:p>
        </w:tc>
        <w:tc>
          <w:tcPr>
            <w:tcW w:w="300" w:type="dxa"/>
            <w:vAlign w:val="bottom"/>
            <w:gridSpan w:val="2"/>
            <w:shd w:val="clear" w:color="auto" w:fill="424E6A"/>
          </w:tcPr>
          <w:p>
            <w:pPr>
              <w:ind w:left="14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424E6A"/>
          </w:tcPr>
          <w:p>
            <w:pPr>
              <w:jc w:val="center"/>
              <w:ind w:left="224"/>
              <w:spacing w:after="0"/>
              <w:rPr>
                <w:sz w:val="20"/>
                <w:szCs w:val="20"/>
                <w:color w:val="auto"/>
              </w:rPr>
            </w:pPr>
            <w:r>
              <w:rPr>
                <w:rFonts w:ascii="Arial" w:cs="Arial" w:eastAsia="Arial" w:hAnsi="Arial"/>
                <w:sz w:val="14"/>
                <w:szCs w:val="14"/>
                <w:b w:val="1"/>
                <w:bCs w:val="1"/>
                <w:color w:val="FFFFFF"/>
              </w:rPr>
              <w:t>(a)</w:t>
            </w:r>
          </w:p>
        </w:tc>
        <w:tc>
          <w:tcPr>
            <w:tcW w:w="280" w:type="dxa"/>
            <w:vAlign w:val="bottom"/>
            <w:shd w:val="clear" w:color="auto" w:fill="424E6A"/>
          </w:tcPr>
          <w:p>
            <w:pPr>
              <w:spacing w:after="0"/>
              <w:rPr>
                <w:sz w:val="18"/>
                <w:szCs w:val="18"/>
                <w:color w:val="auto"/>
              </w:rPr>
            </w:pPr>
          </w:p>
        </w:tc>
        <w:tc>
          <w:tcPr>
            <w:tcW w:w="260" w:type="dxa"/>
            <w:vAlign w:val="bottom"/>
            <w:tcBorders>
              <w:right w:val="single" w:sz="8" w:color="424E6A"/>
            </w:tcBorders>
            <w:shd w:val="clear" w:color="auto" w:fill="424E6A"/>
          </w:tcPr>
          <w:p>
            <w:pPr>
              <w:spacing w:after="0"/>
              <w:rPr>
                <w:sz w:val="18"/>
                <w:szCs w:val="18"/>
                <w:color w:val="auto"/>
              </w:rPr>
            </w:pPr>
          </w:p>
        </w:tc>
        <w:tc>
          <w:tcPr>
            <w:tcW w:w="1460" w:type="dxa"/>
            <w:vAlign w:val="bottom"/>
            <w:shd w:val="clear" w:color="auto" w:fill="424E6A"/>
          </w:tcPr>
          <w:p>
            <w:pPr>
              <w:jc w:val="center"/>
              <w:ind w:left="168"/>
              <w:spacing w:after="0"/>
              <w:rPr>
                <w:sz w:val="20"/>
                <w:szCs w:val="20"/>
                <w:color w:val="auto"/>
              </w:rPr>
            </w:pPr>
            <w:r>
              <w:rPr>
                <w:rFonts w:ascii="Arial" w:cs="Arial" w:eastAsia="Arial" w:hAnsi="Arial"/>
                <w:sz w:val="14"/>
                <w:szCs w:val="14"/>
                <w:b w:val="1"/>
                <w:bCs w:val="1"/>
                <w:color w:val="FFFFFF"/>
              </w:rPr>
              <w:t>(b)</w:t>
            </w:r>
          </w:p>
        </w:tc>
        <w:tc>
          <w:tcPr>
            <w:tcW w:w="260" w:type="dxa"/>
            <w:vAlign w:val="bottom"/>
            <w:tcBorders>
              <w:right w:val="single" w:sz="8" w:color="424E6A"/>
            </w:tcBorders>
            <w:shd w:val="clear" w:color="auto" w:fill="424E6A"/>
          </w:tcPr>
          <w:p>
            <w:pPr>
              <w:spacing w:after="0"/>
              <w:rPr>
                <w:sz w:val="18"/>
                <w:szCs w:val="18"/>
                <w:color w:val="auto"/>
              </w:rPr>
            </w:pPr>
          </w:p>
        </w:tc>
        <w:tc>
          <w:tcPr>
            <w:tcW w:w="320" w:type="dxa"/>
            <w:vAlign w:val="bottom"/>
            <w:shd w:val="clear" w:color="auto" w:fill="424E6A"/>
          </w:tcPr>
          <w:p>
            <w:pPr>
              <w:spacing w:after="0"/>
              <w:rPr>
                <w:sz w:val="18"/>
                <w:szCs w:val="18"/>
                <w:color w:val="auto"/>
              </w:rPr>
            </w:pPr>
          </w:p>
        </w:tc>
        <w:tc>
          <w:tcPr>
            <w:tcW w:w="860" w:type="dxa"/>
            <w:vAlign w:val="bottom"/>
            <w:shd w:val="clear" w:color="auto" w:fill="424E6A"/>
          </w:tcPr>
          <w:p>
            <w:pPr>
              <w:jc w:val="center"/>
              <w:ind w:left="6"/>
              <w:spacing w:after="0"/>
              <w:rPr>
                <w:sz w:val="20"/>
                <w:szCs w:val="20"/>
                <w:color w:val="auto"/>
              </w:rPr>
            </w:pPr>
            <w:r>
              <w:rPr>
                <w:rFonts w:ascii="Arial" w:cs="Arial" w:eastAsia="Arial" w:hAnsi="Arial"/>
                <w:sz w:val="14"/>
                <w:szCs w:val="14"/>
                <w:b w:val="1"/>
                <w:bCs w:val="1"/>
                <w:color w:val="FFFFFF"/>
              </w:rPr>
              <w:t>(c)</w:t>
            </w:r>
          </w:p>
        </w:tc>
        <w:tc>
          <w:tcPr>
            <w:tcW w:w="140" w:type="dxa"/>
            <w:vAlign w:val="bottom"/>
            <w:shd w:val="clear" w:color="auto" w:fill="424E6A"/>
          </w:tcPr>
          <w:p>
            <w:pPr>
              <w:spacing w:after="0"/>
              <w:rPr>
                <w:sz w:val="18"/>
                <w:szCs w:val="18"/>
                <w:color w:val="auto"/>
              </w:rPr>
            </w:pPr>
          </w:p>
        </w:tc>
        <w:tc>
          <w:tcPr>
            <w:tcW w:w="28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w:t>
            </w:r>
          </w:p>
        </w:tc>
        <w:tc>
          <w:tcPr>
            <w:tcW w:w="200" w:type="dxa"/>
            <w:vAlign w:val="bottom"/>
            <w:tcBorders>
              <w:right w:val="single" w:sz="8" w:color="424E6A"/>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960" w:type="dxa"/>
            <w:vAlign w:val="bottom"/>
            <w:shd w:val="clear" w:color="auto" w:fill="D9DCE1"/>
          </w:tcPr>
          <w:p>
            <w:pPr>
              <w:spacing w:after="0"/>
              <w:rPr>
                <w:sz w:val="18"/>
                <w:szCs w:val="18"/>
                <w:color w:val="auto"/>
              </w:rPr>
            </w:pPr>
          </w:p>
        </w:tc>
        <w:tc>
          <w:tcPr>
            <w:tcW w:w="280" w:type="dxa"/>
            <w:vAlign w:val="bottom"/>
            <w:shd w:val="clear" w:color="auto" w:fill="D9DCE1"/>
          </w:tcPr>
          <w:p>
            <w:pPr>
              <w:spacing w:after="0"/>
              <w:rPr>
                <w:sz w:val="18"/>
                <w:szCs w:val="18"/>
                <w:color w:val="auto"/>
              </w:rPr>
            </w:pPr>
          </w:p>
        </w:tc>
        <w:tc>
          <w:tcPr>
            <w:tcW w:w="260" w:type="dxa"/>
            <w:vAlign w:val="bottom"/>
            <w:tcBorders>
              <w:right w:val="single" w:sz="8" w:color="424E6A"/>
            </w:tcBorders>
            <w:shd w:val="clear" w:color="auto" w:fill="D9DCE1"/>
          </w:tcPr>
          <w:p>
            <w:pPr>
              <w:spacing w:after="0"/>
              <w:rPr>
                <w:sz w:val="18"/>
                <w:szCs w:val="18"/>
                <w:color w:val="auto"/>
              </w:rPr>
            </w:pPr>
          </w:p>
        </w:tc>
        <w:tc>
          <w:tcPr>
            <w:tcW w:w="1460" w:type="dxa"/>
            <w:vAlign w:val="bottom"/>
            <w:shd w:val="clear" w:color="auto" w:fill="D9DCE1"/>
          </w:tcPr>
          <w:p>
            <w:pPr>
              <w:spacing w:after="0"/>
              <w:rPr>
                <w:sz w:val="18"/>
                <w:szCs w:val="18"/>
                <w:color w:val="auto"/>
              </w:rPr>
            </w:pPr>
          </w:p>
        </w:tc>
        <w:tc>
          <w:tcPr>
            <w:tcW w:w="260" w:type="dxa"/>
            <w:vAlign w:val="bottom"/>
            <w:tcBorders>
              <w:right w:val="single" w:sz="8" w:color="424E6A"/>
            </w:tcBorders>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860" w:type="dxa"/>
            <w:vAlign w:val="bottom"/>
            <w:shd w:val="clear" w:color="auto" w:fill="D9DCE1"/>
          </w:tcPr>
          <w:p>
            <w:pPr>
              <w:spacing w:after="0"/>
              <w:rPr>
                <w:sz w:val="18"/>
                <w:szCs w:val="18"/>
                <w:color w:val="auto"/>
              </w:rPr>
            </w:pPr>
          </w:p>
        </w:tc>
        <w:tc>
          <w:tcPr>
            <w:tcW w:w="140" w:type="dxa"/>
            <w:vAlign w:val="bottom"/>
            <w:shd w:val="clear" w:color="auto" w:fill="D9DCE1"/>
          </w:tcPr>
          <w:p>
            <w:pPr>
              <w:spacing w:after="0"/>
              <w:rPr>
                <w:sz w:val="18"/>
                <w:szCs w:val="18"/>
                <w:color w:val="auto"/>
              </w:rPr>
            </w:pPr>
          </w:p>
        </w:tc>
        <w:tc>
          <w:tcPr>
            <w:tcW w:w="28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10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by unitholders:</w:t>
            </w:r>
          </w:p>
        </w:tc>
        <w:tc>
          <w:tcPr>
            <w:tcW w:w="20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spacing w:after="0"/>
              <w:rPr>
                <w:sz w:val="22"/>
                <w:szCs w:val="22"/>
                <w:color w:val="auto"/>
              </w:rPr>
            </w:pPr>
          </w:p>
        </w:tc>
        <w:tc>
          <w:tcPr>
            <w:tcW w:w="26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100" w:type="dxa"/>
            <w:vAlign w:val="bottom"/>
            <w:tcBorders>
              <w:left w:val="single" w:sz="8" w:color="424E6A"/>
            </w:tcBorders>
            <w:vMerge w:val="restart"/>
          </w:tcPr>
          <w:p>
            <w:pPr>
              <w:ind w:left="60"/>
              <w:spacing w:after="0"/>
              <w:rPr>
                <w:sz w:val="20"/>
                <w:szCs w:val="20"/>
                <w:color w:val="auto"/>
              </w:rPr>
            </w:pPr>
            <w:r>
              <w:rPr>
                <w:rFonts w:ascii="Arial" w:cs="Arial" w:eastAsia="Arial" w:hAnsi="Arial"/>
                <w:sz w:val="18"/>
                <w:szCs w:val="18"/>
                <w:color w:val="auto"/>
              </w:rPr>
              <w:t>2021 Long Term Incentive Plan</w:t>
            </w:r>
          </w:p>
        </w:tc>
        <w:tc>
          <w:tcPr>
            <w:tcW w:w="200" w:type="dxa"/>
            <w:vAlign w:val="bottom"/>
            <w:tcBorders>
              <w:right w:val="single" w:sz="8" w:color="424E6A"/>
            </w:tcBorders>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8,735,721</w:t>
            </w:r>
          </w:p>
        </w:tc>
        <w:tc>
          <w:tcPr>
            <w:tcW w:w="280" w:type="dxa"/>
            <w:vAlign w:val="bottom"/>
          </w:tcPr>
          <w:p>
            <w:pPr>
              <w:jc w:val="right"/>
              <w:ind w:right="53"/>
              <w:spacing w:after="0" w:line="115" w:lineRule="exact"/>
              <w:rPr>
                <w:sz w:val="20"/>
                <w:szCs w:val="20"/>
                <w:color w:val="auto"/>
              </w:rPr>
            </w:pPr>
            <w:r>
              <w:rPr>
                <w:rFonts w:ascii="Arial" w:cs="Arial" w:eastAsia="Arial" w:hAnsi="Arial"/>
                <w:sz w:val="13"/>
                <w:szCs w:val="13"/>
                <w:color w:val="auto"/>
                <w:w w:val="87"/>
              </w:rPr>
              <w:t>(1)</w:t>
            </w:r>
          </w:p>
        </w:tc>
        <w:tc>
          <w:tcPr>
            <w:tcW w:w="26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14,425,737</w:t>
            </w:r>
          </w:p>
        </w:tc>
        <w:tc>
          <w:tcPr>
            <w:tcW w:w="420" w:type="dxa"/>
            <w:vAlign w:val="bottom"/>
            <w:tcBorders>
              <w:right w:val="single" w:sz="8" w:color="424E6A"/>
            </w:tcBorders>
            <w:gridSpan w:val="2"/>
          </w:tcPr>
          <w:p>
            <w:pPr>
              <w:jc w:val="right"/>
              <w:ind w:right="13"/>
              <w:spacing w:after="0" w:line="115" w:lineRule="exact"/>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48"/>
        </w:trPr>
        <w:tc>
          <w:tcPr>
            <w:tcW w:w="3100" w:type="dxa"/>
            <w:vAlign w:val="bottom"/>
            <w:tcBorders>
              <w:left w:val="single" w:sz="8" w:color="424E6A"/>
              <w:bottom w:val="single" w:sz="8" w:color="424E6A"/>
            </w:tcBorders>
            <w:vMerge w:val="continue"/>
          </w:tcPr>
          <w:p>
            <w:pPr>
              <w:spacing w:after="0"/>
              <w:rPr>
                <w:sz w:val="12"/>
                <w:szCs w:val="12"/>
                <w:color w:val="auto"/>
              </w:rPr>
            </w:pPr>
          </w:p>
        </w:tc>
        <w:tc>
          <w:tcPr>
            <w:tcW w:w="200" w:type="dxa"/>
            <w:vAlign w:val="bottom"/>
            <w:tcBorders>
              <w:bottom w:val="single" w:sz="8" w:color="424E6A"/>
              <w:right w:val="single" w:sz="8" w:color="424E6A"/>
            </w:tcBorders>
            <w:vMerge w:val="continue"/>
          </w:tcPr>
          <w:p>
            <w:pPr>
              <w:spacing w:after="0"/>
              <w:rPr>
                <w:sz w:val="12"/>
                <w:szCs w:val="12"/>
                <w:color w:val="auto"/>
              </w:rPr>
            </w:pPr>
          </w:p>
        </w:tc>
        <w:tc>
          <w:tcPr>
            <w:tcW w:w="100" w:type="dxa"/>
            <w:vAlign w:val="bottom"/>
            <w:tcBorders>
              <w:bottom w:val="single" w:sz="8" w:color="424E6A"/>
            </w:tcBorders>
            <w:vMerge w:val="continue"/>
          </w:tcPr>
          <w:p>
            <w:pPr>
              <w:spacing w:after="0"/>
              <w:rPr>
                <w:sz w:val="12"/>
                <w:szCs w:val="12"/>
                <w:color w:val="auto"/>
              </w:rPr>
            </w:pPr>
          </w:p>
        </w:tc>
        <w:tc>
          <w:tcPr>
            <w:tcW w:w="960" w:type="dxa"/>
            <w:vAlign w:val="bottom"/>
            <w:tcBorders>
              <w:bottom w:val="single" w:sz="8" w:color="424E6A"/>
            </w:tcBorders>
            <w:vMerge w:val="continue"/>
          </w:tcPr>
          <w:p>
            <w:pPr>
              <w:spacing w:after="0"/>
              <w:rPr>
                <w:sz w:val="12"/>
                <w:szCs w:val="12"/>
                <w:color w:val="auto"/>
              </w:rPr>
            </w:pPr>
          </w:p>
        </w:tc>
        <w:tc>
          <w:tcPr>
            <w:tcW w:w="280" w:type="dxa"/>
            <w:vAlign w:val="bottom"/>
            <w:tcBorders>
              <w:bottom w:val="single" w:sz="8" w:color="424E6A"/>
            </w:tcBorders>
          </w:tcPr>
          <w:p>
            <w:pPr>
              <w:spacing w:after="0"/>
              <w:rPr>
                <w:sz w:val="12"/>
                <w:szCs w:val="12"/>
                <w:color w:val="auto"/>
              </w:rPr>
            </w:pP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460" w:type="dxa"/>
            <w:vAlign w:val="bottom"/>
            <w:tcBorders>
              <w:bottom w:val="single" w:sz="8" w:color="424E6A"/>
            </w:tcBorders>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1"/>
                <w:szCs w:val="11"/>
                <w:color w:val="auto"/>
              </w:rPr>
              <w:t>N/A</w:t>
            </w: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180" w:type="dxa"/>
            <w:vAlign w:val="bottom"/>
            <w:tcBorders>
              <w:bottom w:val="single" w:sz="8" w:color="424E6A"/>
            </w:tcBorders>
            <w:gridSpan w:val="2"/>
            <w:vMerge w:val="continue"/>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280" w:type="dxa"/>
            <w:vAlign w:val="bottom"/>
            <w:tcBorders>
              <w:bottom w:val="single" w:sz="8" w:color="424E6A"/>
              <w:right w:val="single" w:sz="8" w:color="424E6A"/>
            </w:tcBorders>
          </w:tcPr>
          <w:p>
            <w:pPr>
              <w:ind w:left="2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100" w:type="dxa"/>
            <w:vAlign w:val="bottom"/>
            <w:tcBorders>
              <w:left w:val="single" w:sz="8" w:color="424E6A"/>
            </w:tcBorders>
            <w:shd w:val="clear" w:color="auto" w:fill="D9DCE1"/>
          </w:tcPr>
          <w:p>
            <w:pPr>
              <w:ind w:left="60"/>
              <w:spacing w:after="0" w:line="204" w:lineRule="exact"/>
              <w:rPr>
                <w:sz w:val="20"/>
                <w:szCs w:val="20"/>
                <w:color w:val="auto"/>
              </w:rPr>
            </w:pPr>
            <w:r>
              <w:rPr>
                <w:rFonts w:ascii="Arial" w:cs="Arial" w:eastAsia="Arial" w:hAnsi="Arial"/>
                <w:sz w:val="18"/>
                <w:szCs w:val="18"/>
                <w:color w:val="auto"/>
              </w:rPr>
              <w:t>Equity compensation plans not</w:t>
            </w:r>
          </w:p>
        </w:tc>
        <w:tc>
          <w:tcPr>
            <w:tcW w:w="200" w:type="dxa"/>
            <w:vAlign w:val="bottom"/>
            <w:tcBorders>
              <w:right w:val="single" w:sz="8" w:color="424E6A"/>
            </w:tcBorders>
            <w:shd w:val="clear" w:color="auto" w:fill="D9DCE1"/>
          </w:tcPr>
          <w:p>
            <w:pPr>
              <w:spacing w:after="0"/>
              <w:rPr>
                <w:sz w:val="17"/>
                <w:szCs w:val="17"/>
                <w:color w:val="auto"/>
              </w:rPr>
            </w:pPr>
          </w:p>
        </w:tc>
        <w:tc>
          <w:tcPr>
            <w:tcW w:w="100" w:type="dxa"/>
            <w:vAlign w:val="bottom"/>
            <w:shd w:val="clear" w:color="auto" w:fill="D9DCE1"/>
          </w:tcPr>
          <w:p>
            <w:pPr>
              <w:spacing w:after="0"/>
              <w:rPr>
                <w:sz w:val="17"/>
                <w:szCs w:val="17"/>
                <w:color w:val="auto"/>
              </w:rPr>
            </w:pPr>
          </w:p>
        </w:tc>
        <w:tc>
          <w:tcPr>
            <w:tcW w:w="960" w:type="dxa"/>
            <w:vAlign w:val="bottom"/>
            <w:shd w:val="clear" w:color="auto" w:fill="D9DCE1"/>
          </w:tcPr>
          <w:p>
            <w:pPr>
              <w:spacing w:after="0"/>
              <w:rPr>
                <w:sz w:val="17"/>
                <w:szCs w:val="17"/>
                <w:color w:val="auto"/>
              </w:rPr>
            </w:pPr>
          </w:p>
        </w:tc>
        <w:tc>
          <w:tcPr>
            <w:tcW w:w="28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146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860" w:type="dxa"/>
            <w:vAlign w:val="bottom"/>
            <w:shd w:val="clear" w:color="auto" w:fill="D9DCE1"/>
          </w:tcPr>
          <w:p>
            <w:pPr>
              <w:spacing w:after="0"/>
              <w:rPr>
                <w:sz w:val="17"/>
                <w:szCs w:val="17"/>
                <w:color w:val="auto"/>
              </w:rPr>
            </w:pPr>
          </w:p>
        </w:tc>
        <w:tc>
          <w:tcPr>
            <w:tcW w:w="140" w:type="dxa"/>
            <w:vAlign w:val="bottom"/>
            <w:shd w:val="clear" w:color="auto" w:fill="D9DCE1"/>
          </w:tcPr>
          <w:p>
            <w:pPr>
              <w:spacing w:after="0"/>
              <w:rPr>
                <w:sz w:val="17"/>
                <w:szCs w:val="17"/>
                <w:color w:val="auto"/>
              </w:rPr>
            </w:pPr>
          </w:p>
        </w:tc>
        <w:tc>
          <w:tcPr>
            <w:tcW w:w="28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10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approved by unitholders:</w:t>
            </w:r>
          </w:p>
        </w:tc>
        <w:tc>
          <w:tcPr>
            <w:tcW w:w="20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spacing w:after="0"/>
              <w:rPr>
                <w:sz w:val="22"/>
                <w:szCs w:val="22"/>
                <w:color w:val="auto"/>
              </w:rPr>
            </w:pPr>
          </w:p>
        </w:tc>
        <w:tc>
          <w:tcPr>
            <w:tcW w:w="26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100" w:type="dxa"/>
            <w:vAlign w:val="bottom"/>
            <w:tcBorders>
              <w:left w:val="single" w:sz="8" w:color="424E6A"/>
            </w:tcBorders>
            <w:vMerge w:val="restart"/>
          </w:tcPr>
          <w:p>
            <w:pPr>
              <w:ind w:left="60"/>
              <w:spacing w:after="0"/>
              <w:rPr>
                <w:sz w:val="20"/>
                <w:szCs w:val="20"/>
                <w:color w:val="auto"/>
              </w:rPr>
            </w:pPr>
            <w:r>
              <w:rPr>
                <w:rFonts w:ascii="Arial" w:cs="Arial" w:eastAsia="Arial" w:hAnsi="Arial"/>
                <w:sz w:val="18"/>
                <w:szCs w:val="18"/>
                <w:color w:val="auto"/>
              </w:rPr>
              <w:t>PNG Successor Plan</w:t>
            </w:r>
          </w:p>
        </w:tc>
        <w:tc>
          <w:tcPr>
            <w:tcW w:w="200" w:type="dxa"/>
            <w:vAlign w:val="bottom"/>
            <w:tcBorders>
              <w:right w:val="single" w:sz="8" w:color="424E6A"/>
            </w:tcBorders>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211,000</w:t>
            </w:r>
          </w:p>
        </w:tc>
        <w:tc>
          <w:tcPr>
            <w:tcW w:w="280" w:type="dxa"/>
            <w:vAlign w:val="bottom"/>
          </w:tcPr>
          <w:p>
            <w:pPr>
              <w:jc w:val="right"/>
              <w:ind w:right="53"/>
              <w:spacing w:after="0" w:line="115" w:lineRule="exact"/>
              <w:rPr>
                <w:sz w:val="20"/>
                <w:szCs w:val="20"/>
                <w:color w:val="auto"/>
              </w:rPr>
            </w:pPr>
            <w:r>
              <w:rPr>
                <w:rFonts w:ascii="Arial" w:cs="Arial" w:eastAsia="Arial" w:hAnsi="Arial"/>
                <w:sz w:val="13"/>
                <w:szCs w:val="13"/>
                <w:color w:val="auto"/>
                <w:w w:val="87"/>
              </w:rPr>
              <w:t>(4)</w:t>
            </w:r>
          </w:p>
        </w:tc>
        <w:tc>
          <w:tcPr>
            <w:tcW w:w="26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5,079</w:t>
            </w:r>
          </w:p>
        </w:tc>
        <w:tc>
          <w:tcPr>
            <w:tcW w:w="420" w:type="dxa"/>
            <w:vAlign w:val="bottom"/>
            <w:tcBorders>
              <w:right w:val="single" w:sz="8" w:color="424E6A"/>
            </w:tcBorders>
            <w:gridSpan w:val="2"/>
          </w:tcPr>
          <w:p>
            <w:pPr>
              <w:jc w:val="right"/>
              <w:ind w:right="13"/>
              <w:spacing w:after="0" w:line="115" w:lineRule="exact"/>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48"/>
        </w:trPr>
        <w:tc>
          <w:tcPr>
            <w:tcW w:w="3100" w:type="dxa"/>
            <w:vAlign w:val="bottom"/>
            <w:tcBorders>
              <w:left w:val="single" w:sz="8" w:color="424E6A"/>
              <w:bottom w:val="single" w:sz="8" w:color="424E6A"/>
            </w:tcBorders>
            <w:vMerge w:val="continue"/>
          </w:tcPr>
          <w:p>
            <w:pPr>
              <w:spacing w:after="0"/>
              <w:rPr>
                <w:sz w:val="12"/>
                <w:szCs w:val="12"/>
                <w:color w:val="auto"/>
              </w:rPr>
            </w:pPr>
          </w:p>
        </w:tc>
        <w:tc>
          <w:tcPr>
            <w:tcW w:w="200" w:type="dxa"/>
            <w:vAlign w:val="bottom"/>
            <w:tcBorders>
              <w:bottom w:val="single" w:sz="8" w:color="424E6A"/>
              <w:right w:val="single" w:sz="8" w:color="424E6A"/>
            </w:tcBorders>
            <w:vMerge w:val="continue"/>
          </w:tcPr>
          <w:p>
            <w:pPr>
              <w:spacing w:after="0"/>
              <w:rPr>
                <w:sz w:val="12"/>
                <w:szCs w:val="12"/>
                <w:color w:val="auto"/>
              </w:rPr>
            </w:pPr>
          </w:p>
        </w:tc>
        <w:tc>
          <w:tcPr>
            <w:tcW w:w="100" w:type="dxa"/>
            <w:vAlign w:val="bottom"/>
            <w:tcBorders>
              <w:bottom w:val="single" w:sz="8" w:color="424E6A"/>
            </w:tcBorders>
            <w:vMerge w:val="continue"/>
          </w:tcPr>
          <w:p>
            <w:pPr>
              <w:spacing w:after="0"/>
              <w:rPr>
                <w:sz w:val="12"/>
                <w:szCs w:val="12"/>
                <w:color w:val="auto"/>
              </w:rPr>
            </w:pPr>
          </w:p>
        </w:tc>
        <w:tc>
          <w:tcPr>
            <w:tcW w:w="960" w:type="dxa"/>
            <w:vAlign w:val="bottom"/>
            <w:tcBorders>
              <w:bottom w:val="single" w:sz="8" w:color="424E6A"/>
            </w:tcBorders>
            <w:vMerge w:val="continue"/>
          </w:tcPr>
          <w:p>
            <w:pPr>
              <w:spacing w:after="0"/>
              <w:rPr>
                <w:sz w:val="12"/>
                <w:szCs w:val="12"/>
                <w:color w:val="auto"/>
              </w:rPr>
            </w:pPr>
          </w:p>
        </w:tc>
        <w:tc>
          <w:tcPr>
            <w:tcW w:w="280" w:type="dxa"/>
            <w:vAlign w:val="bottom"/>
            <w:tcBorders>
              <w:bottom w:val="single" w:sz="8" w:color="424E6A"/>
            </w:tcBorders>
          </w:tcPr>
          <w:p>
            <w:pPr>
              <w:spacing w:after="0"/>
              <w:rPr>
                <w:sz w:val="12"/>
                <w:szCs w:val="12"/>
                <w:color w:val="auto"/>
              </w:rPr>
            </w:pP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460" w:type="dxa"/>
            <w:vAlign w:val="bottom"/>
            <w:tcBorders>
              <w:bottom w:val="single" w:sz="8" w:color="424E6A"/>
            </w:tcBorders>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1"/>
                <w:szCs w:val="11"/>
                <w:color w:val="auto"/>
              </w:rPr>
              <w:t>N/A</w:t>
            </w: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320" w:type="dxa"/>
            <w:vAlign w:val="bottom"/>
            <w:tcBorders>
              <w:bottom w:val="single" w:sz="8" w:color="424E6A"/>
            </w:tcBorders>
            <w:vMerge w:val="continue"/>
          </w:tcPr>
          <w:p>
            <w:pPr>
              <w:spacing w:after="0"/>
              <w:rPr>
                <w:sz w:val="12"/>
                <w:szCs w:val="12"/>
                <w:color w:val="auto"/>
              </w:rPr>
            </w:pPr>
          </w:p>
        </w:tc>
        <w:tc>
          <w:tcPr>
            <w:tcW w:w="860" w:type="dxa"/>
            <w:vAlign w:val="bottom"/>
            <w:tcBorders>
              <w:bottom w:val="single" w:sz="8" w:color="424E6A"/>
            </w:tcBorders>
            <w:vMerge w:val="continue"/>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280" w:type="dxa"/>
            <w:vAlign w:val="bottom"/>
            <w:tcBorders>
              <w:bottom w:val="single" w:sz="8" w:color="424E6A"/>
              <w:right w:val="single" w:sz="8" w:color="424E6A"/>
            </w:tcBorders>
          </w:tcPr>
          <w:p>
            <w:pPr>
              <w:ind w:left="2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20" w:right="499" w:hanging="360"/>
        <w:spacing w:after="0" w:line="220" w:lineRule="auto"/>
        <w:tabs>
          <w:tab w:leader="none" w:pos="1620"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The 2021 Long-Term Incentive Plan (the “2021 Plan”), which was approved by our unitholders in May 2021, amended, restated and renamed the 2013 Long-Term Incentive Plan (the “2013 Plan” or “prior plan”). The 2021 Plan contemplates the issuance or delivery of up to 28,786,102</w:t>
      </w:r>
    </w:p>
    <w:p>
      <w:pPr>
        <w:spacing w:after="0" w:line="1" w:lineRule="exact"/>
        <w:rPr>
          <w:rFonts w:ascii="Arial" w:cs="Arial" w:eastAsia="Arial" w:hAnsi="Arial"/>
          <w:sz w:val="27"/>
          <w:szCs w:val="27"/>
          <w:color w:val="auto"/>
          <w:vertAlign w:val="superscript"/>
        </w:rPr>
      </w:pPr>
    </w:p>
    <w:p>
      <w:pPr>
        <w:ind w:left="1620" w:right="41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common units to satisfy awards under the plan, which amount is net of 9,063,516 common units previously issued under the prior plan. The number of units presented in column (a) assumes that all outstanding grants will be satisfied by the issuance of new units upon vesting unless such grants are by their terms payable only in cash. Some portion of the phantom units may be settled in cash or will be withheld for taxes. Any units not issued upon vesting will become “available for future issuance” under column (c).</w:t>
      </w:r>
    </w:p>
    <w:p>
      <w:pPr>
        <w:spacing w:after="0" w:line="36"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Phantom unit awards under the 2021 Plan and PNG Successor Plan (defined below) vest without payment by recipients.</w:t>
      </w:r>
    </w:p>
    <w:p>
      <w:pPr>
        <w:spacing w:after="0" w:line="60" w:lineRule="exact"/>
        <w:rPr>
          <w:rFonts w:ascii="Arial" w:cs="Arial" w:eastAsia="Arial" w:hAnsi="Arial"/>
          <w:sz w:val="27"/>
          <w:szCs w:val="27"/>
          <w:color w:val="auto"/>
          <w:vertAlign w:val="superscript"/>
        </w:rPr>
      </w:pPr>
    </w:p>
    <w:p>
      <w:pPr>
        <w:ind w:left="1620" w:right="659" w:hanging="360"/>
        <w:spacing w:after="0" w:line="233" w:lineRule="auto"/>
        <w:tabs>
          <w:tab w:leader="none" w:pos="1620" w:val="left"/>
        </w:tabs>
        <w:numPr>
          <w:ilvl w:val="0"/>
          <w:numId w:val="78"/>
        </w:numPr>
        <w:rPr>
          <w:rFonts w:ascii="Arial" w:cs="Arial" w:eastAsia="Arial" w:hAnsi="Arial"/>
          <w:sz w:val="26"/>
          <w:szCs w:val="26"/>
          <w:color w:val="auto"/>
          <w:vertAlign w:val="superscript"/>
        </w:rPr>
      </w:pPr>
      <w:r>
        <w:rPr>
          <w:rFonts w:ascii="Arial" w:cs="Arial" w:eastAsia="Arial" w:hAnsi="Arial"/>
          <w:sz w:val="17"/>
          <w:szCs w:val="17"/>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45" w:lineRule="exact"/>
        <w:rPr>
          <w:rFonts w:ascii="Arial" w:cs="Arial" w:eastAsia="Arial" w:hAnsi="Arial"/>
          <w:sz w:val="26"/>
          <w:szCs w:val="26"/>
          <w:color w:val="auto"/>
          <w:vertAlign w:val="superscript"/>
        </w:rPr>
      </w:pPr>
    </w:p>
    <w:p>
      <w:pPr>
        <w:ind w:left="1620" w:right="539" w:hanging="360"/>
        <w:spacing w:after="0" w:line="252" w:lineRule="auto"/>
        <w:tabs>
          <w:tab w:leader="none" w:pos="1620" w:val="left"/>
        </w:tabs>
        <w:numPr>
          <w:ilvl w:val="0"/>
          <w:numId w:val="78"/>
        </w:numPr>
        <w:rPr>
          <w:rFonts w:ascii="Arial" w:cs="Arial" w:eastAsia="Arial" w:hAnsi="Arial"/>
          <w:sz w:val="26"/>
          <w:szCs w:val="26"/>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w:t>
      </w:r>
    </w:p>
    <w:p>
      <w:pPr>
        <w:spacing w:after="0" w:line="6" w:lineRule="exact"/>
        <w:rPr>
          <w:rFonts w:ascii="Arial" w:cs="Arial" w:eastAsia="Arial" w:hAnsi="Arial"/>
          <w:sz w:val="26"/>
          <w:szCs w:val="26"/>
          <w:color w:val="auto"/>
          <w:vertAlign w:val="superscript"/>
        </w:rPr>
      </w:pPr>
    </w:p>
    <w:p>
      <w:pPr>
        <w:ind w:left="1620" w:right="55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(a) assumes that all outstanding grants will be satisfied by the issuance of new units upon vesting unless such LTIPs are by their terms payable only in cash. Some portion of the phantom units may be settled in cash or will be withheld for taxes. Any units not issued upon vesting will become “available for future issuance” under column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by Plains Midstream Canada ULC). We do not pay our general partner a management fee, but we do reimburse our general partner for all expenses incurred on our behalf (other than expenses related to the AAP Management Units). Total costs reimbursed by us to our general partner for the year ended December 31, 2024 were approximately $583 million.</w:t>
      </w:r>
    </w:p>
    <w:p>
      <w:pPr>
        <w:spacing w:after="0" w:line="11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Our general partner owns a non-economic general partner interest in us and, as of March 24, 2025, owned approximately 233 million common units (representing approximately 30% of our outstanding common units and Series A preferred units combined). This limited partner interest entitles our general partner to receive quarterly distributions at the same rate as other common unitholders; however, these units are not entitled to vote in the election of directors.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Long-Term Incentive Plans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4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May 2021, our unitholders approved the adoption of the 2021 Plan, which amended, restated and renamed the 2013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2021 Plan, the “Plans”). The provisions of the PNG Successor Plan are substantially the same as the 2013 Plan, except that new awards under the PNG Successor Plan may only be made to employees hired after the date of the PNG Merger. Awards contemplated by the Plans include phantom units, unit appreciation rights, restricted units, options, DERs and cash awards. The 2021 Plan authorizes the grant of awards covering an aggregate of 28,786,102 common units deliverable upon vesting or exercise (as applicable) of such awards. The PNG Successor Plan authorizes the grant of awards covering an aggregate of 1,319,983 common units deliverable upon vesting or exercise (as applicable) of such awards.</w:t>
      </w:r>
    </w:p>
    <w:p>
      <w:pPr>
        <w:spacing w:after="0" w:line="11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Plans are administered by the Compensation Committee or other Board committee appointed to administer the Plans, or by the Board. The plan administrator has the right to terminate or amend the Plans from time to time, including, subject to any applicable Nasdaq listing requirements, increasing the number of common units available for awards under the Plans. No change may be made to any outstanding grant that would materially reduce the benefits of the holder of such grant without the consent of such holder.</w:t>
      </w:r>
    </w:p>
    <w:p>
      <w:pPr>
        <w:spacing w:after="0" w:line="11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Common units to be delivered upon the vesting and settlement of awards may be common units acquired in the open market, newly issued common units, common units acquired from us, any of our affiliates or any other person, or any combination of the foregoing. Our general partner will be entitled to reimbursement by us for the cost incurred in acquiring common units. When we issue new common units upon vesting and settlement of grants, the total number of common units outstanding increases.</w:t>
      </w:r>
    </w:p>
    <w:p>
      <w:pPr>
        <w:spacing w:after="0" w:line="98"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Pursuant to the terms of the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2021 Plan. Units tendered or withheld in payment of any exercise or purchase price of an Award, units that were subject to an option or unit appreciation right but were</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not issued or delivered as a result of the net settlement of such Award, and units repurchased on the open market with the proceeds of an option’s exercise price, will not, in each case, be available for future Awards under the 2021 Plan.</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As of December 31, 2024, grants of approximately 8,735,721 and 211,000 unvested phantom units were outstanding under the 2021 Plan and PNG Successor Plan, respectively, and approximately 14,425,737 and 5,079 remained available for future grant, respectively. The plan administrator may, in the future, make additional grants under the Plans to employees and directors containing such terms as the plan administrator shall determine.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i w:val="1"/>
          <w:iCs w:val="1"/>
          <w:color w:val="auto"/>
        </w:rPr>
        <w:t xml:space="preserve">Phantom Units. </w:t>
      </w:r>
      <w:r>
        <w:rPr>
          <w:rFonts w:ascii="Arial" w:cs="Arial" w:eastAsia="Arial" w:hAnsi="Arial"/>
          <w:sz w:val="18"/>
          <w:szCs w:val="18"/>
          <w:color w:val="auto"/>
        </w:rPr>
        <w:t>A phantom unit entitles the grantee to receive, upon the vesting of the phantom unit,</w:t>
      </w:r>
      <w:r>
        <w:rPr>
          <w:rFonts w:ascii="Arial" w:cs="Arial" w:eastAsia="Arial" w:hAnsi="Arial"/>
          <w:sz w:val="18"/>
          <w:szCs w:val="18"/>
          <w:i w:val="1"/>
          <w:iCs w:val="1"/>
          <w:color w:val="auto"/>
        </w:rPr>
        <w:t xml:space="preserve"> </w:t>
      </w:r>
      <w:r>
        <w:rPr>
          <w:rFonts w:ascii="Arial" w:cs="Arial" w:eastAsia="Arial" w:hAnsi="Arial"/>
          <w:sz w:val="18"/>
          <w:szCs w:val="18"/>
          <w:color w:val="auto"/>
        </w:rPr>
        <w:t>a 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9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i w:val="1"/>
          <w:iCs w:val="1"/>
          <w:color w:val="auto"/>
        </w:rPr>
        <w:t xml:space="preserve">Unit Appreciation Rights. </w:t>
      </w:r>
      <w:r>
        <w:rPr>
          <w:rFonts w:ascii="Arial" w:cs="Arial" w:eastAsia="Arial" w:hAnsi="Arial"/>
          <w:sz w:val="18"/>
          <w:szCs w:val="18"/>
          <w:color w:val="auto"/>
        </w:rPr>
        <w:t>A unit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common unit on the exercise date over the grant price of the unit appreciation right. The excess may be paid in cash and/or common units as determined by the plan administrator in its discretion, provided that unit appreciation rights may not have an exercise price that is less than the fair market value of the common units on the date of grant. No unit appreciation rights have been granted under the Plans to date.</w:t>
      </w:r>
    </w:p>
    <w:p>
      <w:pPr>
        <w:spacing w:after="0" w:line="115"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8"/>
          <w:szCs w:val="18"/>
          <w:i w:val="1"/>
          <w:iCs w:val="1"/>
          <w:color w:val="auto"/>
        </w:rPr>
        <w:t xml:space="preserve">Restricted Unit Awards. </w:t>
      </w:r>
      <w:r>
        <w:rPr>
          <w:rFonts w:ascii="Arial" w:cs="Arial" w:eastAsia="Arial" w:hAnsi="Arial"/>
          <w:sz w:val="18"/>
          <w:szCs w:val="18"/>
          <w:color w:val="auto"/>
        </w:rPr>
        <w:t>A restricted unit is a common unit that is subject to a risk of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transferability, and any other restrictions that may be imposed by the plan administrator in its discretion. No restricted unit awards have been granted under the Plans to date.</w:t>
      </w:r>
    </w:p>
    <w:p>
      <w:pPr>
        <w:spacing w:after="0" w:line="10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may be granted to purchase a specific number of common units at a set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Plan will be determined by the plan administrator at the time the option is granted, provided no each option may have an exercise price that is less than the fair market value of the common units on the date of grant. No options have been granted under the Plans to date.</w:t>
      </w:r>
    </w:p>
    <w:p>
      <w:pPr>
        <w:spacing w:after="0" w:line="98" w:lineRule="exact"/>
        <w:rPr>
          <w:sz w:val="20"/>
          <w:szCs w:val="20"/>
          <w:color w:val="auto"/>
        </w:rPr>
      </w:pPr>
    </w:p>
    <w:p>
      <w:pPr>
        <w:jc w:val="both"/>
        <w:ind w:left="1260" w:right="459" w:firstLine="360"/>
        <w:spacing w:after="0" w:line="291" w:lineRule="auto"/>
        <w:rPr>
          <w:sz w:val="20"/>
          <w:szCs w:val="20"/>
          <w:color w:val="auto"/>
        </w:rPr>
      </w:pPr>
      <w:r>
        <w:rPr>
          <w:rFonts w:ascii="Arial" w:cs="Arial" w:eastAsia="Arial" w:hAnsi="Arial"/>
          <w:sz w:val="17"/>
          <w:szCs w:val="17"/>
          <w:i w:val="1"/>
          <w:iCs w:val="1"/>
          <w:color w:val="auto"/>
        </w:rPr>
        <w:t xml:space="preserve">Distribution Equivalent Rights. </w:t>
      </w:r>
      <w:r>
        <w:rPr>
          <w:rFonts w:ascii="Arial" w:cs="Arial" w:eastAsia="Arial" w:hAnsi="Arial"/>
          <w:sz w:val="17"/>
          <w:szCs w:val="17"/>
          <w:color w:val="auto"/>
        </w:rPr>
        <w:t>Awards granted under the Plans (other than Restricted Unit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DERs. DERs entitle the grantee to a cash payment, either while the Award is outstanding or upon vesting, equal to the cash distributions paid on a unit while the Award is outstanding.</w:t>
      </w:r>
    </w:p>
    <w:p>
      <w:pPr>
        <w:spacing w:after="0" w:line="85"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Cash Awards may be granted on a free-standing basis or as an element of, as a</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to, or in lieu of any other Award granted under the 2021 Plan.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56"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General Partner or one of its affiliates are authorized to withhold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from any payment due or transfer made under any Award or from any compensation or other amount owing to a plan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p>
    <w:p>
      <w:pPr>
        <w:spacing w:after="0" w:line="102" w:lineRule="exact"/>
        <w:rPr>
          <w:sz w:val="20"/>
          <w:szCs w:val="20"/>
          <w:color w:val="auto"/>
        </w:rPr>
      </w:pPr>
    </w:p>
    <w:p>
      <w:pPr>
        <w:ind w:left="1260" w:right="519" w:firstLine="360"/>
        <w:spacing w:after="0" w:line="28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Except to the extent specifically provided in an Award agreement, vesting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not occur solely upon a change of control.</w:t>
      </w:r>
    </w:p>
    <w:p>
      <w:pPr>
        <w:spacing w:after="0" w:line="85" w:lineRule="exact"/>
        <w:rPr>
          <w:sz w:val="20"/>
          <w:szCs w:val="20"/>
          <w:color w:val="auto"/>
        </w:rPr>
      </w:pPr>
    </w:p>
    <w:p>
      <w:pPr>
        <w:jc w:val="both"/>
        <w:ind w:left="1260" w:right="599" w:firstLine="360"/>
        <w:spacing w:after="0" w:line="291" w:lineRule="auto"/>
        <w:rPr>
          <w:sz w:val="20"/>
          <w:szCs w:val="20"/>
          <w:color w:val="auto"/>
        </w:rPr>
      </w:pPr>
      <w:r>
        <w:rPr>
          <w:rFonts w:ascii="Arial" w:cs="Arial" w:eastAsia="Arial" w:hAnsi="Arial"/>
          <w:sz w:val="17"/>
          <w:szCs w:val="17"/>
          <w:i w:val="1"/>
          <w:iCs w:val="1"/>
          <w:color w:val="auto"/>
        </w:rPr>
        <w:t>Minimum Vesting Requirement</w:t>
      </w:r>
      <w:r>
        <w:rPr>
          <w:rFonts w:ascii="Arial" w:cs="Arial" w:eastAsia="Arial" w:hAnsi="Arial"/>
          <w:sz w:val="17"/>
          <w:szCs w:val="17"/>
          <w:color w:val="auto"/>
        </w:rPr>
        <w:t>. The 2021 Plan provides that Awards that must or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in units shall vest no earlier than the first anniversary of the date the Award is granted. Notwithstanding the foregoing, Awards that result in the issuance of an aggregate of up to 5% of the units available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for issuance under the 2021 Plan may be granted to one or more plan participants without regard to this minimum vesting requirement.</w:t>
      </w:r>
    </w:p>
    <w:p>
      <w:pPr>
        <w:spacing w:after="0" w:line="85"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The plan administrator retains the discretion under the 2021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holding period with respect to an Award or the units received in connection with an Award. Pursuant to the Equity Ownership Guidelines adopted by our Board in November 2020, our executive officers and Directors will be required to hold 100% of any units acquired upon vesting of Awards until the applicable ownership requirements are met.</w:t>
      </w:r>
    </w:p>
    <w:p>
      <w:pPr>
        <w:spacing w:after="0" w:line="112"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The 2021 Plan provides that all Awards granted thereunder are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clawback policies that we may adopt, including any policy adopted to conform to the Dodd-Frank Wall Street Reform and Consumer Protection Act of 2010 and the rules promulgated thereunder such as our Amended and Restated Clawback Policy adopted in November 2023.</w:t>
      </w:r>
    </w:p>
    <w:p>
      <w:pPr>
        <w:spacing w:after="0" w:line="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plan participant’s lifetime, or by the person to whom the plan participant’s rights pass by will or the laws of descent and distribution. No Award or right granted under the 2021 Plan may be assigned, alienated, pledged, attached, sold or otherwise transferred or encumbered and any such purported transfer shall be void and unenforceable. Notwithstanding the foregoing, the plan administrator may, in its discretion, allow a plan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Anti-Dilution Adjustments</w:t>
      </w:r>
      <w:r>
        <w:rPr>
          <w:rFonts w:ascii="Arial" w:cs="Arial" w:eastAsia="Arial" w:hAnsi="Arial"/>
          <w:sz w:val="18"/>
          <w:szCs w:val="18"/>
          <w:color w:val="auto"/>
        </w:rPr>
        <w:t>. 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ASC Topic 718 if adjustments to Awards with respect to such event were discretionary, the plan administrator will equitably adjust the number and type of common units covered by each outstanding Award and the terms and conditions of such Award to equitably reflect the restructuring event, and the plan administrator will adjust the number and type of common units with respect to which future Awards may be granted under the 2021 Plan.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2021 Plan and the kind of units or other securities available for grant under the 2021 Plan.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PAGP, PAGP GP, Plains AAP, PAA GP LLC and GP LLC (collectively with us, the “Plains Entities”), which provides, among other things, that all direct or indirect expenses of any of the Plains Entities will be paid by us, other than income taxes, if any, of PAGP GP, PAGP, GP LLC, Plains AAP and PAA GP LLC. Such direct or indirect expenses include, but are not limited to, (i) compensation and expense reimbursements for the directors of PAGP GP,</w:t>
      </w:r>
    </w:p>
    <w:p>
      <w:pPr>
        <w:spacing w:after="0" w:line="4" w:lineRule="exact"/>
        <w:rPr>
          <w:sz w:val="20"/>
          <w:szCs w:val="20"/>
          <w:color w:val="auto"/>
        </w:rPr>
      </w:pPr>
    </w:p>
    <w:p>
      <w:pPr>
        <w:ind w:left="1500" w:hanging="240"/>
        <w:spacing w:after="0"/>
        <w:tabs>
          <w:tab w:leader="none" w:pos="1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w:t>
      </w:r>
    </w:p>
    <w:p>
      <w:pPr>
        <w:spacing w:after="0" w:line="20" w:lineRule="exact"/>
        <w:rPr>
          <w:rFonts w:ascii="Arial" w:cs="Arial" w:eastAsia="Arial" w:hAnsi="Arial"/>
          <w:sz w:val="17"/>
          <w:szCs w:val="17"/>
          <w:color w:val="auto"/>
        </w:rPr>
      </w:pPr>
    </w:p>
    <w:p>
      <w:pPr>
        <w:ind w:left="1260" w:right="779"/>
        <w:spacing w:after="0" w:line="266" w:lineRule="auto"/>
        <w:tabs>
          <w:tab w:leader="none" w:pos="15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fees related to legal, tax, financial advisory and accounting services. We paid $4.3 million of such expenses in 2024.</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4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In December 2024, a subsidiary of the Plains Oryx Permian Basin LLC joint venture entered into an agreement to purchase for $161 million (approximately $105 million net to our interest) an entity that owns a crude oil gathering and transportation business in the Delaware Basin from companies affiliated with EMG, which is associated with John Raymond. The transaction closed in early January. Based on information provided by representatives of EMG, our allocable share of the purchase price did not exceed 5% of EMG’s consolidated gross revenues for 2024.</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January 2025, we acquired for approximately $475 million an entity that owns a gathering system in the Eagle Ford Basin from EnCap Flatrock Midstream. Also in January 2025, in a separate transaction, we repurchased from EnCap Flatrock Midstream approximately 12.7 million Series A preferred units for approximately $343 million, which amount included accrued and unpaid distributions. EnCap Flatrock Midstream is associated with EnCap, which is associated with Gary Petersen. Based on information provided by representatives of EnCap, Mr. Petersen is not an executive officer, general partner or controlling shareholder of EnCap Flatrock Midstream, nor did he have a material interest in these transactions.</w:t>
      </w:r>
    </w:p>
    <w:p>
      <w:pPr>
        <w:spacing w:after="0" w:line="11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An employee in our marketing department, who has been employed by PAA for over 15 years, is the daughter of Willie Chiang, our Chief Executive Officer. Mr. Chiang’s daughter’s total compensation for 2024 was approximately $209,000.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Pursuant to our Governance Guidelines, a director is expected to bring to the attention of the Chairman of the Board, the CEO or the Board any conflict or potential conflict of interest that may arise between the director, such director’s family members,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01"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15"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Pursuant to our Code of Business Conduct, any executive officer must avoid conflicts of interest and must disclose any actual or potential conflicts of interest for review and resolution, which may include a formal waiver of the conflict of interest.</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539" w:firstLine="360"/>
        <w:spacing w:after="0" w:line="268"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03"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2024.</w:t>
      </w:r>
    </w:p>
    <w:p>
      <w:pPr>
        <w:spacing w:after="0" w:line="9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5"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5" w:lineRule="exact"/>
        <w:rPr>
          <w:sz w:val="20"/>
          <w:szCs w:val="20"/>
          <w:color w:val="auto"/>
        </w:rPr>
      </w:pPr>
    </w:p>
    <w:p>
      <w:pPr>
        <w:jc w:val="both"/>
        <w:ind w:left="1260" w:right="479" w:firstLine="36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2024 for filing with the SEC.</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Ellen R. DeSanctis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58" w:lineRule="exact"/>
        <w:rPr>
          <w:sz w:val="20"/>
          <w:szCs w:val="20"/>
          <w:color w:val="auto"/>
        </w:rPr>
      </w:pPr>
    </w:p>
    <w:p>
      <w:pPr>
        <w:ind w:left="1260" w:right="979" w:firstLine="360"/>
        <w:spacing w:after="0" w:line="28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77"/>
        </w:trPr>
        <w:tc>
          <w:tcPr>
            <w:tcW w:w="100" w:type="dxa"/>
            <w:vAlign w:val="bottom"/>
            <w:tcBorders>
              <w:bottom w:val="single" w:sz="8" w:color="424E6A"/>
            </w:tcBorders>
            <w:shd w:val="clear" w:color="auto" w:fill="424E6A"/>
          </w:tcPr>
          <w:p>
            <w:pPr>
              <w:spacing w:after="0"/>
              <w:rPr>
                <w:sz w:val="24"/>
                <w:szCs w:val="24"/>
                <w:color w:val="auto"/>
              </w:rPr>
            </w:pPr>
          </w:p>
        </w:tc>
        <w:tc>
          <w:tcPr>
            <w:tcW w:w="6200" w:type="dxa"/>
            <w:vAlign w:val="bottom"/>
            <w:tcBorders>
              <w:bottom w:val="single" w:sz="8" w:color="424E6A"/>
            </w:tcBorders>
            <w:shd w:val="clear" w:color="auto" w:fill="424E6A"/>
          </w:tcPr>
          <w:p>
            <w:pPr>
              <w:spacing w:after="0"/>
              <w:rPr>
                <w:sz w:val="24"/>
                <w:szCs w:val="24"/>
                <w:color w:val="auto"/>
              </w:rPr>
            </w:pPr>
          </w:p>
        </w:tc>
        <w:tc>
          <w:tcPr>
            <w:tcW w:w="1780" w:type="dxa"/>
            <w:vAlign w:val="bottom"/>
            <w:tcBorders>
              <w:bottom w:val="single" w:sz="8" w:color="auto"/>
            </w:tcBorders>
            <w:gridSpan w:val="7"/>
            <w:shd w:val="clear" w:color="auto" w:fill="424E6A"/>
          </w:tcPr>
          <w:p>
            <w:pPr>
              <w:ind w:left="20"/>
              <w:spacing w:after="0"/>
              <w:rPr>
                <w:sz w:val="20"/>
                <w:szCs w:val="20"/>
                <w:color w:val="auto"/>
              </w:rPr>
            </w:pPr>
            <w:r>
              <w:rPr>
                <w:rFonts w:ascii="Arial" w:cs="Arial" w:eastAsia="Arial" w:hAnsi="Arial"/>
                <w:sz w:val="14"/>
                <w:szCs w:val="14"/>
                <w:b w:val="1"/>
                <w:bCs w:val="1"/>
                <w:color w:val="FFFFFF"/>
              </w:rPr>
              <w:t>Year Ended December 31,</w:t>
            </w:r>
          </w:p>
        </w:tc>
        <w:tc>
          <w:tcPr>
            <w:tcW w:w="20" w:type="dxa"/>
            <w:vAlign w:val="bottom"/>
            <w:tcBorders>
              <w:bottom w:val="single" w:sz="8" w:color="auto"/>
            </w:tcBorders>
            <w:shd w:val="clear" w:color="auto" w:fill="424E6A"/>
          </w:tcPr>
          <w:p>
            <w:pPr>
              <w:spacing w:after="0"/>
              <w:rPr>
                <w:sz w:val="24"/>
                <w:szCs w:val="24"/>
                <w:color w:val="auto"/>
              </w:rPr>
            </w:pPr>
          </w:p>
        </w:tc>
        <w:tc>
          <w:tcPr>
            <w:tcW w:w="100" w:type="dxa"/>
            <w:vAlign w:val="bottom"/>
            <w:tcBorders>
              <w:bottom w:val="single" w:sz="8" w:color="424E6A"/>
            </w:tcBorders>
            <w:shd w:val="clear" w:color="auto" w:fill="424E6A"/>
          </w:tcPr>
          <w:p>
            <w:pPr>
              <w:spacing w:after="0"/>
              <w:rPr>
                <w:sz w:val="24"/>
                <w:szCs w:val="24"/>
                <w:color w:val="auto"/>
              </w:rPr>
            </w:pPr>
          </w:p>
        </w:tc>
      </w:tr>
      <w:tr>
        <w:trPr>
          <w:trHeight w:val="243"/>
        </w:trPr>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6200" w:type="dxa"/>
            <w:vAlign w:val="bottom"/>
            <w:shd w:val="clear" w:color="auto" w:fill="424E6A"/>
          </w:tcPr>
          <w:p>
            <w:pPr>
              <w:spacing w:after="0"/>
              <w:rPr>
                <w:sz w:val="21"/>
                <w:szCs w:val="21"/>
                <w:color w:val="auto"/>
              </w:rPr>
            </w:pPr>
          </w:p>
        </w:tc>
        <w:tc>
          <w:tcPr>
            <w:tcW w:w="580" w:type="dxa"/>
            <w:vAlign w:val="bottom"/>
            <w:gridSpan w:val="2"/>
            <w:shd w:val="clear" w:color="auto" w:fill="424E6A"/>
          </w:tcPr>
          <w:p>
            <w:pPr>
              <w:jc w:val="center"/>
              <w:ind w:left="119"/>
              <w:spacing w:after="0"/>
              <w:rPr>
                <w:sz w:val="20"/>
                <w:szCs w:val="20"/>
                <w:color w:val="auto"/>
              </w:rPr>
            </w:pPr>
            <w:r>
              <w:rPr>
                <w:rFonts w:ascii="Arial" w:cs="Arial" w:eastAsia="Arial" w:hAnsi="Arial"/>
                <w:sz w:val="14"/>
                <w:szCs w:val="14"/>
                <w:b w:val="1"/>
                <w:bCs w:val="1"/>
                <w:color w:val="FFFFFF"/>
                <w:w w:val="96"/>
              </w:rPr>
              <w:t>2024</w:t>
            </w:r>
          </w:p>
        </w:tc>
        <w:tc>
          <w:tcPr>
            <w:tcW w:w="100" w:type="dxa"/>
            <w:vAlign w:val="bottom"/>
            <w:shd w:val="clear" w:color="auto" w:fill="424E6A"/>
          </w:tcPr>
          <w:p>
            <w:pPr>
              <w:spacing w:after="0"/>
              <w:rPr>
                <w:sz w:val="21"/>
                <w:szCs w:val="21"/>
                <w:color w:val="auto"/>
              </w:rPr>
            </w:pPr>
          </w:p>
        </w:tc>
        <w:tc>
          <w:tcPr>
            <w:tcW w:w="540" w:type="dxa"/>
            <w:vAlign w:val="bottom"/>
            <w:shd w:val="clear" w:color="auto" w:fill="424E6A"/>
          </w:tcPr>
          <w:p>
            <w:pPr>
              <w:spacing w:after="0"/>
              <w:rPr>
                <w:sz w:val="21"/>
                <w:szCs w:val="21"/>
                <w:color w:val="auto"/>
              </w:rPr>
            </w:pPr>
          </w:p>
        </w:tc>
        <w:tc>
          <w:tcPr>
            <w:tcW w:w="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2023</w:t>
            </w:r>
          </w:p>
        </w:tc>
        <w:tc>
          <w:tcPr>
            <w:tcW w:w="20" w:type="dxa"/>
            <w:vAlign w:val="bottom"/>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20" w:type="dxa"/>
            <w:vAlign w:val="bottom"/>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r>
      <w:tr>
        <w:trPr>
          <w:trHeight w:val="284"/>
        </w:trPr>
        <w:tc>
          <w:tcPr>
            <w:tcW w:w="6300" w:type="dxa"/>
            <w:vAlign w:val="bottom"/>
            <w:gridSpan w:val="2"/>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680" w:type="dxa"/>
            <w:vAlign w:val="bottom"/>
            <w:gridSpan w:val="3"/>
            <w:shd w:val="clear" w:color="auto" w:fill="D9DCE1"/>
          </w:tcPr>
          <w:p>
            <w:pPr>
              <w:jc w:val="center"/>
              <w:ind w:left="19"/>
              <w:spacing w:after="0"/>
              <w:rPr>
                <w:sz w:val="20"/>
                <w:szCs w:val="20"/>
                <w:color w:val="auto"/>
              </w:rPr>
            </w:pPr>
            <w:r>
              <w:rPr>
                <w:rFonts w:ascii="Arial" w:cs="Arial" w:eastAsia="Arial" w:hAnsi="Arial"/>
                <w:sz w:val="18"/>
                <w:szCs w:val="18"/>
                <w:color w:val="auto"/>
              </w:rPr>
              <w:t>​$6.5</w:t>
            </w: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rPr>
                <w:sz w:val="20"/>
                <w:szCs w:val="20"/>
                <w:color w:val="auto"/>
              </w:rPr>
            </w:pPr>
            <w:r>
              <w:rPr>
                <w:rFonts w:ascii="Arial" w:cs="Arial" w:eastAsia="Arial" w:hAnsi="Arial"/>
                <w:sz w:val="18"/>
                <w:szCs w:val="18"/>
                <w:color w:val="auto"/>
              </w:rPr>
              <w:t>​$5.8</w:t>
            </w:r>
          </w:p>
        </w:tc>
        <w:tc>
          <w:tcPr>
            <w:tcW w:w="120" w:type="dxa"/>
            <w:vAlign w:val="bottom"/>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83"/>
        </w:trPr>
        <w:tc>
          <w:tcPr>
            <w:tcW w:w="6300" w:type="dxa"/>
            <w:vAlign w:val="bottom"/>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Audit-related fees</w:t>
            </w:r>
            <w:r>
              <w:rPr>
                <w:rFonts w:ascii="Arial" w:cs="Arial" w:eastAsia="Arial" w:hAnsi="Arial"/>
                <w:sz w:val="21"/>
                <w:szCs w:val="21"/>
                <w:color w:val="auto"/>
                <w:vertAlign w:val="superscript"/>
              </w:rPr>
              <w:t>(2)</w:t>
            </w:r>
          </w:p>
        </w:tc>
        <w:tc>
          <w:tcPr>
            <w:tcW w:w="680" w:type="dxa"/>
            <w:vAlign w:val="bottom"/>
            <w:gridSpan w:val="3"/>
          </w:tcPr>
          <w:p>
            <w:pPr>
              <w:jc w:val="center"/>
              <w:ind w:left="19"/>
              <w:spacing w:after="0"/>
              <w:rPr>
                <w:sz w:val="20"/>
                <w:szCs w:val="20"/>
                <w:color w:val="auto"/>
              </w:rPr>
            </w:pPr>
            <w:r>
              <w:rPr>
                <w:rFonts w:ascii="Arial" w:cs="Arial" w:eastAsia="Arial" w:hAnsi="Arial"/>
                <w:sz w:val="18"/>
                <w:szCs w:val="18"/>
                <w:color w:val="auto"/>
              </w:rPr>
              <w:t>​ 0.6</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rPr>
                <w:sz w:val="20"/>
                <w:szCs w:val="20"/>
                <w:color w:val="auto"/>
              </w:rPr>
            </w:pPr>
            <w:r>
              <w:rPr>
                <w:rFonts w:ascii="Arial" w:cs="Arial" w:eastAsia="Arial" w:hAnsi="Arial"/>
                <w:sz w:val="18"/>
                <w:szCs w:val="18"/>
                <w:color w:val="auto"/>
              </w:rPr>
              <w:t>​ 0.5</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0" w:type="dxa"/>
            <w:vAlign w:val="bottom"/>
            <w:shd w:val="clear" w:color="auto" w:fill="D9DCE1"/>
          </w:tcPr>
          <w:p>
            <w:pPr>
              <w:ind w:left="40"/>
              <w:spacing w:after="0"/>
              <w:rPr>
                <w:sz w:val="20"/>
                <w:szCs w:val="20"/>
                <w:color w:val="auto"/>
              </w:rPr>
            </w:pPr>
            <w:r>
              <w:rPr>
                <w:rFonts w:ascii="Arial" w:cs="Arial" w:eastAsia="Arial" w:hAnsi="Arial"/>
                <w:sz w:val="18"/>
                <w:szCs w:val="18"/>
                <w:color w:val="auto"/>
              </w:rPr>
              <w:t>​</w:t>
            </w:r>
          </w:p>
        </w:tc>
        <w:tc>
          <w:tcPr>
            <w:tcW w:w="6200" w:type="dxa"/>
            <w:vAlign w:val="bottom"/>
            <w:shd w:val="clear" w:color="auto" w:fill="D9DCE1"/>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00" w:type="dxa"/>
            <w:vAlign w:val="bottom"/>
            <w:shd w:val="clear" w:color="auto" w:fill="D9DCE1"/>
          </w:tcPr>
          <w:p>
            <w:pPr>
              <w:spacing w:after="0"/>
              <w:rPr>
                <w:sz w:val="23"/>
                <w:szCs w:val="23"/>
                <w:color w:val="auto"/>
              </w:rPr>
            </w:pPr>
          </w:p>
        </w:tc>
        <w:tc>
          <w:tcPr>
            <w:tcW w:w="380" w:type="dxa"/>
            <w:vAlign w:val="bottom"/>
            <w:shd w:val="clear" w:color="auto" w:fill="D9DCE1"/>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w:t>
            </w:r>
            <w:r>
              <w:rPr>
                <w:rFonts w:ascii="Arial" w:cs="Arial" w:eastAsia="Arial" w:hAnsi="Arial"/>
                <w:sz w:val="17"/>
                <w:szCs w:val="17"/>
                <w:u w:val="single" w:color="auto"/>
                <w:color w:val="auto"/>
              </w:rPr>
              <w:t>8</w:t>
            </w:r>
          </w:p>
        </w:tc>
        <w:tc>
          <w:tcPr>
            <w:tcW w:w="100" w:type="dxa"/>
            <w:vAlign w:val="bottom"/>
            <w:shd w:val="clear" w:color="auto" w:fill="D9DCE1"/>
          </w:tcPr>
          <w:p>
            <w:pPr>
              <w:spacing w:after="0"/>
              <w:rPr>
                <w:sz w:val="23"/>
                <w:szCs w:val="23"/>
                <w:color w:val="auto"/>
              </w:rPr>
            </w:pP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1.6</w:t>
            </w:r>
          </w:p>
        </w:tc>
        <w:tc>
          <w:tcPr>
            <w:tcW w:w="120" w:type="dxa"/>
            <w:vAlign w:val="bottom"/>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D9DCE1"/>
          </w:tcPr>
          <w:p>
            <w:pPr>
              <w:spacing w:after="0" w:line="20" w:lineRule="exact"/>
              <w:rPr>
                <w:sz w:val="1"/>
                <w:szCs w:val="1"/>
                <w:color w:val="auto"/>
              </w:rPr>
            </w:pPr>
          </w:p>
        </w:tc>
        <w:tc>
          <w:tcPr>
            <w:tcW w:w="6200" w:type="dxa"/>
            <w:vAlign w:val="bottom"/>
            <w:shd w:val="clear" w:color="auto" w:fill="D9DCE1"/>
          </w:tcPr>
          <w:p>
            <w:pPr>
              <w:spacing w:after="0" w:line="20" w:lineRule="exact"/>
              <w:rPr>
                <w:sz w:val="1"/>
                <w:szCs w:val="1"/>
                <w:color w:val="auto"/>
              </w:rPr>
            </w:pPr>
          </w:p>
        </w:tc>
        <w:tc>
          <w:tcPr>
            <w:tcW w:w="200" w:type="dxa"/>
            <w:vAlign w:val="bottom"/>
            <w:shd w:val="clear" w:color="auto" w:fill="D9DC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c>
          <w:tcPr>
            <w:tcW w:w="540" w:type="dxa"/>
            <w:vAlign w:val="bottom"/>
            <w:shd w:val="clear" w:color="auto" w:fill="D9DCE1"/>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D9DCE1"/>
          </w:tcPr>
          <w:p>
            <w:pPr>
              <w:spacing w:after="0" w:line="20" w:lineRule="exact"/>
              <w:rPr>
                <w:sz w:val="1"/>
                <w:szCs w:val="1"/>
                <w:color w:val="auto"/>
              </w:rPr>
            </w:pPr>
          </w:p>
        </w:tc>
        <w:tc>
          <w:tcPr>
            <w:tcW w:w="20" w:type="dxa"/>
            <w:vAlign w:val="bottom"/>
            <w:shd w:val="clear" w:color="auto" w:fill="D9DCE1"/>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r>
      <w:tr>
        <w:trPr>
          <w:trHeight w:val="263"/>
        </w:trPr>
        <w:tc>
          <w:tcPr>
            <w:tcW w:w="630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200" w:type="dxa"/>
            <w:vAlign w:val="bottom"/>
          </w:tcPr>
          <w:p>
            <w:pPr>
              <w:spacing w:after="0"/>
              <w:rPr>
                <w:sz w:val="22"/>
                <w:szCs w:val="22"/>
                <w:color w:val="auto"/>
              </w:rPr>
            </w:pPr>
          </w:p>
        </w:tc>
        <w:tc>
          <w:tcPr>
            <w:tcW w:w="380" w:type="dxa"/>
            <w:vAlign w:val="bottom"/>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8.9</w:t>
            </w:r>
          </w:p>
        </w:tc>
        <w:tc>
          <w:tcPr>
            <w:tcW w:w="100" w:type="dxa"/>
            <w:vAlign w:val="bottom"/>
          </w:tcPr>
          <w:p>
            <w:pPr>
              <w:spacing w:after="0"/>
              <w:rPr>
                <w:sz w:val="22"/>
                <w:szCs w:val="22"/>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7.9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
        </w:trPr>
        <w:tc>
          <w:tcPr>
            <w:tcW w:w="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12344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20" w:right="799" w:hanging="360"/>
        <w:spacing w:after="0" w:line="222"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in connection with the registration of publicly held debt and equity.</w:t>
      </w:r>
    </w:p>
    <w:p>
      <w:pPr>
        <w:spacing w:after="0" w:line="58" w:lineRule="exact"/>
        <w:rPr>
          <w:rFonts w:ascii="Arial" w:cs="Arial" w:eastAsia="Arial" w:hAnsi="Arial"/>
          <w:sz w:val="27"/>
          <w:szCs w:val="27"/>
          <w:color w:val="auto"/>
          <w:vertAlign w:val="superscript"/>
        </w:rPr>
      </w:pPr>
    </w:p>
    <w:p>
      <w:pPr>
        <w:ind w:left="1620" w:right="839" w:hanging="360"/>
        <w:spacing w:after="0" w:line="210"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the assessment of internal controls in connection with the implementation of an information system.</w:t>
      </w:r>
    </w:p>
    <w:p>
      <w:pPr>
        <w:spacing w:after="0" w:line="46" w:lineRule="exact"/>
        <w:rPr>
          <w:rFonts w:ascii="Arial" w:cs="Arial" w:eastAsia="Arial" w:hAnsi="Arial"/>
          <w:sz w:val="27"/>
          <w:szCs w:val="27"/>
          <w:color w:val="auto"/>
          <w:vertAlign w:val="superscript"/>
        </w:rPr>
      </w:pPr>
    </w:p>
    <w:p>
      <w:pPr>
        <w:ind w:left="1620" w:right="899" w:hanging="360"/>
        <w:spacing w:after="0" w:line="222"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our unitholders and international tax planning work associated with the structure of our Canadian investment.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2024 and 2023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800" w:right="28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INDEPENDENT REGISTERED PUBLIC ACCOUNTING FIRM FOR THE FISCAL YEAR ENDING DECEMBER 31, 2025.</w:t>
      </w:r>
    </w:p>
    <w:p>
      <w:pPr>
        <w:spacing w:after="0" w:line="9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second proposal item to be voted on at the PAA Annual Meeting is ratification of the appointment of PricewaterhouseCoopers LLP as our independent registered public accounting firm for the fiscal year ending December 31, 2025. Votes cast on this proposal by our Unitholders will be “passed through” as instructions to PAA as to how PAA should vote the PAGP Class C shares that it owns at the PAGP Annual Meeting on ratification of the appointment of PricewaterhouseCoopers LLP as our and PAGP’s independent registered public accounting firm for 2025.</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of the Board has appointed PricewaterhouseCoopers LLP to continue to act</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our and PAGP’s independent registered public accounting firm for the fiscal year ending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2025. The Board has directed that such appointment be submitted to our Unitholders for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ratification at the PAA Annual Meeting.</w:t>
      </w:r>
    </w:p>
    <w:p>
      <w:pPr>
        <w:spacing w:after="0" w:line="126"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2024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72" w:lineRule="exact"/>
        <w:rPr>
          <w:sz w:val="20"/>
          <w:szCs w:val="20"/>
          <w:color w:val="auto"/>
        </w:rPr>
      </w:pPr>
    </w:p>
    <w:p>
      <w:pPr>
        <w:jc w:val="center"/>
        <w:ind w:left="1800" w:right="140"/>
        <w:spacing w:after="0" w:line="257"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2024 COMPENSATION OF THE NAMED EXECUTIVE OFFICERS AS DESCRIBED IN THIS PROXY STATEMENT.</w:t>
      </w:r>
    </w:p>
    <w:p>
      <w:pPr>
        <w:spacing w:after="0" w:line="24" w:lineRule="exact"/>
        <w:rPr>
          <w:sz w:val="20"/>
          <w:szCs w:val="20"/>
          <w:color w:val="auto"/>
        </w:rPr>
      </w:pPr>
    </w:p>
    <w:p>
      <w:pPr>
        <w:jc w:val="both"/>
        <w:ind w:left="1260" w:right="819" w:firstLine="360"/>
        <w:spacing w:after="0" w:line="261" w:lineRule="auto"/>
        <w:rPr>
          <w:sz w:val="20"/>
          <w:szCs w:val="20"/>
          <w:color w:val="auto"/>
        </w:rPr>
      </w:pPr>
      <w:r>
        <w:rPr>
          <w:rFonts w:ascii="Arial" w:cs="Arial" w:eastAsia="Arial" w:hAnsi="Arial"/>
          <w:sz w:val="18"/>
          <w:szCs w:val="18"/>
          <w:color w:val="auto"/>
        </w:rPr>
        <w:t>This proposal, commonly known as a “say-on-pay” proposal, provides our Unitholders with the opportunity to cast a pass-through advisory vote on the approval of the compensation of our Named Executive Officers.</w:t>
      </w:r>
    </w:p>
    <w:p>
      <w:pPr>
        <w:spacing w:after="0" w:line="1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3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Dodd-Frank Wall Street Reform and Consumer Protection Act of 2010, as well as Section 14A of the Exchange Act, and the rules promulgated thereunder, provides our Unitholders with the opportunity to express their views, on an advisory basis, on the compensation of the Named Executive Officers. In accordance with the preference expressed by our Unitholders at our 2024 Annual Meeting, the Board determined in 2024 that we would provide this opportunity annually until the next advisory vote on the frequency of future advisory votes to approve the compensation of our Named Executive Officers, which will occur at the 2030 Annual Meeting. This vote is not intended to address any specific item of compensation, but rather the overall compensation of the Named Executive Officers and the philosophy, policies and practices described in this proxy statement.</w:t>
      </w:r>
    </w:p>
    <w:p>
      <w:pPr>
        <w:spacing w:after="0" w:line="44"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23"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8"/>
          <w:szCs w:val="18"/>
          <w:color w:val="auto"/>
        </w:rPr>
        <w:t>For the reasons set forth above, the following resolution will be submitted for approval at the PAA Annual Meeting:</w:t>
      </w:r>
    </w:p>
    <w:p>
      <w:pPr>
        <w:spacing w:after="0" w:line="1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2024, as disclosed pursuant to Item 402 of Regulation S-K in PAA’s proxy statement for its 2025 Annual Meeting of Unitholders, including the Compensation Discussion and Analysis, compensation tables and accompanying narrative discussion, is hereby approved.”</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OTHER MATTERS FOR THE PAA ANNUAL MEETING</w:t>
      </w:r>
    </w:p>
    <w:p>
      <w:pPr>
        <w:spacing w:after="0" w:line="158"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DIRECTOR NOMINATIONS AND UNITHOLDER PROPOSALS FOR THE 2026 ANNUAL MEETING</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5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7"/>
          <w:szCs w:val="17"/>
          <w:color w:val="auto"/>
        </w:rPr>
        <w:t>Pursuant to Section 13.13 of our partnership agreement, any eligible Unitholder who owns common units or Series A preferred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2026 annual meeting must deliver written notice thereof to our principal executive offices in care of the Corporate Secretary by mail to 333 Clay Street, Suite 1600, Houston, Texas 77002 no later than the close of business on February 20, 2026, nor earlier than the close of business on January 21, 2026. In the event that the date of the 2026 annual meeting is changed by more than</w:t>
      </w:r>
    </w:p>
    <w:p>
      <w:pPr>
        <w:spacing w:after="0" w:line="4" w:lineRule="exact"/>
        <w:rPr>
          <w:sz w:val="20"/>
          <w:szCs w:val="20"/>
          <w:color w:val="auto"/>
        </w:rPr>
      </w:pPr>
    </w:p>
    <w:p>
      <w:pPr>
        <w:ind w:left="1260" w:right="519"/>
        <w:spacing w:after="0" w:line="244" w:lineRule="auto"/>
        <w:rPr>
          <w:sz w:val="20"/>
          <w:szCs w:val="20"/>
          <w:color w:val="auto"/>
        </w:rPr>
      </w:pPr>
      <w:r>
        <w:rPr>
          <w:rFonts w:ascii="Arial" w:cs="Arial" w:eastAsia="Arial" w:hAnsi="Arial"/>
          <w:sz w:val="18"/>
          <w:szCs w:val="18"/>
          <w:color w:val="auto"/>
        </w:rPr>
        <w:t>30 days before or more than 60 days after the one-year anniversary of the 2025 annual meeting, Unitholder notice of a director nomination must be received no earlier than the close of business on the 120th day prior to the 2026 annual meeting and not later than the close of business on the date that is the later of the (i) 90th day prior to the 2026 annual meeting or (ii) if the first public announcement of the 2026 annual meeting is less than 100 days prior to such meeting, the 10th day following the day on which public announcement of the date of the 2026 annual meeting is first made.</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The written notice must comply with Section 13.13 of our partnership agreement and the procedures set forth in Section 13.4(c)(ii) of PAGP’s partnership agreement, including the informational requirements included in Section 13.4(c)(ii)(A)(3). We will not consider any nomination at the PAA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 as amended by Amendment No. 1, filed as Exhibit 3.1 to PAGP’s Current Report on Form 8-K filed on April 9, 2020.</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In addition to satisfying the requirements under our partnership agreement and PAGP’s partnership agreement as described in the immediately preceding paragraph, to comply with the universal proxy rules under the Exchange Act, any eligible Unitholder who intends to solicit proxies in support of director nominees other than our nominees must provide written notice that sets forth the information required by Rule 14a-19 under the Exchange Act no later than March 23, 2026. However, if the date of the 2026 annual meeting is more than 30 days before or after the anniversary of the date of the 2025 annual meeting, then such written notice must be delivered by the later of (i) the 10th day following the public announcement of the date of the 2026 annual meeting is first made and (ii) the date that is 60 days prior to the date of the 2026 annual meeting.</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Unitholder Proposals</w:t>
      </w:r>
    </w:p>
    <w:p>
      <w:pPr>
        <w:spacing w:after="0" w:line="144"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Any Unitholder who, in accordance with Rule 14a-8 under the Exchange Act, wishes to submit a proposal for inclusion in our proxy statement for the 2026 annual meeting must submit their proposal in writing, along with proof of eligibility, to our principal executive offices in care of the Corporate Secretary at 333 Clay Street, Suite 1600, Houston, Texas 77002. Proposal submissions must be received no later than December 12, 2025 to be considered timely. SEC rules set forth standards as to what proposals are required to be included in a proxy statement for a meeting. In no event are Unitholders allowed to vote on matters that would cause the Unitholders to be deemed to take part in the management and</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spacing w:after="0" w:line="318" w:lineRule="auto"/>
        <w:rPr>
          <w:sz w:val="20"/>
          <w:szCs w:val="20"/>
          <w:color w:val="auto"/>
        </w:rPr>
      </w:pPr>
      <w:r>
        <w:rPr>
          <w:rFonts w:ascii="Arial" w:cs="Arial" w:eastAsia="Arial" w:hAnsi="Arial"/>
          <w:sz w:val="17"/>
          <w:szCs w:val="17"/>
          <w:color w:val="auto"/>
        </w:rPr>
        <w:t>control of our business and affairs so as to jeopardize such Unitholder’s limited liability under the Delaware limited partnership act or the law of any other state in which we are qualified to do business.</w:t>
      </w:r>
    </w:p>
    <w:p>
      <w:pPr>
        <w:spacing w:after="0" w:line="13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HOUSEHOLDING MATTERS</w:t>
      </w:r>
    </w:p>
    <w:p>
      <w:pPr>
        <w:spacing w:after="0" w:line="15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upperLetter"/>
      <w:start w:val="1"/>
    </w:lvl>
  </w:abstractNum>
  <w:abstractNum w:abstractNumId="6">
    <w:nsid w:val="725A06FB"/>
    <w:multiLevelType w:val="hybridMultilevel"/>
    <w:lvl w:ilvl="0">
      <w:lvlJc w:val="left"/>
      <w:lvlText w:val="%1:"/>
      <w:numFmt w:val="upperLetter"/>
      <w:start w:val="1"/>
    </w:lvl>
    <w:lvl w:ilvl="1">
      <w:lvlJc w:val="left"/>
      <w:lvlText w:val="•"/>
      <w:numFmt w:val="bullet"/>
      <w:start w:val="1"/>
    </w:lvl>
  </w:abstractNum>
  <w:abstractNum w:abstractNumId="7">
    <w:nsid w:val="2CD89A32"/>
    <w:multiLevelType w:val="hybridMultilevel"/>
    <w:lvl w:ilvl="0">
      <w:lvlJc w:val="left"/>
      <w:lvlText w:val="%1:"/>
      <w:numFmt w:val="upperLetter"/>
      <w:start w:val="1"/>
    </w:lvl>
  </w:abstractNum>
  <w:abstractNum w:abstractNumId="8">
    <w:nsid w:val="57E4CCAF"/>
    <w:multiLevelType w:val="hybridMultilevel"/>
    <w:lvl w:ilvl="0">
      <w:lvlJc w:val="left"/>
      <w:lvlText w:val="%1:"/>
      <w:numFmt w:val="upperLetter"/>
      <w:start w:val="1"/>
    </w:lvl>
  </w:abstractNum>
  <w:abstractNum w:abstractNumId="9">
    <w:nsid w:val="7A6D8D3C"/>
    <w:multiLevelType w:val="hybridMultilevel"/>
    <w:lvl w:ilvl="0">
      <w:lvlJc w:val="left"/>
      <w:lvlText w:val="%1:"/>
      <w:numFmt w:val="upperLetter"/>
      <w:start w:val="1"/>
    </w:lvl>
  </w:abstractNum>
  <w:abstractNum w:abstractNumId="10">
    <w:nsid w:val="4B588F54"/>
    <w:multiLevelType w:val="hybridMultilevel"/>
    <w:lvl w:ilvl="0">
      <w:lvlJc w:val="left"/>
      <w:lvlText w:val="%1:"/>
      <w:numFmt w:val="upperLetter"/>
      <w:start w:val="17"/>
    </w:lvl>
  </w:abstractNum>
  <w:abstractNum w:abstractNumId="11">
    <w:nsid w:val="542289EC"/>
    <w:multiLevelType w:val="hybridMultilevel"/>
    <w:lvl w:ilvl="0">
      <w:lvlJc w:val="left"/>
      <w:lvlText w:val="%1:"/>
      <w:numFmt w:val="upperLetter"/>
      <w:start w:val="1"/>
    </w:lvl>
  </w:abstractNum>
  <w:abstractNum w:abstractNumId="12">
    <w:nsid w:val="6DE91B18"/>
    <w:multiLevelType w:val="hybridMultilevel"/>
    <w:lvl w:ilvl="0">
      <w:lvlJc w:val="left"/>
      <w:lvlText w:val="%1:"/>
      <w:numFmt w:val="upperLetter"/>
      <w:start w:val="1"/>
    </w:lvl>
    <w:lvl w:ilvl="1">
      <w:lvlJc w:val="left"/>
      <w:lvlText w:val="•"/>
      <w:numFmt w:val="bullet"/>
      <w:start w:val="1"/>
    </w:lvl>
  </w:abstractNum>
  <w:abstractNum w:abstractNumId="13">
    <w:nsid w:val="38437FDB"/>
    <w:multiLevelType w:val="hybridMultilevel"/>
    <w:lvl w:ilvl="0">
      <w:lvlJc w:val="left"/>
      <w:lvlText w:val="%1:"/>
      <w:numFmt w:val="upperLetter"/>
      <w:start w:val="1"/>
    </w:lvl>
    <w:lvl w:ilvl="1">
      <w:lvlJc w:val="left"/>
      <w:lvlText w:val="•"/>
      <w:numFmt w:val="bullet"/>
      <w:start w:val="1"/>
    </w:lvl>
  </w:abstractNum>
  <w:abstractNum w:abstractNumId="14">
    <w:nsid w:val="7644A45C"/>
    <w:multiLevelType w:val="hybridMultilevel"/>
    <w:lvl w:ilvl="0">
      <w:lvlJc w:val="left"/>
      <w:lvlText w:val="%1:"/>
      <w:numFmt w:val="upperLetter"/>
      <w:start w:val="1"/>
    </w:lvl>
  </w:abstractNum>
  <w:abstractNum w:abstractNumId="15">
    <w:nsid w:val="32FFF902"/>
    <w:multiLevelType w:val="hybridMultilevel"/>
    <w:lvl w:ilvl="0">
      <w:lvlJc w:val="left"/>
      <w:lvlText w:val="%1:"/>
      <w:numFmt w:val="upperLetter"/>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upperLetter"/>
      <w:start w:val="17"/>
    </w:lvl>
  </w:abstractNum>
  <w:abstractNum w:abstractNumId="18">
    <w:nsid w:val="749ABB43"/>
    <w:multiLevelType w:val="hybridMultilevel"/>
    <w:lvl w:ilvl="0">
      <w:lvlJc w:val="left"/>
      <w:lvlText w:val="%1:"/>
      <w:numFmt w:val="upperLetter"/>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upperLetter"/>
      <w:start w:val="1"/>
    </w:lvl>
  </w:abstractNum>
  <w:abstractNum w:abstractNumId="23">
    <w:nsid w:val="12E685FB"/>
    <w:multiLevelType w:val="hybridMultilevel"/>
    <w:lvl w:ilvl="0">
      <w:lvlJc w:val="left"/>
      <w:lvlText w:val="%1:"/>
      <w:numFmt w:val="upperLetter"/>
      <w:start w:val="1"/>
    </w:lvl>
  </w:abstractNum>
  <w:abstractNum w:abstractNumId="24">
    <w:nsid w:val="70C6A529"/>
    <w:multiLevelType w:val="hybridMultilevel"/>
    <w:lvl w:ilvl="0">
      <w:lvlJc w:val="left"/>
      <w:lvlText w:val="%1:"/>
      <w:numFmt w:val="upperLetter"/>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lvl w:ilvl="1">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lvl w:ilvl="1">
      <w:lvlJc w:val="left"/>
      <w:lvlText w:val="(%2)"/>
      <w:numFmt w:val="decimal"/>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lowerRoman"/>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3"/>
    </w:lvl>
  </w:abstractNum>
  <w:abstractNum w:abstractNumId="53">
    <w:nsid w:val="1381823A"/>
    <w:multiLevelType w:val="hybridMultilevel"/>
    <w:lvl w:ilvl="0">
      <w:lvlJc w:val="left"/>
      <w:lvlText w:val="(%1)"/>
      <w:numFmt w:val="decimal"/>
      <w:start w:val="8"/>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2"/>
    </w:lvl>
  </w:abstractNum>
  <w:abstractNum w:abstractNumId="57">
    <w:nsid w:val="15014ACB"/>
    <w:multiLevelType w:val="hybridMultilevel"/>
    <w:lvl w:ilvl="0">
      <w:lvlJc w:val="left"/>
      <w:lvlText w:val="(%1)"/>
      <w:numFmt w:val="lowerRoman"/>
      <w:start w:val="3"/>
    </w:lvl>
  </w:abstractNum>
  <w:abstractNum w:abstractNumId="58">
    <w:nsid w:val="5F5E7FD0"/>
    <w:multiLevelType w:val="hybridMultilevel"/>
    <w:lvl w:ilvl="0">
      <w:lvlJc w:val="left"/>
      <w:lvlText w:val="%1"/>
      <w:numFmt w:val="decimal"/>
      <w:start w:val="1"/>
    </w:lvl>
    <w:lvl w:ilvl="1">
      <w:lvlJc w:val="left"/>
      <w:lvlText w:val="(%2)"/>
      <w:numFmt w:val="lowerRoman"/>
      <w:start w:val="1"/>
    </w:lvl>
  </w:abstractNum>
  <w:abstractNum w:abstractNumId="59">
    <w:nsid w:val="98A3148"/>
    <w:multiLevelType w:val="hybridMultilevel"/>
    <w:lvl w:ilvl="0">
      <w:lvlJc w:val="left"/>
      <w:lvlText w:val="(%1)"/>
      <w:numFmt w:val="decimal"/>
      <w:start w:val="4"/>
    </w:lvl>
    <w:lvl w:ilvl="1">
      <w:lvlJc w:val="left"/>
      <w:lvlText w:val="(%2)"/>
      <w:numFmt w:val="lowerRoman"/>
      <w:start w:val="1"/>
    </w:lvl>
  </w:abstractNum>
  <w:abstractNum w:abstractNumId="60">
    <w:nsid w:val="799D0247"/>
    <w:multiLevelType w:val="hybridMultilevel"/>
    <w:lvl w:ilvl="0">
      <w:lvlJc w:val="left"/>
      <w:lvlText w:val="(%1)"/>
      <w:numFmt w:val="lowerRoman"/>
      <w:start w:val="2"/>
    </w:lvl>
  </w:abstractNum>
  <w:abstractNum w:abstractNumId="61">
    <w:nsid w:val="6B94764"/>
    <w:multiLevelType w:val="hybridMultilevel"/>
    <w:lvl w:ilvl="0">
      <w:lvlJc w:val="left"/>
      <w:lvlText w:val="(%1)"/>
      <w:numFmt w:val="decimal"/>
      <w:start w:val="5"/>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lowerRoman"/>
      <w:start w:val="2"/>
    </w:lvl>
  </w:abstractNum>
  <w:abstractNum w:abstractNumId="79">
    <w:nsid w:val="4962813B"/>
    <w:multiLevelType w:val="hybridMultilevel"/>
    <w:lvl w:ilvl="0">
      <w:lvlJc w:val="left"/>
      <w:lvlText w:val="(%1)"/>
      <w:numFmt w:val="lowerRoman"/>
      <w:start w:val="5"/>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2025-04-11T05:15:11Z</dcterms:created>
  <dcterms:modified xsi:type="dcterms:W3CDTF">2025-04-11T05:15:11Z</dcterms:modified>
</cp:coreProperties>
</file>