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wp:posOffset>
            </wp:positionV>
            <wp:extent cx="134620" cy="181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81610"/>
                    </a:xfrm>
                    <a:prstGeom prst="rect">
                      <a:avLst/>
                    </a:prstGeom>
                    <a:noFill/>
                  </pic:spPr>
                </pic:pic>
              </a:graphicData>
            </a:graphic>
          </wp:anchor>
        </w:drawing>
      </w:r>
    </w:p>
    <w:p>
      <w:pPr>
        <w:jc w:val="both"/>
        <w:ind w:left="320" w:right="320" w:hanging="248"/>
        <w:spacing w:after="0" w:line="192" w:lineRule="auto"/>
        <w:tabs>
          <w:tab w:leader="none" w:pos="32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 xml:space="preserve">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4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-598170</wp:posOffset>
            </wp:positionV>
            <wp:extent cx="5651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17145</wp:posOffset>
            </wp:positionV>
            <wp:extent cx="6999605" cy="7938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7938135"/>
                    </a:xfrm>
                    <a:prstGeom prst="rect">
                      <a:avLst/>
                    </a:prstGeom>
                    <a:noFill/>
                  </pic:spPr>
                </pic:pic>
              </a:graphicData>
            </a:graphic>
          </wp:anchor>
        </w:drawing>
      </w:r>
    </w:p>
    <w:p>
      <w:pPr>
        <w:spacing w:after="0" w:line="97" w:lineRule="exact"/>
        <w:rPr>
          <w:sz w:val="24"/>
          <w:szCs w:val="24"/>
          <w:color w:val="auto"/>
        </w:rPr>
      </w:pPr>
    </w:p>
    <w:p>
      <w:pPr>
        <w:sectPr>
          <w:pgSz w:w="11900" w:h="16841" w:orient="portrait"/>
          <w:cols w:equalWidth="0" w:num="2">
            <w:col w:w="2120" w:space="56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KAFU Holdings (QP), L.P.</w:t>
        </w:r>
      </w:hyperlink>
    </w:p>
    <w:p>
      <w:pPr>
        <w:spacing w:after="0" w:line="29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1800 AVENUE OF THE STARS, 3RD FLOOR</w:t>
      </w:r>
    </w:p>
    <w:p>
      <w:pPr>
        <w:spacing w:after="0" w:line="329" w:lineRule="exact"/>
        <w:rPr>
          <w:sz w:val="24"/>
          <w:szCs w:val="24"/>
          <w:color w:val="auto"/>
        </w:rPr>
      </w:pPr>
    </w:p>
    <w:tbl>
      <w:tblPr>
        <w:tblLayout w:type="fixed"/>
        <w:tblInd w:w="80" w:type="dxa"/>
        <w:tblCellMar>
          <w:top w:w="0" w:type="dxa"/>
          <w:left w:w="0" w:type="dxa"/>
          <w:bottom w:w="0" w:type="dxa"/>
          <w:right w:w="0" w:type="dxa"/>
        </w:tblCellMar>
      </w:tblPr>
      <w:tr>
        <w:trPr>
          <w:trHeight w:val="147"/>
        </w:trPr>
        <w:tc>
          <w:tcPr>
            <w:tcW w:w="11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21"/>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LOS ANGELES</w:t>
            </w:r>
          </w:p>
        </w:tc>
        <w:tc>
          <w:tcPr>
            <w:tcW w:w="860" w:type="dxa"/>
            <w:vAlign w:val="bottom"/>
          </w:tcPr>
          <w:p>
            <w:pPr>
              <w:ind w:left="60"/>
              <w:spacing w:after="0"/>
              <w:rPr>
                <w:sz w:val="20"/>
                <w:szCs w:val="20"/>
                <w:color w:val="auto"/>
              </w:rPr>
            </w:pPr>
            <w:r>
              <w:rPr>
                <w:rFonts w:ascii="Arial" w:cs="Arial" w:eastAsia="Arial" w:hAnsi="Arial"/>
                <w:sz w:val="16"/>
                <w:szCs w:val="16"/>
                <w:color w:val="0000FF"/>
              </w:rPr>
              <w:t>CA</w:t>
            </w:r>
          </w:p>
        </w:tc>
        <w:tc>
          <w:tcPr>
            <w:tcW w:w="1640" w:type="dxa"/>
            <w:vAlign w:val="bottom"/>
          </w:tcPr>
          <w:p>
            <w:pPr>
              <w:ind w:left="440"/>
              <w:spacing w:after="0"/>
              <w:rPr>
                <w:sz w:val="20"/>
                <w:szCs w:val="20"/>
                <w:color w:val="auto"/>
              </w:rPr>
            </w:pPr>
            <w:r>
              <w:rPr>
                <w:rFonts w:ascii="Arial" w:cs="Arial" w:eastAsia="Arial" w:hAnsi="Arial"/>
                <w:sz w:val="16"/>
                <w:szCs w:val="16"/>
                <w:color w:val="0000FF"/>
              </w:rPr>
              <w:t>90067</w:t>
            </w:r>
          </w:p>
        </w:tc>
      </w:tr>
      <w:tr>
        <w:trPr>
          <w:trHeight w:val="141"/>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2"/>
                <w:szCs w:val="12"/>
                <w:color w:val="auto"/>
              </w:rPr>
              <w:t>(City)</w:t>
            </w:r>
          </w:p>
        </w:tc>
        <w:tc>
          <w:tcPr>
            <w:tcW w:w="860" w:type="dxa"/>
            <w:vAlign w:val="bottom"/>
          </w:tcPr>
          <w:p>
            <w:pPr>
              <w:ind w:left="6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2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3820" w:type="dxa"/>
            <w:vAlign w:val="bottom"/>
            <w:gridSpan w:val="3"/>
          </w:tcPr>
          <w:p>
            <w:pPr>
              <w:ind w:left="60"/>
              <w:spacing w:after="0" w:line="130"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PLAINS ALL AMERICAN PIPELINE LP </w:t>
              </w:r>
            </w:hyperlink>
            <w:r>
              <w:rPr>
                <w:rFonts w:ascii="Arial" w:cs="Arial" w:eastAsia="Arial" w:hAnsi="Arial"/>
                <w:sz w:val="15"/>
                <w:szCs w:val="15"/>
                <w:color w:val="000000"/>
              </w:rPr>
              <w:t>[</w:t>
            </w:r>
          </w:p>
        </w:tc>
        <w:tc>
          <w:tcPr>
            <w:tcW w:w="1260" w:type="dxa"/>
            <w:vAlign w:val="bottom"/>
            <w:vMerge w:val="restart"/>
          </w:tcPr>
          <w:p>
            <w:pPr>
              <w:ind w:left="80"/>
              <w:spacing w:after="0"/>
              <w:rPr>
                <w:sz w:val="20"/>
                <w:szCs w:val="20"/>
                <w:color w:val="auto"/>
              </w:rPr>
            </w:pPr>
            <w:r>
              <w:rPr>
                <w:rFonts w:ascii="Arial" w:cs="Arial" w:eastAsia="Arial" w:hAnsi="Arial"/>
                <w:sz w:val="12"/>
                <w:szCs w:val="12"/>
                <w:color w:val="auto"/>
              </w:rPr>
              <w:t>(Check all applicable)</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40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vMerge w:val="restart"/>
          </w:tcPr>
          <w:p>
            <w:pPr>
              <w:ind w:left="600"/>
              <w:spacing w:after="0"/>
              <w:rPr>
                <w:sz w:val="20"/>
                <w:szCs w:val="20"/>
                <w:color w:val="auto"/>
              </w:rPr>
            </w:pPr>
            <w:r>
              <w:rPr>
                <w:rFonts w:ascii="Arial" w:cs="Arial" w:eastAsia="Arial" w:hAnsi="Arial"/>
                <w:sz w:val="12"/>
                <w:szCs w:val="12"/>
                <w:color w:val="auto"/>
              </w:rPr>
              <w:t>Director</w:t>
            </w: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5"/>
        </w:trPr>
        <w:tc>
          <w:tcPr>
            <w:tcW w:w="3820" w:type="dxa"/>
            <w:vAlign w:val="bottom"/>
            <w:gridSpan w:val="3"/>
            <w:vMerge w:val="restart"/>
          </w:tcPr>
          <w:p>
            <w:pPr>
              <w:ind w:left="60"/>
              <w:spacing w:after="0"/>
              <w:rPr>
                <w:sz w:val="20"/>
                <w:szCs w:val="20"/>
                <w:color w:val="auto"/>
              </w:rPr>
            </w:pPr>
            <w:r>
              <w:rPr>
                <w:rFonts w:ascii="Arial" w:cs="Arial" w:eastAsia="Arial" w:hAnsi="Arial"/>
                <w:sz w:val="16"/>
                <w:szCs w:val="16"/>
                <w:color w:val="0000FF"/>
              </w:rPr>
              <w:t xml:space="preserve">PAA </w:t>
            </w:r>
            <w:r>
              <w:rPr>
                <w:rFonts w:ascii="Arial" w:cs="Arial" w:eastAsia="Arial" w:hAnsi="Arial"/>
                <w:sz w:val="19"/>
                <w:szCs w:val="19"/>
                <w:color w:val="000000"/>
              </w:rPr>
              <w:t>]</w:t>
            </w:r>
          </w:p>
        </w:tc>
        <w:tc>
          <w:tcPr>
            <w:tcW w:w="12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820" w:type="dxa"/>
            <w:vAlign w:val="bottom"/>
            <w:gridSpan w:val="3"/>
            <w:vMerge w:val="continue"/>
          </w:tcPr>
          <w:p>
            <w:pPr>
              <w:spacing w:after="0"/>
              <w:rPr>
                <w:sz w:val="11"/>
                <w:szCs w:val="11"/>
                <w:color w:val="auto"/>
              </w:rPr>
            </w:pPr>
          </w:p>
        </w:tc>
        <w:tc>
          <w:tcPr>
            <w:tcW w:w="1680" w:type="dxa"/>
            <w:vAlign w:val="bottom"/>
            <w:gridSpan w:val="2"/>
            <w:vMerge w:val="restart"/>
          </w:tcPr>
          <w:p>
            <w:pPr>
              <w:ind w:left="600"/>
              <w:spacing w:after="0"/>
              <w:rPr>
                <w:sz w:val="20"/>
                <w:szCs w:val="20"/>
                <w:color w:val="auto"/>
              </w:rPr>
            </w:pPr>
            <w:r>
              <w:rPr>
                <w:rFonts w:ascii="Arial" w:cs="Arial" w:eastAsia="Arial" w:hAnsi="Arial"/>
                <w:sz w:val="12"/>
                <w:szCs w:val="12"/>
                <w:color w:val="auto"/>
              </w:rPr>
              <w:t>Officer (give title</w:t>
            </w:r>
          </w:p>
        </w:tc>
        <w:tc>
          <w:tcPr>
            <w:tcW w:w="44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8"/>
        </w:trPr>
        <w:tc>
          <w:tcPr>
            <w:tcW w:w="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vMerge w:val="restart"/>
          </w:tcPr>
          <w:p>
            <w:pPr>
              <w:ind w:left="600"/>
              <w:spacing w:after="0"/>
              <w:rPr>
                <w:sz w:val="20"/>
                <w:szCs w:val="20"/>
                <w:color w:val="auto"/>
              </w:rPr>
            </w:pPr>
            <w:r>
              <w:rPr>
                <w:rFonts w:ascii="Arial" w:cs="Arial" w:eastAsia="Arial" w:hAnsi="Arial"/>
                <w:sz w:val="12"/>
                <w:szCs w:val="12"/>
                <w:color w:val="auto"/>
              </w:rPr>
              <w:t>below)</w:t>
            </w:r>
          </w:p>
        </w:tc>
        <w:tc>
          <w:tcPr>
            <w:tcW w:w="4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60" w:type="dxa"/>
            <w:vAlign w:val="bottom"/>
          </w:tcPr>
          <w:p>
            <w:pPr>
              <w:spacing w:after="0"/>
              <w:rPr>
                <w:sz w:val="3"/>
                <w:szCs w:val="3"/>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color w:val="0000FF"/>
                <w:w w:val="92"/>
              </w:rPr>
              <w:t>See remarks</w:t>
            </w: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820" w:type="dxa"/>
            <w:vAlign w:val="bottom"/>
            <w:gridSpan w:val="3"/>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2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60" w:type="dxa"/>
            <w:vAlign w:val="bottom"/>
            <w:gridSpan w:val="2"/>
          </w:tcPr>
          <w:p>
            <w:pPr>
              <w:ind w:left="60"/>
              <w:spacing w:after="0"/>
              <w:rPr>
                <w:sz w:val="20"/>
                <w:szCs w:val="20"/>
                <w:color w:val="auto"/>
              </w:rPr>
            </w:pPr>
            <w:r>
              <w:rPr>
                <w:rFonts w:ascii="Arial" w:cs="Arial" w:eastAsia="Arial" w:hAnsi="Arial"/>
                <w:sz w:val="16"/>
                <w:szCs w:val="16"/>
                <w:color w:val="0000FF"/>
              </w:rPr>
              <w:t>09/30/2021</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bottom w:val="single" w:sz="8" w:color="2C2C2C"/>
            </w:tcBorders>
          </w:tcPr>
          <w:p>
            <w:pPr>
              <w:spacing w:after="0"/>
              <w:rPr>
                <w:sz w:val="17"/>
                <w:szCs w:val="17"/>
                <w:color w:val="auto"/>
              </w:rPr>
            </w:pPr>
          </w:p>
        </w:tc>
        <w:tc>
          <w:tcPr>
            <w:tcW w:w="34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30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00" w:type="dxa"/>
            <w:vAlign w:val="bottom"/>
            <w:gridSpan w:val="4"/>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4"/>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365" w:lineRule="exact"/>
        <w:rPr>
          <w:sz w:val="24"/>
          <w:szCs w:val="24"/>
          <w:color w:val="auto"/>
        </w:rPr>
      </w:pPr>
    </w:p>
    <w:p>
      <w:pPr>
        <w:sectPr>
          <w:pgSz w:w="11900" w:h="1684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2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5"/>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120" w:type="dxa"/>
            <w:vAlign w:val="bottom"/>
            <w:gridSpan w:val="2"/>
          </w:tcPr>
          <w:p>
            <w:pPr>
              <w:ind w:left="280"/>
              <w:spacing w:after="0"/>
              <w:rPr>
                <w:sz w:val="20"/>
                <w:szCs w:val="20"/>
                <w:color w:val="auto"/>
              </w:rPr>
            </w:pPr>
            <w:r>
              <w:rPr>
                <w:rFonts w:ascii="Arial" w:cs="Arial" w:eastAsia="Arial" w:hAnsi="Arial"/>
                <w:sz w:val="11"/>
                <w:szCs w:val="11"/>
                <w:b w:val="1"/>
                <w:bCs w:val="1"/>
                <w:color w:val="auto"/>
              </w:rPr>
              <w:t>6. Ownership</w:t>
            </w:r>
          </w:p>
        </w:tc>
        <w:tc>
          <w:tcPr>
            <w:tcW w:w="12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ind w:left="620"/>
              <w:spacing w:after="0" w:line="120"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5"/>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8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1120" w:type="dxa"/>
            <w:vAlign w:val="bottom"/>
            <w:gridSpan w:val="2"/>
          </w:tcPr>
          <w:p>
            <w:pPr>
              <w:ind w:left="280"/>
              <w:spacing w:after="0" w:line="120" w:lineRule="exact"/>
              <w:rPr>
                <w:sz w:val="20"/>
                <w:szCs w:val="20"/>
                <w:color w:val="auto"/>
              </w:rPr>
            </w:pPr>
            <w:r>
              <w:rPr>
                <w:rFonts w:ascii="Arial" w:cs="Arial" w:eastAsia="Arial" w:hAnsi="Arial"/>
                <w:sz w:val="11"/>
                <w:szCs w:val="11"/>
                <w:b w:val="1"/>
                <w:bCs w:val="1"/>
                <w:color w:val="auto"/>
              </w:rPr>
              <w:t>Form: Direct</w:t>
            </w:r>
          </w:p>
        </w:tc>
        <w:tc>
          <w:tcPr>
            <w:tcW w:w="122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gridSpan w:val="3"/>
          </w:tcPr>
          <w:p>
            <w:pPr>
              <w:ind w:left="620"/>
              <w:spacing w:after="0" w:line="123"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1120" w:type="dxa"/>
            <w:vAlign w:val="bottom"/>
            <w:gridSpan w:val="2"/>
          </w:tcPr>
          <w:p>
            <w:pPr>
              <w:ind w:left="280"/>
              <w:spacing w:after="0" w:line="123" w:lineRule="exact"/>
              <w:rPr>
                <w:sz w:val="20"/>
                <w:szCs w:val="20"/>
                <w:color w:val="auto"/>
              </w:rPr>
            </w:pPr>
            <w:r>
              <w:rPr>
                <w:rFonts w:ascii="Arial" w:cs="Arial" w:eastAsia="Arial" w:hAnsi="Arial"/>
                <w:sz w:val="11"/>
                <w:szCs w:val="11"/>
                <w:b w:val="1"/>
                <w:bCs w:val="1"/>
                <w:color w:val="auto"/>
              </w:rPr>
              <w:t>(D) or Indirect</w:t>
            </w:r>
          </w:p>
        </w:tc>
        <w:tc>
          <w:tcPr>
            <w:tcW w:w="12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Owned Following   (I) (Instr. 4)</w:t>
            </w:r>
          </w:p>
        </w:tc>
        <w:tc>
          <w:tcPr>
            <w:tcW w:w="240" w:type="dxa"/>
            <w:vAlign w:val="bottom"/>
          </w:tcPr>
          <w:p>
            <w:pPr>
              <w:spacing w:after="0"/>
              <w:rPr>
                <w:sz w:val="10"/>
                <w:szCs w:val="10"/>
                <w:color w:val="auto"/>
              </w:rPr>
            </w:pPr>
          </w:p>
        </w:tc>
        <w:tc>
          <w:tcPr>
            <w:tcW w:w="4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vMerge w:val="restart"/>
          </w:tcPr>
          <w:p>
            <w:pPr>
              <w:ind w:left="720"/>
              <w:spacing w:after="0"/>
              <w:rPr>
                <w:sz w:val="20"/>
                <w:szCs w:val="20"/>
                <w:color w:val="auto"/>
              </w:rPr>
            </w:pPr>
            <w:r>
              <w:rPr>
                <w:rFonts w:ascii="Arial" w:cs="Arial" w:eastAsia="Arial" w:hAnsi="Arial"/>
                <w:sz w:val="16"/>
                <w:szCs w:val="16"/>
                <w:color w:val="0000FF"/>
                <w:w w:val="99"/>
              </w:rPr>
              <w:t>09/30/2021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color w:val="0000FF"/>
              </w:rPr>
              <w:t>J</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3,381,046</w:t>
            </w:r>
          </w:p>
        </w:tc>
        <w:tc>
          <w:tcPr>
            <w:tcW w:w="56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580" w:type="dxa"/>
            <w:vAlign w:val="bottom"/>
            <w:vMerge w:val="restart"/>
          </w:tcPr>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w w:val="92"/>
              </w:rPr>
              <w:t>3,381,046</w:t>
            </w:r>
          </w:p>
        </w:tc>
        <w:tc>
          <w:tcPr>
            <w:tcW w:w="880" w:type="dxa"/>
            <w:vAlign w:val="bottom"/>
            <w:vMerge w:val="restart"/>
          </w:tcPr>
          <w:p>
            <w:pPr>
              <w:ind w:left="660"/>
              <w:spacing w:after="0"/>
              <w:rPr>
                <w:sz w:val="20"/>
                <w:szCs w:val="20"/>
                <w:color w:val="auto"/>
              </w:rPr>
            </w:pPr>
            <w:r>
              <w:rPr>
                <w:rFonts w:ascii="Arial" w:cs="Arial" w:eastAsia="Arial" w:hAnsi="Arial"/>
                <w:sz w:val="16"/>
                <w:szCs w:val="16"/>
                <w:color w:val="0000FF"/>
              </w:rPr>
              <w:t>I</w:t>
            </w:r>
          </w:p>
        </w:tc>
        <w:tc>
          <w:tcPr>
            <w:tcW w:w="24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6"/>
                <w:szCs w:val="16"/>
                <w:color w:val="0000FF"/>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4"/>
            <w:vMerge w:val="restart"/>
          </w:tcPr>
          <w:p>
            <w:pPr>
              <w:ind w:left="80"/>
              <w:spacing w:after="0" w:line="255" w:lineRule="exact"/>
              <w:rPr>
                <w:sz w:val="20"/>
                <w:szCs w:val="20"/>
                <w:color w:val="auto"/>
              </w:rPr>
            </w:pPr>
            <w:r>
              <w:rPr>
                <w:rFonts w:ascii="Arial" w:cs="Arial" w:eastAsia="Arial" w:hAnsi="Arial"/>
                <w:sz w:val="29"/>
                <w:szCs w:val="29"/>
                <w:color w:val="0000FF"/>
                <w:w w:val="94"/>
                <w:vertAlign w:val="subscript"/>
              </w:rPr>
              <w:t>footnotes</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7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1540" w:type="dxa"/>
            <w:vAlign w:val="bottom"/>
            <w:tcBorders>
              <w:top w:val="single" w:sz="8" w:color="2C2C2C"/>
            </w:tcBorders>
            <w:gridSpan w:val="2"/>
            <w:vMerge w:val="restart"/>
          </w:tcPr>
          <w:p>
            <w:pPr>
              <w:ind w:left="720"/>
              <w:spacing w:after="0"/>
              <w:rPr>
                <w:sz w:val="20"/>
                <w:szCs w:val="20"/>
                <w:color w:val="auto"/>
              </w:rPr>
            </w:pPr>
            <w:r>
              <w:rPr>
                <w:rFonts w:ascii="Arial" w:cs="Arial" w:eastAsia="Arial" w:hAnsi="Arial"/>
                <w:sz w:val="16"/>
                <w:szCs w:val="16"/>
                <w:color w:val="0000FF"/>
                <w:w w:val="99"/>
              </w:rPr>
              <w:t>09/30/2021</w:t>
            </w:r>
          </w:p>
        </w:tc>
        <w:tc>
          <w:tcPr>
            <w:tcW w:w="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2"/>
                <w:szCs w:val="12"/>
                <w:color w:val="0000FF"/>
              </w:rPr>
              <w:t>J</w:t>
            </w: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w w:val="89"/>
              </w:rPr>
              <w:t>3,381,046</w:t>
            </w: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D</w:t>
            </w:r>
          </w:p>
        </w:tc>
        <w:tc>
          <w:tcPr>
            <w:tcW w:w="5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right"/>
              <w:ind w:right="238"/>
              <w:spacing w:after="0"/>
              <w:rPr>
                <w:sz w:val="20"/>
                <w:szCs w:val="20"/>
                <w:color w:val="auto"/>
              </w:rPr>
            </w:pPr>
            <w:r>
              <w:rPr>
                <w:rFonts w:ascii="Arial" w:cs="Arial" w:eastAsia="Arial" w:hAnsi="Arial"/>
                <w:sz w:val="16"/>
                <w:szCs w:val="16"/>
                <w:color w:val="0000FF"/>
              </w:rPr>
              <w:t>0</w:t>
            </w:r>
          </w:p>
        </w:tc>
        <w:tc>
          <w:tcPr>
            <w:tcW w:w="880" w:type="dxa"/>
            <w:vAlign w:val="bottom"/>
            <w:tcBorders>
              <w:top w:val="single" w:sz="8" w:color="2C2C2C"/>
            </w:tcBorders>
            <w:vMerge w:val="restart"/>
          </w:tcPr>
          <w:p>
            <w:pPr>
              <w:ind w:left="660"/>
              <w:spacing w:after="0"/>
              <w:rPr>
                <w:sz w:val="20"/>
                <w:szCs w:val="20"/>
                <w:color w:val="auto"/>
              </w:rPr>
            </w:pPr>
            <w:r>
              <w:rPr>
                <w:rFonts w:ascii="Arial" w:cs="Arial" w:eastAsia="Arial" w:hAnsi="Arial"/>
                <w:sz w:val="16"/>
                <w:szCs w:val="16"/>
                <w:color w:val="0000FF"/>
              </w:rPr>
              <w:t>I</w:t>
            </w:r>
          </w:p>
        </w:tc>
        <w:tc>
          <w:tcPr>
            <w:tcW w:w="24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6"/>
                <w:szCs w:val="16"/>
                <w:color w:val="0000FF"/>
                <w:w w:val="95"/>
              </w:rPr>
              <w:t>footnotes</w:t>
            </w:r>
            <w:r>
              <w:rPr>
                <w:rFonts w:ascii="Arial" w:cs="Arial" w:eastAsia="Arial" w:hAnsi="Arial"/>
                <w:sz w:val="20"/>
                <w:szCs w:val="20"/>
                <w:color w:val="008000"/>
                <w:w w:val="95"/>
                <w:vertAlign w:val="superscript"/>
              </w:rPr>
              <w:t>(1)(2)(3)</w:t>
            </w:r>
          </w:p>
        </w:tc>
        <w:tc>
          <w:tcPr>
            <w:tcW w:w="0" w:type="dxa"/>
            <w:vAlign w:val="bottom"/>
          </w:tcPr>
          <w:p>
            <w:pPr>
              <w:spacing w:after="0"/>
              <w:rPr>
                <w:sz w:val="1"/>
                <w:szCs w:val="1"/>
                <w:color w:val="auto"/>
              </w:rPr>
            </w:pPr>
          </w:p>
        </w:tc>
      </w:tr>
      <w:tr>
        <w:trPr>
          <w:trHeight w:val="194"/>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0" w:type="dxa"/>
            <w:vAlign w:val="bottom"/>
            <w:gridSpan w:val="15"/>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60" w:type="dxa"/>
            <w:vAlign w:val="bottom"/>
            <w:gridSpan w:val="13"/>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420" w:type="dxa"/>
            <w:vAlign w:val="bottom"/>
          </w:tcPr>
          <w:p>
            <w:pPr>
              <w:spacing w:after="0"/>
              <w:rPr>
                <w:sz w:val="13"/>
                <w:szCs w:val="13"/>
                <w:color w:val="auto"/>
              </w:rPr>
            </w:pPr>
          </w:p>
        </w:tc>
        <w:tc>
          <w:tcPr>
            <w:tcW w:w="80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1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ind w:left="8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12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Derivative Security</w:t>
            </w:r>
          </w:p>
        </w:tc>
        <w:tc>
          <w:tcPr>
            <w:tcW w:w="1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6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6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6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6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w w:val="97"/>
              </w:rPr>
              <w:t>Amount or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w w:val="98"/>
              </w:rPr>
              <w:t>Number of</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8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tcPr>
          <w:p>
            <w:pPr>
              <w:ind w:left="60"/>
              <w:spacing w:after="0" w:line="120" w:lineRule="exact"/>
              <w:rPr>
                <w:sz w:val="20"/>
                <w:szCs w:val="20"/>
                <w:color w:val="auto"/>
              </w:rPr>
            </w:pPr>
            <w:r>
              <w:rPr>
                <w:rFonts w:ascii="Arial" w:cs="Arial" w:eastAsia="Arial" w:hAnsi="Arial"/>
                <w:sz w:val="12"/>
                <w:szCs w:val="12"/>
                <w:color w:val="0000FF"/>
                <w:w w:val="92"/>
              </w:rPr>
              <w:t>Shares/Class</w:t>
            </w:r>
          </w:p>
        </w:tc>
        <w:tc>
          <w:tcPr>
            <w:tcW w:w="72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gridSpan w:val="2"/>
            <w:vMerge w:val="restart"/>
          </w:tcPr>
          <w:p>
            <w:pPr>
              <w:ind w:left="260"/>
              <w:spacing w:after="0"/>
              <w:rPr>
                <w:sz w:val="20"/>
                <w:szCs w:val="20"/>
                <w:color w:val="auto"/>
              </w:rPr>
            </w:pPr>
            <w:r>
              <w:rPr>
                <w:rFonts w:ascii="Arial" w:cs="Arial" w:eastAsia="Arial" w:hAnsi="Arial"/>
                <w:sz w:val="12"/>
                <w:szCs w:val="12"/>
                <w:color w:val="0000FF"/>
              </w:rPr>
              <w:t>09/30/2021</w:t>
            </w:r>
          </w:p>
        </w:tc>
        <w:tc>
          <w:tcPr>
            <w:tcW w:w="1040" w:type="dxa"/>
            <w:vAlign w:val="bottom"/>
          </w:tcPr>
          <w:p>
            <w:pPr>
              <w:spacing w:after="0"/>
              <w:rPr>
                <w:sz w:val="10"/>
                <w:szCs w:val="10"/>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color w:val="0000FF"/>
              </w:rPr>
              <w:t>M</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2"/>
                <w:szCs w:val="12"/>
                <w:color w:val="0000FF"/>
                <w:w w:val="93"/>
              </w:rPr>
              <w:t>3,381,046</w:t>
            </w:r>
          </w:p>
        </w:tc>
        <w:tc>
          <w:tcPr>
            <w:tcW w:w="740" w:type="dxa"/>
            <w:vAlign w:val="bottom"/>
          </w:tcPr>
          <w:p>
            <w:pPr>
              <w:ind w:left="300"/>
              <w:spacing w:after="0"/>
              <w:rPr>
                <w:sz w:val="20"/>
                <w:szCs w:val="20"/>
                <w:color w:val="auto"/>
              </w:rPr>
            </w:pPr>
            <w:r>
              <w:rPr>
                <w:rFonts w:ascii="Arial" w:cs="Arial" w:eastAsia="Arial" w:hAnsi="Arial"/>
                <w:sz w:val="10"/>
                <w:szCs w:val="10"/>
                <w:color w:val="008000"/>
              </w:rPr>
              <w:t>(1)(2)</w:t>
            </w:r>
          </w:p>
        </w:tc>
        <w:tc>
          <w:tcPr>
            <w:tcW w:w="740" w:type="dxa"/>
            <w:vAlign w:val="bottom"/>
          </w:tcPr>
          <w:p>
            <w:pPr>
              <w:jc w:val="center"/>
              <w:spacing w:after="0"/>
              <w:rPr>
                <w:sz w:val="20"/>
                <w:szCs w:val="20"/>
                <w:color w:val="auto"/>
              </w:rPr>
            </w:pPr>
            <w:r>
              <w:rPr>
                <w:rFonts w:ascii="Arial" w:cs="Arial" w:eastAsia="Arial" w:hAnsi="Arial"/>
                <w:sz w:val="10"/>
                <w:szCs w:val="10"/>
                <w:color w:val="008000"/>
                <w:w w:val="97"/>
              </w:rPr>
              <w:t>(1)(2)</w:t>
            </w:r>
          </w:p>
        </w:tc>
        <w:tc>
          <w:tcPr>
            <w:tcW w:w="560" w:type="dxa"/>
            <w:vAlign w:val="bottom"/>
          </w:tcPr>
          <w:p>
            <w:pPr>
              <w:ind w:left="60"/>
              <w:spacing w:after="0" w:line="120" w:lineRule="exact"/>
              <w:rPr>
                <w:sz w:val="20"/>
                <w:szCs w:val="20"/>
                <w:color w:val="auto"/>
              </w:rPr>
            </w:pPr>
            <w:r>
              <w:rPr>
                <w:rFonts w:ascii="Arial" w:cs="Arial" w:eastAsia="Arial" w:hAnsi="Arial"/>
                <w:sz w:val="12"/>
                <w:szCs w:val="12"/>
                <w:color w:val="0000FF"/>
                <w:w w:val="98"/>
              </w:rPr>
              <w:t>Common</w:t>
            </w:r>
          </w:p>
        </w:tc>
        <w:tc>
          <w:tcPr>
            <w:tcW w:w="780" w:type="dxa"/>
            <w:vAlign w:val="bottom"/>
            <w:gridSpan w:val="3"/>
            <w:vMerge w:val="restart"/>
          </w:tcPr>
          <w:p>
            <w:pPr>
              <w:ind w:left="80"/>
              <w:spacing w:after="0"/>
              <w:rPr>
                <w:sz w:val="20"/>
                <w:szCs w:val="20"/>
                <w:color w:val="auto"/>
              </w:rPr>
            </w:pPr>
            <w:r>
              <w:rPr>
                <w:rFonts w:ascii="Arial" w:cs="Arial" w:eastAsia="Arial" w:hAnsi="Arial"/>
                <w:sz w:val="16"/>
                <w:szCs w:val="16"/>
                <w:color w:val="0000FF"/>
                <w:w w:val="95"/>
              </w:rPr>
              <w:t>3,381,046</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vMerge w:val="restart"/>
          </w:tcPr>
          <w:p>
            <w:pPr>
              <w:ind w:left="140"/>
              <w:spacing w:after="0"/>
              <w:rPr>
                <w:sz w:val="20"/>
                <w:szCs w:val="20"/>
                <w:color w:val="auto"/>
              </w:rPr>
            </w:pPr>
            <w:r>
              <w:rPr>
                <w:rFonts w:ascii="Arial" w:cs="Arial" w:eastAsia="Arial" w:hAnsi="Arial"/>
                <w:sz w:val="12"/>
                <w:szCs w:val="12"/>
                <w:color w:val="0000FF"/>
              </w:rPr>
              <w:t>11,892,415</w:t>
            </w:r>
          </w:p>
        </w:tc>
        <w:tc>
          <w:tcPr>
            <w:tcW w:w="24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color w:val="0000FF"/>
              </w:rPr>
              <w:t>I</w:t>
            </w:r>
          </w:p>
        </w:tc>
        <w:tc>
          <w:tcPr>
            <w:tcW w:w="80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0000FF"/>
              </w:rPr>
              <w:t>A Units/GP</w:t>
            </w:r>
          </w:p>
        </w:tc>
        <w:tc>
          <w:tcPr>
            <w:tcW w:w="7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Arial" w:cs="Arial" w:eastAsia="Arial" w:hAnsi="Arial"/>
                <w:sz w:val="12"/>
                <w:szCs w:val="12"/>
                <w:color w:val="0000FF"/>
              </w:rPr>
              <w:t>Units</w:t>
            </w:r>
          </w:p>
        </w:tc>
        <w:tc>
          <w:tcPr>
            <w:tcW w:w="78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0" w:type="dxa"/>
            <w:vAlign w:val="bottom"/>
            <w:tcBorders>
              <w:right w:val="single" w:sz="8" w:color="2C2C2C"/>
            </w:tcBorders>
            <w:gridSpan w:val="3"/>
          </w:tcPr>
          <w:p>
            <w:pPr>
              <w:ind w:left="8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4"/>
          </w:tcPr>
          <w:p>
            <w:pPr>
              <w:spacing w:after="0" w:line="204" w:lineRule="exact"/>
              <w:rPr>
                <w:rFonts w:ascii="Arial" w:cs="Arial" w:eastAsia="Arial" w:hAnsi="Arial"/>
                <w:sz w:val="20"/>
                <w:szCs w:val="20"/>
                <w:color w:val="0000EE"/>
              </w:rPr>
            </w:pPr>
            <w:hyperlink r:id="rId12">
              <w:r>
                <w:rPr>
                  <w:rFonts w:ascii="Arial" w:cs="Arial" w:eastAsia="Arial" w:hAnsi="Arial"/>
                  <w:sz w:val="20"/>
                  <w:szCs w:val="20"/>
                  <w:color w:val="0000EE"/>
                </w:rPr>
                <w:t>KAFU Holdings (QP), L.P.</w:t>
              </w:r>
            </w:hyperlink>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40" w:type="dxa"/>
            <w:vAlign w:val="bottom"/>
          </w:tcPr>
          <w:p>
            <w:pPr>
              <w:ind w:left="38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80" w:type="dxa"/>
            <w:vAlign w:val="bottom"/>
            <w:gridSpan w:val="5"/>
          </w:tcPr>
          <w:p>
            <w:pPr>
              <w:spacing w:after="0"/>
              <w:rPr>
                <w:sz w:val="20"/>
                <w:szCs w:val="20"/>
                <w:color w:val="auto"/>
              </w:rPr>
            </w:pPr>
            <w:r>
              <w:rPr>
                <w:rFonts w:ascii="Arial" w:cs="Arial" w:eastAsia="Arial" w:hAnsi="Arial"/>
                <w:sz w:val="16"/>
                <w:szCs w:val="16"/>
                <w:color w:val="0000FF"/>
              </w:rPr>
              <w:t>1800 AVENUE OF THE STARS, 3RD FLOOR</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LOS ANGELES</w:t>
            </w:r>
          </w:p>
        </w:tc>
        <w:tc>
          <w:tcPr>
            <w:tcW w:w="1060" w:type="dxa"/>
            <w:vAlign w:val="bottom"/>
            <w:gridSpan w:val="2"/>
          </w:tcPr>
          <w:p>
            <w:pPr>
              <w:ind w:left="40"/>
              <w:spacing w:after="0"/>
              <w:rPr>
                <w:sz w:val="20"/>
                <w:szCs w:val="20"/>
                <w:color w:val="auto"/>
              </w:rPr>
            </w:pPr>
            <w:r>
              <w:rPr>
                <w:rFonts w:ascii="Arial" w:cs="Arial" w:eastAsia="Arial" w:hAnsi="Arial"/>
                <w:sz w:val="16"/>
                <w:szCs w:val="16"/>
                <w:color w:val="0000FF"/>
              </w:rPr>
              <w:t>CA</w:t>
            </w:r>
          </w:p>
        </w:tc>
        <w:tc>
          <w:tcPr>
            <w:tcW w:w="1040" w:type="dxa"/>
            <w:vAlign w:val="bottom"/>
          </w:tcPr>
          <w:p>
            <w:pPr>
              <w:ind w:left="380"/>
              <w:spacing w:after="0"/>
              <w:rPr>
                <w:sz w:val="20"/>
                <w:szCs w:val="20"/>
                <w:color w:val="auto"/>
              </w:rPr>
            </w:pPr>
            <w:r>
              <w:rPr>
                <w:rFonts w:ascii="Arial" w:cs="Arial" w:eastAsia="Arial" w:hAnsi="Arial"/>
                <w:sz w:val="16"/>
                <w:szCs w:val="16"/>
                <w:color w:val="0000FF"/>
              </w:rPr>
              <w:t>90067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tcPr>
          <w:p>
            <w:pPr>
              <w:ind w:left="38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60" w:type="dxa"/>
            <w:vAlign w:val="bottom"/>
            <w:gridSpan w:val="7"/>
          </w:tcPr>
          <w:p>
            <w:pPr>
              <w:spacing w:after="0" w:line="204" w:lineRule="exact"/>
              <w:rPr>
                <w:rFonts w:ascii="Arial" w:cs="Arial" w:eastAsia="Arial" w:hAnsi="Arial"/>
                <w:sz w:val="20"/>
                <w:szCs w:val="20"/>
                <w:color w:val="0000EE"/>
                <w:w w:val="97"/>
              </w:rPr>
            </w:pPr>
            <w:hyperlink r:id="rId14">
              <w:r>
                <w:rPr>
                  <w:rFonts w:ascii="Arial" w:cs="Arial" w:eastAsia="Arial" w:hAnsi="Arial"/>
                  <w:sz w:val="20"/>
                  <w:szCs w:val="20"/>
                  <w:color w:val="0000EE"/>
                  <w:w w:val="97"/>
                </w:rPr>
                <w:t>KAYNE ANDERSON CAPITAL ADVISORS LP</w:t>
              </w:r>
            </w:hyperlink>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40" w:type="dxa"/>
            <w:vAlign w:val="bottom"/>
          </w:tcPr>
          <w:p>
            <w:pPr>
              <w:ind w:left="38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4"/>
          </w:tcPr>
          <w:p>
            <w:pPr>
              <w:spacing w:after="0"/>
              <w:rPr>
                <w:sz w:val="20"/>
                <w:szCs w:val="20"/>
                <w:color w:val="auto"/>
              </w:rPr>
            </w:pPr>
            <w:r>
              <w:rPr>
                <w:rFonts w:ascii="Arial" w:cs="Arial" w:eastAsia="Arial" w:hAnsi="Arial"/>
                <w:sz w:val="16"/>
                <w:szCs w:val="16"/>
                <w:color w:val="0000FF"/>
              </w:rPr>
              <w:t>1800 AVENUE OF THE STARS</w:t>
            </w: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3RD FLOOR</w:t>
            </w: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LOS ANGELES</w:t>
            </w:r>
          </w:p>
        </w:tc>
        <w:tc>
          <w:tcPr>
            <w:tcW w:w="1060" w:type="dxa"/>
            <w:vAlign w:val="bottom"/>
            <w:gridSpan w:val="2"/>
          </w:tcPr>
          <w:p>
            <w:pPr>
              <w:ind w:left="40"/>
              <w:spacing w:after="0"/>
              <w:rPr>
                <w:sz w:val="20"/>
                <w:szCs w:val="20"/>
                <w:color w:val="auto"/>
              </w:rPr>
            </w:pPr>
            <w:r>
              <w:rPr>
                <w:rFonts w:ascii="Arial" w:cs="Arial" w:eastAsia="Arial" w:hAnsi="Arial"/>
                <w:sz w:val="16"/>
                <w:szCs w:val="16"/>
                <w:color w:val="0000FF"/>
              </w:rPr>
              <w:t>CA</w:t>
            </w:r>
          </w:p>
        </w:tc>
        <w:tc>
          <w:tcPr>
            <w:tcW w:w="1040" w:type="dxa"/>
            <w:vAlign w:val="bottom"/>
          </w:tcPr>
          <w:p>
            <w:pPr>
              <w:ind w:left="380"/>
              <w:spacing w:after="0"/>
              <w:rPr>
                <w:sz w:val="20"/>
                <w:szCs w:val="20"/>
                <w:color w:val="auto"/>
              </w:rPr>
            </w:pPr>
            <w:r>
              <w:rPr>
                <w:rFonts w:ascii="Arial" w:cs="Arial" w:eastAsia="Arial" w:hAnsi="Arial"/>
                <w:sz w:val="16"/>
                <w:szCs w:val="16"/>
                <w:color w:val="0000FF"/>
              </w:rPr>
              <w:t>90067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tcPr>
          <w:p>
            <w:pPr>
              <w:ind w:left="38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-4819650</wp:posOffset>
            </wp:positionV>
            <wp:extent cx="28575" cy="169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69862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40" w:right="160" w:hanging="5"/>
        <w:spacing w:after="0" w:line="245"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September 30, 2021, KAFU Holdings (QP), L.P. exercised the Redemption Right with respect to an aggregate 3,381,046 Class A Units.</w:t>
      </w:r>
    </w:p>
    <w:p>
      <w:pPr>
        <w:spacing w:after="0" w:line="27" w:lineRule="exact"/>
        <w:rPr>
          <w:rFonts w:ascii="Arial" w:cs="Arial" w:eastAsia="Arial" w:hAnsi="Arial"/>
          <w:sz w:val="12"/>
          <w:szCs w:val="12"/>
          <w:color w:val="008000"/>
        </w:rPr>
      </w:pPr>
    </w:p>
    <w:p>
      <w:pPr>
        <w:ind w:left="40" w:right="240" w:hanging="5"/>
        <w:spacing w:after="0" w:line="266"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KAFU Holdings (QP), L.P. ("KAFU") owns an equivalent number of Class A Units, Class B Shares and GP Units. KACALP is the managing member of the manager of KAFU and may be deemed to beneficially own the Class A Units, Class B Shares and GP Units held by KAFU.</w:t>
      </w:r>
    </w:p>
    <w:p>
      <w:pPr>
        <w:spacing w:after="0" w:line="14" w:lineRule="exact"/>
        <w:rPr>
          <w:rFonts w:ascii="Arial" w:cs="Arial" w:eastAsia="Arial" w:hAnsi="Arial"/>
          <w:sz w:val="12"/>
          <w:szCs w:val="12"/>
          <w:color w:val="008000"/>
        </w:rPr>
      </w:pPr>
    </w:p>
    <w:p>
      <w:pPr>
        <w:ind w:left="160" w:hanging="12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transactions involve an in-kind distribution to redeeming limited partners of KAFU Holdings (QP), L.P.</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As noted in the Issuer's press release dated August 24, 2021, KACALP's legacy contractual right to designate an individual to serve on the Plains Board has been eliminated effective August 19, 2021.</w:t>
      </w:r>
    </w:p>
    <w:p>
      <w:pPr>
        <w:spacing w:after="0" w:line="5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3"/>
              </w:rPr>
              <w:t>/s/ Michael O'Neil</w:t>
            </w:r>
          </w:p>
        </w:tc>
        <w:tc>
          <w:tcPr>
            <w:tcW w:w="10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10/04/2021</w:t>
            </w:r>
          </w:p>
        </w:tc>
      </w:tr>
      <w:tr>
        <w:trPr>
          <w:trHeight w:val="213"/>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ectPr>
          <w:pgSz w:w="11900" w:h="16841" w:orient="portrait"/>
          <w:cols w:equalWidth="0" w:num="1">
            <w:col w:w="11080"/>
          </w:cols>
          <w:pgMar w:left="460" w:top="219" w:right="359" w:bottom="0" w:gutter="0" w:footer="0" w:header="0"/>
          <w:type w:val="continuous"/>
        </w:sectPr>
      </w:pPr>
    </w:p>
    <w:bookmarkStart w:id="1" w:name="page2"/>
    <w:bookmarkEnd w:id="1"/>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5" w:right="2859" w:hanging="5"/>
        <w:spacing w:after="0" w:line="31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4"/>
      </w:cols>
      <w:pgMar w:left="495"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2021-10-04T15:09:42Z</dcterms:created>
  <dcterms:modified xsi:type="dcterms:W3CDTF">2021-10-04T15:09:42Z</dcterms:modified>
</cp:coreProperties>
</file>