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5398770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5002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00253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540"/>
            <w:col w:w="872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SINNOTT ROBERT V</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 OF THE STATE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2ND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jc w:val="center"/>
        <w:ind w:right="126"/>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PLAINS GP HOLDINGS LP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PAGP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01/29/2016</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6" w:right="760" w:firstLine="6"/>
        <w:spacing w:after="0" w:line="237"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4" w:val="left"/>
          <w:tab w:leader="none" w:pos="217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54"/>
        <w:spacing w:after="0"/>
        <w:tabs>
          <w:tab w:leader="none" w:pos="21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1" w:lineRule="exact"/>
        <w:rPr>
          <w:sz w:val="24"/>
          <w:szCs w:val="24"/>
          <w:color w:val="auto"/>
        </w:rPr>
      </w:pPr>
    </w:p>
    <w:p>
      <w:pPr>
        <w:sectPr>
          <w:pgSz w:w="11900" w:h="16838" w:orient="portrait"/>
          <w:cols w:equalWidth="0" w:num="3">
            <w:col w:w="3340" w:space="720"/>
            <w:col w:w="3266" w:space="720"/>
            <w:col w:w="3474"/>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gridSpan w:val="8"/>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2"/>
                <w:szCs w:val="2"/>
                <w:color w:val="auto"/>
              </w:rPr>
            </w:pPr>
          </w:p>
        </w:tc>
        <w:tc>
          <w:tcPr>
            <w:tcW w:w="3580" w:type="dxa"/>
            <w:vAlign w:val="bottom"/>
            <w:gridSpan w:val="7"/>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8"/>
            <w:vMerge w:val="continue"/>
          </w:tcPr>
          <w:p>
            <w:pPr>
              <w:spacing w:after="0"/>
              <w:rPr>
                <w:sz w:val="12"/>
                <w:szCs w:val="12"/>
                <w:color w:val="auto"/>
              </w:rPr>
            </w:pPr>
          </w:p>
        </w:tc>
        <w:tc>
          <w:tcPr>
            <w:tcW w:w="260" w:type="dxa"/>
            <w:vAlign w:val="bottom"/>
          </w:tcPr>
          <w:p>
            <w:pPr>
              <w:spacing w:after="0"/>
              <w:rPr>
                <w:sz w:val="12"/>
                <w:szCs w:val="12"/>
                <w:color w:val="auto"/>
              </w:rPr>
            </w:pPr>
          </w:p>
        </w:tc>
        <w:tc>
          <w:tcPr>
            <w:tcW w:w="35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40" w:type="dxa"/>
            <w:vAlign w:val="bottom"/>
            <w:gridSpan w:val="4"/>
            <w:vMerge w:val="restart"/>
          </w:tcPr>
          <w:p>
            <w:pPr>
              <w:ind w:left="3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LOS ANGELES  CA</w:t>
            </w:r>
          </w:p>
        </w:tc>
        <w:tc>
          <w:tcPr>
            <w:tcW w:w="1120" w:type="dxa"/>
            <w:vAlign w:val="bottom"/>
            <w:vMerge w:val="restart"/>
          </w:tcPr>
          <w:p>
            <w:pPr>
              <w:ind w:left="140"/>
              <w:spacing w:after="0"/>
              <w:rPr>
                <w:sz w:val="20"/>
                <w:szCs w:val="20"/>
                <w:color w:val="auto"/>
              </w:rPr>
            </w:pPr>
            <w:r>
              <w:rPr>
                <w:rFonts w:ascii="Arial" w:cs="Arial" w:eastAsia="Arial" w:hAnsi="Arial"/>
                <w:sz w:val="17"/>
                <w:szCs w:val="17"/>
                <w:color w:val="0000FF"/>
              </w:rPr>
              <w:t>90067</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4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820" w:type="dxa"/>
            <w:vAlign w:val="bottom"/>
            <w:tcBorders>
              <w:bottom w:val="single" w:sz="8" w:color="9A9A9A"/>
            </w:tcBorders>
            <w:gridSpan w:val="2"/>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700"/>
              <w:spacing w:after="0"/>
              <w:rPr>
                <w:sz w:val="20"/>
                <w:szCs w:val="20"/>
                <w:color w:val="auto"/>
              </w:rPr>
            </w:pPr>
            <w:r>
              <w:rPr>
                <w:rFonts w:ascii="Arial" w:cs="Arial" w:eastAsia="Arial" w:hAnsi="Arial"/>
                <w:sz w:val="13"/>
                <w:szCs w:val="13"/>
                <w:color w:val="auto"/>
              </w:rPr>
              <w:t>(State)</w:t>
            </w:r>
          </w:p>
        </w:tc>
        <w:tc>
          <w:tcPr>
            <w:tcW w:w="1120" w:type="dxa"/>
            <w:vAlign w:val="bottom"/>
          </w:tcPr>
          <w:p>
            <w:pPr>
              <w:ind w:left="14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5200" w:type="dxa"/>
            <w:vAlign w:val="bottom"/>
            <w:tcBorders>
              <w:bottom w:val="single" w:sz="8" w:color="2C2C2C"/>
            </w:tcBorders>
            <w:gridSpan w:val="1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460"/>
              <w:spacing w:after="0" w:line="126"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9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15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00" w:type="dxa"/>
            <w:vAlign w:val="bottom"/>
            <w:gridSpan w:val="3"/>
          </w:tcPr>
          <w:p>
            <w:pPr>
              <w:ind w:left="4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 8)</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87"/>
              </w:rPr>
              <w:t>(A) or</w:t>
            </w: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tcPr>
          <w:p>
            <w:pPr>
              <w:ind w:left="60"/>
              <w:spacing w:after="0" w:line="100" w:lineRule="exact"/>
              <w:rPr>
                <w:sz w:val="20"/>
                <w:szCs w:val="20"/>
                <w:color w:val="auto"/>
              </w:rPr>
            </w:pPr>
            <w:r>
              <w:rPr>
                <w:rFonts w:ascii="Arial" w:cs="Arial" w:eastAsia="Arial" w:hAnsi="Arial"/>
                <w:sz w:val="10"/>
                <w:szCs w:val="10"/>
                <w:b w:val="1"/>
                <w:bCs w:val="1"/>
                <w:color w:val="auto"/>
              </w:rPr>
              <w:t>Reported</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3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6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88"/>
              </w:rPr>
              <w:t>Price</w:t>
            </w:r>
          </w:p>
        </w:tc>
        <w:tc>
          <w:tcPr>
            <w:tcW w:w="2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Class A Shares</w:t>
            </w:r>
          </w:p>
        </w:tc>
        <w:tc>
          <w:tcPr>
            <w:tcW w:w="1040" w:type="dxa"/>
            <w:vAlign w:val="bottom"/>
          </w:tcPr>
          <w:p>
            <w:pPr>
              <w:spacing w:after="0"/>
              <w:rPr>
                <w:sz w:val="23"/>
                <w:szCs w:val="23"/>
                <w:color w:val="auto"/>
              </w:rPr>
            </w:pPr>
          </w:p>
        </w:tc>
        <w:tc>
          <w:tcPr>
            <w:tcW w:w="1380" w:type="dxa"/>
            <w:vAlign w:val="bottom"/>
            <w:gridSpan w:val="2"/>
          </w:tcPr>
          <w:p>
            <w:pPr>
              <w:ind w:left="560"/>
              <w:spacing w:after="0"/>
              <w:rPr>
                <w:sz w:val="20"/>
                <w:szCs w:val="20"/>
                <w:color w:val="auto"/>
              </w:rPr>
            </w:pPr>
            <w:r>
              <w:rPr>
                <w:rFonts w:ascii="Arial" w:cs="Arial" w:eastAsia="Arial" w:hAnsi="Arial"/>
                <w:sz w:val="17"/>
                <w:szCs w:val="17"/>
                <w:color w:val="0000FF"/>
                <w:w w:val="93"/>
              </w:rPr>
              <w:t>01/29/2016</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ind w:left="60"/>
              <w:spacing w:after="0" w:line="270" w:lineRule="exact"/>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(1)(3)(5)</w:t>
            </w:r>
          </w:p>
        </w:tc>
        <w:tc>
          <w:tcPr>
            <w:tcW w:w="340" w:type="dxa"/>
            <w:vAlign w:val="bottom"/>
          </w:tcPr>
          <w:p>
            <w:pPr>
              <w:spacing w:after="0"/>
              <w:rPr>
                <w:sz w:val="23"/>
                <w:szCs w:val="23"/>
                <w:color w:val="auto"/>
              </w:rPr>
            </w:pPr>
          </w:p>
        </w:tc>
        <w:tc>
          <w:tcPr>
            <w:tcW w:w="820" w:type="dxa"/>
            <w:vAlign w:val="bottom"/>
            <w:gridSpan w:val="2"/>
          </w:tcPr>
          <w:p>
            <w:pPr>
              <w:jc w:val="right"/>
              <w:ind w:right="44"/>
              <w:spacing w:after="0"/>
              <w:rPr>
                <w:sz w:val="20"/>
                <w:szCs w:val="20"/>
                <w:color w:val="auto"/>
              </w:rPr>
            </w:pPr>
            <w:r>
              <w:rPr>
                <w:rFonts w:ascii="Arial" w:cs="Arial" w:eastAsia="Arial" w:hAnsi="Arial"/>
                <w:sz w:val="17"/>
                <w:szCs w:val="17"/>
                <w:color w:val="0000FF"/>
                <w:w w:val="92"/>
              </w:rPr>
              <w:t>3,138,430</w:t>
            </w:r>
          </w:p>
        </w:tc>
        <w:tc>
          <w:tcPr>
            <w:tcW w:w="380" w:type="dxa"/>
            <w:vAlign w:val="bottom"/>
          </w:tcPr>
          <w:p>
            <w:pPr>
              <w:ind w:left="18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gridSpan w:val="2"/>
          </w:tcPr>
          <w:p>
            <w:pPr>
              <w:jc w:val="right"/>
              <w:ind w:right="198"/>
              <w:spacing w:after="0"/>
              <w:rPr>
                <w:sz w:val="20"/>
                <w:szCs w:val="20"/>
                <w:color w:val="auto"/>
              </w:rPr>
            </w:pPr>
            <w:r>
              <w:rPr>
                <w:rFonts w:ascii="Arial" w:cs="Arial" w:eastAsia="Arial" w:hAnsi="Arial"/>
                <w:sz w:val="17"/>
                <w:szCs w:val="17"/>
                <w:color w:val="0000FF"/>
              </w:rPr>
              <w:t>3,138,430</w:t>
            </w:r>
          </w:p>
        </w:tc>
        <w:tc>
          <w:tcPr>
            <w:tcW w:w="920" w:type="dxa"/>
            <w:vAlign w:val="bottom"/>
          </w:tcPr>
          <w:p>
            <w:pPr>
              <w:ind w:left="400"/>
              <w:spacing w:after="0"/>
              <w:rPr>
                <w:sz w:val="20"/>
                <w:szCs w:val="20"/>
                <w:color w:val="auto"/>
              </w:rPr>
            </w:pPr>
            <w:r>
              <w:rPr>
                <w:rFonts w:ascii="Arial" w:cs="Arial" w:eastAsia="Arial" w:hAnsi="Arial"/>
                <w:sz w:val="17"/>
                <w:szCs w:val="17"/>
                <w:color w:val="0000FF"/>
              </w:rPr>
              <w:t>I</w:t>
            </w:r>
          </w:p>
        </w:tc>
        <w:tc>
          <w:tcPr>
            <w:tcW w:w="1500" w:type="dxa"/>
            <w:vAlign w:val="bottom"/>
            <w:gridSpan w:val="4"/>
          </w:tcPr>
          <w:p>
            <w:pPr>
              <w:ind w:left="40"/>
              <w:spacing w:after="0"/>
              <w:rPr>
                <w:sz w:val="20"/>
                <w:szCs w:val="20"/>
                <w:color w:val="auto"/>
              </w:rPr>
            </w:pPr>
            <w:r>
              <w:rPr>
                <w:rFonts w:ascii="Arial" w:cs="Arial" w:eastAsia="Arial" w:hAnsi="Arial"/>
                <w:sz w:val="17"/>
                <w:szCs w:val="17"/>
                <w:color w:val="0000FF"/>
                <w:w w:val="99"/>
              </w:rPr>
              <w:t>See Footnotes</w:t>
            </w:r>
            <w:r>
              <w:rPr>
                <w:rFonts w:ascii="Arial" w:cs="Arial" w:eastAsia="Arial" w:hAnsi="Arial"/>
                <w:sz w:val="21"/>
                <w:szCs w:val="21"/>
                <w:color w:val="008000"/>
                <w:w w:val="99"/>
                <w:vertAlign w:val="superscript"/>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color w:val="008000"/>
              </w:rPr>
              <w:t>(3)(4)(5)</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Class A Shares</w:t>
            </w:r>
          </w:p>
        </w:tc>
        <w:tc>
          <w:tcPr>
            <w:tcW w:w="1040" w:type="dxa"/>
            <w:vAlign w:val="bottom"/>
          </w:tcPr>
          <w:p>
            <w:pPr>
              <w:spacing w:after="0"/>
              <w:rPr>
                <w:sz w:val="23"/>
                <w:szCs w:val="23"/>
                <w:color w:val="auto"/>
              </w:rPr>
            </w:pPr>
          </w:p>
        </w:tc>
        <w:tc>
          <w:tcPr>
            <w:tcW w:w="1380" w:type="dxa"/>
            <w:vAlign w:val="bottom"/>
            <w:gridSpan w:val="2"/>
          </w:tcPr>
          <w:p>
            <w:pPr>
              <w:ind w:left="560"/>
              <w:spacing w:after="0"/>
              <w:rPr>
                <w:sz w:val="20"/>
                <w:szCs w:val="20"/>
                <w:color w:val="auto"/>
              </w:rPr>
            </w:pPr>
            <w:r>
              <w:rPr>
                <w:rFonts w:ascii="Arial" w:cs="Arial" w:eastAsia="Arial" w:hAnsi="Arial"/>
                <w:sz w:val="17"/>
                <w:szCs w:val="17"/>
                <w:color w:val="0000FF"/>
                <w:w w:val="93"/>
              </w:rPr>
              <w:t>01/29/2016</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ind w:left="80"/>
              <w:spacing w:after="0" w:line="270"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(1)(3)(5)</w:t>
            </w:r>
          </w:p>
        </w:tc>
        <w:tc>
          <w:tcPr>
            <w:tcW w:w="340" w:type="dxa"/>
            <w:vAlign w:val="bottom"/>
          </w:tcPr>
          <w:p>
            <w:pPr>
              <w:spacing w:after="0"/>
              <w:rPr>
                <w:sz w:val="23"/>
                <w:szCs w:val="23"/>
                <w:color w:val="auto"/>
              </w:rPr>
            </w:pPr>
          </w:p>
        </w:tc>
        <w:tc>
          <w:tcPr>
            <w:tcW w:w="820" w:type="dxa"/>
            <w:vAlign w:val="bottom"/>
            <w:gridSpan w:val="2"/>
          </w:tcPr>
          <w:p>
            <w:pPr>
              <w:jc w:val="right"/>
              <w:ind w:right="44"/>
              <w:spacing w:after="0"/>
              <w:rPr>
                <w:sz w:val="20"/>
                <w:szCs w:val="20"/>
                <w:color w:val="auto"/>
              </w:rPr>
            </w:pPr>
            <w:r>
              <w:rPr>
                <w:rFonts w:ascii="Arial" w:cs="Arial" w:eastAsia="Arial" w:hAnsi="Arial"/>
                <w:sz w:val="17"/>
                <w:szCs w:val="17"/>
                <w:color w:val="0000FF"/>
                <w:w w:val="92"/>
              </w:rPr>
              <w:t>3,138,430</w:t>
            </w:r>
          </w:p>
        </w:tc>
        <w:tc>
          <w:tcPr>
            <w:tcW w:w="380" w:type="dxa"/>
            <w:vAlign w:val="bottom"/>
          </w:tcPr>
          <w:p>
            <w:pPr>
              <w:ind w:left="180"/>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500" w:type="dxa"/>
            <w:vAlign w:val="bottom"/>
          </w:tcPr>
          <w:p>
            <w:pPr>
              <w:spacing w:after="0"/>
              <w:rPr>
                <w:sz w:val="23"/>
                <w:szCs w:val="23"/>
                <w:color w:val="auto"/>
              </w:rPr>
            </w:pPr>
          </w:p>
        </w:tc>
        <w:tc>
          <w:tcPr>
            <w:tcW w:w="660" w:type="dxa"/>
            <w:vAlign w:val="bottom"/>
          </w:tcPr>
          <w:p>
            <w:pPr>
              <w:jc w:val="right"/>
              <w:ind w:right="498"/>
              <w:spacing w:after="0"/>
              <w:rPr>
                <w:sz w:val="20"/>
                <w:szCs w:val="20"/>
                <w:color w:val="auto"/>
              </w:rPr>
            </w:pPr>
            <w:r>
              <w:rPr>
                <w:rFonts w:ascii="Arial" w:cs="Arial" w:eastAsia="Arial" w:hAnsi="Arial"/>
                <w:sz w:val="17"/>
                <w:szCs w:val="17"/>
                <w:color w:val="0000FF"/>
                <w:w w:val="84"/>
              </w:rPr>
              <w:t>0</w:t>
            </w:r>
          </w:p>
        </w:tc>
        <w:tc>
          <w:tcPr>
            <w:tcW w:w="920" w:type="dxa"/>
            <w:vAlign w:val="bottom"/>
          </w:tcPr>
          <w:p>
            <w:pPr>
              <w:ind w:left="400"/>
              <w:spacing w:after="0"/>
              <w:rPr>
                <w:sz w:val="20"/>
                <w:szCs w:val="20"/>
                <w:color w:val="auto"/>
              </w:rPr>
            </w:pPr>
            <w:r>
              <w:rPr>
                <w:rFonts w:ascii="Arial" w:cs="Arial" w:eastAsia="Arial" w:hAnsi="Arial"/>
                <w:sz w:val="17"/>
                <w:szCs w:val="17"/>
                <w:color w:val="0000FF"/>
              </w:rPr>
              <w:t>I</w:t>
            </w:r>
          </w:p>
        </w:tc>
        <w:tc>
          <w:tcPr>
            <w:tcW w:w="1500" w:type="dxa"/>
            <w:vAlign w:val="bottom"/>
            <w:gridSpan w:val="4"/>
          </w:tcPr>
          <w:p>
            <w:pPr>
              <w:ind w:left="40"/>
              <w:spacing w:after="0"/>
              <w:rPr>
                <w:sz w:val="20"/>
                <w:szCs w:val="20"/>
                <w:color w:val="auto"/>
              </w:rPr>
            </w:pPr>
            <w:r>
              <w:rPr>
                <w:rFonts w:ascii="Arial" w:cs="Arial" w:eastAsia="Arial" w:hAnsi="Arial"/>
                <w:sz w:val="17"/>
                <w:szCs w:val="17"/>
                <w:color w:val="0000FF"/>
                <w:w w:val="99"/>
              </w:rPr>
              <w:t>See Footnotes</w:t>
            </w:r>
            <w:r>
              <w:rPr>
                <w:rFonts w:ascii="Arial" w:cs="Arial" w:eastAsia="Arial" w:hAnsi="Arial"/>
                <w:sz w:val="21"/>
                <w:szCs w:val="21"/>
                <w:color w:val="008000"/>
                <w:w w:val="99"/>
                <w:vertAlign w:val="superscript"/>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color w:val="008000"/>
              </w:rPr>
              <w:t>(3)(4)(5)</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580" w:type="dxa"/>
            <w:vAlign w:val="bottom"/>
            <w:tcBorders>
              <w:bottom w:val="single" w:sz="8" w:color="2C2C2C"/>
            </w:tcBorders>
            <w:gridSpan w:val="14"/>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4"/>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13"/>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Transaction</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 8)</w:t>
            </w: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of Securities</w:t>
            </w: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 (A)</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 Disposed of</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(Instr. 3, 4</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6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Date</w:t>
            </w:r>
          </w:p>
        </w:tc>
        <w:tc>
          <w:tcPr>
            <w:tcW w:w="48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Code</w:t>
            </w:r>
          </w:p>
        </w:tc>
        <w:tc>
          <w:tcPr>
            <w:tcW w:w="740" w:type="dxa"/>
            <w:vAlign w:val="bottom"/>
          </w:tcPr>
          <w:p>
            <w:pPr>
              <w:ind w:left="560"/>
              <w:spacing w:after="0"/>
              <w:rPr>
                <w:sz w:val="20"/>
                <w:szCs w:val="20"/>
                <w:color w:val="auto"/>
              </w:rPr>
            </w:pPr>
            <w:r>
              <w:rPr>
                <w:rFonts w:ascii="Arial" w:cs="Arial" w:eastAsia="Arial" w:hAnsi="Arial"/>
                <w:sz w:val="12"/>
                <w:szCs w:val="12"/>
                <w:b w:val="1"/>
                <w:bCs w:val="1"/>
                <w:color w:val="auto"/>
              </w:rPr>
              <w:t>V</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vMerge w:val="restart"/>
          </w:tcPr>
          <w:p>
            <w:pPr>
              <w:ind w:left="40"/>
              <w:spacing w:after="0"/>
              <w:rPr>
                <w:sz w:val="20"/>
                <w:szCs w:val="20"/>
                <w:color w:val="auto"/>
              </w:rPr>
            </w:pPr>
            <w:r>
              <w:rPr>
                <w:rFonts w:ascii="Arial" w:cs="Arial" w:eastAsia="Arial" w:hAnsi="Arial"/>
                <w:sz w:val="13"/>
                <w:szCs w:val="13"/>
                <w:color w:val="0000FF"/>
              </w:rPr>
              <w:t>Class</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Units in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gridSpan w:val="3"/>
            <w:vMerge w:val="restart"/>
          </w:tcPr>
          <w:p>
            <w:pPr>
              <w:ind w:left="60"/>
              <w:spacing w:after="0" w:line="205"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(1)(2)(3)(4)(5)</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(1)(2)</w:t>
            </w:r>
          </w:p>
        </w:tc>
        <w:tc>
          <w:tcPr>
            <w:tcW w:w="720" w:type="dxa"/>
            <w:vAlign w:val="bottom"/>
            <w:gridSpan w:val="2"/>
            <w:vMerge w:val="restart"/>
          </w:tcPr>
          <w:p>
            <w:pPr>
              <w:jc w:val="right"/>
              <w:ind w:right="209"/>
              <w:spacing w:after="0"/>
              <w:rPr>
                <w:sz w:val="20"/>
                <w:szCs w:val="20"/>
                <w:color w:val="auto"/>
              </w:rPr>
            </w:pPr>
            <w:r>
              <w:rPr>
                <w:rFonts w:ascii="Arial" w:cs="Arial" w:eastAsia="Arial" w:hAnsi="Arial"/>
                <w:sz w:val="11"/>
                <w:szCs w:val="11"/>
                <w:color w:val="008000"/>
              </w:rPr>
              <w:t>(1)(2)</w:t>
            </w:r>
          </w:p>
        </w:tc>
        <w:tc>
          <w:tcPr>
            <w:tcW w:w="460" w:type="dxa"/>
            <w:vAlign w:val="bottom"/>
            <w:vMerge w:val="continue"/>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3,138,430</w:t>
            </w: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40" w:type="dxa"/>
            <w:vAlign w:val="bottom"/>
            <w:vMerge w:val="restart"/>
          </w:tcPr>
          <w:p>
            <w:pPr>
              <w:jc w:val="right"/>
              <w:ind w:right="141"/>
              <w:spacing w:after="0" w:line="141" w:lineRule="exact"/>
              <w:rPr>
                <w:sz w:val="20"/>
                <w:szCs w:val="20"/>
                <w:color w:val="auto"/>
              </w:rPr>
            </w:pPr>
            <w:r>
              <w:rPr>
                <w:rFonts w:ascii="Arial" w:cs="Arial" w:eastAsia="Arial" w:hAnsi="Arial"/>
                <w:sz w:val="13"/>
                <w:szCs w:val="13"/>
                <w:color w:val="0000FF"/>
              </w:rPr>
              <w:t>01/29/2016</w:t>
            </w:r>
          </w:p>
        </w:tc>
        <w:tc>
          <w:tcPr>
            <w:tcW w:w="11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w w:val="96"/>
              </w:rPr>
              <w:t>3,138,403</w:t>
            </w:r>
          </w:p>
        </w:tc>
        <w:tc>
          <w:tcPr>
            <w:tcW w:w="8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A</w:t>
            </w:r>
          </w:p>
        </w:tc>
        <w:tc>
          <w:tcPr>
            <w:tcW w:w="760" w:type="dxa"/>
            <w:vAlign w:val="bottom"/>
            <w:gridSpan w:val="2"/>
            <w:vMerge w:val="continue"/>
          </w:tcPr>
          <w:p>
            <w:pPr>
              <w:spacing w:after="0"/>
              <w:rPr>
                <w:sz w:val="6"/>
                <w:szCs w:val="6"/>
                <w:color w:val="auto"/>
              </w:rPr>
            </w:pPr>
          </w:p>
        </w:tc>
        <w:tc>
          <w:tcPr>
            <w:tcW w:w="660" w:type="dxa"/>
            <w:vAlign w:val="bottom"/>
            <w:vMerge w:val="restart"/>
          </w:tcPr>
          <w:p>
            <w:pPr>
              <w:jc w:val="right"/>
              <w:ind w:right="19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200"/>
              <w:spacing w:after="0" w:line="141" w:lineRule="exact"/>
              <w:rPr>
                <w:sz w:val="20"/>
                <w:szCs w:val="20"/>
                <w:color w:val="auto"/>
              </w:rPr>
            </w:pPr>
            <w:r>
              <w:rPr>
                <w:rFonts w:ascii="Arial" w:cs="Arial" w:eastAsia="Arial" w:hAnsi="Arial"/>
                <w:sz w:val="13"/>
                <w:szCs w:val="13"/>
                <w:color w:val="0000FF"/>
              </w:rPr>
              <w:t>95,699,079</w:t>
            </w:r>
          </w:p>
        </w:tc>
        <w:tc>
          <w:tcPr>
            <w:tcW w:w="760" w:type="dxa"/>
            <w:vAlign w:val="bottom"/>
            <w:vMerge w:val="restart"/>
          </w:tcPr>
          <w:p>
            <w:pPr>
              <w:ind w:left="380"/>
              <w:spacing w:after="0" w:line="141" w:lineRule="exact"/>
              <w:rPr>
                <w:sz w:val="20"/>
                <w:szCs w:val="20"/>
                <w:color w:val="auto"/>
              </w:rPr>
            </w:pPr>
            <w:r>
              <w:rPr>
                <w:rFonts w:ascii="Arial" w:cs="Arial" w:eastAsia="Arial" w:hAnsi="Arial"/>
                <w:sz w:val="13"/>
                <w:szCs w:val="13"/>
                <w:color w:val="0000FF"/>
              </w:rPr>
              <w:t>I</w:t>
            </w: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Plains</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vMerge w:val="restart"/>
          </w:tcPr>
          <w:p>
            <w:pPr>
              <w:spacing w:after="0"/>
              <w:rPr>
                <w:sz w:val="20"/>
                <w:szCs w:val="20"/>
                <w:color w:val="auto"/>
              </w:rPr>
            </w:pPr>
            <w:r>
              <w:rPr>
                <w:rFonts w:ascii="Arial" w:cs="Arial" w:eastAsia="Arial" w:hAnsi="Arial"/>
                <w:sz w:val="13"/>
                <w:szCs w:val="13"/>
                <w:color w:val="0000FF"/>
              </w:rPr>
              <w:t>Shares</w:t>
            </w: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AAP, L.P.</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1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Chief Executive Officer of Kayne Anderson Capital Advisors, L.P. ("KACALP"), an SEC registered investment adviser and the managing member of KAFU. The Reporting Person may be deemed to be the beneficial owner of all of the interests held by KAFU and KACALP as applicable.</w:t>
      </w:r>
    </w:p>
    <w:p>
      <w:pPr>
        <w:spacing w:after="0" w:line="30" w:lineRule="exact"/>
        <w:rPr>
          <w:rFonts w:ascii="Arial" w:cs="Arial" w:eastAsia="Arial" w:hAnsi="Arial"/>
          <w:sz w:val="13"/>
          <w:szCs w:val="13"/>
          <w:color w:val="008000"/>
        </w:rPr>
      </w:pPr>
    </w:p>
    <w:p>
      <w:pPr>
        <w:ind w:left="40" w:right="140" w:firstLine="1"/>
        <w:spacing w:after="0" w:line="260"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initial public offering of the Issuer,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 The Exchange Right may be settled in cash at the option of the Issuer and, as a result the Reporting person may not be deemed to beneficially own any Class A shares reported herein. Nonetheless, the number of derivative securities included in the table above represents the number of Class B shares owned by KAFU and KACALP, that are potentially exchangeable for an equivalent number of Class A shares.</w:t>
      </w:r>
    </w:p>
    <w:p>
      <w:pPr>
        <w:spacing w:after="0" w:line="18" w:lineRule="exact"/>
        <w:rPr>
          <w:rFonts w:ascii="Arial" w:cs="Arial" w:eastAsia="Arial" w:hAnsi="Arial"/>
          <w:sz w:val="12"/>
          <w:szCs w:val="12"/>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pacing w:after="0" w:line="43" w:lineRule="exact"/>
        <w:rPr>
          <w:rFonts w:ascii="Arial" w:cs="Arial" w:eastAsia="Arial" w:hAnsi="Arial"/>
          <w:sz w:val="13"/>
          <w:szCs w:val="13"/>
          <w:color w:val="008000"/>
        </w:rPr>
      </w:pPr>
    </w:p>
    <w:p>
      <w:pPr>
        <w:ind w:left="40" w:right="4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may have been deemed to beneficially own the AAP Units held by KAFU prior to the consummation of the initial public offering of the Issuer. The AAP Units, collectively with the Class B shares and the GP Units, constitute the derivative security as described herein.</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transactions is an in-kind distribution to redeeming limited partners of KAFU. Such redemption were made in-kind with Class A shares.</w:t>
      </w:r>
    </w:p>
    <w:p>
      <w:pPr>
        <w:spacing w:after="0" w:line="4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Robert V. Sinnott</w:t>
            </w: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02/02/2016</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406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2020-01-19T05:43:09Z</dcterms:created>
  <dcterms:modified xsi:type="dcterms:W3CDTF">2020-01-19T05:43:09Z</dcterms:modified>
</cp:coreProperties>
</file>