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60" w:right="680" w:hanging="328"/>
        <w:spacing w:after="0" w:line="256" w:lineRule="auto"/>
        <w:tabs>
          <w:tab w:leader="none" w:pos="55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50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5080" w:type="dxa"/>
            <w:vAlign w:val="bottom"/>
          </w:tcPr>
          <w:p>
            <w:pPr>
              <w:jc w:val="center"/>
              <w:ind w:right="167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2"/>
              </w:rPr>
              <w:t>(I.R.S. Employer</w:t>
            </w:r>
          </w:p>
        </w:tc>
      </w:tr>
      <w:tr>
        <w:trPr>
          <w:trHeight w:val="230"/>
        </w:trPr>
        <w:tc>
          <w:tcPr>
            <w:tcW w:w="5080" w:type="dxa"/>
            <w:vAlign w:val="bottom"/>
          </w:tcPr>
          <w:p>
            <w:pPr>
              <w:jc w:val="center"/>
              <w:ind w:right="1670"/>
              <w:spacing w:after="0"/>
              <w:rPr>
                <w:sz w:val="20"/>
                <w:szCs w:val="20"/>
                <w:color w:val="auto"/>
              </w:rPr>
            </w:pPr>
            <w:r>
              <w:rPr>
                <w:rFonts w:ascii="Arial" w:cs="Arial" w:eastAsia="Arial" w:hAnsi="Arial"/>
                <w:sz w:val="18"/>
                <w:szCs w:val="18"/>
                <w:color w:val="auto"/>
                <w:w w:val="92"/>
              </w:rPr>
              <w:t>incorporation or organization)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508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308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13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4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Title of Each Class</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1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0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23"/>
        </w:trPr>
        <w:tc>
          <w:tcPr>
            <w:tcW w:w="548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160" w:type="dxa"/>
            <w:vAlign w:val="bottom"/>
          </w:tcPr>
          <w:p>
            <w:pPr>
              <w:spacing w:after="0"/>
              <w:rPr>
                <w:sz w:val="24"/>
                <w:szCs w:val="24"/>
                <w:color w:val="auto"/>
              </w:rPr>
            </w:pPr>
          </w:p>
        </w:tc>
      </w:tr>
    </w:tbl>
    <w:p>
      <w:pPr>
        <w:spacing w:after="0" w:line="107" w:lineRule="exact"/>
        <w:rPr>
          <w:sz w:val="24"/>
          <w:szCs w:val="24"/>
          <w:color w:val="auto"/>
        </w:rPr>
      </w:pPr>
    </w:p>
    <w:p>
      <w:pPr>
        <w:ind w:left="340" w:right="1540"/>
        <w:spacing w:after="0" w:line="440"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87" w:lineRule="exact"/>
        <w:rPr>
          <w:sz w:val="24"/>
          <w:szCs w:val="24"/>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0" w:gutter="0" w:footer="0" w:header="0"/>
        </w:sectPr>
      </w:pPr>
    </w:p>
    <w:p>
      <w:pPr>
        <w:spacing w:after="0" w:line="29"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20" w:space="720"/>
            <w:col w:w="3440"/>
          </w:cols>
          <w:pgMar w:left="240" w:top="233" w:right="27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9" w:lineRule="exact"/>
        <w:rPr>
          <w:sz w:val="24"/>
          <w:szCs w:val="24"/>
          <w:color w:val="auto"/>
        </w:rPr>
      </w:pPr>
    </w:p>
    <w:p>
      <w:pPr>
        <w:sectPr>
          <w:pgSz w:w="11900" w:h="16838" w:orient="portrait"/>
          <w:cols w:equalWidth="0" w:num="2">
            <w:col w:w="6800" w:space="720"/>
            <w:col w:w="3860"/>
          </w:cols>
          <w:pgMar w:left="240" w:top="233" w:right="27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31" w:lineRule="exact"/>
        <w:rPr>
          <w:sz w:val="24"/>
          <w:szCs w:val="24"/>
          <w:color w:val="auto"/>
        </w:rPr>
      </w:pPr>
    </w:p>
    <w:p>
      <w:pPr>
        <w:ind w:firstLine="324"/>
        <w:spacing w:after="0" w:line="312" w:lineRule="auto"/>
        <w:rPr>
          <w:sz w:val="20"/>
          <w:szCs w:val="20"/>
          <w:color w:val="auto"/>
        </w:rPr>
      </w:pPr>
      <w:r>
        <w:rPr>
          <w:rFonts w:ascii="Arial" w:cs="Arial" w:eastAsia="Arial" w:hAnsi="Arial"/>
          <w:sz w:val="16"/>
          <w:szCs w:val="16"/>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$21.8 billion on June 30, 2014, based on a closing price of $60.05 per Common Unit as reported on the New York Stock Exchange on such date.</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February 18, 2015, there were 376,241,697 Common Units outstanding.</w:t>
      </w:r>
    </w:p>
    <w:p>
      <w:pPr>
        <w:spacing w:after="0" w:line="1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10-K—2014 ANNUAL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12"/>
            <w:vMerge w:val="restart"/>
          </w:tcPr>
          <w:p>
            <w:pPr>
              <w:jc w:val="center"/>
              <w:ind w:right="436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12"/>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 and 2.</w:t>
              </w:r>
            </w:hyperlink>
          </w:p>
        </w:tc>
        <w:tc>
          <w:tcPr>
            <w:tcW w:w="240" w:type="dxa"/>
            <w:vAlign w:val="bottom"/>
          </w:tcPr>
          <w:p>
            <w:pPr>
              <w:spacing w:after="0"/>
              <w:rPr>
                <w:sz w:val="18"/>
                <w:szCs w:val="18"/>
                <w:color w:val="auto"/>
              </w:rPr>
            </w:pPr>
          </w:p>
        </w:tc>
        <w:tc>
          <w:tcPr>
            <w:tcW w:w="43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 and Properties</w:t>
              </w:r>
            </w:hyperlink>
          </w:p>
        </w:tc>
        <w:tc>
          <w:tcPr>
            <w:tcW w:w="580" w:type="dxa"/>
            <w:vAlign w:val="bottom"/>
            <w:tcBorders>
              <w:top w:val="single" w:sz="8" w:color="0000EE"/>
            </w:tcBorders>
          </w:tcPr>
          <w:p>
            <w:pPr>
              <w:spacing w:after="0"/>
              <w:rPr>
                <w:sz w:val="18"/>
                <w:szCs w:val="18"/>
                <w:color w:val="auto"/>
              </w:rPr>
            </w:pPr>
          </w:p>
        </w:tc>
        <w:tc>
          <w:tcPr>
            <w:tcW w:w="4380" w:type="dxa"/>
            <w:vAlign w:val="bottom"/>
            <w:gridSpan w:val="10"/>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3"/>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620" w:type="dxa"/>
            <w:vAlign w:val="bottom"/>
            <w:tcBorders>
              <w:top w:val="single" w:sz="8" w:color="0000EE"/>
            </w:tcBorders>
            <w:gridSpan w:val="2"/>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620" w:type="dxa"/>
            <w:vAlign w:val="bottom"/>
            <w:gridSpan w:val="22"/>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Item 1B.</w:t>
              </w:r>
            </w:hyperlink>
          </w:p>
        </w:tc>
        <w:tc>
          <w:tcPr>
            <w:tcW w:w="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340" w:type="dxa"/>
            <w:vAlign w:val="bottom"/>
            <w:gridSpan w:val="2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Unresolved Staff Comments</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140" w:type="dxa"/>
            <w:vAlign w:val="bottom"/>
            <w:tcBorders>
              <w:top w:val="single" w:sz="8" w:color="0000EE"/>
            </w:tcBorders>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700" w:type="dxa"/>
            <w:vAlign w:val="bottom"/>
            <w:tcBorders>
              <w:top w:val="single" w:sz="8" w:color="0000EE"/>
            </w:tcBorders>
            <w:gridSpan w:val="5"/>
          </w:tcPr>
          <w:p>
            <w:pPr>
              <w:spacing w:after="0"/>
              <w:rPr>
                <w:sz w:val="17"/>
                <w:szCs w:val="17"/>
                <w:color w:val="auto"/>
              </w:rPr>
            </w:pPr>
          </w:p>
        </w:tc>
        <w:tc>
          <w:tcPr>
            <w:tcW w:w="7300" w:type="dxa"/>
            <w:vAlign w:val="bottom"/>
            <w:gridSpan w:val="19"/>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9580" w:type="dxa"/>
            <w:vAlign w:val="bottom"/>
            <w:gridSpan w:val="28"/>
          </w:tcPr>
          <w:p>
            <w:pPr>
              <w:ind w:left="24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w:t>
              </w:r>
            </w:hyperlink>
          </w:p>
        </w:tc>
        <w:tc>
          <w:tcPr>
            <w:tcW w:w="4340" w:type="dxa"/>
            <w:vAlign w:val="bottom"/>
            <w:gridSpan w:val="9"/>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9340" w:type="dxa"/>
            <w:vAlign w:val="bottom"/>
            <w:gridSpan w:val="2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Market for Registrant’s Common Units, Related Unitholder Matters and Issuer Purchases of Equity Securities</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Selected Financial Data</w:t>
              </w:r>
            </w:hyperlink>
          </w:p>
        </w:tc>
        <w:tc>
          <w:tcPr>
            <w:tcW w:w="1440" w:type="dxa"/>
            <w:vAlign w:val="bottom"/>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7.</w:t>
              </w:r>
            </w:hyperlink>
          </w:p>
        </w:tc>
        <w:tc>
          <w:tcPr>
            <w:tcW w:w="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4"/>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Item 7A.</w:t>
              </w:r>
            </w:hyperlink>
          </w:p>
        </w:tc>
        <w:tc>
          <w:tcPr>
            <w:tcW w:w="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Quantitative and Qualitative Disclosures About Market Risk</w:t>
              </w:r>
            </w:hyperlink>
          </w:p>
        </w:tc>
        <w:tc>
          <w:tcPr>
            <w:tcW w:w="4980" w:type="dxa"/>
            <w:vAlign w:val="bottom"/>
            <w:gridSpan w:val="12"/>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8.</w:t>
              </w:r>
            </w:hyperlink>
          </w:p>
        </w:tc>
        <w:tc>
          <w:tcPr>
            <w:tcW w:w="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9340" w:type="dxa"/>
            <w:vAlign w:val="bottom"/>
            <w:gridSpan w:val="2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9.</w:t>
              </w:r>
            </w:hyperlink>
          </w:p>
        </w:tc>
        <w:tc>
          <w:tcPr>
            <w:tcW w:w="7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6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Changes in and Disagreements With Accountants on Accounting and Financial Disclosure</w:t>
              </w:r>
            </w:hyperlink>
          </w:p>
        </w:tc>
        <w:tc>
          <w:tcPr>
            <w:tcW w:w="2820" w:type="dxa"/>
            <w:vAlign w:val="bottom"/>
            <w:gridSpan w:val="3"/>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Item 9A.</w:t>
              </w:r>
            </w:hyperlink>
          </w:p>
        </w:tc>
        <w:tc>
          <w:tcPr>
            <w:tcW w:w="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Controls and Procedures</w:t>
              </w:r>
            </w:hyperlink>
          </w:p>
        </w:tc>
        <w:tc>
          <w:tcPr>
            <w:tcW w:w="7560" w:type="dxa"/>
            <w:vAlign w:val="bottom"/>
            <w:gridSpan w:val="21"/>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9B.</w:t>
              </w:r>
            </w:hyperlink>
          </w:p>
        </w:tc>
        <w:tc>
          <w:tcPr>
            <w:tcW w:w="9580" w:type="dxa"/>
            <w:vAlign w:val="bottom"/>
            <w:gridSpan w:val="28"/>
          </w:tcPr>
          <w:p>
            <w:pPr>
              <w:ind w:left="24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4300" w:type="dxa"/>
            <w:vAlign w:val="bottom"/>
            <w:gridSpan w:val="7"/>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10.</w:t>
              </w:r>
            </w:hyperlink>
          </w:p>
        </w:tc>
        <w:tc>
          <w:tcPr>
            <w:tcW w:w="9580" w:type="dxa"/>
            <w:vAlign w:val="bottom"/>
            <w:gridSpan w:val="28"/>
          </w:tcPr>
          <w:p>
            <w:pPr>
              <w:ind w:left="24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Directors and Executive Officers of Our General Partner and Corporate Governance</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11.</w:t>
              </w:r>
            </w:hyperlink>
          </w:p>
        </w:tc>
        <w:tc>
          <w:tcPr>
            <w:tcW w:w="9580" w:type="dxa"/>
            <w:vAlign w:val="bottom"/>
            <w:gridSpan w:val="28"/>
          </w:tcPr>
          <w:p>
            <w:pPr>
              <w:ind w:left="24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Executive Compensation</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Item 12.</w:t>
              </w:r>
            </w:hyperlink>
          </w:p>
        </w:tc>
        <w:tc>
          <w:tcPr>
            <w:tcW w:w="9580" w:type="dxa"/>
            <w:vAlign w:val="bottom"/>
            <w:gridSpan w:val="28"/>
          </w:tcPr>
          <w:p>
            <w:pPr>
              <w:ind w:left="24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Security Ownership of Certain Beneficial Owners and Management and Related Unitholder Matters</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13.</w:t>
              </w:r>
            </w:hyperlink>
          </w:p>
        </w:tc>
        <w:tc>
          <w:tcPr>
            <w:tcW w:w="9580" w:type="dxa"/>
            <w:vAlign w:val="bottom"/>
            <w:gridSpan w:val="28"/>
          </w:tcPr>
          <w:p>
            <w:pPr>
              <w:ind w:left="24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Item 14.</w:t>
              </w:r>
            </w:hyperlink>
          </w:p>
        </w:tc>
        <w:tc>
          <w:tcPr>
            <w:tcW w:w="9580" w:type="dxa"/>
            <w:vAlign w:val="bottom"/>
            <w:gridSpan w:val="28"/>
          </w:tcPr>
          <w:p>
            <w:pPr>
              <w:ind w:left="240"/>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Principal Accountant Fees and Services</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40" w:type="dxa"/>
            <w:vAlign w:val="bottom"/>
            <w:gridSpan w:val="15"/>
          </w:tcPr>
          <w:p>
            <w:pPr>
              <w:jc w:val="center"/>
              <w:ind w:right="4300"/>
              <w:spacing w:after="0" w:line="196" w:lineRule="exact"/>
              <w:rPr>
                <w:rFonts w:ascii="Arial" w:cs="Arial" w:eastAsia="Arial" w:hAnsi="Arial"/>
                <w:sz w:val="18"/>
                <w:szCs w:val="18"/>
                <w:b w:val="1"/>
                <w:bCs w:val="1"/>
                <w:color w:val="0000EE"/>
                <w:w w:val="98"/>
              </w:rPr>
            </w:pPr>
            <w:hyperlink w:anchor="page99">
              <w:r>
                <w:rPr>
                  <w:rFonts w:ascii="Arial" w:cs="Arial" w:eastAsia="Arial" w:hAnsi="Arial"/>
                  <w:sz w:val="18"/>
                  <w:szCs w:val="18"/>
                  <w:b w:val="1"/>
                  <w:bCs w:val="1"/>
                  <w:color w:val="0000EE"/>
                  <w:w w:val="98"/>
                </w:rPr>
                <w:t>PART IV</w:t>
              </w:r>
            </w:hyperlink>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Item 15.</w:t>
              </w:r>
            </w:hyperlink>
          </w:p>
        </w:tc>
        <w:tc>
          <w:tcPr>
            <w:tcW w:w="4560" w:type="dxa"/>
            <w:vAlign w:val="bottom"/>
            <w:gridSpan w:val="14"/>
          </w:tcPr>
          <w:p>
            <w:pPr>
              <w:ind w:left="240"/>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17"/>
                <w:szCs w:val="17"/>
                <w:color w:val="auto"/>
              </w:rPr>
            </w:pPr>
          </w:p>
        </w:tc>
        <w:tc>
          <w:tcPr>
            <w:tcW w:w="4320" w:type="dxa"/>
            <w:vAlign w:val="bottom"/>
            <w:gridSpan w:val="8"/>
          </w:tcPr>
          <w:p>
            <w:pPr>
              <w:spacing w:after="0"/>
              <w:rPr>
                <w:sz w:val="17"/>
                <w:szCs w:val="17"/>
                <w:color w:val="auto"/>
              </w:rPr>
            </w:pP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EE"/>
            </w:tcBorders>
            <w:gridSpan w:val="10"/>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rFonts w:ascii="Arial" w:cs="Arial" w:eastAsia="Arial" w:hAnsi="Arial"/>
          <w:sz w:val="18"/>
          <w:szCs w:val="18"/>
          <w:color w:val="auto"/>
        </w:rPr>
      </w:pPr>
    </w:p>
    <w:p>
      <w:pPr>
        <w:ind w:left="980" w:right="260" w:hanging="324"/>
        <w:spacing w:after="0" w:line="259"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80" w:right="360" w:hanging="324"/>
        <w:spacing w:after="0" w:line="342" w:lineRule="auto"/>
        <w:tabs>
          <w:tab w:leader="none" w:pos="9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ectPr>
          <w:pgSz w:w="11900" w:h="16838" w:orient="portrait"/>
          <w:cols w:equalWidth="0" w:num="1">
            <w:col w:w="11460"/>
          </w:cols>
          <w:pgMar w:left="240" w:top="333" w:right="199" w:bottom="0" w:gutter="0" w:footer="0" w:header="0"/>
        </w:sectPr>
      </w:pPr>
    </w:p>
    <w:bookmarkStart w:id="2" w:name="page3"/>
    <w:bookmarkEnd w:id="2"/>
    <w:p>
      <w:pPr>
        <w:spacing w:after="0" w:line="79"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were formed as a master limited partnership to acquire and operate the midstream crude oil businesses and assets of a predecessor entity and completed our initial public offering in 1998. Our 2% general partner interest is held by PAA GP LLC, a Delaware limited liability company, whose sole member is Plains AAP, L.P., a Delaware limited partnership (“AAP”). AAP also owns all of our incentive distribution rights (“IDRs”). As of December 31, 2014, Plains GP Holdings, L.P. (“PAGP”), a Delaware limited partnership that completed its initial public offering in October 2013 and that has elected to be treated as a corporation for U.S. federal income tax purposes, owned a 34.1% limited partner interest in AAP (a 31.8% economic interest), and the remaining limited partner interests in AAP were held by the owners of our general partner entities immediately prior to PAGP’s initial public offering. Plains All American GP LLC, a Delaware limited liability company (“GP LLC”), is AAP’s general partner. PAGP is the sole member of GP LLC, and PAA GP Holdings LLC is the general partner of PAGP. References to our “general partner,” as the context requires, include any or all of PAA GP LLC, AAP and GP LLC.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operations are conducted directly and indirectly through, and our operating assets are owned by, our subsidiaries. GP LLC has responsibility for conducting our business and managing our operations; however, PAGP effectively controls our business and affairs through the exercise of its rights as the sole and managing member of our general partner, including its right to appoint certain members to the board of directors of our general partner.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(other than expenses related to the Class B units of AAP which are referred to herein as the “AAP Management Units”).</w:t>
      </w:r>
    </w:p>
    <w:p>
      <w:pPr>
        <w:spacing w:after="0" w:line="16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two charts below show the structure and ownership of PAA and its subsidiaries as of December 31, 2014 in both a summarized and more detailed format. The first chart depicts PAA’s legal structure in summary format, while the second chart depicts a more comprehensive view of PAA’s legal structure, including ownership and economic interests and shares and units outstanding.</w:t>
      </w:r>
    </w:p>
    <w:p>
      <w:pPr>
        <w:sectPr>
          <w:pgSz w:w="11900" w:h="16918" w:orient="portrait"/>
          <w:cols w:equalWidth="0" w:num="1">
            <w:col w:w="11420"/>
          </w:cols>
          <w:pgMar w:left="240" w:top="341" w:right="239" w:bottom="0" w:gutter="0" w:footer="0" w:header="0"/>
        </w:sectPr>
      </w:pPr>
    </w:p>
    <w:bookmarkStart w:id="3" w:name="page4"/>
    <w:bookmarkEnd w:id="3"/>
    <w:p>
      <w:pPr>
        <w:jc w:val="center"/>
        <w:ind w:left="660"/>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234430" cy="4090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4430"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60" w:right="1819" w:hanging="5652"/>
        <w:spacing w:after="0" w:line="461" w:lineRule="auto"/>
        <w:tabs>
          <w:tab w:leader="none" w:pos="691"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Board appointment rights limited to non-management investors that own greater than 10% interest in AAP.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Detailed Partnership Structure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2014)</w:t>
      </w:r>
    </w:p>
    <w:p>
      <w:pPr>
        <w:sectPr>
          <w:pgSz w:w="11900" w:h="16838" w:orient="portrait"/>
          <w:cols w:equalWidth="0" w:num="1">
            <w:col w:w="10219"/>
          </w:cols>
          <w:pgMar w:left="240" w:top="337"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56885" cy="6791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56885" cy="679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440" w:right="399" w:bottom="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1440" w:right="39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160" w:hanging="11"/>
        <w:spacing w:after="0" w:line="277" w:lineRule="auto"/>
        <w:rPr>
          <w:sz w:val="20"/>
          <w:szCs w:val="20"/>
          <w:color w:val="auto"/>
        </w:rPr>
      </w:pPr>
      <w:r>
        <w:rPr>
          <w:rFonts w:ascii="Arial" w:cs="Arial" w:eastAsia="Arial" w:hAnsi="Arial"/>
          <w:sz w:val="18"/>
          <w:szCs w:val="18"/>
          <w:color w:val="auto"/>
        </w:rPr>
        <w:t>See Item 5. “Market for Registrant’s Common Units, Related Unitholder Matters and Issuer Purchases of Equity Securities” for discussion of our general partner’s IDRs.</w:t>
      </w:r>
    </w:p>
    <w:p>
      <w:pPr>
        <w:spacing w:after="0" w:line="170" w:lineRule="exact"/>
        <w:rPr>
          <w:sz w:val="20"/>
          <w:szCs w:val="20"/>
          <w:color w:val="auto"/>
        </w:rPr>
      </w:pPr>
    </w:p>
    <w:p>
      <w:pPr>
        <w:ind w:right="900" w:hanging="11"/>
        <w:spacing w:after="0" w:line="277" w:lineRule="auto"/>
        <w:rPr>
          <w:sz w:val="20"/>
          <w:szCs w:val="20"/>
          <w:color w:val="auto"/>
        </w:rPr>
      </w:pPr>
      <w:r>
        <w:rPr>
          <w:rFonts w:ascii="Arial" w:cs="Arial" w:eastAsia="Arial" w:hAnsi="Arial"/>
          <w:sz w:val="18"/>
          <w:szCs w:val="18"/>
          <w:color w:val="auto"/>
        </w:rPr>
        <w:t>The Partnership holds direct and indirect ownership interests in consolidated operating subsidiaries including, but not limited to, Plains Marketing, L.P., Plains Pipeline, L.P. and Plains Midstream Canada ULC (“PMC”).</w:t>
      </w:r>
    </w:p>
    <w:p>
      <w:pPr>
        <w:spacing w:after="0" w:line="170" w:lineRule="exact"/>
        <w:rPr>
          <w:sz w:val="20"/>
          <w:szCs w:val="20"/>
          <w:color w:val="auto"/>
        </w:rPr>
      </w:pPr>
    </w:p>
    <w:p>
      <w:pPr>
        <w:ind w:hanging="11"/>
        <w:spacing w:after="0" w:line="264" w:lineRule="auto"/>
        <w:rPr>
          <w:sz w:val="20"/>
          <w:szCs w:val="20"/>
          <w:color w:val="auto"/>
        </w:rPr>
      </w:pPr>
      <w:r>
        <w:rPr>
          <w:rFonts w:ascii="Arial" w:cs="Arial" w:eastAsia="Arial" w:hAnsi="Arial"/>
          <w:sz w:val="18"/>
          <w:szCs w:val="18"/>
          <w:color w:val="auto"/>
        </w:rPr>
        <w:t>The Partnership holds indirect equity interests in unconsolidated entities including Settoon Towing, LLC (“Settoon Towing”), White Cliffs Pipeline LLC (“White Cliffs”), Eagle Ford Pipeline LLC (“Eagle Ford Pipeline”), BridgeTex Pipeline Company, LLC (“BridgeTex”), Butte Pipe Line Company (“Butte”) and Frontier Pipeline Company (“Frontier”).</w:t>
      </w:r>
    </w:p>
    <w:p>
      <w:pPr>
        <w:spacing w:after="0" w:line="181" w:lineRule="exact"/>
        <w:rPr>
          <w:sz w:val="20"/>
          <w:szCs w:val="20"/>
          <w:color w:val="auto"/>
        </w:rPr>
      </w:pPr>
    </w:p>
    <w:p>
      <w:pPr>
        <w:sectPr>
          <w:pgSz w:w="11900" w:h="16838" w:orient="portrait"/>
          <w:cols w:equalWidth="0" w:num="2">
            <w:col w:w="140" w:space="520"/>
            <w:col w:w="10600"/>
          </w:cols>
          <w:pgMar w:left="240" w:top="1440" w:right="399" w:bottom="0" w:gutter="0" w:footer="0" w:header="0"/>
          <w:type w:val="continuous"/>
        </w:sectPr>
      </w:pPr>
    </w:p>
    <w:p>
      <w:pPr>
        <w:ind w:left="660" w:right="280" w:hanging="652"/>
        <w:spacing w:after="0" w:line="234"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number of Class A units of AAP (“AAP units”) for which the AAP Management Units would be exchangeable, assuming a conversion rate of approximately 0.925 AAP units for each AAP Management Unit as of December 31, 2014. The AAP Management Units are entitled to certain proportionate distributions paid by AAP.</w:t>
      </w:r>
    </w:p>
    <w:p>
      <w:pPr>
        <w:spacing w:after="0" w:line="202" w:lineRule="exact"/>
        <w:rPr>
          <w:rFonts w:ascii="Arial" w:cs="Arial" w:eastAsia="Arial" w:hAnsi="Arial"/>
          <w:sz w:val="23"/>
          <w:szCs w:val="23"/>
          <w:color w:val="auto"/>
          <w:vertAlign w:val="superscript"/>
        </w:rPr>
      </w:pPr>
    </w:p>
    <w:p>
      <w:pPr>
        <w:ind w:left="660" w:right="160" w:hanging="652"/>
        <w:spacing w:after="0" w:line="267"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As of December 31, 2014, PAGP owned 34.1% of the membership interests in its general partner, which percentage corresponds to its ownership percentage of AAP units (34.1%, representing a 31.8% economic interest in AAP, including the dilutive effect of the AAP Management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ectPr>
          <w:pgSz w:w="11900" w:h="16838" w:orient="portrait"/>
          <w:cols w:equalWidth="0" w:num="1">
            <w:col w:w="11260"/>
          </w:cols>
          <w:pgMar w:left="240" w:top="1440" w:right="399" w:bottom="0" w:gutter="0" w:footer="0" w:header="0"/>
          <w:type w:val="continuous"/>
        </w:sectPr>
      </w:pPr>
    </w:p>
    <w:bookmarkStart w:id="5" w:name="page6"/>
    <w:bookmarkEnd w:id="5"/>
    <w:p>
      <w:pPr>
        <w:ind w:right="80" w:firstLine="648"/>
        <w:spacing w:after="0" w:line="276" w:lineRule="auto"/>
        <w:rPr>
          <w:sz w:val="20"/>
          <w:szCs w:val="20"/>
          <w:color w:val="auto"/>
        </w:rPr>
      </w:pPr>
      <w:r>
        <w:rPr>
          <w:rFonts w:ascii="Arial" w:cs="Arial" w:eastAsia="Arial" w:hAnsi="Arial"/>
          <w:sz w:val="17"/>
          <w:szCs w:val="17"/>
          <w:color w:val="auto"/>
        </w:rPr>
        <w:t>Our principal business strategy is to provide competitive and efficient midstream transportation, terminalling, storage, processing, fractionation and supply and logistics services to producers, refiners and other customers. Toward this end, we endeavor to address regional supply and demand imbalances for crude oil and NGL in the United States and Canada by combining the strategic location and capabilities of our transportation, terminalling, storage, processing and fractionation assets with our extensive supply, logistics and distribution expertise. We believe successful execution of this strategy will enable us to generate sustainable earnings and cash flow. We intend to manage and grow our business by:</w:t>
      </w:r>
    </w:p>
    <w:p>
      <w:pPr>
        <w:spacing w:after="0" w:line="173"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commercially optimizing our existing assets and realizing cost efficiencies through operational improvements;</w:t>
      </w:r>
    </w:p>
    <w:p>
      <w:pPr>
        <w:spacing w:after="0" w:line="225" w:lineRule="exact"/>
        <w:rPr>
          <w:rFonts w:ascii="Arial" w:cs="Arial" w:eastAsia="Arial" w:hAnsi="Arial"/>
          <w:sz w:val="18"/>
          <w:szCs w:val="18"/>
          <w:color w:val="auto"/>
        </w:rPr>
      </w:pPr>
    </w:p>
    <w:p>
      <w:pPr>
        <w:jc w:val="both"/>
        <w:ind w:left="980" w:right="14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our transportation (including pipeline, rail, barge and truck), terminalling, storage, processing and fractionation assets in conjunction with our supply and logistics activities to capitalize on inefficient energy markets and to address physical market imbalances, mitigate inherent risks and increase margin;</w:t>
      </w:r>
    </w:p>
    <w:p>
      <w:pPr>
        <w:spacing w:after="0" w:line="181" w:lineRule="exact"/>
        <w:rPr>
          <w:rFonts w:ascii="Arial" w:cs="Arial" w:eastAsia="Arial" w:hAnsi="Arial"/>
          <w:sz w:val="18"/>
          <w:szCs w:val="18"/>
          <w:color w:val="auto"/>
        </w:rPr>
      </w:pPr>
    </w:p>
    <w:p>
      <w:pPr>
        <w:ind w:left="980" w:right="900" w:hanging="324"/>
        <w:spacing w:after="0" w:line="34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developing and implementing growth projects that (i) address evolving crude oil and NGL needs in the midstream transportation and infrastructure sector and (ii) are well positioned to benefit from long-term industry trends and opportunities; and</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our existing asset base and distribution capabilities.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 lesser extent, we also engage in similar activities for natural gas and refined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225" w:lineRule="exact"/>
        <w:rPr>
          <w:sz w:val="20"/>
          <w:szCs w:val="20"/>
          <w:color w:val="auto"/>
        </w:rPr>
      </w:pPr>
    </w:p>
    <w:p>
      <w:pPr>
        <w:ind w:left="980" w:hanging="324"/>
        <w:spacing w:after="0" w:line="273"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Many of our assets are strategically located and operationally flexible. </w:t>
      </w:r>
      <w:r>
        <w:rPr>
          <w:rFonts w:ascii="Arial" w:cs="Arial" w:eastAsia="Arial" w:hAnsi="Arial"/>
          <w:sz w:val="17"/>
          <w:szCs w:val="17"/>
          <w:color w:val="auto"/>
        </w:rPr>
        <w:t>The majority of our primary transportation segment assets are in crude oil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are located in well-established crude oil producing regions and other transportation corridors and are connected, directly or indirectly, with our facilities segment assets. The majority of our facilities segment assets are located at major trading locations and premium markets that serve as gateways to major North American refinery and distribution markets where we have strong business relationships. In addition, our assets include pipeline, rail, barge, truck and storage assets, which provide our customers and us with significant flexibility and optionality to satisfy demand and balance markets, particularly during a dynamic period of changing product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60" w:hanging="324"/>
        <w:spacing w:after="0" w:line="286"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We possess specialized crude oil market knowledge. </w:t>
      </w:r>
      <w:r>
        <w:rPr>
          <w:rFonts w:ascii="Arial" w:cs="Arial" w:eastAsia="Arial" w:hAnsi="Arial"/>
          <w:sz w:val="17"/>
          <w:szCs w:val="17"/>
          <w:color w:val="auto"/>
        </w:rPr>
        <w:t>We believe our business relationships with participants in various phases of the crude oil</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chain, from crude oil producers to refiners, as well as our own industry expertise (including our knowledge of North American crude oil flows), provide us with an extensive understanding of the North American physical crude oil markets.</w:t>
      </w:r>
    </w:p>
    <w:p>
      <w:pPr>
        <w:spacing w:after="0" w:line="165" w:lineRule="exact"/>
        <w:rPr>
          <w:rFonts w:ascii="Arial" w:cs="Arial" w:eastAsia="Arial" w:hAnsi="Arial"/>
          <w:sz w:val="17"/>
          <w:szCs w:val="17"/>
          <w:color w:val="auto"/>
        </w:rPr>
      </w:pPr>
    </w:p>
    <w:p>
      <w:pPr>
        <w:ind w:left="980" w:right="100" w:hanging="324"/>
        <w:spacing w:after="0" w:line="279"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Our supply and logistics activities typically generate a base level of margin with the opportunity to realize incremental margins. </w:t>
      </w:r>
      <w:r>
        <w:rPr>
          <w:rFonts w:ascii="Arial" w:cs="Arial" w:eastAsia="Arial" w:hAnsi="Arial"/>
          <w:sz w:val="17"/>
          <w:szCs w:val="17"/>
          <w:color w:val="auto"/>
        </w:rPr>
        <w:t>We believe the</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activities executed within our supply and logistics segment in combination with our risk management strategies provides us with a balance that generally affords us the flexibility to maintain a base level of margin in a variety of market conditions (subject to the effects of seasonality). In certain circumstances, we are able to realize incremental margins during volatile market conditions.</w:t>
      </w:r>
    </w:p>
    <w:p>
      <w:pPr>
        <w:spacing w:after="0" w:line="171" w:lineRule="exact"/>
        <w:rPr>
          <w:rFonts w:ascii="Arial" w:cs="Arial" w:eastAsia="Arial" w:hAnsi="Arial"/>
          <w:sz w:val="17"/>
          <w:szCs w:val="17"/>
          <w:color w:val="auto"/>
        </w:rPr>
      </w:pPr>
    </w:p>
    <w:p>
      <w:pPr>
        <w:ind w:left="980" w:hanging="324"/>
        <w:spacing w:after="0" w:line="273"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We have the evaluation, integration and engineering skill sets and the financial flexibility to continue to pursue acquisition and expansion opportunities. </w:t>
      </w:r>
      <w:r>
        <w:rPr>
          <w:rFonts w:ascii="Arial" w:cs="Arial" w:eastAsia="Arial" w:hAnsi="Arial"/>
          <w:sz w:val="17"/>
          <w:szCs w:val="17"/>
          <w:color w:val="auto"/>
        </w:rPr>
        <w:t>Since 1998, we have completed and integrated over 80 acquisitions with an aggregate purchase price of approximately $11.6</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We have also implemented expansion capital projects totaling over $7.8 billion. In addition, considering our investment grade credit rating, liquidity and capital structure, we believe we have the financial resources and strength necessary to finance future strategic expansion and acquisition opportunities. As of December 31, 2014, we had approximately $2.6 billion of liquidity available, including cash and cash equivalents and availability under our committed credit facilities, subject to continued covenant compliance.</w:t>
      </w:r>
    </w:p>
    <w:p>
      <w:pPr>
        <w:spacing w:after="0" w:line="178" w:lineRule="exact"/>
        <w:rPr>
          <w:rFonts w:ascii="Arial" w:cs="Arial" w:eastAsia="Arial" w:hAnsi="Arial"/>
          <w:sz w:val="17"/>
          <w:szCs w:val="17"/>
          <w:color w:val="auto"/>
        </w:rPr>
      </w:pPr>
    </w:p>
    <w:p>
      <w:pPr>
        <w:ind w:left="980" w:right="280" w:hanging="324"/>
        <w:spacing w:after="0" w:line="259"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 have an experienced management team whose interests are aligned with those of our unitholders. </w:t>
      </w:r>
      <w:r>
        <w:rPr>
          <w:rFonts w:ascii="Arial" w:cs="Arial" w:eastAsia="Arial" w:hAnsi="Arial"/>
          <w:sz w:val="18"/>
          <w:szCs w:val="18"/>
          <w:color w:val="auto"/>
        </w:rPr>
        <w:t>Our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30 years industry experience, and an average of 18 years with us or our predecessors and affiliates. In addition, through their ownership of common units, indirect interests in our general partner, grants of phantom units and AAP Management Units, our management team has a vested interest in our continued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believe that a major factor in our continued success is our ability to maintain a competitive cost of capital and access to the capital markets. In that regard, we intend to maintain a credit profile that we believe is consistent with investment grade credit ratings. We have targeted a general credit profile with the following attributes:</w:t>
      </w:r>
    </w:p>
    <w:p>
      <w:pPr>
        <w:spacing w:after="0" w:line="181"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w:t>
      </w:r>
    </w:p>
    <w:p>
      <w:pPr>
        <w:spacing w:after="0" w:line="225" w:lineRule="exact"/>
        <w:rPr>
          <w:rFonts w:ascii="Arial" w:cs="Arial" w:eastAsia="Arial" w:hAnsi="Arial"/>
          <w:sz w:val="18"/>
          <w:szCs w:val="18"/>
          <w:color w:val="auto"/>
        </w:rPr>
      </w:pPr>
    </w:p>
    <w:p>
      <w:pPr>
        <w:ind w:left="980" w:right="60" w:hanging="324"/>
        <w:spacing w:after="0" w:line="302" w:lineRule="auto"/>
        <w:tabs>
          <w:tab w:leader="none" w:pos="9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long-term debt-to-adjusted EBITDA multiple averaging between 3.5x and 4.0x (Adjusted EBITDA is earnings before interest, taxes, depreciation and amortization, equity-indexed compensation plan charges, gains and losses from derivative activities and other selected items that impact comparability. See Item 7. “Management’s Discussion and Analysis of Financial Condition and Results of Operations — Results of Operations — Non-GAAP Financial Measures” for a discussion of our selected items that impact comparability and our non-GAAP measures.);</w:t>
      </w:r>
    </w:p>
    <w:p>
      <w:pPr>
        <w:spacing w:after="0" w:line="154" w:lineRule="exact"/>
        <w:rPr>
          <w:rFonts w:ascii="Arial" w:cs="Arial" w:eastAsia="Arial" w:hAnsi="Arial"/>
          <w:sz w:val="16"/>
          <w:szCs w:val="16"/>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ectPr>
          <w:pgSz w:w="11900" w:h="16838" w:orient="portrait"/>
          <w:cols w:equalWidth="0" w:num="1">
            <w:col w:w="11420"/>
          </w:cols>
          <w:pgMar w:left="240" w:top="125" w:right="239" w:bottom="100" w:gutter="0" w:footer="0" w:header="0"/>
        </w:sectPr>
      </w:pPr>
    </w:p>
    <w:bookmarkStart w:id="6" w:name="page7"/>
    <w:bookmarkEnd w:id="6"/>
    <w:p>
      <w:pPr>
        <w:ind w:right="80" w:firstLine="648"/>
        <w:spacing w:after="0" w:line="255" w:lineRule="auto"/>
        <w:rPr>
          <w:sz w:val="20"/>
          <w:szCs w:val="20"/>
          <w:color w:val="auto"/>
        </w:rPr>
      </w:pPr>
      <w:r>
        <w:rPr>
          <w:rFonts w:ascii="Arial" w:cs="Arial" w:eastAsia="Arial" w:hAnsi="Arial"/>
          <w:sz w:val="18"/>
          <w:szCs w:val="18"/>
          <w:color w:val="auto"/>
        </w:rPr>
        <w:t>The first two of these four metrics include long-term debt as a critical measure. We also incur short-term debt in connection with our supply and logistics activities that involve the simultaneous purchase and forward sale of crude oil, NGL and natural gas. The crude oil, NGL and natural gas purchased in these transactions are hedged. We do not consider the working capital borrowings associated with these activities to be part of our long-term capital structure.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significantly above baseline levels.</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To maintain our targeted credit profile and achieve growth through acquisitions and expansion capital, we intend to fund approximately 55%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from expansion capital projects to adjusted EBITDA.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acquisition of midstream assets and businesses that are strategic and complementary to our existing operations constitutes an integral component of our business strategy and growth objectives. Such assets and businesses include crude oil, refined products and NGL logistics assets, natural gas storage assets and other energy assets that have characteristics and provide opportunities similar to our existing business lines and enable us to leverage our assets, knowledge and skill sets.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acquisitions greater than $200 million that we have completed over the past five years (in millions). See Note 3 to our Consolidated Financial Statements for a full discussion regarding our acquisition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8"/>
                <w:szCs w:val="8"/>
                <w:b w:val="1"/>
                <w:bCs w:val="1"/>
                <w:color w:val="auto"/>
              </w:rPr>
              <w:t>(1)</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4620" w:type="dxa"/>
            <w:vAlign w:val="bottom"/>
            <w:gridSpan w:val="2"/>
            <w:vMerge w:val="restart"/>
          </w:tcPr>
          <w:p>
            <w:pPr>
              <w:ind w:left="18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4"/>
                <w:szCs w:val="14"/>
                <w:color w:val="auto"/>
              </w:rPr>
            </w:pPr>
          </w:p>
        </w:tc>
        <w:tc>
          <w:tcPr>
            <w:tcW w:w="1740" w:type="dxa"/>
            <w:vAlign w:val="bottom"/>
            <w:gridSpan w:val="2"/>
          </w:tcPr>
          <w:p>
            <w:pPr>
              <w:jc w:val="right"/>
              <w:ind w:right="662"/>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4"/>
        </w:trPr>
        <w:tc>
          <w:tcPr>
            <w:tcW w:w="3160" w:type="dxa"/>
            <w:vAlign w:val="bottom"/>
            <w:gridSpan w:val="3"/>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right"/>
              <w:ind w:right="542"/>
              <w:spacing w:after="0" w:line="145" w:lineRule="exact"/>
              <w:rPr>
                <w:sz w:val="20"/>
                <w:szCs w:val="20"/>
                <w:color w:val="auto"/>
              </w:rPr>
            </w:pPr>
            <w:r>
              <w:rPr>
                <w:rFonts w:ascii="Arial" w:cs="Arial" w:eastAsia="Arial" w:hAnsi="Arial"/>
                <w:sz w:val="14"/>
                <w:szCs w:val="14"/>
                <w:b w:val="1"/>
                <w:bCs w:val="1"/>
                <w:color w:val="auto"/>
                <w:w w:val="97"/>
              </w:rPr>
              <w:t xml:space="preserve">Purchase Price </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vMerge w:val="restart"/>
          </w:tcPr>
          <w:p>
            <w:pPr>
              <w:jc w:val="right"/>
              <w:ind w:right="82"/>
              <w:spacing w:after="0"/>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50% Interest in BridgeTex Pipeline</w:t>
            </w:r>
          </w:p>
        </w:tc>
        <w:tc>
          <w:tcPr>
            <w:tcW w:w="280" w:type="dxa"/>
            <w:vAlign w:val="bottom"/>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4"/>
              </w:rPr>
              <w:t>Nov-2014</w:t>
            </w:r>
          </w:p>
        </w:tc>
        <w:tc>
          <w:tcPr>
            <w:tcW w:w="28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BridgeTex owns a crude oil pipeline that extends from</w:t>
            </w:r>
          </w:p>
        </w:tc>
        <w:tc>
          <w:tcPr>
            <w:tcW w:w="280" w:type="dxa"/>
            <w:vAlign w:val="bottom"/>
          </w:tcPr>
          <w:p>
            <w:pPr>
              <w:spacing w:after="0"/>
              <w:rPr>
                <w:sz w:val="16"/>
                <w:szCs w:val="16"/>
                <w:color w:val="auto"/>
              </w:rPr>
            </w:pP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1,088</w:t>
            </w: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Company, LLC (“BridgeTex”)</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Colorado City, Texas to East Houston</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US Development Group (“USD”)</w:t>
            </w:r>
          </w:p>
        </w:tc>
        <w:tc>
          <w:tcPr>
            <w:tcW w:w="16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Dec-2012</w:t>
            </w: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Four operating crude oil rail terminals and one terminal</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02"/>
              <w:spacing w:after="0" w:line="201"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Arial" w:cs="Arial" w:eastAsia="Arial" w:hAnsi="Arial"/>
                <w:sz w:val="18"/>
                <w:szCs w:val="18"/>
                <w:color w:val="auto"/>
              </w:rPr>
              <w:t>Crude Oil Rail Terminals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under development</w:t>
            </w:r>
          </w:p>
        </w:tc>
        <w:tc>
          <w:tcPr>
            <w:tcW w:w="240" w:type="dxa"/>
            <w:vAlign w:val="bottom"/>
          </w:tcPr>
          <w:p>
            <w:pPr>
              <w:spacing w:after="0"/>
              <w:rPr>
                <w:sz w:val="20"/>
                <w:szCs w:val="20"/>
                <w:color w:val="auto"/>
              </w:rPr>
            </w:pPr>
          </w:p>
        </w:tc>
        <w:tc>
          <w:tcPr>
            <w:tcW w:w="174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rPr>
              <w:t>1,683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BP Canada Energy Company (“BP</w:t>
            </w:r>
          </w:p>
        </w:tc>
        <w:tc>
          <w:tcPr>
            <w:tcW w:w="16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4"/>
              </w:rPr>
              <w:t>Apr-2012</w:t>
            </w: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NGL assets located in Canada and the upper-Midwest</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NGL”)</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0"/>
                <w:szCs w:val="20"/>
                <w:color w:val="auto"/>
              </w:rPr>
            </w:pPr>
          </w:p>
        </w:tc>
        <w:tc>
          <w:tcPr>
            <w:tcW w:w="1740" w:type="dxa"/>
            <w:vAlign w:val="bottom"/>
            <w:gridSpan w:val="2"/>
            <w:vMerge w:val="restart"/>
          </w:tcPr>
          <w:p>
            <w:pPr>
              <w:jc w:val="right"/>
              <w:ind w:right="82"/>
              <w:spacing w:after="0"/>
              <w:rPr>
                <w:sz w:val="20"/>
                <w:szCs w:val="20"/>
                <w:color w:val="auto"/>
              </w:rPr>
            </w:pPr>
            <w:r>
              <w:rPr>
                <w:rFonts w:ascii="Arial" w:cs="Arial" w:eastAsia="Arial" w:hAnsi="Arial"/>
                <w:sz w:val="36"/>
                <w:szCs w:val="36"/>
                <w:color w:val="auto"/>
                <w:vertAlign w:val="subscript"/>
              </w:rPr>
              <w:t>220</w:t>
            </w: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Western Refining, Inc. (“Western”)</w:t>
            </w:r>
          </w:p>
        </w:tc>
        <w:tc>
          <w:tcPr>
            <w:tcW w:w="16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Dec-2011</w:t>
            </w: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Multi-product storage facility in Virginia and Crude oil</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Arial" w:cs="Arial" w:eastAsia="Arial" w:hAnsi="Arial"/>
                <w:sz w:val="18"/>
                <w:szCs w:val="18"/>
                <w:color w:val="auto"/>
              </w:rPr>
              <w:t>Pipeline and Storage Assets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pipeline in southeastern New Mexico</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Velocity South Texas Gathering, LLC</w:t>
            </w:r>
          </w:p>
        </w:tc>
        <w:tc>
          <w:tcPr>
            <w:tcW w:w="16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4"/>
              </w:rPr>
              <w:t>Nov-2011</w:t>
            </w: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Crude oil and condensate gathering and transportation</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02"/>
              <w:spacing w:after="0" w:line="201"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(“Velocity”)</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assets in South Texas (“Gardendale Gathering System”)</w:t>
            </w:r>
          </w:p>
        </w:tc>
        <w:tc>
          <w:tcPr>
            <w:tcW w:w="240" w:type="dxa"/>
            <w:vAlign w:val="bottom"/>
          </w:tcPr>
          <w:p>
            <w:pPr>
              <w:spacing w:after="0"/>
              <w:rPr>
                <w:sz w:val="20"/>
                <w:szCs w:val="20"/>
                <w:color w:val="auto"/>
              </w:rPr>
            </w:pPr>
          </w:p>
        </w:tc>
        <w:tc>
          <w:tcPr>
            <w:tcW w:w="174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rPr>
              <w:t>765</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SG Resources Mississippi, LLC (“SG</w:t>
            </w:r>
          </w:p>
        </w:tc>
        <w:tc>
          <w:tcPr>
            <w:tcW w:w="16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0"/>
              </w:rPr>
              <w:t>Feb-2011</w:t>
            </w: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Southern Pines Energy Center (“Southern Pines”) natural</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Arial" w:cs="Arial" w:eastAsia="Arial" w:hAnsi="Arial"/>
                <w:sz w:val="18"/>
                <w:szCs w:val="18"/>
                <w:color w:val="auto"/>
              </w:rPr>
              <w:t>Resources”)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gas storage facility</w:t>
            </w:r>
          </w:p>
        </w:tc>
        <w:tc>
          <w:tcPr>
            <w:tcW w:w="240" w:type="dxa"/>
            <w:vAlign w:val="bottom"/>
          </w:tcPr>
          <w:p>
            <w:pPr>
              <w:spacing w:after="0"/>
              <w:rPr>
                <w:sz w:val="20"/>
                <w:szCs w:val="20"/>
                <w:color w:val="auto"/>
              </w:rPr>
            </w:pPr>
          </w:p>
        </w:tc>
        <w:tc>
          <w:tcPr>
            <w:tcW w:w="174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rPr>
              <w:t>229</w:t>
            </w:r>
            <w:r>
              <w:rPr>
                <w:rFonts w:ascii="Arial" w:cs="Arial" w:eastAsia="Arial" w:hAnsi="Arial"/>
                <w:sz w:val="23"/>
                <w:szCs w:val="23"/>
                <w:color w:val="auto"/>
                <w:vertAlign w:val="superscript"/>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Nexen Holdings U.S.A. Inc. Gathering</w:t>
            </w:r>
          </w:p>
        </w:tc>
        <w:tc>
          <w:tcPr>
            <w:tcW w:w="16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Dec-2010</w:t>
            </w: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Crude oil gathering business and transportation assets in</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and Transportation Assets (“Nexen”)</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North Dakota and Montana</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-1929130</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Excludes our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we issued approximately 14.7 million PAA common units with a value of approximately $760 million. See Note 11 to our Consolidated Financial Statements for further discussion of the PNG Merger.</w:t>
      </w:r>
    </w:p>
    <w:p>
      <w:pPr>
        <w:sectPr>
          <w:pgSz w:w="11900" w:h="16838" w:orient="portrait"/>
          <w:cols w:equalWidth="0" w:num="1">
            <w:col w:w="11420"/>
          </w:cols>
          <w:pgMar w:left="240" w:top="125"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248" w:lineRule="exact"/>
        <w:rPr>
          <w:sz w:val="20"/>
          <w:szCs w:val="20"/>
          <w:color w:val="auto"/>
        </w:rPr>
      </w:pPr>
    </w:p>
    <w:p>
      <w:pPr>
        <w:ind w:left="20" w:right="520" w:hanging="11"/>
        <w:spacing w:after="0" w:line="277" w:lineRule="auto"/>
        <w:rPr>
          <w:sz w:val="20"/>
          <w:szCs w:val="20"/>
          <w:color w:val="auto"/>
        </w:rPr>
      </w:pPr>
      <w:r>
        <w:rPr>
          <w:rFonts w:ascii="Arial" w:cs="Arial" w:eastAsia="Arial" w:hAnsi="Arial"/>
          <w:sz w:val="18"/>
          <w:szCs w:val="18"/>
          <w:color w:val="auto"/>
        </w:rPr>
        <w:t>Approximate purchase price of $1.075 billion, net of working capital acquired. We account for our 50% interest in BridgeTex under the equity method of accounting.</w:t>
      </w:r>
    </w:p>
    <w:p>
      <w:pPr>
        <w:spacing w:after="0" w:line="170"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Purchase price includes approximately $17 million of imputed interest. A prepayment of $50 million was made during 2011. Approximate purchase price of $1.192 billion, net of working capital, linefill and long-term inventory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two transactions with Western.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$750 million, net of cash and other working capital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$170 million, net of cash, inventory and other working capital acquired.</w:t>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and Investment Activities</w:t>
      </w:r>
    </w:p>
    <w:p>
      <w:pPr>
        <w:spacing w:after="0" w:line="225" w:lineRule="exact"/>
        <w:rPr>
          <w:sz w:val="20"/>
          <w:szCs w:val="20"/>
          <w:color w:val="auto"/>
        </w:rPr>
      </w:pPr>
    </w:p>
    <w:p>
      <w:pPr>
        <w:ind w:left="20" w:right="80" w:firstLine="643"/>
        <w:spacing w:after="0" w:line="290"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ectPr>
          <w:pgSz w:w="11900" w:h="16838" w:orient="portrait"/>
          <w:cols w:equalWidth="0" w:num="1">
            <w:col w:w="11420"/>
          </w:cols>
          <w:pgMar w:left="240" w:top="125" w:right="239" w:bottom="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 See Item 1A. “Risk Factors—Risks Related to Our Business—If we do not make acquisitions or if we make acquisitions that fail to perform as anticipated, our future growth may be limited” and “— Acquisitions involve risks that may adversely affect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Capital Projects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extensive asset base and our relationships with customers provide us with opportunities for organic growth through the construction of additional assets that are complementary to, and expand or extend, our existing asset base. We believe that the diversity and balance of our expansion capital project portfolio (i.e., relatively large number of projects that are small to medium sized and spread across multiple geographic regions) reduces our overall exposure to cost overruns, timing delays and other adverse market developments with respect to a particular project or region. Our 2015 expansion capital plan is representative of the diversity and balance of our overall project portfolio. The following expansion capital projects are included in our 2015 capital plan as of February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left="207"/>
              <w:spacing w:after="0"/>
              <w:rPr>
                <w:sz w:val="20"/>
                <w:szCs w:val="20"/>
                <w:color w:val="auto"/>
              </w:rPr>
            </w:pPr>
            <w:r>
              <w:rPr>
                <w:rFonts w:ascii="Arial" w:cs="Arial" w:eastAsia="Arial" w:hAnsi="Arial"/>
                <w:sz w:val="14"/>
                <w:szCs w:val="14"/>
                <w:b w:val="1"/>
                <w:bCs w:val="1"/>
                <w:color w:val="auto"/>
                <w:w w:val="92"/>
              </w:rPr>
              <w:t>2015 Plan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Basin/Region</w:t>
            </w:r>
          </w:p>
        </w:tc>
        <w:tc>
          <w:tcPr>
            <w:tcW w:w="240" w:type="dxa"/>
            <w:vAlign w:val="bottom"/>
          </w:tcPr>
          <w:p>
            <w:pPr>
              <w:spacing w:after="0"/>
              <w:rPr>
                <w:sz w:val="12"/>
                <w:szCs w:val="12"/>
                <w:color w:val="auto"/>
              </w:rPr>
            </w:pPr>
          </w:p>
        </w:tc>
        <w:tc>
          <w:tcPr>
            <w:tcW w:w="17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Project</w:t>
            </w:r>
          </w:p>
        </w:tc>
        <w:tc>
          <w:tcPr>
            <w:tcW w:w="240" w:type="dxa"/>
            <w:vAlign w:val="bottom"/>
          </w:tcPr>
          <w:p>
            <w:pPr>
              <w:spacing w:after="0"/>
              <w:rPr>
                <w:sz w:val="12"/>
                <w:szCs w:val="12"/>
                <w:color w:val="auto"/>
              </w:rPr>
            </w:pPr>
          </w:p>
        </w:tc>
        <w:tc>
          <w:tcPr>
            <w:tcW w:w="12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6"/>
              </w:rPr>
              <w:t xml:space="preserve">Amount </w:t>
            </w:r>
            <w:r>
              <w:rPr>
                <w:rFonts w:ascii="Arial" w:cs="Arial" w:eastAsia="Arial" w:hAnsi="Arial"/>
                <w:sz w:val="8"/>
                <w:szCs w:val="8"/>
                <w:b w:val="1"/>
                <w:bCs w:val="1"/>
                <w:color w:val="auto"/>
                <w:w w:val="96"/>
              </w:rPr>
              <w:t>(1)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6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Description</w:t>
            </w:r>
          </w:p>
        </w:tc>
        <w:tc>
          <w:tcPr>
            <w:tcW w:w="1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In-Service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Permian</w:t>
            </w:r>
          </w:p>
        </w:tc>
        <w:tc>
          <w:tcPr>
            <w:tcW w:w="2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Permian Basin Area</w:t>
            </w:r>
          </w:p>
        </w:tc>
        <w:tc>
          <w:tcPr>
            <w:tcW w:w="2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365</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Multiple projects to increase and expand our</w:t>
            </w: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Various, throughout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Projects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pipeline infrastructure in the Permian Basin,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2015 and 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including expansion of trunklines into the</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Delaware Basin and corresponding looping of the</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Wink-to-Midland segment of our Basin Pipeline</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Cactus Pipeline</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7"/>
                <w:szCs w:val="17"/>
                <w:color w:val="auto"/>
              </w:rPr>
            </w:pPr>
          </w:p>
        </w:tc>
        <w:tc>
          <w:tcPr>
            <w:tcW w:w="390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310 miles of new crude oil pipeline; 250,000</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Bbls/d capacity (to be expanded to 330,000 Bbls/d</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 2016) from the Permian Basin to the Eagle</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Ford Pipeline</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gridSpan w:val="2"/>
          </w:tcPr>
          <w:p>
            <w:pPr>
              <w:spacing w:after="0" w:line="201" w:lineRule="exact"/>
              <w:rPr>
                <w:sz w:val="20"/>
                <w:szCs w:val="20"/>
                <w:color w:val="auto"/>
              </w:rPr>
            </w:pPr>
            <w:r>
              <w:rPr>
                <w:rFonts w:ascii="Arial" w:cs="Arial" w:eastAsia="Arial" w:hAnsi="Arial"/>
                <w:sz w:val="18"/>
                <w:szCs w:val="18"/>
                <w:color w:val="auto"/>
              </w:rPr>
              <w:t>Eagle Ford</w:t>
            </w:r>
          </w:p>
        </w:tc>
        <w:tc>
          <w:tcPr>
            <w:tcW w:w="24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w w:val="95"/>
              </w:rPr>
              <w:t>Eagle Ford JV Project</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39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55 miles of new gathering and trunkline pipeline</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Various, throughout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to connect Karnes and Live Oak County</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2015, 2016 and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production areas to the Three Rivers, TX</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terminal; 70 miles of new pipeline from Three</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Rivers to Corpus Christi, TX; expanded storage</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and pumping capacity at Three Rivers;</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Construction of new terminal on the Corpus</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Christi ship channel</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Eagle Ford Area</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w w:val="96"/>
              </w:rPr>
              <w:t>New condensate processing stabilizer with 40,000</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Projects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Bbls/d of capacity; conversion of existing</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Gardendale, TX stabilizer into rich fuel gas use;</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installation of pumps, metering and 10 miles of</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pipeline enabling delivery of NGL out of our</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Gardendale processing plant</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Central / Mid-Continent</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Diamond Pipeline</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9"/>
              </w:rPr>
              <w:t>165</w:t>
            </w:r>
          </w:p>
        </w:tc>
        <w:tc>
          <w:tcPr>
            <w:tcW w:w="390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440 miles of new crude oil pipeline; 200,000</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Bbls/d capacity from Cushing, OK to the Valero</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Memphis, TN refinery</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 River Pipeline</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7"/>
                <w:szCs w:val="17"/>
                <w:color w:val="auto"/>
              </w:rPr>
            </w:pPr>
          </w:p>
        </w:tc>
        <w:tc>
          <w:tcPr>
            <w:tcW w:w="390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Approximately 400 miles of new crude oil</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pipeline; 150,000 Bbls/d capacity from Cushing,</w:t>
            </w:r>
          </w:p>
        </w:tc>
        <w:tc>
          <w:tcPr>
            <w:tcW w:w="1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OK to Longview, TX</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Cushing Terminal</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7"/>
                <w:szCs w:val="17"/>
                <w:color w:val="auto"/>
              </w:rPr>
            </w:pPr>
          </w:p>
        </w:tc>
        <w:tc>
          <w:tcPr>
            <w:tcW w:w="390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Addition of 1.4 million barrels of storage capacity</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Expansions</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gridSpan w:val="2"/>
          </w:tcPr>
          <w:p>
            <w:pPr>
              <w:spacing w:after="0" w:line="201" w:lineRule="exact"/>
              <w:rPr>
                <w:sz w:val="20"/>
                <w:szCs w:val="20"/>
                <w:color w:val="auto"/>
              </w:rPr>
            </w:pPr>
            <w:r>
              <w:rPr>
                <w:rFonts w:ascii="Arial" w:cs="Arial" w:eastAsia="Arial" w:hAnsi="Arial"/>
                <w:sz w:val="18"/>
                <w:szCs w:val="18"/>
                <w:color w:val="auto"/>
              </w:rPr>
              <w:t>Rocky Mountain</w:t>
            </w:r>
          </w:p>
        </w:tc>
        <w:tc>
          <w:tcPr>
            <w:tcW w:w="24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Cowboy Pipeline</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7"/>
                <w:szCs w:val="17"/>
                <w:color w:val="auto"/>
              </w:rPr>
            </w:pPr>
          </w:p>
        </w:tc>
        <w:tc>
          <w:tcPr>
            <w:tcW w:w="390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9"/>
              </w:rPr>
              <w:t>27 miles of new crude oil pipeline; 65,000 Bbls/d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capacity from Cheyenne, WY to our rail loading</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facility near Carr, CO; construction of new</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terminal at Cheyenne</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West Coast</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Line 63 Reactivation</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390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Reactivation of 71 miles of idled pipeline and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supporting assets</w:t>
            </w:r>
          </w:p>
        </w:tc>
        <w:tc>
          <w:tcPr>
            <w:tcW w:w="1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gridSpan w:val="2"/>
          </w:tcPr>
          <w:p>
            <w:pPr>
              <w:spacing w:after="0" w:line="201" w:lineRule="exact"/>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Fort Saskatchewan</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w w:val="99"/>
              </w:rPr>
              <w:t>290</w:t>
            </w:r>
          </w:p>
        </w:tc>
        <w:tc>
          <w:tcPr>
            <w:tcW w:w="39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Multi-phase project, Phase I of which includes</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Various, throughout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4"/>
              </w:rPr>
              <w:t>Facility Projects / NGL</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(i) development of two new high rate delivery</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2015, 2016 and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Line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w w:val="99"/>
              </w:rPr>
              <w:t>caverns, (ii) conversion of service of two existing</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caverns, (iii) the addition of 2.5 million barrels of</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brine capacity and (iv) development of a truck</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rPr>
              <w:t>loading facility</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3"/>
          </w:tcPr>
          <w:p>
            <w:pPr>
              <w:ind w:left="40"/>
              <w:spacing w:after="0"/>
              <w:rPr>
                <w:sz w:val="20"/>
                <w:szCs w:val="20"/>
                <w:color w:val="auto"/>
              </w:rPr>
            </w:pPr>
            <w:r>
              <w:rPr>
                <w:rFonts w:ascii="Arial" w:cs="Arial" w:eastAsia="Arial" w:hAnsi="Arial"/>
                <w:sz w:val="18"/>
                <w:szCs w:val="18"/>
                <w:color w:val="auto"/>
                <w:w w:val="99"/>
              </w:rPr>
              <w:t>Phase II includes (i) expanding inlet fractionation</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-1759585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-1759585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capacity by 20,000 Bbls/d, (ii) development of</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two new ethane caverns and a utility cavern,</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(iii) the addition of 2.65 million barrels of brine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capacity and (iv) development of a propane rail</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loading facility</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Rail Terminal Projects</w:t>
            </w:r>
          </w:p>
        </w:tc>
        <w:tc>
          <w:tcPr>
            <w:tcW w:w="1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240</w:t>
            </w:r>
          </w:p>
        </w:tc>
        <w:tc>
          <w:tcPr>
            <w:tcW w:w="41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Railcar purchases and projects located in or near</w:t>
            </w:r>
          </w:p>
        </w:tc>
        <w:tc>
          <w:tcPr>
            <w:tcW w:w="1560" w:type="dxa"/>
            <w:vAlign w:val="bottom"/>
            <w:shd w:val="clear" w:color="auto" w:fill="CCEEFF"/>
          </w:tcPr>
          <w:p>
            <w:pPr>
              <w:jc w:val="right"/>
              <w:ind w:right="590"/>
              <w:spacing w:after="0" w:line="201"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20"/>
                <w:szCs w:val="20"/>
                <w:color w:val="auto"/>
              </w:rPr>
            </w:pPr>
          </w:p>
        </w:tc>
        <w:tc>
          <w:tcPr>
            <w:tcW w:w="21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Other Projects</w:t>
            </w:r>
          </w:p>
        </w:tc>
        <w:tc>
          <w:tcPr>
            <w:tcW w:w="1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 James, LA and Kerrobert, Canada</w:t>
            </w: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20" w:hanging="1201"/>
        <w:spacing w:after="0"/>
        <w:tabs>
          <w:tab w:leader="none" w:pos="5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1,850</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660" w:right="20" w:hanging="652"/>
        <w:spacing w:after="0" w:line="234"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-718820</wp:posOffset>
            </wp:positionV>
            <wp:extent cx="1020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-701675</wp:posOffset>
            </wp:positionV>
            <wp:extent cx="1020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Crude oil and NGL are two primary components of the world petroleum market, and world economic growth is a major driver of such market. The challenging global economic climate of the last several years resulted in continued uncertainty in the petroleum market. Over the last six months of 2014, global production growth outpaced global consumption growth resulting in lower energy prices. Currently, the United States and Canada comprise 5% of the world’s population, generate approximately 20% of the world’s petroleum production, and consume approximately 23% of the world’s petroleum production. The table below depicts historical and projected production and consumption of liquid fuels for the United States and Canada and the rest of the world and is derived from the EIA Short-Term Energy Outlook, January 2015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 xml:space="preserve">Annual Liquids Production </w:t>
            </w:r>
            <w:r>
              <w:rPr>
                <w:rFonts w:ascii="Arial" w:cs="Arial" w:eastAsia="Arial" w:hAnsi="Arial"/>
                <w:sz w:val="8"/>
                <w:szCs w:val="8"/>
                <w:b w:val="1"/>
                <w:bCs w:val="1"/>
                <w:color w:val="auto"/>
                <w:w w:val="98"/>
              </w:rPr>
              <w:t>(1)</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5"/>
          </w:tcPr>
          <w:p>
            <w:pPr>
              <w:ind w:left="520"/>
              <w:spacing w:after="0"/>
              <w:rPr>
                <w:sz w:val="20"/>
                <w:szCs w:val="20"/>
                <w:color w:val="auto"/>
              </w:rPr>
            </w:pPr>
            <w:r>
              <w:rPr>
                <w:rFonts w:ascii="Arial" w:cs="Arial" w:eastAsia="Arial" w:hAnsi="Arial"/>
                <w:sz w:val="14"/>
                <w:szCs w:val="14"/>
                <w:b w:val="1"/>
                <w:bCs w:val="1"/>
                <w:color w:val="auto"/>
                <w:w w:val="90"/>
              </w:rPr>
              <w:t>Projected</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 from 2011</w:t>
            </w: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gridSpan w:val="13"/>
          </w:tcPr>
          <w:p>
            <w:pPr>
              <w:ind w:left="64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Production (Supply)</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880" w:type="dxa"/>
            <w:vAlign w:val="bottom"/>
            <w:tcBorders>
              <w:bottom w:val="single" w:sz="8" w:color="CCEEFF"/>
              <w:right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4"/>
          </w:tcPr>
          <w:p>
            <w:pPr>
              <w:ind w:left="160"/>
              <w:spacing w:after="0"/>
              <w:rPr>
                <w:sz w:val="20"/>
                <w:szCs w:val="20"/>
                <w:color w:val="auto"/>
              </w:rPr>
            </w:pPr>
            <w:r>
              <w:rPr>
                <w:rFonts w:ascii="Arial" w:cs="Arial" w:eastAsia="Arial" w:hAnsi="Arial"/>
                <w:sz w:val="18"/>
                <w:szCs w:val="18"/>
                <w:color w:val="auto"/>
              </w:rPr>
              <w:t>U.S. &amp; Canada</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13.7</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15.0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16.5</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74.2</w:t>
            </w:r>
          </w:p>
        </w:tc>
        <w:tc>
          <w:tcPr>
            <w:tcW w:w="11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74.8</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3"/>
          </w:tcPr>
          <w:p>
            <w:pPr>
              <w:ind w:left="34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6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87.9</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2"/>
              </w:rPr>
              <w:t xml:space="preserve">Annual Liquids Consumption </w:t>
            </w:r>
            <w:r>
              <w:rPr>
                <w:rFonts w:ascii="Arial" w:cs="Arial" w:eastAsia="Arial" w:hAnsi="Arial"/>
                <w:sz w:val="8"/>
                <w:szCs w:val="8"/>
                <w:b w:val="1"/>
                <w:bCs w:val="1"/>
                <w:color w:val="auto"/>
                <w:w w:val="92"/>
              </w:rPr>
              <w:t>(1)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tcPr>
          <w:p>
            <w:pPr>
              <w:ind w:left="420"/>
              <w:spacing w:after="0"/>
              <w:rPr>
                <w:sz w:val="20"/>
                <w:szCs w:val="20"/>
                <w:color w:val="auto"/>
              </w:rPr>
            </w:pPr>
            <w:r>
              <w:rPr>
                <w:rFonts w:ascii="Arial" w:cs="Arial" w:eastAsia="Arial" w:hAnsi="Arial"/>
                <w:sz w:val="14"/>
                <w:szCs w:val="14"/>
                <w:b w:val="1"/>
                <w:bCs w:val="1"/>
                <w:color w:val="auto"/>
              </w:rPr>
              <w:t>Projected</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 from 2011</w:t>
            </w: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8"/>
          </w:tcPr>
          <w:p>
            <w:pPr>
              <w:ind w:left="620"/>
              <w:spacing w:after="0" w:line="142" w:lineRule="exact"/>
              <w:rPr>
                <w:sz w:val="20"/>
                <w:szCs w:val="20"/>
                <w:color w:val="auto"/>
              </w:rPr>
            </w:pPr>
            <w:r>
              <w:rPr>
                <w:rFonts w:ascii="Arial" w:cs="Arial" w:eastAsia="Arial" w:hAnsi="Arial"/>
                <w:sz w:val="14"/>
                <w:szCs w:val="14"/>
                <w:b w:val="1"/>
                <w:bCs w:val="1"/>
                <w:color w:val="auto"/>
                <w:w w:val="93"/>
              </w:rPr>
              <w:t>(in millions of barrels per day)</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Consumption (Demand)</w:t>
            </w:r>
          </w:p>
        </w:tc>
        <w:tc>
          <w:tcPr>
            <w:tcW w:w="240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880" w:type="dxa"/>
            <w:vAlign w:val="bottom"/>
            <w:tcBorders>
              <w:bottom w:val="single" w:sz="8" w:color="CCEEFF"/>
              <w:right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4"/>
          </w:tcPr>
          <w:p>
            <w:pPr>
              <w:ind w:left="160"/>
              <w:spacing w:after="0"/>
              <w:rPr>
                <w:sz w:val="20"/>
                <w:szCs w:val="20"/>
                <w:color w:val="auto"/>
              </w:rPr>
            </w:pPr>
            <w:r>
              <w:rPr>
                <w:rFonts w:ascii="Arial" w:cs="Arial" w:eastAsia="Arial" w:hAnsi="Arial"/>
                <w:sz w:val="18"/>
                <w:szCs w:val="18"/>
                <w:color w:val="auto"/>
              </w:rPr>
              <w:t>U.S. &amp; Canada</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21.2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67.3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w:t>
            </w: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71.6</w:t>
            </w: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gridSpan w:val="3"/>
          </w:tcPr>
          <w:p>
            <w:pPr>
              <w:ind w:left="34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6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88.5</w:t>
            </w:r>
          </w:p>
        </w:tc>
        <w:tc>
          <w:tcPr>
            <w:tcW w:w="2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gridSpan w:val="4"/>
          </w:tcPr>
          <w:p>
            <w:pPr>
              <w:spacing w:after="0" w:line="201" w:lineRule="exact"/>
              <w:rPr>
                <w:sz w:val="20"/>
                <w:szCs w:val="20"/>
                <w:color w:val="auto"/>
              </w:rPr>
            </w:pPr>
            <w:r>
              <w:rPr>
                <w:rFonts w:ascii="Arial" w:cs="Arial" w:eastAsia="Arial" w:hAnsi="Arial"/>
                <w:sz w:val="18"/>
                <w:szCs w:val="18"/>
                <w:color w:val="auto"/>
              </w:rPr>
              <w:t>U.S. &amp; Canada Production as % of World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4"/>
          </w:tcPr>
          <w:p>
            <w:pPr>
              <w:ind w:left="160"/>
              <w:spacing w:after="0" w:line="231" w:lineRule="exact"/>
              <w:rPr>
                <w:sz w:val="20"/>
                <w:szCs w:val="20"/>
                <w:color w:val="auto"/>
              </w:rPr>
            </w:pPr>
            <w:r>
              <w:rPr>
                <w:rFonts w:ascii="Arial" w:cs="Arial" w:eastAsia="Arial" w:hAnsi="Arial"/>
                <w:sz w:val="18"/>
                <w:szCs w:val="18"/>
                <w:color w:val="auto"/>
              </w:rPr>
              <w:t xml:space="preserve">Production </w:t>
            </w:r>
            <w:r>
              <w:rPr>
                <w:rFonts w:ascii="Arial" w:cs="Arial" w:eastAsia="Arial" w:hAnsi="Arial"/>
                <w:sz w:val="23"/>
                <w:szCs w:val="23"/>
                <w:color w:val="auto"/>
                <w:vertAlign w:val="superscript"/>
              </w:rPr>
              <w:t>(2)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U.S. &amp; Canada Consumption as % of World</w:t>
            </w: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4"/>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Consumption </w:t>
            </w:r>
            <w:r>
              <w:rPr>
                <w:rFonts w:ascii="Arial" w:cs="Arial" w:eastAsia="Arial" w:hAnsi="Arial"/>
                <w:sz w:val="23"/>
                <w:szCs w:val="23"/>
                <w:color w:val="auto"/>
                <w:vertAlign w:val="superscript"/>
              </w:rPr>
              <w:t>(2)</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1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1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4"/>
          </w:tcPr>
          <w:p>
            <w:pPr>
              <w:spacing w:after="0" w:line="216" w:lineRule="exact"/>
              <w:rPr>
                <w:sz w:val="20"/>
                <w:szCs w:val="20"/>
                <w:color w:val="auto"/>
              </w:rPr>
            </w:pPr>
            <w:r>
              <w:rPr>
                <w:rFonts w:ascii="Arial" w:cs="Arial" w:eastAsia="Arial" w:hAnsi="Arial"/>
                <w:sz w:val="18"/>
                <w:szCs w:val="18"/>
                <w:color w:val="auto"/>
              </w:rPr>
              <w:t xml:space="preserve">Net U.S. &amp; Canada (Consumption) </w:t>
            </w:r>
            <w:r>
              <w:rPr>
                <w:rFonts w:ascii="Arial" w:cs="Arial" w:eastAsia="Arial" w:hAnsi="Arial"/>
                <w:sz w:val="23"/>
                <w:szCs w:val="23"/>
                <w:color w:val="auto"/>
                <w:vertAlign w:val="superscript"/>
              </w:rPr>
              <w:t>(2)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(5.8)</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Global Supply/Demand Balance</w:t>
            </w:r>
          </w:p>
        </w:tc>
        <w:tc>
          <w:tcPr>
            <w:tcW w:w="6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(0.6)</w:t>
            </w: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2014 amounts are derived from the EIA’s Short-Term Energy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11"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For the period from 2011 through 2014, global liquids production increased 4.3 million barrels per day while global liquids consumption only increased 2.9 million barrels per day. U.S. and Canadian production growth of 4.6 million barrels per day during this period has not only offset a 0.4 million barrels per day decline in production for the rest of the world but also has supplied the 2.9 million barrels per day increase in global demand. This surge in liquids production without a commensurate increase in demand has led to a near to medium-term supply imbalance, which has further led to a reduction in benchmark petroleum prices. The lower prices are leading producers to scale back capital programs, which we believe should ultimately slow down the supply growth and contribute toward bringing the markets back to equilibrium.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w:t>
      </w:r>
    </w:p>
    <w:p>
      <w:pPr>
        <w:sectPr>
          <w:pgSz w:w="11900" w:h="16838" w:orient="portrait"/>
          <w:cols w:equalWidth="0" w:num="1">
            <w:col w:w="11420"/>
          </w:cols>
          <w:pgMar w:left="240" w:top="125" w:right="239" w:bottom="0" w:gutter="0" w:footer="0" w:header="0"/>
          <w:type w:val="continuous"/>
        </w:sectPr>
      </w:pPr>
    </w:p>
    <w:bookmarkStart w:id="9" w:name="page10"/>
    <w:bookmarkEnd w:id="9"/>
    <w:p>
      <w:pPr>
        <w:spacing w:after="0" w:line="6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Over the last five years, one of the most significant developments impacting the crude oil market has been the rapid growth in North American crude oil production. As a result of advances in horizontal drilling and completion technology over the last several years and their application to various large scale resource plays, certain historical trends have been reversed as domestic crude oil supplies have increased substantially and have the potential to continue to increase if supported by crude oil prices. Increased production has come from both mature producing areas such as the Rockies, the Permian Basin in West Texas and the Mid-Continent region, as well as from less mature, but rapidly growing areas such as the Eagle Ford Shale in South Texas and the Bakken Shale in North Dakota. As a result, North American liquids production increased 4.6 million barrels per day or 34% between 2011 and 2014, with the increases coming primarily from Canada, the Eagle Ford Shale in South Texas, the Permian Basin in West Texas and the Bakken Shale in North Dakota. Actual and anticipated production increases in all of these regions have strained existing transportation, terminalling and downstream infrastructure. These changes have resulted in significant alterations to historical patterns of crude oil movements among regions of the U.S.</w:t>
      </w:r>
    </w:p>
    <w:p>
      <w:pPr>
        <w:spacing w:after="0" w:line="16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addition to overall production growth, significant shifts in the type and location of crude oil being produced from these regions have resulted in additional strains on existing infrastructure. Notably, the increase in domestic production of light sweet crude oil is inconsistent with the sizeable, multi-year investments made by a number of U.S. refining companies in order to expand their capabilities to process heavier, sour grades of crude oil. This divergence between readily available supplies of light sweet crude oil and increased refinery demand for heavy sour crude oil has begun to cause differentials between crude oil grades and qualities to change relative to historical levels and become more dynamic and volatile. This increase in light sweet crude oil production has also resulted in a decrease in foreign imports of light sweet crude oil into the U.S., particularly into the Gulf Coast, which has caused the international producers of such lighter crudes to seek alternative markets in other parts of the world. These previously imported barrels have been absorbed by the rest of the world until recently, when total liquids supply began increasing faster than demand.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Since reaching a multi-year low in 2009, U.S. net refinery inputs of crude oil have slowly increased to a level of 15.8 million barrels per day for the twelve month period ended November 2014, which approximates the levels achieved during 2005 and 2006. Although domestic demand for petroleum products from end users has declined from peak levels in 2004-2007 and the increased use of ethanol for blending in gasoline has further negatively impacted refinery demand for crude oil, the attractive export market for refined products and access to discounted domestic crude oil has driven the increased refinery demand. Domestic production growth has also led to lower use of imported crude oil by U.S. refineries, a meaningful change in a multi-year trend where foreign imports of crude oil tripled over an approximately 23-year period from 1985-2007. The EIA is currently forecasting a continued gradual decline in foreign crude imports from current levels, which is attributable to increased domestic production and increased supply from other liquid products, including ethanol and biodiesel.</w:t>
      </w:r>
    </w:p>
    <w:p>
      <w:pPr>
        <w:spacing w:after="0" w:line="192"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 xml:space="preserve">The table below shows the overall domestic petroleum consumption projected through 2016 and is derived from the EIA Short-Term Energy Outlook, January 2015 (see EIA website at </w:t>
      </w:r>
      <w:r>
        <w:rPr>
          <w:rFonts w:ascii="Arial" w:cs="Arial" w:eastAsia="Arial" w:hAnsi="Arial"/>
          <w:sz w:val="16"/>
          <w:szCs w:val="16"/>
          <w:i w:val="1"/>
          <w:iCs w:val="1"/>
          <w:color w:val="auto"/>
        </w:rPr>
        <w:t>www.eia.doe.gov</w:t>
      </w:r>
      <w:r>
        <w:rPr>
          <w:rFonts w:ascii="Arial" w:cs="Arial" w:eastAsia="Arial" w:hAnsi="Arial"/>
          <w:sz w:val="16"/>
          <w:szCs w:val="16"/>
          <w:color w:val="auto"/>
        </w:rPr>
        <w:t>). We believe these trends will be subject to significant variation from time to time due to a number of factors, including the level of domestic production volumes and infrastructure limitations, which impact pricing, and geopolitical developments.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 xml:space="preserve">Actual </w:t>
            </w:r>
            <w:r>
              <w:rPr>
                <w:rFonts w:ascii="Arial" w:cs="Arial" w:eastAsia="Arial" w:hAnsi="Arial"/>
                <w:sz w:val="8"/>
                <w:szCs w:val="8"/>
                <w:b w:val="1"/>
                <w:bCs w:val="1"/>
                <w:color w:val="auto"/>
                <w:w w:val="95"/>
              </w:rPr>
              <w:t>(1)</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(1)</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0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Domestic Crude Oil Production</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8.6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Imports - Crude Oil from Canada</w:t>
            </w:r>
          </w:p>
        </w:tc>
        <w:tc>
          <w:tcPr>
            <w:tcW w:w="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Net Imports - Crude Oil from Other</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3.8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(Supply Adjustment/Stock Change)</w:t>
            </w:r>
          </w:p>
        </w:tc>
        <w:tc>
          <w:tcPr>
            <w:tcW w:w="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Crude Oil Input to Domestic Refineries</w:t>
            </w: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15.8</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Net Product Imports / (Exports)</w:t>
            </w: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(1.9)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Supply from Renewable Sources</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 (NGL Production, Refinery Processing Gain)</w:t>
            </w:r>
          </w:p>
        </w:tc>
        <w:tc>
          <w:tcPr>
            <w:tcW w:w="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360"/>
              <w:spacing w:after="0"/>
              <w:rPr>
                <w:sz w:val="20"/>
                <w:szCs w:val="20"/>
                <w:color w:val="auto"/>
              </w:rPr>
            </w:pPr>
            <w:r>
              <w:rPr>
                <w:rFonts w:ascii="Arial" w:cs="Arial" w:eastAsia="Arial" w:hAnsi="Arial"/>
                <w:sz w:val="18"/>
                <w:szCs w:val="18"/>
                <w:color w:val="auto"/>
              </w:rPr>
              <w:t>Total Domestic Petroleum Consumption</w:t>
            </w: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19.1</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due to rounding.</w:t>
      </w:r>
    </w:p>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illustrated in the table above, while expected to decline, imports of foreign crude oil and other petroleum products are still expected to play a major role in achieving a balanced U.S. market on an aggregate basis. However, because of the substantial number of different grades and varieties of crude oil and their distinguishing physical and economic properties and the distinct configuration of each refinery’s process units, significant logistics infrastructure and services are required to balance the U.S. market on a region by region basis.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By way of illustration, 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November 2014 and is derived from information published by the EIA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Petroleum Administration Defense District (in millions of barrels per day) </w:t>
            </w:r>
            <w:r>
              <w:rPr>
                <w:rFonts w:ascii="Arial" w:cs="Arial" w:eastAsia="Arial" w:hAnsi="Arial"/>
                <w:sz w:val="8"/>
                <w:szCs w:val="8"/>
                <w:b w:val="1"/>
                <w:bCs w:val="1"/>
                <w:color w:val="auto"/>
              </w:rPr>
              <w:t>(1)</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Regional</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Refinery</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Supply</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Supply</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Demand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Shortfall</w:t>
            </w:r>
          </w:p>
        </w:tc>
        <w:tc>
          <w:tcPr>
            <w:tcW w:w="0" w:type="dxa"/>
            <w:vAlign w:val="bottom"/>
          </w:tcPr>
          <w:p>
            <w:pPr>
              <w:spacing w:after="0"/>
              <w:rPr>
                <w:sz w:val="1"/>
                <w:szCs w:val="1"/>
                <w:color w:val="auto"/>
              </w:rPr>
            </w:pPr>
          </w:p>
        </w:tc>
      </w:tr>
      <w:tr>
        <w:trPr>
          <w:trHeight w:val="64"/>
        </w:trPr>
        <w:tc>
          <w:tcPr>
            <w:tcW w:w="634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PADD I (East Coast)</w:t>
            </w:r>
          </w:p>
        </w:tc>
        <w:tc>
          <w:tcPr>
            <w:tcW w:w="3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PADD II (Midwest)</w:t>
            </w:r>
          </w:p>
        </w:tc>
        <w:tc>
          <w:tcPr>
            <w:tcW w:w="3460" w:type="dxa"/>
            <w:vAlign w:val="bottom"/>
            <w:gridSpan w:val="3"/>
          </w:tcPr>
          <w:p>
            <w:pPr>
              <w:jc w:val="right"/>
              <w:ind w:right="280"/>
              <w:spacing w:after="0"/>
              <w:rPr>
                <w:sz w:val="20"/>
                <w:szCs w:val="20"/>
                <w:color w:val="auto"/>
              </w:rPr>
            </w:pPr>
            <w:r>
              <w:rPr>
                <w:rFonts w:ascii="Arial" w:cs="Arial" w:eastAsia="Arial" w:hAnsi="Arial"/>
                <w:sz w:val="18"/>
                <w:szCs w:val="18"/>
                <w:color w:val="auto"/>
              </w:rPr>
              <w:t>1.7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PADD III (South)</w:t>
            </w:r>
          </w:p>
        </w:tc>
        <w:tc>
          <w:tcPr>
            <w:tcW w:w="3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PADD IV (Rockies)</w:t>
            </w:r>
          </w:p>
        </w:tc>
        <w:tc>
          <w:tcPr>
            <w:tcW w:w="3460" w:type="dxa"/>
            <w:vAlign w:val="bottom"/>
            <w:gridSpan w:val="3"/>
          </w:tcPr>
          <w:p>
            <w:pPr>
              <w:jc w:val="right"/>
              <w:ind w:right="280"/>
              <w:spacing w:after="0"/>
              <w:rPr>
                <w:sz w:val="20"/>
                <w:szCs w:val="20"/>
                <w:color w:val="auto"/>
              </w:rPr>
            </w:pPr>
            <w:r>
              <w:rPr>
                <w:rFonts w:ascii="Arial" w:cs="Arial" w:eastAsia="Arial" w:hAnsi="Arial"/>
                <w:sz w:val="18"/>
                <w:szCs w:val="18"/>
                <w:color w:val="auto"/>
              </w:rPr>
              <w:t>0.6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PADD V (West Coast)</w:t>
            </w:r>
          </w:p>
        </w:tc>
        <w:tc>
          <w:tcPr>
            <w:tcW w:w="3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Total U.S.</w:t>
            </w:r>
          </w:p>
        </w:tc>
        <w:tc>
          <w:tcPr>
            <w:tcW w:w="18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5"/>
        </w:trPr>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4680" w:type="dxa"/>
            <w:vAlign w:val="bottom"/>
            <w:gridSpan w:val="2"/>
          </w:tcPr>
          <w:p>
            <w:pPr>
              <w:ind w:left="540"/>
              <w:spacing w:after="0"/>
              <w:rPr>
                <w:sz w:val="20"/>
                <w:szCs w:val="20"/>
                <w:color w:val="auto"/>
              </w:rPr>
            </w:pPr>
            <w:r>
              <w:rPr>
                <w:rFonts w:ascii="Arial" w:cs="Arial" w:eastAsia="Arial" w:hAnsi="Arial"/>
                <w:sz w:val="18"/>
                <w:szCs w:val="18"/>
                <w:color w:val="auto"/>
              </w:rPr>
              <w:t>Amounts may not recalculate due to rounding.</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0" w:type="dxa"/>
            <w:vAlign w:val="bottom"/>
          </w:tcPr>
          <w:p>
            <w:pPr>
              <w:jc w:val="right"/>
              <w:ind w:right="750"/>
              <w:spacing w:after="0"/>
              <w:rPr>
                <w:sz w:val="20"/>
                <w:szCs w:val="20"/>
                <w:color w:val="auto"/>
              </w:rPr>
            </w:pPr>
            <w:r>
              <w:rPr>
                <w:rFonts w:ascii="Arial" w:cs="Arial" w:eastAsia="Arial" w:hAnsi="Arial"/>
                <w:sz w:val="18"/>
                <w:szCs w:val="18"/>
                <w:color w:val="auto"/>
              </w:rPr>
              <w:t>13</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Overall, volatility of multiple aspects of the crude oil market, including absolute price, market structure and grade and location differentials, has increased over time and we expect volatility to continue. Some factors that we believe are causing and will continue to cause volatility in the market include:</w:t>
      </w:r>
    </w:p>
    <w:p>
      <w:pPr>
        <w:spacing w:after="0" w:line="124"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development of North American resource plays;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international supply and demand related to the economic environment, geopolitical events and armed conflicts;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supply and demand imbalances and changes in refinery capacity and specific capabilities;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fluctuations in absolute price as well as grade and location differentials;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 in critical producing nations;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policy decisions made by various governments around the world attempting to navigate energy challenges.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complexity and volatility of the crude oil market creates opportunities to solve the logistical inefficiencies inherent in the business. The combination of (i) a significant increase in North American production volumes, (ii) a change in crude oil qualities and related differentials and (iii) high utilization of existing pipeline and terminal infrastructure has stimulated multiple industry initiatives to build new pipeline and terminal infrastructure, convert certain pipeline assets to alternative service or reverse flows and expand the use of trucks, rail and barges for the movement of crude oil and condensate.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Processed Condensate Market</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During 2014, the U.S. Department of Commerce, Bureau of Industry and Security (“BIS”) clarified that processed condensate may be eligible to export if certain criteria are met. In response to our request for clarification, the BIS issued a letter to us stating that the distillation processes employed by PAA at its Gardendale facility satisfies the conditions of the BIS to convert lease condensate into an exportable petroleum product. Per the EIA, lease condensate production (which the EIA generally defines as light liquid hydrocarbons recovered from lease separators or field facilities) has risen from 488,000 barrels per day in 2009 to 852,000 barrels per day in 2013 through the development of the domestic unconventional resource plays. Texas currently yields approximately one-half of the U.S. lease condensates per the EIA.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Refined Products Market Overview</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After transport to a refinery, crude oil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 and diesel.</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After crude oil is refined into gasoline and other petroleum products, the products are distributed to consumers or sent further downstream for additional processing in petrochemical or specialty chemical facilities. The majority of products are shipped by pipeline to storage terminals near consuming areas, and then loaded into trucks for delivery to gasoline stations and end users. Products that are used as feedstocks are typically transported by pipeline or barges to chemical plants.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Demand for refined products has generally been affected by price levels, economic growth trends, conservation, fuel efficiency mandates and,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lesser extent, weather conditions. From 2011 through November 2014, petroleum consumption has remained relatively flat averaging approximately 18.8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barrels per day. During this period, as production from domestic resource plays increased, less expensive alternative crude sources have provided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domestic refineries with a competitive advantage. This has allowed refineries to increase crude runs from lows of 13.7 million barrels per day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February 2011 to highs of 16.5 million barrels per day in July 2014 with the incremental refined products produced primarily going to export markets. The</w:t>
      </w:r>
    </w:p>
    <w:p>
      <w:pPr>
        <w:spacing w:after="0" w:line="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increased domestic refinery runs combined with flat domestic demand has allowed the U.S. to become a net exporter of refined products versus a historical net importer. Refined product imports decreased from 3.2 million barrels per day in 2005 to an average of approximately 1.7 million barrels per day for the 12 months ended November 2014. Conversely, refined product exports increased from approximately 1.1 million barrels per day in 2005 to 3.1 million barrels per day for the 12 months ended November 2014.</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NGL primarily includes ethane, propane, normal butane, iso-butane, and natural gasoline, and is derived from natural gas production and processing activities as well as crude oil refining processes. LPG primarily includes propane and butane, which liquefy at moderate pressures thus making it easier to transport and store such products as compared to ethane. NGL refers to all NGL products including LPG when used in this document.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00" w:hanging="324"/>
        <w:spacing w:after="0" w:line="286" w:lineRule="auto"/>
        <w:tabs>
          <w:tab w:leader="none" w:pos="944"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170" w:lineRule="exact"/>
        <w:rPr>
          <w:rFonts w:ascii="Arial" w:cs="Arial" w:eastAsia="Arial" w:hAnsi="Arial"/>
          <w:sz w:val="18"/>
          <w:szCs w:val="18"/>
          <w:color w:val="auto"/>
        </w:rPr>
      </w:pPr>
    </w:p>
    <w:p>
      <w:pPr>
        <w:ind w:left="980" w:right="60" w:hanging="324"/>
        <w:spacing w:after="0" w:line="286" w:lineRule="auto"/>
        <w:tabs>
          <w:tab w:leader="none" w:pos="944"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color w:val="auto"/>
        </w:rPr>
      </w:pPr>
    </w:p>
    <w:p>
      <w:pPr>
        <w:ind w:left="980" w:right="86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78%) of the United States NGL supply comes from gas processing plants, which separate a mixture of NGL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dry gas (primarily methane). The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NGL products from refineries represent approximately 18%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4% of total supply). NGL (primarily propane) is also exported from certain regions of the United States.</w:t>
      </w:r>
    </w:p>
    <w:p>
      <w:pPr>
        <w:spacing w:after="0" w:line="170"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 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growth of production in non-traditional producing regions has shifted regional basis relationships and the creation of new logistics and infrastructure opportunities. Growing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While a short term price drop may stunt production growth, the fundamentals of an accessible resource base and improved midstream infrastructure should mean producers can continue to develop the most economic new supply and be ready to go back to rapid growth as prices recover. The NGL market is, among other things, expected to be driven by:</w:t>
      </w:r>
    </w:p>
    <w:p>
      <w:pPr>
        <w:sectPr>
          <w:pgSz w:w="11900" w:h="16838" w:orient="portrait"/>
          <w:cols w:equalWidth="0" w:num="1">
            <w:col w:w="11400"/>
          </w:cols>
          <w:pgMar w:left="240" w:top="125" w:right="259" w:bottom="0" w:gutter="0" w:footer="0" w:header="0"/>
        </w:sectPr>
      </w:pPr>
    </w:p>
    <w:bookmarkStart w:id="12" w:name="page13"/>
    <w:bookmarkEnd w:id="12"/>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growth/decline rates of wet natural gas in established supply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infrastructure development costs and timing as well as development risk sharing;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acquiring rights from producers to process their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petro-chemical demand;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demand for NGL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refinery shut downs;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alternating needs of refineries to store and blend NGL;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shifts in weather;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ind w:right="360" w:firstLine="8"/>
        <w:spacing w:after="0" w:line="254"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disruptions from tropical weather, (iii) increased availability of storage capacity, (iv) a reduction in overall market depth due to various companies exiting the physical gas marketing business and (v) lower basis differentials in certain regions due to expansion and improved connectivity of natural gas transportation infrastructure over the last five years.</w:t>
      </w:r>
    </w:p>
    <w:p>
      <w:pPr>
        <w:spacing w:after="0" w:line="190"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w:t>
      </w:r>
    </w:p>
    <w:p>
      <w:pPr>
        <w:ind w:right="260" w:firstLine="8"/>
        <w:spacing w:after="0" w:line="290"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construction of new gas-fired power plants, (iii) sustained fuel switching from coal to natural gas among existing power plants and (iv) growth in base-level industrial demand. As a result, we remain optimistic about the intermediate- to long-term intrinsic value of our natural gas storage assets.</w:t>
      </w:r>
    </w:p>
    <w:p>
      <w:pPr>
        <w:spacing w:after="0" w:line="16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Projected seasonal spreads for the next few years reflect a directionally similar picture to the challenging market conditions we have experienced during most of the past few years. Continuation of these unfavorable market conditions will adversely impact our hub services activities as well as the rates our customers are willing to pay for firm storage services with respect to new capacity under construction and existing capacity upon expirations of existing storage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business activities are conducted through three segments—Transportation, Facilities and Supply and Logistics. We have an extensive network of pipeline transportation, terminalling, storage and gathering assets in key crude oil and NGL producing basins and transportation corridors and at major market hubs in the United States and Canada. The map below highlights our more significant assets (including certain assets under construction or development) as of December 31,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68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1177925</wp:posOffset>
            </wp:positionH>
            <wp:positionV relativeFrom="page">
              <wp:posOffset>88900</wp:posOffset>
            </wp:positionV>
            <wp:extent cx="521398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213985" cy="433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transportation segment operations generally consist of fee-based activities associated with transporting crude oil and NGL on pipelines, gathering systems, trucks and barges. We generate revenue through a combination of tariffs, third-party pipeline capacity agreements and other transportation fees. Our transportation segment also includes equity earnings from our investments in Settoon Towing and the White Cliffs, Eagle Ford, BridgeTex, Butte and Frontier pipeline systems, in which we own interests ranging from 22% to 50%. We account for these investments under the equity method of accounting.</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2014,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17,800 miles of active crude oil and NGL pipelines and gathering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29 million barrels of active, above-ground tank capacity used primarily to facilitate pipeline throughput;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800 trailers (primarily in Canada);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149 transport and storage barges and 72 transport tugs through our interest in Settoon Towing.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2014, grouped by geographic location: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2014 Average Net</w:t>
            </w:r>
          </w:p>
        </w:tc>
        <w:tc>
          <w:tcPr>
            <w:tcW w:w="0" w:type="dxa"/>
            <w:vAlign w:val="bottom"/>
          </w:tcPr>
          <w:p>
            <w:pPr>
              <w:spacing w:after="0"/>
              <w:rPr>
                <w:sz w:val="1"/>
                <w:szCs w:val="1"/>
                <w:color w:val="auto"/>
              </w:rPr>
            </w:pPr>
          </w:p>
        </w:tc>
      </w:tr>
      <w:tr>
        <w:trPr>
          <w:trHeight w:val="149"/>
        </w:trPr>
        <w:tc>
          <w:tcPr>
            <w:tcW w:w="7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16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System Miles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Barrels</w:t>
            </w:r>
          </w:p>
        </w:tc>
        <w:tc>
          <w:tcPr>
            <w:tcW w:w="0" w:type="dxa"/>
            <w:vAlign w:val="bottom"/>
          </w:tcPr>
          <w:p>
            <w:pPr>
              <w:spacing w:after="0"/>
              <w:rPr>
                <w:sz w:val="1"/>
                <w:szCs w:val="1"/>
                <w:color w:val="auto"/>
              </w:rPr>
            </w:pPr>
          </w:p>
        </w:tc>
      </w:tr>
      <w:tr>
        <w:trPr>
          <w:trHeight w:val="171"/>
        </w:trPr>
        <w:tc>
          <w:tcPr>
            <w:tcW w:w="7960" w:type="dxa"/>
            <w:vAlign w:val="bottom"/>
            <w:gridSpan w:val="4"/>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per Day </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5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United States Crude Oil Pipelines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Permian Basin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Basin / Mesa / Sunrise</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682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BridgeTex </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Permian Basin Area Systems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2,838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Permian Basin Subtotal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South Texas/Eagle Ford</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Eagle Ford Area Systems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470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Western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21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 American</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Line 63 / Line 2000</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342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b w:val="1"/>
                <w:bCs w:val="1"/>
                <w:color w:val="auto"/>
              </w:rPr>
              <w:t>Western Subtotal</w:t>
            </w:r>
          </w:p>
        </w:tc>
        <w:tc>
          <w:tcPr>
            <w:tcW w:w="37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3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Rocky Mountain</w:t>
            </w: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Bakken Area Systems</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Salt Lake City Area Systems</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969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3"/>
                <w:szCs w:val="23"/>
                <w:color w:val="auto"/>
                <w:vertAlign w:val="superscript"/>
              </w:rPr>
              <w:t>(3)</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1,054</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1,304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Rocky Mountain Subtotal</w:t>
            </w:r>
          </w:p>
        </w:tc>
        <w:tc>
          <w:tcPr>
            <w:tcW w:w="37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Gulf Coast</w:t>
            </w: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3"/>
                <w:szCs w:val="23"/>
                <w:color w:val="auto"/>
                <w:vertAlign w:val="superscript"/>
              </w:rPr>
              <w:t>(3)</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631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b w:val="1"/>
                <w:bCs w:val="1"/>
                <w:color w:val="auto"/>
              </w:rPr>
              <w:t>Gulf Coast Subtotal</w:t>
            </w:r>
          </w:p>
        </w:tc>
        <w:tc>
          <w:tcPr>
            <w:tcW w:w="37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3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Central</w:t>
            </w: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Mid-Continent Area Systems</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2,345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280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Central Subtotal</w:t>
            </w:r>
          </w:p>
        </w:tc>
        <w:tc>
          <w:tcPr>
            <w:tcW w:w="37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United States Total</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13,523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Canada</w:t>
            </w:r>
          </w:p>
        </w:tc>
        <w:tc>
          <w:tcPr>
            <w:tcW w:w="37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Crude Oil Pipelines:</w:t>
            </w:r>
          </w:p>
        </w:tc>
        <w:tc>
          <w:tcPr>
            <w:tcW w:w="3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561</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Rainbow</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842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346</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ind w:left="520"/>
              <w:spacing w:after="0"/>
              <w:rPr>
                <w:sz w:val="20"/>
                <w:szCs w:val="20"/>
                <w:color w:val="auto"/>
              </w:rPr>
            </w:pPr>
            <w:r>
              <w:rPr>
                <w:rFonts w:ascii="Arial" w:cs="Arial" w:eastAsia="Arial" w:hAnsi="Arial"/>
                <w:sz w:val="18"/>
                <w:szCs w:val="18"/>
                <w:b w:val="1"/>
                <w:bCs w:val="1"/>
                <w:color w:val="auto"/>
              </w:rPr>
              <w:t>Crude Oil Pipelines Subtotal</w:t>
            </w:r>
          </w:p>
        </w:tc>
        <w:tc>
          <w:tcPr>
            <w:tcW w:w="37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3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color w:val="auto"/>
              </w:rPr>
              <w:t>632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b w:val="1"/>
                <w:bCs w:val="1"/>
                <w:color w:val="auto"/>
              </w:rPr>
              <w:t>NGL Pipelines Subtotal</w:t>
            </w:r>
          </w:p>
        </w:tc>
        <w:tc>
          <w:tcPr>
            <w:tcW w:w="37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b w:val="1"/>
                <w:bCs w:val="1"/>
                <w:color w:val="auto"/>
              </w:rPr>
              <w:t>Canada Total</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4,242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Grand Total</w:t>
            </w:r>
          </w:p>
        </w:tc>
        <w:tc>
          <w:tcPr>
            <w:tcW w:w="5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17,765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780" w:type="dxa"/>
            <w:vAlign w:val="bottom"/>
            <w:vMerge w:val="restart"/>
          </w:tcPr>
          <w:p>
            <w:pPr>
              <w:jc w:val="right"/>
              <w:ind w:right="2070"/>
              <w:spacing w:after="0"/>
              <w:rPr>
                <w:sz w:val="20"/>
                <w:szCs w:val="20"/>
                <w:color w:val="auto"/>
              </w:rPr>
            </w:pPr>
            <w:r>
              <w:rPr>
                <w:rFonts w:ascii="Arial" w:cs="Arial" w:eastAsia="Arial" w:hAnsi="Arial"/>
                <w:sz w:val="18"/>
                <w:szCs w:val="18"/>
                <w:color w:val="auto"/>
              </w:rPr>
              <w:t>19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95"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Ownership percentage varies on each pipeline and gathering system ranging from approximately 20% to 100%.</w:t>
      </w:r>
    </w:p>
    <w:p>
      <w:pPr>
        <w:spacing w:after="0" w:line="225" w:lineRule="exact"/>
        <w:rPr>
          <w:sz w:val="20"/>
          <w:szCs w:val="20"/>
          <w:color w:val="auto"/>
        </w:rPr>
      </w:pPr>
    </w:p>
    <w:p>
      <w:pPr>
        <w:ind w:left="20" w:right="140" w:hanging="11"/>
        <w:spacing w:after="0" w:line="264" w:lineRule="auto"/>
        <w:rPr>
          <w:sz w:val="20"/>
          <w:szCs w:val="20"/>
          <w:color w:val="auto"/>
        </w:rPr>
      </w:pPr>
      <w:r>
        <w:rPr>
          <w:rFonts w:ascii="Arial" w:cs="Arial" w:eastAsia="Arial" w:hAnsi="Arial"/>
          <w:sz w:val="18"/>
          <w:szCs w:val="18"/>
          <w:color w:val="auto"/>
        </w:rPr>
        <w:t>Represents average volume for the entire year attributable to our interest. Volumes associated with assets employed through acquisitions or expansion capital represent total volumes (attributable to our interest) for the number of days we employed the assets divided by the number of days in the year.</w:t>
      </w:r>
    </w:p>
    <w:p>
      <w:pPr>
        <w:spacing w:after="0" w:line="147" w:lineRule="exact"/>
        <w:rPr>
          <w:sz w:val="20"/>
          <w:szCs w:val="20"/>
          <w:color w:val="auto"/>
        </w:rPr>
      </w:pPr>
    </w:p>
    <w:p>
      <w:pPr>
        <w:sectPr>
          <w:pgSz w:w="11900" w:h="16838" w:orient="portrait"/>
          <w:cols w:equalWidth="0" w:num="2">
            <w:col w:w="140" w:space="500"/>
            <w:col w:w="10820"/>
          </w:cols>
          <w:pgMar w:left="240" w:top="140" w:right="199" w:bottom="95" w:gutter="0" w:footer="0" w:header="0"/>
          <w:type w:val="continuous"/>
        </w:sectPr>
      </w:pPr>
    </w:p>
    <w:p>
      <w:pPr>
        <w:ind w:left="640" w:hanging="632"/>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Pipelines operated by a third party.</w:t>
      </w:r>
    </w:p>
    <w:p>
      <w:pPr>
        <w:spacing w:after="0" w:line="197" w:lineRule="exact"/>
        <w:rPr>
          <w:rFonts w:ascii="Arial" w:cs="Arial" w:eastAsia="Arial" w:hAnsi="Arial"/>
          <w:sz w:val="23"/>
          <w:szCs w:val="23"/>
          <w:color w:val="auto"/>
          <w:vertAlign w:val="superscript"/>
        </w:rPr>
      </w:pPr>
    </w:p>
    <w:p>
      <w:pPr>
        <w:ind w:left="660" w:right="9040"/>
        <w:spacing w:after="0" w:line="604" w:lineRule="auto"/>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United States Pipelines </w:t>
      </w:r>
      <w:r>
        <w:rPr>
          <w:rFonts w:ascii="Arial" w:cs="Arial" w:eastAsia="Arial" w:hAnsi="Arial"/>
          <w:sz w:val="15"/>
          <w:szCs w:val="15"/>
          <w:b w:val="1"/>
          <w:bCs w:val="1"/>
          <w:i w:val="1"/>
          <w:iCs w:val="1"/>
          <w:color w:val="auto"/>
        </w:rPr>
        <w:t>Permian Basin</w:t>
      </w:r>
    </w:p>
    <w:p>
      <w:pPr>
        <w:ind w:right="160" w:firstLine="648"/>
        <w:spacing w:after="0" w:line="255" w:lineRule="auto"/>
        <w:rPr>
          <w:sz w:val="20"/>
          <w:szCs w:val="20"/>
          <w:color w:val="auto"/>
        </w:rPr>
      </w:pPr>
      <w:r>
        <w:rPr>
          <w:rFonts w:ascii="Arial" w:cs="Arial" w:eastAsia="Arial" w:hAnsi="Arial"/>
          <w:sz w:val="18"/>
          <w:szCs w:val="18"/>
          <w:i w:val="1"/>
          <w:iCs w:val="1"/>
          <w:color w:val="auto"/>
        </w:rPr>
        <w:t xml:space="preserve">Basin Pipeline System. </w:t>
      </w:r>
      <w:r>
        <w:rPr>
          <w:rFonts w:ascii="Arial" w:cs="Arial" w:eastAsia="Arial" w:hAnsi="Arial"/>
          <w:sz w:val="18"/>
          <w:szCs w:val="18"/>
          <w:color w:val="auto"/>
        </w:rPr>
        <w:t>We own an 87% undivided joint interest in and are the operator of the Basin pipeline system. The Basin system is a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route for transporting crude oil from the Permian Basin (in west Texas and southern New Mexico) to Cushing, Oklahoma, for further delivery to Mid-Continent and Midwest refining centers. The Basin system also serves as the initial movement for transporting crude oil from the Permian Basin to the Gulf Coast through connections to other carriers at Colorado City, Texas and Wichita Falls, Texas. The Basin system accommodates three primary movements of crude oil: (i) barrels that are shipped from Jal, New Mexico to the West Texas markets of Wink/Hendrick and Midland; (ii) barrels that are shipped from Midland to connecting carriers at Colorado City or Wichita Falls; and (iii) barrels that are shipped from Jal, Midland, Colorado City and Wichita Falls to connecting carriers at Cushing.</w:t>
      </w:r>
    </w:p>
    <w:p>
      <w:pPr>
        <w:spacing w:after="0" w:line="1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Basin system is an approximate 520-mile mainline, telescoping crude oil system with a system capacity ranging from approximately 240,000 barrels per day to 450,000 barrels per day (approximately 208,800 barrels per day to 392,000 barrels per day attributable to our interest) depending on the segment. System throughput (as measured by tariff volumes) was 498,000 barrels per day (attributable to our interest) during 2014. Throughput volumes are measured at different points across the 520-mile pipeline and barrels can enter and leave the system moving through a short or long segment. The Basin system is subject to tariff rates regulated by the Federal Energy Regulatory Commission (“FERC”).The system also includes approximately 6 million barrels of tankage.</w:t>
      </w:r>
    </w:p>
    <w:p>
      <w:pPr>
        <w:sectPr>
          <w:pgSz w:w="11900" w:h="16838" w:orient="portrait"/>
          <w:cols w:equalWidth="0" w:num="1">
            <w:col w:w="11460"/>
          </w:cols>
          <w:pgMar w:left="240" w:top="140" w:right="199" w:bottom="95" w:gutter="0" w:footer="0" w:header="0"/>
          <w:type w:val="continuous"/>
        </w:sectPr>
      </w:pPr>
    </w:p>
    <w:bookmarkStart w:id="15" w:name="page16"/>
    <w:bookmarkEnd w:id="15"/>
    <w:p>
      <w:pPr>
        <w:spacing w:after="0" w:line="69"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In 2014, we completed a project to increase capacity on the segment from Jal to Wink/Hendrick from approximately 144,000 barrels per day to 240,000 barrels per day (approximately 125,000 barrels per day to 208,800 barrels per day attributable to our interest). We are currently constructing an extension of the Basin system, which will include looping the Wink to Midland segment of the system. This project is expected to be complete in 2015.</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Mesa Pipeline System. </w:t>
      </w:r>
      <w:r>
        <w:rPr>
          <w:rFonts w:ascii="Arial" w:cs="Arial" w:eastAsia="Arial" w:hAnsi="Arial"/>
          <w:sz w:val="18"/>
          <w:szCs w:val="18"/>
          <w:color w:val="auto"/>
        </w:rPr>
        <w:t>We own a 63% undivided interest in and are the operator of the Mesa pipeline system, which transports crude oil from</w:t>
      </w:r>
      <w:r>
        <w:rPr>
          <w:rFonts w:ascii="Arial" w:cs="Arial" w:eastAsia="Arial" w:hAnsi="Arial"/>
          <w:sz w:val="18"/>
          <w:szCs w:val="18"/>
          <w:i w:val="1"/>
          <w:iCs w:val="1"/>
          <w:color w:val="auto"/>
        </w:rPr>
        <w:t xml:space="preserve"> </w:t>
      </w:r>
      <w:r>
        <w:rPr>
          <w:rFonts w:ascii="Arial" w:cs="Arial" w:eastAsia="Arial" w:hAnsi="Arial"/>
          <w:sz w:val="18"/>
          <w:szCs w:val="18"/>
          <w:color w:val="auto"/>
        </w:rPr>
        <w:t>Midland to a refinery at Big Spring, Texas and to connecting carriers at Colorado City. The Mesa system is an 80-mile mainline with a system capacity of up to 400,000 barrels per day (approximately 252,000 barrels per day attributable to our interest). System throughput (as measured by tariff volumes) was 227,000 barrels per day (attributable to our interest) during 2014.</w:t>
      </w:r>
    </w:p>
    <w:p>
      <w:pPr>
        <w:spacing w:after="0" w:line="18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We own and operate the Sunrise pipeline system, which extends from Midland to connecting carriers at Colorado City, Texas.</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this 82-mile crude oil pipeline was completed during 2014. The Sunrise pipeline was placed in service in December 2014, with an initial capacity of 250,000 barrels per day.</w:t>
      </w:r>
    </w:p>
    <w:p>
      <w:pPr>
        <w:spacing w:after="0" w:line="1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BridgeTex Pipeline</w:t>
      </w:r>
      <w:r>
        <w:rPr>
          <w:rFonts w:ascii="Arial" w:cs="Arial" w:eastAsia="Arial" w:hAnsi="Arial"/>
          <w:sz w:val="18"/>
          <w:szCs w:val="18"/>
          <w:color w:val="auto"/>
        </w:rPr>
        <w:t>. In November 2014, we acquired a 50% interest in BridgeTex, which is the entity that owns the BridgeTex pipeline, a newly</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constructed 20-inch crude oil pipeline with a capacity of 300,000 barrels per day that extends 408 miles from Colorado City in West Texas to East Houston. At Colorado City, the BridgeTex pipeline is connected to our Basin and Sunrise pipeline systems. Magellan Midstream Partners, L.P. (“MMP”) owns the remaining 50% interest in BridgeTex and serves as the operator of the BridgeTex pipeline. BridgeTex has entered into a long term capacity lease agreement with MMP whereby its shippers will have access to capacity on the Texas City Leg, the section of the pipeline system that runs from Houston to Texas City, and the related Houston area refinery complex.</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Permian Basin Area Systems. </w:t>
      </w:r>
      <w:r>
        <w:rPr>
          <w:rFonts w:ascii="Arial" w:cs="Arial" w:eastAsia="Arial" w:hAnsi="Arial"/>
          <w:sz w:val="17"/>
          <w:szCs w:val="17"/>
          <w:color w:val="auto"/>
        </w:rPr>
        <w:t>We operate wholly owned systems of 2,838 miles that aggregate receipts from wellhead gathering lines and bulk truck</w:t>
      </w:r>
      <w:r>
        <w:rPr>
          <w:rFonts w:ascii="Arial" w:cs="Arial" w:eastAsia="Arial" w:hAnsi="Arial"/>
          <w:sz w:val="17"/>
          <w:szCs w:val="17"/>
          <w:i w:val="1"/>
          <w:iCs w:val="1"/>
          <w:color w:val="auto"/>
        </w:rPr>
        <w:t xml:space="preserve"> </w:t>
      </w:r>
      <w:r>
        <w:rPr>
          <w:rFonts w:ascii="Arial" w:cs="Arial" w:eastAsia="Arial" w:hAnsi="Arial"/>
          <w:sz w:val="17"/>
          <w:szCs w:val="17"/>
          <w:color w:val="auto"/>
        </w:rPr>
        <w:t>injection locations into a combination of 4- to 16-inch diameter trunk lines for transportation and delivery into the Basin system at Jal, Wink and Midland as well as our terminal facilities in Midland. During 2014, we completed construction of several projects servicing the South Spraberry area, including a new 20-inch, 62-mile crude oil pipeline with up to 200,000 barrels of takeaway capacity from the South Midland Basin to source crude oil to the Longhorn pipeline at Crane. This line will also connect to our Cactus pipeline at McCamey when the Cactus pipeline is placed into service in 2015. For 2014, combined throughput on the Permian Basin area systems totaled an average of 765,000 barrels per day.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2013 and 2014, we announced several new projects to increase and expand our Permian Basin infrastructure over the next few years to support expected crude oil production growth. In January 2015, we placed into service 40 miles of pipeline with 100,000 barrels per day of pipeline capacity from Monahans to Crane, Texas to supply volumes to the Longhorn pipeline as well as our Cactus pipeline when it is placed into service in 2015. Our Cactus pipeline will be a new 310-mile crude oil pipeline extending from McCamey to Gardendale, Texas and is expected to initially provide approximately 250,000 barrels per day of additional takeaway capacity from the Permian Basin. Pumping equipment will be added in 2016, which will bring the total capacity of the pipeline to approximately 330,000 barrels per day. The remainder of our projects in the area are expected to be completed in stages throughout 2015 and 2016. See “—Expansion Capital Projects” for additional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Eagle Ford Area Systems. </w:t>
      </w:r>
      <w:r>
        <w:rPr>
          <w:rFonts w:ascii="Arial" w:cs="Arial" w:eastAsia="Arial" w:hAnsi="Arial"/>
          <w:sz w:val="17"/>
          <w:szCs w:val="17"/>
          <w:color w:val="auto"/>
        </w:rPr>
        <w:t>We own a 100% interest in and are the operator of several gathering systems that feed into our Gardendale Station, and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own a 50% interest in and are the operator of the Eagle Ford joint venture pipeline. These Eagle Ford Area Systems consist of 470 miles of pipeline that service increasing production in the Eagle Ford shale play of South Texas and include approximately 2 million barrels of operational storage capacity across the system. The system serves the Three Rivers and Corpus Christi, Texas refineries and other markets via marine terminal facilities at Corpus Christi, as well as the Houston market via Enterprise Products Partners L.P.’s (“Enterprise”) connection at Lyssy in Wilson County, Texas. For 2014, total average throughput on our Eagle Ford Area Systems was 227,000 barrels per day (attributable to our interest).</w:t>
      </w:r>
    </w:p>
    <w:p>
      <w:pPr>
        <w:spacing w:after="0" w:line="178"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In 2013, we and Enterprise announced an expansion of the Eagle Ford joint venture pipeline. This project will increase the pipeline’s capacity to 470,000 barrels per day by constructing a new 20-inch pipeline between Gardendale (where it will connect to our Cactus pipeline) and Three Rivers, Texas. This expansion also includes the construction of an additional 2 million barrels of operational storage capacity across the system. Additionally, in 2014 we announced the construction of a 70 mile, 20-inch pipeline from Three Rivers to Corpus Christi, and the expansion of pumping capabilities at Three Rivers. Combined, these projects will loop the entire Eagle Ford joint venture pipeline from Gardendale to Corpus Christi, and increase the total system capacity to over 600,000 barrels per day. These expansions are supported by long term production commitments. These projects are expected to be completed in 2015. See “—Expansion Capital Projects” for additional information.</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2014, Plains and Enterprise announced a project to construct a new condensate gathering system with approximately 55 miles of gathering and trunkline pipeline that will connect Karnes County and Live Oak County production areas to the Three Rivers, Texas terminal. Included in the gathering system will be over 500,000 barrels of operational storage at Three Rivers. This construction is expected to be completed in 2015. See “—Expansion Capital Projects” for additional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All American Pipeline System. </w:t>
      </w:r>
      <w:r>
        <w:rPr>
          <w:rFonts w:ascii="Arial" w:cs="Arial" w:eastAsia="Arial" w:hAnsi="Arial"/>
          <w:sz w:val="18"/>
          <w:szCs w:val="18"/>
          <w:color w:val="auto"/>
        </w:rPr>
        <w:t>We own and operate the All American pipeline system. The All American pipeline system is a common carrier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pipeline system that transports crude oil produced from two outer continental shelf, or OCS, fields offshore California via connecting pipelines to refinery markets in California. The system receives crude oil from ExxonMobil’s Santa Ynez field at Las Flores and receives crude oil from the Freeport-McMoRan-operated Point Arguello field at Gaviota. The system terminates at our Emidio Station. Between Gaviota and our Emidio Station, the All American pipeline interconnects with our San Joaquin Valley Gathering System, Line 2000 and Line 63, as well as other third party intrastate pipelines. The system is subject to tariff rates regulated by the FERC.</w:t>
      </w:r>
    </w:p>
    <w:p>
      <w:pPr>
        <w:spacing w:after="0" w:line="193"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 portion of our transportation segment profit on Line 63 and Line 2000 is derived from the pipeline transportation business associated with the Santa Ynez and Point Arguello fields and fields located in the San Joaquin Valley. Volumes shipped from the OCS are expected to decline.</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 xml:space="preserve">Line 63. </w:t>
      </w:r>
      <w:r>
        <w:rPr>
          <w:rFonts w:ascii="Arial" w:cs="Arial" w:eastAsia="Arial" w:hAnsi="Arial"/>
          <w:sz w:val="16"/>
          <w:szCs w:val="16"/>
          <w:color w:val="auto"/>
        </w:rPr>
        <w:t>We own and operate the Line 63 system. The Line 63 system is an intrastate common carrier crude oil pipeline system that transports crude</w:t>
      </w:r>
      <w:r>
        <w:rPr>
          <w:rFonts w:ascii="Arial" w:cs="Arial" w:eastAsia="Arial" w:hAnsi="Arial"/>
          <w:sz w:val="16"/>
          <w:szCs w:val="16"/>
          <w:i w:val="1"/>
          <w:iCs w:val="1"/>
          <w:color w:val="auto"/>
        </w:rPr>
        <w:t xml:space="preserve"> </w:t>
      </w:r>
      <w:r>
        <w:rPr>
          <w:rFonts w:ascii="Arial" w:cs="Arial" w:eastAsia="Arial" w:hAnsi="Arial"/>
          <w:sz w:val="16"/>
          <w:szCs w:val="16"/>
          <w:color w:val="auto"/>
        </w:rPr>
        <w:t>oil produced in the San Joaquin Valley and California OCS to refineries and terminal facilities in the Los Angeles Basin and in Bakersfield. The Line 63</w:t>
      </w:r>
    </w:p>
    <w:p>
      <w:pPr>
        <w:sectPr>
          <w:pgSz w:w="11900" w:h="16908" w:orient="portrait"/>
          <w:cols w:equalWidth="0" w:num="1">
            <w:col w:w="11420"/>
          </w:cols>
          <w:pgMar w:left="240" w:top="125" w:right="239" w:bottom="0" w:gutter="0" w:footer="0" w:header="0"/>
        </w:sectPr>
      </w:pPr>
    </w:p>
    <w:bookmarkStart w:id="16" w:name="page17"/>
    <w:bookmarkEnd w:id="16"/>
    <w:p>
      <w:pPr>
        <w:spacing w:after="0" w:line="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system consists of a 144-mile trunk pipeline, originating at our Kelley Pump Station in Kern County, California and terminating at our West Hynes Station in Long Beach, California. The trunk pipeline has a capacity of approximately 110,000 barrels per day. The Line 63 system includes five miles of distribution pipelines in the Los Angeles Basin, with a throughput capacity of approximately 144,000 barrels per day, and approximately 140 miles of gathering pipelines in the San Joaquin Valley, with an average throughput capacity of approximately 72,000 barrels per day. We also have approximately 1 million barrels of storage capacity on this system. These storage assets are used primarily to facilitate the transportation of crude oil on the Line 63 system. For 2014, combined throughput on Line 63 totaled an average of 48,000 barrels per day.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our normal throughput levels on this line. We have commenced a project to place this idle segment into service, which we expect to complete in 2015. In December 2014, we commenced receipts on Line 63 of crude oil from our rail terminal at Bakersfield.</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Line 2000. </w:t>
      </w:r>
      <w:r>
        <w:rPr>
          <w:rFonts w:ascii="Arial" w:cs="Arial" w:eastAsia="Arial" w:hAnsi="Arial"/>
          <w:sz w:val="18"/>
          <w:szCs w:val="18"/>
          <w:color w:val="auto"/>
        </w:rPr>
        <w:t>We own and operate Line 2000, an intrastate common carrier crude oil pipeline that originates at our Emidio Pump Station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 American Pipeline system) and transports crude oil produced in the San Joaquin Valley and California OCS to refineries and terminal facilities in the Los Angeles Basin. Line 2000 is an approximately 130-mile, 20-inch trunk pipeline with a throughput capacity of approximately 130,000 barrels per day. During 2014, throughput on Line 2000 (excluding Line 63 volumes) averaged 74,000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Bakken Area Systems. </w:t>
      </w:r>
      <w:r>
        <w:rPr>
          <w:rFonts w:ascii="Arial" w:cs="Arial" w:eastAsia="Arial" w:hAnsi="Arial"/>
          <w:sz w:val="18"/>
          <w:szCs w:val="18"/>
          <w:color w:val="auto"/>
        </w:rPr>
        <w:t>We own and operate several gathering systems and pipelines that service crude oil production in Eastern Montana and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North Dakota, and we also own a 22% interest in the Butte pipeline. These Bakken Area systems consist of 1,025 miles of pipeline, with total average throughput for 2014 of 149,000 barrels per day.</w:t>
      </w:r>
    </w:p>
    <w:p>
      <w:pPr>
        <w:spacing w:after="0" w:line="18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i w:val="1"/>
          <w:iCs w:val="1"/>
          <w:color w:val="auto"/>
        </w:rPr>
        <w:t xml:space="preserve">Salt Lake City Area Systems. </w:t>
      </w:r>
      <w:r>
        <w:rPr>
          <w:rFonts w:ascii="Arial" w:cs="Arial" w:eastAsia="Arial" w:hAnsi="Arial"/>
          <w:sz w:val="16"/>
          <w:szCs w:val="16"/>
          <w:color w:val="auto"/>
        </w:rPr>
        <w:t>We operate the Salt Lake City and Wahsatch pipeline systems, in which we own interests of between 75% and 100%.</w:t>
      </w:r>
      <w:r>
        <w:rPr>
          <w:rFonts w:ascii="Arial" w:cs="Arial" w:eastAsia="Arial" w:hAnsi="Arial"/>
          <w:sz w:val="16"/>
          <w:szCs w:val="16"/>
          <w:i w:val="1"/>
          <w:iCs w:val="1"/>
          <w:color w:val="auto"/>
        </w:rPr>
        <w:t xml:space="preserve"> </w:t>
      </w:r>
      <w:r>
        <w:rPr>
          <w:rFonts w:ascii="Arial" w:cs="Arial" w:eastAsia="Arial" w:hAnsi="Arial"/>
          <w:sz w:val="16"/>
          <w:szCs w:val="16"/>
          <w:color w:val="auto"/>
        </w:rPr>
        <w:t>These systems include interstate and intrastate common carrier crude oil pipeline systems that transport crude oil produced in the U.S. Rocky Mountain region and Canada to refiners in Salt Lake City, Utah and to other pipelines at Ft. Laramie, Wyoming. These pipeline systems consist of 680 miles of pipelines and approximately one million barrels of storage capacity. These systems have a maximum throughput capacity of (i) approximately 20,000 barrels per day from Wamsutter, Wyoming to Ft. Laramie, Wyoming, (ii) approximately 49,000 barrels per day from Wamsutter, Wyoming to Wahsatch, Utah and</w:t>
      </w:r>
    </w:p>
    <w:p>
      <w:pPr>
        <w:spacing w:after="0" w:line="2" w:lineRule="exact"/>
        <w:rPr>
          <w:sz w:val="20"/>
          <w:szCs w:val="20"/>
          <w:color w:val="auto"/>
        </w:rPr>
      </w:pPr>
    </w:p>
    <w:p>
      <w:pPr>
        <w:ind w:right="660" w:firstLine="8"/>
        <w:spacing w:after="0" w:line="261"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120,000 barrels per day from Wahsatch, Utah to Salt Lake City, Utah. For 2014, throughput on these systems (excluding Frontier Pipeline) in total averaged 128,000 barrels per day.</w:t>
      </w:r>
    </w:p>
    <w:p>
      <w:pPr>
        <w:spacing w:after="0" w:line="184"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Also included in the Salt Lake City Area systems is our 22% interest in Frontier pipeline, an interstate common carrier crude oil pipeline that consists of a 289-mile trunk pipeline with a maximum throughput capacity of 79,000 barrels per day. Frontier pipeline originates in Casper, Wyoming and delivers crude oil into the Wahsatch Pipeline System. For 2014, throughput on Frontier averaged 8,000 barrels per day (attributable to our interest).</w:t>
      </w:r>
    </w:p>
    <w:p>
      <w:pPr>
        <w:spacing w:after="0" w:line="14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White Cliffs Pipeline. </w:t>
      </w:r>
      <w:r>
        <w:rPr>
          <w:rFonts w:ascii="Arial" w:cs="Arial" w:eastAsia="Arial" w:hAnsi="Arial"/>
          <w:sz w:val="17"/>
          <w:szCs w:val="17"/>
          <w:color w:val="auto"/>
        </w:rPr>
        <w:t>We own an approximate 36% interest in the White Cliffs pipeline, a 12-inch common carrier, crude oil pipeline that originates</w:t>
      </w:r>
      <w:r>
        <w:rPr>
          <w:rFonts w:ascii="Arial" w:cs="Arial" w:eastAsia="Arial" w:hAnsi="Arial"/>
          <w:sz w:val="17"/>
          <w:szCs w:val="17"/>
          <w:i w:val="1"/>
          <w:iCs w:val="1"/>
          <w:color w:val="auto"/>
        </w:rPr>
        <w:t xml:space="preserve"> </w:t>
      </w:r>
      <w:r>
        <w:rPr>
          <w:rFonts w:ascii="Arial" w:cs="Arial" w:eastAsia="Arial" w:hAnsi="Arial"/>
          <w:sz w:val="17"/>
          <w:szCs w:val="17"/>
          <w:color w:val="auto"/>
        </w:rPr>
        <w:t>in Platteville, Colorado and terminates in Cushing, Oklahoma. Rose Rock Midstream, L.P. serves as the operator of the pipeline. For 2014, throughput on White Cliffs pipeline averaged approximately 30,000 barrels per day (attributable to our interest). In August 2014, a White Cliffs pipeline expansion project that increased total system capacity from 76,000 barrels per day to 150,000 barrels per day was completed.</w:t>
      </w:r>
    </w:p>
    <w:p>
      <w:pPr>
        <w:spacing w:after="0" w:line="17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i w:val="1"/>
          <w:iCs w:val="1"/>
          <w:color w:val="auto"/>
        </w:rPr>
        <w:t>Cowboy Pipeline</w:t>
      </w:r>
      <w:r>
        <w:rPr>
          <w:rFonts w:ascii="Arial" w:cs="Arial" w:eastAsia="Arial" w:hAnsi="Arial"/>
          <w:sz w:val="16"/>
          <w:szCs w:val="16"/>
          <w:color w:val="auto"/>
        </w:rPr>
        <w:t>. We are currently developing the Cowboy pipeline, a 12-inch, 27-mile pipeline that will provide 65,000 barrels per day of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from Cheyenne, Wyoming to our rail loading facility near Carr, Colorado. The Cowboy pipeline project includes construction of a new terminal at Cheyenne with approximately 600,000 barrels of tank capacity for pipeline operation and storage. See “—Expansion Capital Projects” for additional information.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Capline Pipeline System. </w:t>
      </w:r>
      <w:r>
        <w:rPr>
          <w:rFonts w:ascii="Arial" w:cs="Arial" w:eastAsia="Arial" w:hAnsi="Arial"/>
          <w:sz w:val="17"/>
          <w:szCs w:val="17"/>
          <w:color w:val="auto"/>
        </w:rPr>
        <w:t>The Capline pipeline system, in which we own an aggregate undivided joint interest of approximately 54%, is a 631-mile,</w:t>
      </w:r>
      <w:r>
        <w:rPr>
          <w:rFonts w:ascii="Arial" w:cs="Arial" w:eastAsia="Arial" w:hAnsi="Arial"/>
          <w:sz w:val="17"/>
          <w:szCs w:val="17"/>
          <w:i w:val="1"/>
          <w:iCs w:val="1"/>
          <w:color w:val="auto"/>
        </w:rPr>
        <w:t xml:space="preserve"> </w:t>
      </w:r>
      <w:r>
        <w:rPr>
          <w:rFonts w:ascii="Arial" w:cs="Arial" w:eastAsia="Arial" w:hAnsi="Arial"/>
          <w:sz w:val="17"/>
          <w:szCs w:val="17"/>
          <w:color w:val="auto"/>
        </w:rPr>
        <w:t>40-inch mainline crude oil pipeline originating in St. James, Louisiana, and terminating in Patoka, Illinois. Marathon Pipeline LLC serves as the operator of the pipeline. Capline has direct connections to a significant amount of crude production in the Gulf of Mexico. In addition, it has two active docks capable of handling approximately 600,000-barrel tankers and is connected to the Louisiana Offshore Oil Port and our St. James terminal and transports various grades of crude oil to PADD II. Total designed operating capacity is approximately 1.1 million barrels per day of crude oil, of which our attributable interest is approximately 600,000 barrels per day. Throughput on our interest averaged 152,000 barrels per day during 2014.</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fourth quarter of 2014, the Capline owners (including us) announced that the owner group is conducting a study to evaluate alternatives for the Capline pipeline system given the decreasing demand for South to North crude oil movements in North America. The study is expected to be completed in early 2015. Any change in the service offered by Capline would require the approval of all three owners, and there can be no assurance that the study will identify any actionable alternatives or that any alternative identified in the study will be pursued.</w:t>
      </w:r>
    </w:p>
    <w:p>
      <w:pPr>
        <w:spacing w:after="0" w:line="187" w:lineRule="exact"/>
        <w:rPr>
          <w:sz w:val="20"/>
          <w:szCs w:val="20"/>
          <w:color w:val="auto"/>
        </w:rPr>
      </w:pPr>
    </w:p>
    <w:p>
      <w:pPr>
        <w:ind w:right="340" w:firstLine="702"/>
        <w:spacing w:after="0" w:line="259" w:lineRule="auto"/>
        <w:rPr>
          <w:sz w:val="20"/>
          <w:szCs w:val="20"/>
          <w:color w:val="auto"/>
        </w:rPr>
      </w:pPr>
      <w:r>
        <w:rPr>
          <w:rFonts w:ascii="Arial" w:cs="Arial" w:eastAsia="Arial" w:hAnsi="Arial"/>
          <w:sz w:val="18"/>
          <w:szCs w:val="18"/>
          <w:i w:val="1"/>
          <w:iCs w:val="1"/>
          <w:color w:val="auto"/>
        </w:rPr>
        <w:t>Pascagoula Pipeline</w:t>
      </w:r>
      <w:r>
        <w:rPr>
          <w:rFonts w:ascii="Arial" w:cs="Arial" w:eastAsia="Arial" w:hAnsi="Arial"/>
          <w:sz w:val="18"/>
          <w:szCs w:val="18"/>
          <w:color w:val="auto"/>
        </w:rPr>
        <w:t>. We own and operate the Pascagoula pipeline, a 41-mile crude oil pipeline that was placed in service in April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Pascagoula pipeline originates at our Ten Mile facility in Alabama and extends to a refinery on the Gulf Coast. Additionally, we have approximately 1.2 million barrels of storage capacity at our Ten Mile facility that supports the operational needs of this pipeline system. Throughput on the system averaged 79,000 barrels per day during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51" w:orient="portrait"/>
          <w:cols w:equalWidth="0" w:num="1">
            <w:col w:w="11400"/>
          </w:cols>
          <w:pgMar w:left="240" w:top="125" w:right="25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Central</w:t>
      </w:r>
    </w:p>
    <w:p>
      <w:pPr>
        <w:sectPr>
          <w:pgSz w:w="11900" w:h="16851" w:orient="portrait"/>
          <w:cols w:equalWidth="0" w:num="1">
            <w:col w:w="11400"/>
          </w:cols>
          <w:pgMar w:left="240" w:top="125" w:right="259" w:bottom="0" w:gutter="0" w:footer="0" w:header="0"/>
          <w:type w:val="continuous"/>
        </w:sectPr>
      </w:pPr>
    </w:p>
    <w:bookmarkStart w:id="17" w:name="page18"/>
    <w:bookmarkEnd w:id="17"/>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Mid-Continent Area Systems. </w:t>
      </w:r>
      <w:r>
        <w:rPr>
          <w:rFonts w:ascii="Arial" w:cs="Arial" w:eastAsia="Arial" w:hAnsi="Arial"/>
          <w:sz w:val="18"/>
          <w:szCs w:val="18"/>
          <w:color w:val="auto"/>
        </w:rPr>
        <w:t>We own and operate pipeline systems that source crude oil from the Cleveland Sand, Granite Wash and</w:t>
      </w:r>
      <w:r>
        <w:rPr>
          <w:rFonts w:ascii="Arial" w:cs="Arial" w:eastAsia="Arial" w:hAnsi="Arial"/>
          <w:sz w:val="18"/>
          <w:szCs w:val="18"/>
          <w:i w:val="1"/>
          <w:iCs w:val="1"/>
          <w:color w:val="auto"/>
        </w:rPr>
        <w:t xml:space="preserve"> </w:t>
      </w:r>
      <w:r>
        <w:rPr>
          <w:rFonts w:ascii="Arial" w:cs="Arial" w:eastAsia="Arial" w:hAnsi="Arial"/>
          <w:sz w:val="18"/>
          <w:szCs w:val="18"/>
          <w:color w:val="auto"/>
        </w:rPr>
        <w:t>Mississippian/Lime resource plays of Western and Central Oklahoma, Southwest Kansas and the eastern Texas Panhandle. These systems consist of 2,345 miles of pipeline with transportation and delivery into and out of our terminal facilities at Cushing. For 2014, combined throughput on the Mid-Continent Area systems totaled an average of 348,000 barrels per day.</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2014, we completed construction of a 113-mile extension of our existing Oklahoma crude oil pipeline and associated gathering system to service increasing production from producing areas in Western Oklahoma and the Texas Panhandle. This new Western Oklahoma pipeline provides up to 75,000 barrels per day of new takeaway capacity from Reydon, Oklahoma to our existing Orion station in Major County, Oklahoma.</w:t>
      </w:r>
    </w:p>
    <w:p>
      <w:pPr>
        <w:spacing w:after="0" w:line="16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Included in the Mid-Continent Area systems is our Mississippian Lime pipeline, which was placed into service in August 2013 to service crude oil production in Northern Oklahoma and Southern Kansas and to provide crude oil transportation to our terminal facilities at Cushing. During 2014, we completed two extensions of the Mississippian Lime pipeline. Throughput on the Mississippian Lime pipeline averaged 71,000 barrels per day during 2014.</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currently developing the Diamond pipeline, a 20-inch, 440-mile long pipeline that will provide 200,000 barrels per day of capacity from our Cushing, Oklahoma terminal to the Valero Memphis, Tennessee refinery. The Diamond pipeline project is underpinned by a long term shipper agreement with Valero and a related contract for storage and terminalling services at our Cushing terminal. We expect to complete the Diamond pipeline in 2017. Valero holds an option until January 2016 to become a partner in the Diamond pipeline and purchase a 50 percent interest.</w:t>
      </w:r>
    </w:p>
    <w:p>
      <w:pPr>
        <w:spacing w:after="0" w:line="17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Also under development is the Red River pipeline, which will be a 16-inch pipeline with a takeaway capacity of 150,000 barrels per day extending from Cushing, Oklahoma to Longview, Texas. The Red River pipeline is supported by long term shipper commitments and is expected to be completed in 2016. See “—Expansion Capital Projects” for additional information regarding our Mid-Continent area pipeline projects.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Manito. </w:t>
      </w:r>
      <w:r>
        <w:rPr>
          <w:rFonts w:ascii="Arial" w:cs="Arial" w:eastAsia="Arial" w:hAnsi="Arial"/>
          <w:sz w:val="17"/>
          <w:szCs w:val="17"/>
          <w:color w:val="auto"/>
        </w:rPr>
        <w:t>We own a 100% interest in the Manito heavy oil system. This 561-mile system is comprised of the Manito pipeline, the North</w:t>
      </w:r>
      <w:r>
        <w:rPr>
          <w:rFonts w:ascii="Arial" w:cs="Arial" w:eastAsia="Arial" w:hAnsi="Arial"/>
          <w:sz w:val="17"/>
          <w:szCs w:val="17"/>
          <w:i w:val="1"/>
          <w:iCs w:val="1"/>
          <w:color w:val="auto"/>
        </w:rPr>
        <w:t xml:space="preserve"> </w:t>
      </w:r>
      <w:r>
        <w:rPr>
          <w:rFonts w:ascii="Arial" w:cs="Arial" w:eastAsia="Arial" w:hAnsi="Arial"/>
          <w:sz w:val="17"/>
          <w:szCs w:val="17"/>
          <w:color w:val="auto"/>
        </w:rPr>
        <w:t>Saskatchewan (“North Sask”) pipeline and the Bodo/Cactus Lake pipeline. Each system consists of a blended crude oil line and a parallel diluent line that delivers condensate to upstream blending locations. The North Sask pipeline is 84 miles in length and originates near Turtleford, Saskatchewan and terminates in Dulwich, Saskatchewan. The Manito pipeline includes 339 miles of pipeline, and the mainline segment originates at Dulwich and terminates at Kerrobert, Saskatchewan. The Bodo/Cactus Lake pipeline is 138 miles long and originates in Bodo, Alberta and also terminates at our Kerrobert storage facility. The Kerrobert storage and terminalling facility is connected to the Enbridge pipeline system and can both receive and deliver heavy crude oil from and to the Enbridge pipeline system. For 2014, 47,000 barrels per day of crude oil were transported on the Manito system.</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Rainbow System. </w:t>
      </w:r>
      <w:r>
        <w:rPr>
          <w:rFonts w:ascii="Arial" w:cs="Arial" w:eastAsia="Arial" w:hAnsi="Arial"/>
          <w:sz w:val="18"/>
          <w:szCs w:val="18"/>
          <w:color w:val="auto"/>
        </w:rPr>
        <w:t>We own a 100% interest in the Rainbow system. The Rainbow system is comprised of (i) a 480-mile, 20-inch to 24-inch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pipeline with a throughput capacity of approximately 220,000 barrels per day that extends from the Norman Wells Pipeline connection in Zama, Alberta to Edmonton, Alberta and has 174 miles of associated gathering pipelines and (ii) a 188-mile, 10-inch pipeline to transport diluent north from Edmonton, Alberta to our Nipisi truck terminal in Northern Alberta that has a capacity of 40,000 barrels per day. Total average throughput during 2014 on the Rainbow system was 112,000 barrels per day.</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are currently developing the Indigo pipeline, which will consist of two pipelines, a diluent line and a blend line, both approximately 80 miles in length. The diluent line will be a 12-inch pipeline that will transport diluent from our Rainbow system at Nipisi to the Peace River, Alberta area. The blend line will be a 24-inch pipeline that will deliver blended heavy crude oil from the Peace River, Alberta area to our Rainbow system. Construction is subject to regulatory approval, obtaining rights-of-way and satisfaction of other contractual provisions. The Indigo pipeline is underpinned by a long-term contract and is expected to be in service in 2017; however, the project may be delayed or terminated by the committed shipper based on certain completion dates and investment considerations, subject to full cost reimbursement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Rangeland System. </w:t>
      </w:r>
      <w:r>
        <w:rPr>
          <w:rFonts w:ascii="Arial" w:cs="Arial" w:eastAsia="Arial" w:hAnsi="Arial"/>
          <w:sz w:val="17"/>
          <w:szCs w:val="17"/>
          <w:color w:val="auto"/>
        </w:rPr>
        <w:t>We own a 100% interest in the Rangeland system. The Rangeland system consists of a 670 mile, 8-inch to 16-inch mainline</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and 563 miles of 3-inch to 8-inch gathering pipelines. The Rangeland system transports NGL mix, butane, condensate, light sweet crude oil and light sour crude oil either north to Edmonton, Alberta or south to the U.S./Canadian border near Cutbank, Montana, where it connects to our Western Corridor system. Total average throughput during 2014 on the Rangeland system was 65,000 barrels per day.</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South Saskatchewan</w:t>
      </w:r>
      <w:r>
        <w:rPr>
          <w:rFonts w:ascii="Arial" w:cs="Arial" w:eastAsia="Arial" w:hAnsi="Arial"/>
          <w:sz w:val="18"/>
          <w:szCs w:val="18"/>
          <w:color w:val="auto"/>
        </w:rPr>
        <w:t>. We own a 100% interest in the South Saskatchewan system. This system consists of a 160 mile, 16-inch mainline from Cantuar</w:t>
      </w:r>
      <w:r>
        <w:rPr>
          <w:rFonts w:ascii="Arial" w:cs="Arial" w:eastAsia="Arial" w:hAnsi="Arial"/>
          <w:sz w:val="18"/>
          <w:szCs w:val="18"/>
          <w:i w:val="1"/>
          <w:iCs w:val="1"/>
          <w:color w:val="auto"/>
        </w:rPr>
        <w:t xml:space="preserve"> </w:t>
      </w:r>
      <w:r>
        <w:rPr>
          <w:rFonts w:ascii="Arial" w:cs="Arial" w:eastAsia="Arial" w:hAnsi="Arial"/>
          <w:sz w:val="18"/>
          <w:szCs w:val="18"/>
          <w:color w:val="auto"/>
        </w:rPr>
        <w:t>to Regina, Saskatchewan and 186 miles of 4-inch to 12-inch gathering pipelines from the Rapdan area to Cantuar. The South Saskatchewan system transports heavy crude oil from gathering areas in southern Saskatchewan to Enbridge’s mainline at Regina. Total average throughput during 2014 on the South Saskatchewan system was 63,000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Pipelines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Co-Ed NGL Pipeline System. </w:t>
      </w:r>
      <w:r>
        <w:rPr>
          <w:rFonts w:ascii="Arial" w:cs="Arial" w:eastAsia="Arial" w:hAnsi="Arial"/>
          <w:sz w:val="18"/>
          <w:szCs w:val="18"/>
          <w:color w:val="auto"/>
        </w:rPr>
        <w:t>We own and operate the Co-Ed NGL pipeline system, which consists of approximately 632 miles of 3-inch to 10-inch</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This pipeline system gathers NGL from approximately 35 field gas processing plants located in Alberta, including all of the NGL produced at the Cochrane Straddle Plant. The Co-Ed NGL pipeline system has throughput capacity of approximately 72,000 barrels per day. During 2014, throughput averaged 58,000 barrels per day.</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currently extending and expanding our Co-Ed NGL pipeline system. The projects consist of a North Co-Ed extension and a West Co-Ed expansion, which we expect to be completed in 2016 and 2017, respectively. The North Co-Ed extension will provide approximately 20 miles of bi-directional 12-inch high vapor pressure (HVP) NGL pipeline from our existing Co-Ed pipeline to our Fort Saskatchewan facilities with takeaway capacity of up to 110,000 barrels per day. The West Co-Ed expansion will provide an 8-inch, 18 mile NGL line from our Buck Creek facility to our Co-Ed pipeline at Breton, Alberta.</w:t>
      </w:r>
    </w:p>
    <w:p>
      <w:pPr>
        <w:sectPr>
          <w:pgSz w:w="11900" w:h="16838" w:orient="portrait"/>
          <w:cols w:equalWidth="0" w:num="1">
            <w:col w:w="11400"/>
          </w:cols>
          <w:pgMar w:left="240" w:top="341" w:right="259" w:bottom="0" w:gutter="0" w:footer="0" w:header="0"/>
        </w:sectPr>
      </w:pPr>
    </w:p>
    <w:bookmarkStart w:id="18" w:name="page19"/>
    <w:bookmarkEnd w:id="18"/>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We generate revenue through a combination of month-to-month and multi-year agreements and processing arrangements. 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w:t>
      </w:r>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2014, we owned, operated or employed a variety of long-term physical assets throughout the United States and Canada in this segment, including:</w:t>
      </w:r>
    </w:p>
    <w:p>
      <w:pPr>
        <w:spacing w:after="0" w:line="170" w:lineRule="exact"/>
        <w:rPr>
          <w:sz w:val="20"/>
          <w:szCs w:val="20"/>
          <w:color w:val="auto"/>
        </w:rPr>
      </w:pPr>
    </w:p>
    <w:p>
      <w:pPr>
        <w:ind w:left="940" w:hanging="28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approximately 73 million barrels of crude oil and refined products storage capacity primarily at our terminalling and storage locations;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23 million barrels of NGL storage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97 Bcf of natural gas storage working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29 Bcf of owned base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11 natural gas processing plants located throughout Canada and the Gulf Coast area of the United States;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80,000 barrels per day;</w:t>
      </w:r>
    </w:p>
    <w:p>
      <w:pPr>
        <w:spacing w:after="0" w:line="170" w:lineRule="exact"/>
        <w:rPr>
          <w:rFonts w:ascii="Arial" w:cs="Arial" w:eastAsia="Arial" w:hAnsi="Arial"/>
          <w:sz w:val="18"/>
          <w:szCs w:val="18"/>
          <w:color w:val="auto"/>
        </w:rPr>
      </w:pPr>
    </w:p>
    <w:p>
      <w:pPr>
        <w:ind w:left="980" w:right="320" w:hanging="324"/>
        <w:spacing w:after="0" w:line="264"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seven fractionation plants located throughout Canada and the United States with an aggregate gross processing capacity of approximately 221,800 barrels per day, and an isomerization and fractionation facility in California with an aggregate processing capacity of approximately 14,000 barrels per day;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6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26 crude oil and NGL rail terminals located throughout the United States and Canada. See “-Major Facilities Assets - Rail Facilities” below for an overview of various terminals and “Supply and Logistics” regarding our use of railcars;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six major marine facilities in the United States with an aggregate load capacity of 91,500 barrels per hour, including vapor recovery rates, and an aggregate unload capacity of 160,500 barrels per hour;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approximately 1,100 miles of active pipelines that support our facilities assets, consisting primarily of NGL and natural gas pipelines.</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is a tabular presentation of our active facilities segment storage and service assets in the United States and Canada as of December 31, 2014, grouped by product and service type, with capacity and volume as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Crude Oil and Refined Products Storage Facilities</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Cushing</w:t>
            </w: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LA Basin</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Martinez and Richmond</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Mobile and Ten Mile</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Patoka</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Philadelphia Area</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 James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line="216" w:lineRule="exact"/>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3"/>
                <w:szCs w:val="23"/>
                <w:i w:val="1"/>
                <w:iCs w:val="1"/>
                <w:color w:val="auto"/>
                <w:vertAlign w:val="superscript"/>
              </w:rPr>
              <w:t>(1)</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NGL Storage Facilities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Bumstead</w:t>
            </w: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Fort Saskatchewan</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Sarnia Area</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Tirzah</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Natural Gas Storage Facilities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(Bcf)</w:t>
            </w: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Salt-caverns and Depleted Reservoir</w:t>
            </w: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Total Gas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Gross Gas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Gas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Processing</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Processing</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(2)</w:t>
            </w:r>
          </w:p>
        </w:tc>
        <w:tc>
          <w:tcPr>
            <w:tcW w:w="1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 xml:space="preserve">Capacity </w:t>
            </w:r>
            <w:r>
              <w:rPr>
                <w:rFonts w:ascii="Arial" w:cs="Arial" w:eastAsia="Arial" w:hAnsi="Arial"/>
                <w:sz w:val="8"/>
                <w:szCs w:val="8"/>
                <w:b w:val="1"/>
                <w:bCs w:val="1"/>
                <w:color w:val="auto"/>
                <w:w w:val="97"/>
              </w:rPr>
              <w:t>(4)</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(Bcf/d)</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(Bcf/d)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(Bcf/d)</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United States Gulf Coast Area</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Canada</w:t>
            </w:r>
          </w:p>
        </w:tc>
        <w:tc>
          <w:tcPr>
            <w:tcW w:w="1480" w:type="dxa"/>
            <w:vAlign w:val="bottom"/>
          </w:tcPr>
          <w:p>
            <w:pPr>
              <w:jc w:val="right"/>
              <w:spacing w:after="0"/>
              <w:rPr>
                <w:sz w:val="20"/>
                <w:szCs w:val="20"/>
                <w:color w:val="auto"/>
              </w:rPr>
            </w:pPr>
            <w:r>
              <w:rPr>
                <w:rFonts w:ascii="Arial" w:cs="Arial" w:eastAsia="Arial" w:hAnsi="Arial"/>
                <w:sz w:val="18"/>
                <w:szCs w:val="18"/>
                <w:color w:val="auto"/>
              </w:rPr>
              <w:t>36-100%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31"/>
        </w:trPr>
        <w:tc>
          <w:tcPr>
            <w:tcW w:w="45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Condensate Stabilization Facility</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(Bbls/d)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Gardendale</w:t>
            </w: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7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Capacity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Capacity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(Bbls/d)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(Bbls/d)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(Bbls/d)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Fort Saskatchewan</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i w:val="1"/>
                <w:iCs w:val="1"/>
                <w:color w:val="auto"/>
              </w:rPr>
              <w:t>Sarnia</w:t>
            </w: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55,219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Shafter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i w:val="1"/>
                <w:iCs w:val="1"/>
                <w:color w:val="auto"/>
              </w:rPr>
              <w:t>Other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82-100%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10,147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26,800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vMerge w:val="restart"/>
          </w:tcPr>
          <w:p>
            <w:pPr>
              <w:jc w:val="right"/>
              <w:ind w:right="35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gridSpan w:val="2"/>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Loading</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Unloading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Rail Facilities</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(5)</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 xml:space="preserve">Capacity </w:t>
            </w:r>
            <w:r>
              <w:rPr>
                <w:rFonts w:ascii="Arial" w:cs="Arial" w:eastAsia="Arial" w:hAnsi="Arial"/>
                <w:sz w:val="8"/>
                <w:szCs w:val="8"/>
                <w:b w:val="1"/>
                <w:bCs w:val="1"/>
                <w:color w:val="auto"/>
                <w:w w:val="91"/>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(Bbls/d)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(Bbls/d)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Crude Oil Rail Facilities</w:t>
            </w: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Rack Spots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Storage Spots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8"/>
                <w:szCs w:val="8"/>
                <w:b w:val="1"/>
                <w:bCs w:val="1"/>
                <w:color w:val="auto"/>
              </w:rPr>
              <w:t>(4)</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-1424940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-1424940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 includes 1.1 million barrels of capacity for which we hold lease options (all of which have been exercised).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While natural gas processing inlet volumes and capacity amounts are presented, they currently are not a significant driver of our segment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Inlet volumes represent average inlet volumes net to our share for the entire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Capacity transported will vary according to specification of product moved.</w:t>
      </w:r>
    </w:p>
    <w:p>
      <w:pPr>
        <w:spacing w:after="0" w:line="225" w:lineRule="exact"/>
        <w:rPr>
          <w:sz w:val="20"/>
          <w:szCs w:val="20"/>
          <w:color w:val="auto"/>
        </w:rPr>
      </w:pPr>
    </w:p>
    <w:p>
      <w:pPr>
        <w:ind w:left="20" w:right="380" w:hanging="11"/>
        <w:spacing w:after="0" w:line="277" w:lineRule="auto"/>
        <w:rPr>
          <w:sz w:val="20"/>
          <w:szCs w:val="20"/>
          <w:color w:val="auto"/>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Major Facilities Assets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Crude Oil and Refined Products Facilities</w:t>
      </w:r>
    </w:p>
    <w:p>
      <w:pPr>
        <w:spacing w:after="0" w:line="200" w:lineRule="exact"/>
        <w:rPr>
          <w:sz w:val="20"/>
          <w:szCs w:val="20"/>
          <w:color w:val="auto"/>
        </w:rPr>
      </w:pPr>
    </w:p>
    <w:p>
      <w:pPr>
        <w:sectPr>
          <w:pgSz w:w="11900" w:h="16838" w:orient="portrait"/>
          <w:cols w:equalWidth="0" w:num="2">
            <w:col w:w="140" w:space="500"/>
            <w:col w:w="10820"/>
          </w:cols>
          <w:pgMar w:left="240" w:top="140" w:right="199" w:bottom="0" w:gutter="0" w:footer="0" w:header="0"/>
          <w:type w:val="continuous"/>
        </w:sectPr>
      </w:pPr>
    </w:p>
    <w:p>
      <w:pPr>
        <w:spacing w:after="0" w:line="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Our Cushing, Oklahoma Terminal (the “Cushing Terminal”) is located at the Cushing Interchange, one of the largest wet-barrel</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hubs in the United States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many varieties of foreign and domestic crude oil. The Cushing Terminal has access to all major inbound and outbound pipelines in Cushing and is designed to handle multiple grades of crude oil while minimizing the interface and enabling deliveries to connecting carriers at their maximum rate.</w:t>
      </w:r>
    </w:p>
    <w:p>
      <w:pPr>
        <w:spacing w:after="0" w:line="18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Since 1999, we have completed multiple expansions that have increased the capacity of the Cushing Terminal to a total of 20 million barrels. During 2014, we added approximately 0.5 million barrels of such storage capacity through the construction of two 270,000 barrel tanks. Throughout 2015, we expect to add approximately 1.4 million barrels of storage through the construction of five additional 270,000 barrel tanks.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black oil storage facilities in the Los Angeles area with a total of 8 million barrels of storage capacity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service and a distribution pipeline system of approximately 50 miles of pipeline in the Los Angeles Basin.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and third-party pipelines and marine terminals in the Los Angeles Basin.</w:t>
      </w:r>
    </w:p>
    <w:p>
      <w:pPr>
        <w:spacing w:after="0" w:line="188" w:lineRule="exact"/>
        <w:rPr>
          <w:sz w:val="20"/>
          <w:szCs w:val="20"/>
          <w:color w:val="auto"/>
        </w:rPr>
      </w:pPr>
    </w:p>
    <w:p>
      <w:pPr>
        <w:ind w:right="420" w:firstLine="648"/>
        <w:spacing w:after="0" w:line="291" w:lineRule="auto"/>
        <w:rPr>
          <w:sz w:val="20"/>
          <w:szCs w:val="20"/>
          <w:color w:val="auto"/>
        </w:rPr>
      </w:pPr>
      <w:r>
        <w:rPr>
          <w:rFonts w:ascii="Arial" w:cs="Arial" w:eastAsia="Arial" w:hAnsi="Arial"/>
          <w:sz w:val="16"/>
          <w:szCs w:val="16"/>
          <w:i w:val="1"/>
          <w:iCs w:val="1"/>
          <w:color w:val="auto"/>
        </w:rPr>
        <w:t xml:space="preserve">Martinez and Richmond Terminals. </w:t>
      </w:r>
      <w:r>
        <w:rPr>
          <w:rFonts w:ascii="Arial" w:cs="Arial" w:eastAsia="Arial" w:hAnsi="Arial"/>
          <w:sz w:val="16"/>
          <w:szCs w:val="16"/>
          <w:color w:val="auto"/>
        </w:rPr>
        <w:t>We own two terminals in the San Francisco, California area: a terminal at Martinez (which provides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crude oil service) and a terminal at Richmond (which provides refined product and black oil service). Our San Francisco area terminals have</w:t>
      </w:r>
    </w:p>
    <w:p>
      <w:pPr>
        <w:ind w:right="200"/>
        <w:spacing w:after="0" w:line="323" w:lineRule="auto"/>
        <w:rPr>
          <w:sz w:val="20"/>
          <w:szCs w:val="20"/>
          <w:color w:val="auto"/>
        </w:rPr>
      </w:pPr>
      <w:r>
        <w:rPr>
          <w:rFonts w:ascii="Arial" w:cs="Arial" w:eastAsia="Arial" w:hAnsi="Arial"/>
          <w:sz w:val="16"/>
          <w:szCs w:val="16"/>
          <w:color w:val="auto"/>
        </w:rPr>
        <w:t>5 million barrels of combined storage capacity and are connected to area refineries through a network of owned and third-party pipelines that carry crude oil and refined products to and from area refineries. These terminals have dock facilities and our Richmond terminal is also able to receive products by rail.</w:t>
      </w:r>
    </w:p>
    <w:p>
      <w:pPr>
        <w:spacing w:after="0" w:line="139" w:lineRule="exact"/>
        <w:rPr>
          <w:sz w:val="20"/>
          <w:szCs w:val="20"/>
          <w:color w:val="auto"/>
        </w:rPr>
      </w:pPr>
    </w:p>
    <w:p>
      <w:pPr>
        <w:jc w:val="both"/>
        <w:ind w:right="600" w:firstLine="648"/>
        <w:spacing w:after="0" w:line="286" w:lineRule="auto"/>
        <w:rPr>
          <w:sz w:val="20"/>
          <w:szCs w:val="20"/>
          <w:color w:val="auto"/>
        </w:rPr>
      </w:pPr>
      <w:r>
        <w:rPr>
          <w:rFonts w:ascii="Arial" w:cs="Arial" w:eastAsia="Arial" w:hAnsi="Arial"/>
          <w:sz w:val="17"/>
          <w:szCs w:val="17"/>
          <w:i w:val="1"/>
          <w:iCs w:val="1"/>
          <w:color w:val="auto"/>
        </w:rPr>
        <w:t xml:space="preserve">Mobile and Ten Mile Terminal. </w:t>
      </w:r>
      <w:r>
        <w:rPr>
          <w:rFonts w:ascii="Arial" w:cs="Arial" w:eastAsia="Arial" w:hAnsi="Arial"/>
          <w:sz w:val="17"/>
          <w:szCs w:val="17"/>
          <w:color w:val="auto"/>
        </w:rPr>
        <w:t>We have a marine terminal in Mobile, Alabama (the “Mobile Terminal”) that has current useable capacity of</w:t>
      </w:r>
      <w:r>
        <w:rPr>
          <w:rFonts w:ascii="Arial" w:cs="Arial" w:eastAsia="Arial" w:hAnsi="Arial"/>
          <w:sz w:val="17"/>
          <w:szCs w:val="17"/>
          <w:i w:val="1"/>
          <w:iCs w:val="1"/>
          <w:color w:val="auto"/>
        </w:rPr>
        <w:t xml:space="preserve"> </w:t>
      </w:r>
      <w:r>
        <w:rPr>
          <w:rFonts w:ascii="Arial" w:cs="Arial" w:eastAsia="Arial" w:hAnsi="Arial"/>
          <w:sz w:val="17"/>
          <w:szCs w:val="17"/>
          <w:color w:val="auto"/>
        </w:rPr>
        <w:t>2 million barrels. Approximately 4 million barrels of additional storage capacity is available at our nearby Ten Mile Facility, which is connected to our Mobile Terminal via a 36-inch pipeline. Of this capacity, approximately 0.5 million barrels supports our Facilities segment operations.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40" w:right="199" w:bottom="0" w:gutter="0" w:footer="0" w:header="0"/>
          <w:type w:val="continuous"/>
        </w:sectPr>
      </w:pPr>
    </w:p>
    <w:bookmarkStart w:id="20" w:name="page21"/>
    <w:bookmarkEnd w:id="20"/>
    <w:p>
      <w:pPr>
        <w:ind w:right="180" w:firstLine="648"/>
        <w:spacing w:after="0" w:line="259" w:lineRule="auto"/>
        <w:rPr>
          <w:sz w:val="20"/>
          <w:szCs w:val="20"/>
          <w:color w:val="auto"/>
        </w:rPr>
      </w:pPr>
      <w:r>
        <w:rPr>
          <w:rFonts w:ascii="Arial" w:cs="Arial" w:eastAsia="Arial" w:hAnsi="Arial"/>
          <w:sz w:val="18"/>
          <w:szCs w:val="18"/>
          <w:color w:val="auto"/>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 Our Ten Mile Facility is connected to our Pascagoula pipeline, which was placed into service in early 2014.</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i w:val="1"/>
          <w:iCs w:val="1"/>
          <w:color w:val="auto"/>
        </w:rPr>
        <w:t xml:space="preserve">Patoka Terminal. </w:t>
      </w:r>
      <w:r>
        <w:rPr>
          <w:rFonts w:ascii="Arial" w:cs="Arial" w:eastAsia="Arial" w:hAnsi="Arial"/>
          <w:sz w:val="16"/>
          <w:szCs w:val="16"/>
          <w:color w:val="auto"/>
        </w:rPr>
        <w:t>Our Patoka Terminal has 6 million barrels of storage capacity and the associated manifold and header system at the Patoka</w:t>
      </w:r>
      <w:r>
        <w:rPr>
          <w:rFonts w:ascii="Arial" w:cs="Arial" w:eastAsia="Arial" w:hAnsi="Arial"/>
          <w:sz w:val="16"/>
          <w:szCs w:val="16"/>
          <w:i w:val="1"/>
          <w:iCs w:val="1"/>
          <w:color w:val="auto"/>
        </w:rPr>
        <w:t xml:space="preserve"> </w:t>
      </w:r>
      <w:r>
        <w:rPr>
          <w:rFonts w:ascii="Arial" w:cs="Arial" w:eastAsia="Arial" w:hAnsi="Arial"/>
          <w:sz w:val="16"/>
          <w:szCs w:val="16"/>
          <w:color w:val="auto"/>
        </w:rPr>
        <w:t>Interchange located in southern Illinois. Our terminal has access to all major pipelines and terminals at the Patoka Interchange. Patoka is a growing regional hub with access to domestic and foreign crude oil for certain volumes moving north on the Capline system as well as Canadian barrels moving south.</w:t>
      </w:r>
    </w:p>
    <w:p>
      <w:pPr>
        <w:spacing w:after="0" w:line="14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i w:val="1"/>
          <w:iCs w:val="1"/>
          <w:color w:val="auto"/>
        </w:rPr>
        <w:t xml:space="preserve">Philadelphia Area Terminals. </w:t>
      </w:r>
      <w:r>
        <w:rPr>
          <w:rFonts w:ascii="Arial" w:cs="Arial" w:eastAsia="Arial" w:hAnsi="Arial"/>
          <w:sz w:val="16"/>
          <w:szCs w:val="16"/>
          <w:color w:val="auto"/>
        </w:rPr>
        <w:t>We own four refined product terminals in the Philadelphia, Pennsylvania area. Our Philadelphia area terminals have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storage capacity of 4 million barrels. The terminals have 20 truck loading lanes, two barge docks and a ship dock. The Philadelphia area terminals provide services and products to the refiners in the Philadelphia harbor. The Philadelphia area terminals also receive products from connecting pipelines.</w:t>
      </w:r>
    </w:p>
    <w:p>
      <w:pPr>
        <w:spacing w:after="0" w:line="14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St. James Terminal. </w:t>
      </w:r>
      <w:r>
        <w:rPr>
          <w:rFonts w:ascii="Arial" w:cs="Arial" w:eastAsia="Arial" w:hAnsi="Arial"/>
          <w:sz w:val="16"/>
          <w:szCs w:val="16"/>
          <w:color w:val="auto"/>
        </w:rPr>
        <w:t>We have 10 million barrels of crude oil storage capacity at the St. James crude oil interchange in Louisiana, which is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most liquid crude oil interchanges in the United States. The facility is connected to major pipelines and other terminals and includes a manifold and header system that allows for receipts and deliveries with connecting pipelines at their maximum operating capacity. Over the past few years, we completed the construction of a marine dock that is able to receive from tankers and receive from, and load, barges. The facility is also connected to our rail unloading facility, which is being expanded to be capable of receiving heavy crude oil in 2015. See “-Rail Facilities” below for further discussion.</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2014, we added approximately 1.2 million barrels of crude oil storage capacity to the St. James terminal, and we expect to add approximately 0.3 million barrels of storage capacity in 2015.</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We have 5 million barrels of storage for crude oil and refined products at the Yorktown facility, including 1.1 million barrels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for which we hold lease options (all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Corpus Christi. </w:t>
      </w:r>
      <w:r>
        <w:rPr>
          <w:rFonts w:ascii="Arial" w:cs="Arial" w:eastAsia="Arial" w:hAnsi="Arial"/>
          <w:sz w:val="18"/>
          <w:szCs w:val="18"/>
          <w:color w:val="auto"/>
        </w:rPr>
        <w:t>In 2014, we announced a joint project with Enterprise Products Partners L.P. to build a Corpus Christi terminal that will be capable</w:t>
      </w:r>
      <w:r>
        <w:rPr>
          <w:rFonts w:ascii="Arial" w:cs="Arial" w:eastAsia="Arial" w:hAnsi="Arial"/>
          <w:sz w:val="18"/>
          <w:szCs w:val="18"/>
          <w:i w:val="1"/>
          <w:iCs w:val="1"/>
          <w:color w:val="auto"/>
        </w:rPr>
        <w:t xml:space="preserve"> </w:t>
      </w:r>
      <w:r>
        <w:rPr>
          <w:rFonts w:ascii="Arial" w:cs="Arial" w:eastAsia="Arial" w:hAnsi="Arial"/>
          <w:sz w:val="18"/>
          <w:szCs w:val="18"/>
          <w:color w:val="auto"/>
        </w:rPr>
        <w:t>of loading ocean going vessels at a rate of 20,000 barrels per hour. The facility will have access to production from both the Eagle Ford and the Permian Basin. The facility is expected to be placed in service by 2017.</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4 million barrels of useable capacity,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facility’s primary assets include three salt-dome storage caverns, a 30-car rail rack and six truck racks.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approximately 16 miles northeast of Edmonton, Alberta in one of the key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NGL hubs. The facility is a receipt, storage, fractionation and delivery facility for NGL and is connected to other major NGL plants and pipeline systems in the area. The facility’s primary assets include 22 storage caverns with approximately 5 million barrels in useable storage capacity. The facility includes assets operated by us and assets operated by a third-party. Our ownership in the various facility assets ranges from approximately 21% to 100%. See the section entitled “—NGL Fractionation and Isomerization Facilities” below for additional discussion of this facility.</w:t>
      </w:r>
    </w:p>
    <w:p>
      <w:pPr>
        <w:spacing w:after="0" w:line="17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During 2013, we began upgrading our Fort Saskatchewan storage capacity as part of a multi-phase expansion. The first phase of the expansion will add two new NGL storage caverns each with a capacity of 350,000 barrels and will convert approximately 2.2 million barrels of existing NGL mix storage capacity to propane and condensate storage supported by the addition of approximately 2.5 million barrels of new brine pond capacity.</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The Sarnia facility is a large NGL fractionation, storage and shipping facility located on a 380 acre plant site in the Sarnia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Valley. There are 36 multi-product railcar loading spots, 4 multi-product truck loading racks and a network of 14 pipelines providing product delivery capabilities to our Windsor, St. Clair and Green Springs terminal facilities, in addition to refineries, chemical plants and other pipeline systems in the area. The facility has approximately 3 million barrels in useable storage capacity. In 2013, we initiated a brine disposal program that will facilitate the removal of excess brine via truck from our Sarnia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facility. The project is expected to increase useable NGL storage capacity at the facility by as much as 3 million barrels when completed.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Windsor storage terminal in Windsor, Canada, is a pipeline hub and underground storage facility. The facility is served by three of our receipt/dispatch pipelines and rail and truck offloading. There are eight storage caverns on site with a useable capacity of approximately 3 million barrels. The primary terminal assets consist of 16 multi-product rail tank car loading spots and a propane truck loading rack. In 2014, we initiated a brine disposal program that will facilitate the removal of excess brine via pipeline from our Windsor storage terminal. The project is expected to increase useable NGL storage capacity at the facility by approximately 1 million barrels.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one of our pipelines. On site are seven storage caverns with useable capacity of approximately 2 million barrels and 28 multi-product rail tank car loading spots.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Tirzah. </w:t>
      </w:r>
      <w:r>
        <w:rPr>
          <w:rFonts w:ascii="Arial" w:cs="Arial" w:eastAsia="Arial" w:hAnsi="Arial"/>
          <w:sz w:val="17"/>
          <w:szCs w:val="17"/>
          <w:color w:val="auto"/>
        </w:rPr>
        <w:t>The Tirzah facility is located in South Carolina and consists of an underground granite storage cavern with approximately 1 million barrels</w:t>
      </w:r>
      <w:r>
        <w:rPr>
          <w:rFonts w:ascii="Arial" w:cs="Arial" w:eastAsia="Arial" w:hAnsi="Arial"/>
          <w:sz w:val="17"/>
          <w:szCs w:val="17"/>
          <w:i w:val="1"/>
          <w:iCs w:val="1"/>
          <w:color w:val="auto"/>
        </w:rPr>
        <w:t xml:space="preserve"> </w:t>
      </w:r>
      <w:r>
        <w:rPr>
          <w:rFonts w:ascii="Arial" w:cs="Arial" w:eastAsia="Arial" w:hAnsi="Arial"/>
          <w:sz w:val="17"/>
          <w:szCs w:val="17"/>
          <w:color w:val="auto"/>
        </w:rPr>
        <w:t>of useable capacity. The Tirzah facility is connected to the Dixie Pipeline System (a third-party system) via our 62-mile pipeline.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ectPr>
          <w:pgSz w:w="11900" w:h="16838" w:orient="portrait"/>
          <w:cols w:equalWidth="0" w:num="1">
            <w:col w:w="11420"/>
          </w:cols>
          <w:pgMar w:left="240" w:top="341" w:right="239" w:bottom="104" w:gutter="0" w:footer="0" w:header="0"/>
        </w:sectPr>
      </w:pPr>
    </w:p>
    <w:bookmarkStart w:id="21" w:name="page22"/>
    <w:bookmarkEnd w:id="21"/>
    <w:p>
      <w:pPr>
        <w:spacing w:after="0" w:line="6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own three FERC regulated natural gas storage facilities located in the Gulf Coast and Midwest that are permitted for 149 Bcf of working gas capacity, and as of December 31, 2014, we had an aggregate working gas capacity of approximately 97 Bcf in service. Our facilities have aggregate peak daily injection and withdrawal rates of 4.1 Bcf and 6.4 Bcf, respectively.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the Perryville Hub (located in North Louisiana), and the major market hubs of Chicago, Illinois and Dawn, Ontario. Our facilities service consumer and industrial markets in the Gulf Coast, Midwest, Mid-Atlantic, Northeast, and Southeast regions of the United States and the Southeastern portion of Canada through 20 interconnects with 12 interstate pipelines and 4 utility companies.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own and/or operate four straddle plants and two field gas processing plants located in Western Canada with an aggregate gross natural gas processing capacity of approximately 6.7 Bcf per day and long-term liquid supply contracts relating to a third-party owned straddle plant with gross processing capacity of approximately 2.5 Bcf per day. We also own and operate five natural gas processing plants located in Louisiana and Alabama with an aggregate natural gas processing capacity of approximately 0.6 Bcf per day.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Gardendale condensate processing facility in La Salle County, Texas is designed to extract natural gas liquids from condensate. The facility, which currently has two stabilizers and a capacity of 80,000 barrels per day, is adjacent to our Gardendale terminal and rail facility. Throughput at the Gardendale processing facility is supplied by long-term commitments from producers. During 2014, throughput averaged approximately 54,000 barrels per day. In December 2014, we received a letter from the BIS clarifying that the distillation processes employed at our Gardendale facility satisfies the conditions of the BIS to convert lease condensate into an exportable petroleum product.</w:t>
      </w:r>
    </w:p>
    <w:p>
      <w:pPr>
        <w:spacing w:after="0" w:line="188"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In 2015, we expect to begin construction on a third stabilizer that will provide approximately 40,000 barrels per day of incremental capacity to the existing facility, bringing the total capacity to approximately 120,000 barrels per day. This project is expected to be in service in 2015. During 2015, we also expect to place in service a ten mile pipeline that will connect to a third party pipeline delivering NGL to Mont Belvieu.</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Our Fort Saskatchewan facility has a fractionation capacity of approximately 45,000 barrels per day and produces both spec</w:t>
      </w:r>
      <w:r>
        <w:rPr>
          <w:rFonts w:ascii="Arial" w:cs="Arial" w:eastAsia="Arial" w:hAnsi="Arial"/>
          <w:sz w:val="18"/>
          <w:szCs w:val="18"/>
          <w:i w:val="1"/>
          <w:iCs w:val="1"/>
          <w:color w:val="auto"/>
        </w:rPr>
        <w:t xml:space="preserve"> </w:t>
      </w:r>
      <w:r>
        <w:rPr>
          <w:rFonts w:ascii="Arial" w:cs="Arial" w:eastAsia="Arial" w:hAnsi="Arial"/>
          <w:sz w:val="18"/>
          <w:szCs w:val="18"/>
          <w:color w:val="auto"/>
        </w:rPr>
        <w:t>NGL products and NGL mix for delivery to the Sarnia facility via the Enbridge pipeline.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fractionation feedstock is supplied via the Fort Saskatchewan Pipeline System which connects to the Co-Ed NGL Pipeline System. Through ownership in the Keyera Fort Saskatchewan fractionation plant, (which has a gross fractionation capacity of 30,000 barrels per day), we have additional fractionation capacity, net to our share of 6,300 barrels per day.</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recently approved a project to expand our fractionation capacity to provide producers with additional fractionation infrastructure necessary to develop the significant liquids-rich natural gas reserves in western Canada. Once completed, this expansion will increase capacity to produce a combination of spec NGL products and NGL mix by 20,000 barrels per day. This project is supported by long-term fee-for-service agreements.</w:t>
      </w:r>
    </w:p>
    <w:p>
      <w:pPr>
        <w:spacing w:after="0" w:line="14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has a gross useable capacity of 120,000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14,000 barrels per day and NGL fractionation capacity of approximately 12,000 barrels per day.</w:t>
      </w:r>
    </w:p>
    <w:p>
      <w:pPr>
        <w:spacing w:after="0" w:line="18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are in the process of commissioning a 15-mile NGL pipeline system that is capable of delivering up to 10,000 barrels per day from Occidental Petroleum Corporation’s Elk Hills Gas plant to our Shafter facility. This project also included additions to our storage capacity and rail facilities.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own five active crude oil and condensate rail loading terminals that service production in the Niobrara, Eagle Ford and Bakken shale formations and have a combined loading capacity of approximately 297,000 barrels per day. These facilities are located in Carr, Colorado; Tampa, Colorado; Gardendale, Texas; Manitou, North Dakota; and Van Hook, North Dakota.</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2014, we expanded our Van Hook and Carr terminals to increase loading capacity at each terminal from 35,000 and 15,000 barrels per day, respectively, to 68,000 barrels per day. We are currently constructing a rail terminal capable of loading 59,000 barrels per day of crude oil in Western Canada near Kerrobert, Saskatchewan. We expect to place this terminal in service in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own three active crude oil rail unloading terminals that have a combined unloading capacity of approximately 350,000 barrels per day. Our terminal at St. James, Louisiana is connected to our rail unloading facility that has an unload capacity of 140,000 barrels of sweet crude oil per day. In late</w:t>
      </w:r>
    </w:p>
    <w:p>
      <w:pPr>
        <w:sectPr>
          <w:pgSz w:w="11900" w:h="16908" w:orient="portrait"/>
          <w:cols w:equalWidth="0" w:num="1">
            <w:col w:w="11420"/>
          </w:cols>
          <w:pgMar w:left="240" w:top="125" w:right="239" w:bottom="0" w:gutter="0" w:footer="0" w:header="0"/>
        </w:sectPr>
      </w:pPr>
    </w:p>
    <w:bookmarkStart w:id="22" w:name="page23"/>
    <w:bookmarkEnd w:id="22"/>
    <w:p>
      <w:pPr>
        <w:spacing w:after="0" w:line="4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2014, we approved a project to enhance our St. James rail facility with capability to receive heavy crude oil. We expect this project to be placed in service in 2015. Our Yorktown, Virginia rail facility receives unit trains and has an unload capacity of approximately 140,000 barrels per day, and our Bakersfield, California rail facility, which was placed into service in late 2014, receives unit trains and has permitted capacity to unload 70,000 barrels per day.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own 20 operational NGL rail facilities located throughout the United States and Canada that are strategically located near NGL storage, pipelines, gas production or propane distribution centers. Our NGL rail facilities currently have 249 railcar rack spots and 1,139 railcar storage spots and we have the ability to switch our own railcars at six of these terminals.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2014, we approved a number of expansion projects at our Fort Saskatchewan facility, including plans to develop a 60 car per day propane rail loading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80" w:hanging="32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characterize a substantial portion of our baseline segment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general and administrative expenses. The level of profit associated with a portion of the other activities we conduct in the supply and logistics segment is influenced by overall market structure and the degree of market volatility, as well as variable operating expenses. The majority of activities that are carried out within our supply and logistics segment are designed to produce stable baseline results in a variety of market conditions, while at the same time providing upside potential associated with opportunities inherent in volatile market conditions (including opportunities to benefit from fluctuating differentials). These activities utilize storage facilities at major interchange and terminalling locations and various hedging strategies. The tankage that is used to support our arbitrage activities positions us to capture margins in various market conditions. See “—Impact of Commodity Price Volatility and Dynamic Market Conditions on Our Business Model” below for further discussion.</w:t>
      </w:r>
    </w:p>
    <w:p>
      <w:pPr>
        <w:spacing w:after="0" w:line="16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2014, our supply and logistics segment also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13 million barrels of crude oil and NGL linefill in pipelines owned by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 million barrels of crude oil and NGL linefill in pipelines owned by third parties and other long-term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990 trucks and 1,100 trailers;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8,100 crude oil and NGL railcars (additionally, over 1,400 new crude oil railcars on order with delivery expected in 2015).</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2014 (in thousands of barrels per day):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40" w:type="dxa"/>
            <w:vAlign w:val="bottom"/>
          </w:tcPr>
          <w:p>
            <w:pPr>
              <w:spacing w:after="0"/>
              <w:rPr>
                <w:sz w:val="14"/>
                <w:szCs w:val="14"/>
                <w:color w:val="auto"/>
              </w:rPr>
            </w:pP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Volumes</w:t>
            </w:r>
          </w:p>
        </w:tc>
      </w:tr>
      <w:tr>
        <w:trPr>
          <w:trHeight w:val="210"/>
        </w:trPr>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NGL sales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0"/>
        </w:trPr>
        <w:tc>
          <w:tcPr>
            <w:tcW w:w="9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 activities 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i w:val="1"/>
          <w:iCs w:val="1"/>
          <w:color w:val="auto"/>
        </w:rPr>
        <w:t xml:space="preserve">Crude Oil and NGL Purchases. </w:t>
      </w:r>
      <w:r>
        <w:rPr>
          <w:rFonts w:ascii="Arial" w:cs="Arial" w:eastAsia="Arial" w:hAnsi="Arial"/>
          <w:sz w:val="16"/>
          <w:szCs w:val="16"/>
          <w:color w:val="auto"/>
        </w:rPr>
        <w:t>We purchase crude oil and NGL from multiple producers under contracts and believe that we have established long-term, broad-based relationships with the crude oil and NGL producers in our areas of operations. Our crude oil contracts generally range in term from thirty-day evergreen to five years, with the majority ranging from thirty days to one year and a limited number of contracts extending up to seven years. We utilize</w:t>
      </w:r>
    </w:p>
    <w:p>
      <w:pPr>
        <w:sectPr>
          <w:pgSz w:w="11900" w:h="16885" w:orient="portrait"/>
          <w:cols w:equalWidth="0" w:num="1">
            <w:col w:w="11420"/>
          </w:cols>
          <w:pgMar w:left="240" w:top="125" w:right="239" w:bottom="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color w:val="auto"/>
        </w:rPr>
        <w:t>our truck fleet and pipelines as well as leased railcars, third-party pipelines, trucks and barges to transport the crude oil to market. In addition, from time to time, we purchase foreign crude oil.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these contracts we may purchase crude oil upon delivery in the United States or we may purchase crude oil in foreign locations and transport it on third-party tankers. From time to time, we enter into various types of purchase and exchange transactions including fixed price purchase contracts, collars, financial swaps and crude oil and NGL-related futures contracts as hedging devices.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With the shortage of fractionation and storage space in Western Canada, we are pursuing an increasing number of contracts with longer terms to firm up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addition to purchasing crude oil from producers, we purchase both domestic and foreign crude oil in bulk at major pipeline terminal locations, rail and barge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5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Crude Oil and NGL Sales. </w:t>
      </w:r>
      <w:r>
        <w:rPr>
          <w:rFonts w:ascii="Arial" w:cs="Arial" w:eastAsia="Arial" w:hAnsi="Arial"/>
          <w:sz w:val="17"/>
          <w:szCs w:val="17"/>
          <w:color w:val="auto"/>
        </w:rPr>
        <w:t>The activities involved in the supply, logistics and distribution of crude oil and NGL are complex and require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knowledge of crude oil and NGL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NGL to the appropriate customer.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sell our crude oil to major integrated oil companies, independent refiners and other resellers in various types of sale and exchange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crude oil sales contracts generally range in term from thirty-day evergreen to five years, with the majority ranging from thirty days to one year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number of contracts extending up to seven years. We sell NGL primarily to propane and refined product retailers, petrochemical companies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refiners, and limited volumes to other marketers. A majority of our NGL contracts generally range in term from a thirty-day evergreen to one year.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move to longer term (greater than one year) NGL supply contracts, longer term NGL sale contracts are also becoming more commonplace, usually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flexible pricing mechanisms to ensure the sale remains market-based for both buyer and seller. We establish a margin for the crude oil and NGL we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entering into physical sales contracts with third parties, or by entering into a future delivery obligation with respect to futures contracts on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NYMEX, ICE or over-the-counter exchanges. Through these transactions, we seek to maintain a position that is substantially balanced between purchases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and future delivery obligations. From time to time, we enter into various types of sale and exchange transactions including fixed price delivery contracts,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collars, financial swaps and crude oil and NGL-related futures contracts as hedging devices.</w:t>
      </w:r>
    </w:p>
    <w:p>
      <w:pPr>
        <w:spacing w:after="0" w:line="2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Natural Gas Purchase and Sales Activities. </w:t>
      </w:r>
      <w:r>
        <w:rPr>
          <w:rFonts w:ascii="Arial" w:cs="Arial" w:eastAsia="Arial" w:hAnsi="Arial"/>
          <w:sz w:val="18"/>
          <w:szCs w:val="18"/>
          <w:color w:val="auto"/>
        </w:rPr>
        <w:t>We also generate net revenue through the merchant storage activities of our natural gas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group, which captures short term market opportunities by utilizing a portion of our natural gas storage capacity and engaging in related commercial marketing activities. Our natural gas merchant storage activities generate revenue through the hedged purchase and sale of natural gas net of any storage-related costs incurred. We utilize physical natural gas storage at our facilities and derivatives to hedge expected margin from these activities. Through these transactions, we seek to maintain a position that is substantially balanced between purchases of natural gas on the one hand and sales or future delivery obligations on the other hand.</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our natural gas merchant storage activities, we incur certain storage-related costs. These costs consist of fees incurred to secure third-party pipeline capacity and natural gas storage and transaction costs associated with managing injection and deliverability capacity at our facilities. Costs associated with our third-party pipeline capacity are subject to variation as the terms of these agreements typically contain certain fees which fluctuate based on actual volumes shipped in addition to monthly reservation fees.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NGL and natural gas for resale and require significant extensions of credit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When we sell crude oil, NGL and natural gas, we must determine the amount, if any, of the line of credit to be extended to any given customer. We manage our exposure to credit risk through credit analysis, credit approvals, credit limits, prepayment, letters of credit and monitoring procedures.</w:t>
      </w:r>
    </w:p>
    <w:p>
      <w:pPr>
        <w:sectPr>
          <w:pgSz w:w="11900" w:h="16838" w:orient="portrait"/>
          <w:cols w:equalWidth="0" w:num="1">
            <w:col w:w="11420"/>
          </w:cols>
          <w:pgMar w:left="240" w:top="125" w:right="239" w:bottom="0" w:gutter="0" w:footer="0" w:header="0"/>
        </w:sectPr>
      </w:pPr>
    </w:p>
    <w:bookmarkStart w:id="24" w:name="page25"/>
    <w:bookmarkEnd w:id="24"/>
    <w:p>
      <w:pPr>
        <w:spacing w:after="0" w:line="2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and natural gas, the risk of nonpayment and nonperformance by customers is a major consideration in our business. We believe our sales are made to creditworthy entities or entities with adequate credit support. Generally, sales of crude oil and natural gas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and natural gas supply and logistics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Crude oil, NGL, natural gas and refined products commodity prices have historically been very volatile. For example, since the mid-1980s, NYMEX West Texas Intermediate (“WTI”) crude oil benchmark prices have ranged from a low of approximately $10 per barrel during 1986 to a high of over $147 per barrel during 2008. During 2014, West Texas Intermediate crude oil prices traded within a range of $53 to $107 per barrel. There is also volatility within the propane and butane markets as seen through the North American benchmark price located at Mont Belvieu, Texas. Specifically, propane prices have ranged from a low of approximately 43% of the WTI benchmark price for crude oil in 2013 to a high of approximately 81% of the WTI benchmark price for crude oil in 2000. Butane has seen a price range from a low of approximately 55% of the WTI benchmark price for crude oil in 2014 to a high of approximately 93% of the WTI benchmark price for crude oil in 2000.</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gross profit from these activities have little correlation to absolute commodity prices. Relative contribution levels will vary from quarter-to-quarter due to seasonal and other similar factors, but our fee-based transportation and facilities segments should comprise approximately 70% to 80% of our aggregate base level segment profit.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Base level segment profit from our supply and logistics activities is dependent on our ability to sell crude oil and NGL at prices in excess of our aggregate cost. Although segment profit may be adversely affected during certain transitional periods,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We believe the complementary, balanced nature of our business activities and diversification of our asset base among varying regions and demand-driven and supply-driven markets provides us with a durable base level of cash flow in a variety of market scenarios.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to providing a durable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8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combination of a high level of fee-based cash flow from our transportation and facilities segments, complemented by a number of diverse, flexible and counter-balanced sources of cash flow within our supply and logistics segment is intended to enable us to accomplish our objectives of maintaining a durable base level of cash flow and providing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 management policies and procedures are designed to monitor NYMEX, ICE and over the 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w:t>
      </w:r>
    </w:p>
    <w:p>
      <w:pPr>
        <w:sectPr>
          <w:pgSz w:w="11900" w:h="16859" w:orient="portrait"/>
          <w:cols w:equalWidth="0" w:num="1">
            <w:col w:w="11420"/>
          </w:cols>
          <w:pgMar w:left="240" w:top="125" w:right="239" w:bottom="0" w:gutter="0" w:footer="0" w:header="0"/>
        </w:sectPr>
      </w:pPr>
    </w:p>
    <w:bookmarkStart w:id="25" w:name="page26"/>
    <w:bookmarkEnd w:id="25"/>
    <w:p>
      <w:pPr>
        <w:ind w:right="280"/>
        <w:spacing w:after="0" w:line="308" w:lineRule="auto"/>
        <w:rPr>
          <w:sz w:val="20"/>
          <w:szCs w:val="20"/>
          <w:color w:val="auto"/>
        </w:rPr>
      </w:pPr>
      <w:r>
        <w:rPr>
          <w:rFonts w:ascii="Arial" w:cs="Arial" w:eastAsia="Arial" w:hAnsi="Arial"/>
          <w:sz w:val="17"/>
          <w:szCs w:val="17"/>
          <w:color w:val="auto"/>
        </w:rPr>
        <w:t>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Except for pre-defined inventory positions, 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19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Marathon Petroleum Corporation and its subsidiaries accounted for approximately 17%, 15% and 16% of our revenues for the years ended December 31, 2014, 2013 and 2012, respectively. ExxonMobil Corporation and its subsidiaries accounted for approximately 15% for the year ended December 31, 2014 and approximately 13% of our revenues for each of the years ended December 31, 2013 and 2012. Phillips 66 and its subsidiaries accounted for approximately 11% of our revenues for the year ended December 31, 2013. No other customers accounted for 10% or more of our revenues during any of the three years ended December 31, 2014, 2013 and 2012.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comparable margins. For a discussion of customers and industry concentration risk, see Note 14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Competition among pipelines is based primarily on transportation charges, access to producing areas and supply regions and demand for the crude oil and NGL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w:t>
      </w:r>
    </w:p>
    <w:p>
      <w:pPr>
        <w:ind w:right="60"/>
        <w:spacing w:after="0" w:line="269" w:lineRule="auto"/>
        <w:rPr>
          <w:sz w:val="20"/>
          <w:szCs w:val="20"/>
          <w:color w:val="auto"/>
        </w:rPr>
      </w:pPr>
      <w:r>
        <w:rPr>
          <w:rFonts w:ascii="Arial" w:cs="Arial" w:eastAsia="Arial" w:hAnsi="Arial"/>
          <w:sz w:val="17"/>
          <w:szCs w:val="17"/>
          <w:color w:val="auto"/>
        </w:rPr>
        <w:t>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 or NGL.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companies, other NGL processing and fractionation companies, the major integrated oil companies, their marketing affiliates and independent gatherers, banks that have established a trading platform, brokers and marketers of widely varying sizes, financial resources and experience. Some of these competitors have capital resources greater than ours.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 do not believe that these laws and regulations affect us in a significantly different manner than our competitors. We may at any time also be required to apply significant resources in responding to governmental requests for information and/or enforcement actions. In 2010 we settled by means of separate Consent Decrees, two Department of Justice (“DOJ”)/Environmental Protection Agency (“EPA”) proceedings regarding certain releases of crude oil. One Consent Decree applied to our crude oil pipelines in general and was terminated in November 2013. The remaining Consent Decree applies to a specific system. Although we believe that all material aspects of the injunctive elements of the remaining Consent Decree (costs and operational effects) have been incorporated into our budgeting and planning process, future proceedings could result in additional injunctive remedies, the effect of which would subject us to operational requirements and constraints that would not apply to our competitors.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ectPr>
          <w:pgSz w:w="11900" w:h="16838" w:orient="portrait"/>
          <w:cols w:equalWidth="0" w:num="1">
            <w:col w:w="11420"/>
          </w:cols>
          <w:pgMar w:left="240" w:top="125" w:right="239" w:bottom="0" w:gutter="0" w:footer="0" w:header="0"/>
        </w:sectPr>
      </w:pPr>
    </w:p>
    <w:bookmarkStart w:id="26" w:name="page27"/>
    <w:bookmarkEnd w:id="26"/>
    <w:p>
      <w:pPr>
        <w:spacing w:after="0" w:line="32"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that our competitors are not required to follow. Environmental and safety laws and regulations are subject to changes that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Safety/Pipeline and Storage Tank Integrity Management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$107 million in 2014, $57 million in 2013 and $39 million in 2012. Based on currently available information, our preliminary estimate for 2015 is that we will incur approximately $75 million in capital expenditures and approximately $27 million in operational expenditures associated with our required pipeline integrity management program. Significant additional expenses could be incurred if new or more stringently interpreted pipeline safety requirements are implemented. Currently, we believe our pipelines are in substantial compliance with HLPSA and the 2002 and 2006 amendments. In addition to required activities, our integrity management program includes several voluntary, multi-year initiatives designed to prevent incidents. Costs incurred for such activities were approximately $21 million in 2014, $22 million in 2013 and $24 million in 2012, and our preliminary estimate for 2015 is that we will incur approximately $31 million of such costs.</w:t>
      </w:r>
    </w:p>
    <w:p>
      <w:pPr>
        <w:spacing w:after="0" w:line="18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December 13, 2011, the United States Congress passed the “Pipeline Safety, Regulatory Certainty, and Job Creation Act of 2011” (the “Act”). The President signed the Act into law on January 3, 2012. Under the Act, maximum civil penalties for certain violations have been increased from $100,000 to $200,000 per violation per day, and from a total cap of $1 million to $2 million. In addition, the Act reauthorizes the federal pipeline safety programs of PHMSA through September 30, 2015, and directs the Secretary of Transportation to undertake a number of reviews, studies and reports, some of which may result in additional natural gas and hazardous liquids pipeline safety rulemaking.</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 number of the provisions of the Act have the potential to cause owners and operators of pipeline facilities to incur significant capital expenditures and/or operating costs. Any additional requirements resulting from these directives are not expected to impact us differently than our competitors. We will work closely with our industry associations to participate with and monitor DOT-PHMSA’s efforts.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intrastate pipelines. In practice, states vary in their authority and capacity to address pipeline safety. We do not anticipate any significant issues in complying with applicable state laws and regulations.</w:t>
      </w:r>
    </w:p>
    <w:p>
      <w:pPr>
        <w:spacing w:after="0" w:line="18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costs associated with this program were approximately $32 million, $26 million and $31 million in 2014, 2013 and 2012, respectively. For 2015, we have budgeted approximately $34 million in connection with continued API 653 compliance activities and similar new EPA regulations for tanks not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regulated by the DOT. Certain storage tanks may be taken out of service if we believe the cost of compliance will exceed the value of the storage tanks or replacement tankage may be constructed.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ectPr>
          <w:pgSz w:w="11900" w:h="16870" w:orient="portrait"/>
          <w:cols w:equalWidth="0" w:num="1">
            <w:col w:w="11380"/>
          </w:cols>
          <w:pgMar w:left="240" w:top="125" w:right="279" w:bottom="0" w:gutter="0" w:footer="0" w:header="0"/>
        </w:sectPr>
      </w:pPr>
    </w:p>
    <w:bookmarkStart w:id="27" w:name="page28"/>
    <w:bookmarkEnd w:id="27"/>
    <w:p>
      <w:pPr>
        <w:ind w:right="20" w:firstLine="648"/>
        <w:spacing w:after="0" w:line="287" w:lineRule="auto"/>
        <w:rPr>
          <w:sz w:val="20"/>
          <w:szCs w:val="20"/>
          <w:color w:val="auto"/>
        </w:rPr>
      </w:pPr>
      <w:r>
        <w:rPr>
          <w:rFonts w:ascii="Arial" w:cs="Arial" w:eastAsia="Arial" w:hAnsi="Arial"/>
          <w:sz w:val="16"/>
          <w:szCs w:val="16"/>
          <w:color w:val="auto"/>
        </w:rPr>
        <w:t>In Canada, the NEB and provincial agencies such as the Alberta Energy Regulator (f/k/a the Energy Resources Conservation Board) (“AER”) and the Saskatchewan Ministry of Economy regulate the safety and integrity management of pipelines and storage tanks used for hydrocarbon transmission. We have incurred and will continue to incur costs related to such regulatory requirements. In 2013 the AER issued an order under Section 22 of the Oil and Gas Conservation Act imposing additional regulatory requirements on PMC with respect to obtaining operating approvals under such Act and ordering an AER audit of PMC’s operations. This order was lifted in 2014 following completion of the audit and release of the AER audit report. In 2014, the NEB gave notice that it was assessing our Canadian operations for compliance with the National Energy Board Onshore Pipeline Regulations (2013), and in respect of prior corrective actions ordered by the NEB pursuant to a 2009 audit under the predecessor Onshore Pipeline Regulations (1999). The NEB completed its assessment and issued an order in 2015 requiring PMC to file its safety critical tasks, controls and quality assurance program. The order also mandated third party audits of PMC’s management system and environmental protection program, and that corrective action plans for any identified deficiencies must be filed by the end of 2015, while a third party audit of PMC’s integrity management program along with corrective action plans must be filed by the end of 2016. Although we believe that all material aspects of the NEB order (costs and operational effects) have been incorporated into our budgeting and planning process, future NEB orders could result in additional operational requirements and constraints that would not apply to our competitors.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required activities, our integrity management program includes several voluntary, multi-year programs designed to prevent incidents, such as upgrades to our operating and maintenance programs and systems and upgrades to our pipeline watercourse crossing integrity program. Between such required and elective activities, we spent approximately $66 million, $90 million and $80 million in 2014, 2013 and 2012, respectively. Our preliminary estimate for 2015 is approximately $99 million.</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believe that our pipeline operations are in substantial compliance with currently applicable regulatory requirements, we cannot predict the potential costs associated with additional, future regulation. For example, on December 9, 2014, new legislation was proposed at the federal level (Bill C-45 Proposed Pipeline Safety Act) which is intended to strengthen incident prevention, preparedness and response, liability and compensation to further enhance the safety of federally-regulated pipelines. It is anticipated this legislation will be passed into law in 2015. Significant additional expenses could be incurred if new or more stringently interpreted pipeline safety requirements are implemented, though our competitors would also be affected to a similar degree.</w:t>
      </w:r>
    </w:p>
    <w:p>
      <w:pPr>
        <w:spacing w:after="0" w:line="193" w:lineRule="exact"/>
        <w:rPr>
          <w:sz w:val="20"/>
          <w:szCs w:val="20"/>
          <w:color w:val="auto"/>
        </w:rPr>
      </w:pPr>
    </w:p>
    <w:p>
      <w:pPr>
        <w:jc w:val="center"/>
        <w:ind w:right="898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 We believe that our operations are in substantial compliance with OSHA requirements, including general industry standards, recordkeeping requirements and monitoring of occupational exposure to regulated substances.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as well as the wastes of our competitors will be subject to more rigorous and costly disposal requirements, resulting in additional capital expenditures or 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8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We are subject to the EPA’s Risk Management Plan regulations at certain facilities. These regulations are intended to work with OSHA’s PSM regulations (see “—Occupational Safety and Health” above) to minimize the offsite consequences of catastrophic releases. The regulations require us to</w:t>
      </w:r>
    </w:p>
    <w:p>
      <w:pPr>
        <w:sectPr>
          <w:pgSz w:w="11900" w:h="16838" w:orient="portrait"/>
          <w:cols w:equalWidth="0" w:num="1">
            <w:col w:w="11380"/>
          </w:cols>
          <w:pgMar w:left="240" w:top="341" w:right="279" w:bottom="0" w:gutter="0" w:footer="0" w:header="0"/>
        </w:sectPr>
      </w:pPr>
    </w:p>
    <w:bookmarkStart w:id="28" w:name="page29"/>
    <w:bookmarkEnd w:id="28"/>
    <w:p>
      <w:pPr>
        <w:spacing w:after="0" w:line="6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develop and implement a risk management program that includes a five-year accident history, an offsite consequence analysis process, a prevention program and an emergency response program. We believe we are operating in substantial compliance with our risk management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United States operations are subject to the United States Clean Air Act (“Clean Air Act”), comparable state laws and associated state and federal regulations. Our Canadian operations are subject to federal and provincial air emission regulations. The new Canadian standards for air quality and industrial air emissions were implemented in May 2013. The new standards provide more stringent objectives for outdoor air quality, including for the first time in Canada, a long term (annual) target for fine particulate matter. Under these laws, permits may be required before construction can commence on a new or modified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Although we believe that our operations are in substantial compliance with these laws in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areas in which we operate, we can provide no assurance that future compliance obligations will not have a material adverse effect on our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 number of studies have been conducted by various parties which represent to be authoritative on the issue of emissions of carbon dioxide and certain other gases, generally referred to as greenhouse gases (“GHG”). Many of these studies draw conflicting conclusions as to whether GHG is contributing to warming of the Earth’s atmosphere. In 2009, the EPA adopted rules for establishing a GHG emissions reporting program.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We also continue to monitor GHG emissions for all of our facilities and activities. At the present time, we do not anticipate the need to purchase a material amount of GHG credits or install control technology to reduce GHG emissions at any of our facilities.</w:t>
      </w:r>
    </w:p>
    <w:p>
      <w:pPr>
        <w:spacing w:after="0" w:line="17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2010, the EPA promulgated regulations establishing Title V and Prevention of Significant Deterioration permitting requirements for large sources of GHGs (a portion of these regulations were overturned by the U.S. Supreme Court in 2014). Fewer than ten of our existing facilities are potential major sources of GHG subject to these permitting requirements. We may be required to install “best available control technology” or (“BACT”) to limit emissions of GHGs from any new or significantly modified facilities that we may seek to construct in the future if they emit quantities of GHGs that trigger the requirements of these regulations. The EPA is in the process of establishing BACT for various sources of GHG emissions, but it appears likely that, for facilities such as ours, BACT will normally take the form of enhanced energy efficiency measures rather than post-combustion GHG capture requirements. We do not anticipate that the imposition of enhanced energy efficiency requirements would have an adverse material effect on the cost of our operations.</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California has implemented a GHG cap-and-trade program, authorized under Assembly Bill 32 (“AB32”). Through 2014, California’s cap-and-trade program has only applied to large industrial facilities. The California Air Resources Board has published a list of facilities that are subject to this program. At this time, the list only includes one of our facilities, the Lone Star Gas Liquids facility in Shafter, California. Beginning January 1, 2015, the AB32 regulations for the first time cover finished fuel providers and importers. California finished fuel providers (refiners and importers) will be required to purchase GHG emission credits for finished fuel sold in or imported into California. The rules implementing the AB32 program were finalized in December 2011. The compliance requirements of the GHG cap-and-trade program through 2020 are being phased in, and we do not anticipate any problems in complying with those obligations going forward or for such impacts to be material. The California Air Resources Board is currently developing a scoping plan for AB32 compliance obligations after the year 2020.</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refinery and producer customers could also be negatively impacted by current GHG legislation or new regulations resulting in increased operating or compliance costs. Some of the proposed federal and state “cap-and-trade” legislation would require businesses that emit GHGs to buy emission credits from government, other businesses, or through an auction process. In addition, refiners could be required to purchase emission credits for GHG emissions resulting from their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17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w:t>
      </w:r>
    </w:p>
    <w:p>
      <w:pPr>
        <w:sectPr>
          <w:pgSz w:w="11900" w:h="16908" w:orient="portrait"/>
          <w:cols w:equalWidth="0" w:num="1">
            <w:col w:w="11420"/>
          </w:cols>
          <w:pgMar w:left="240" w:top="125" w:right="239" w:bottom="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adverse effect on our business, demand for our services, financial condition, results of operations and cash flows, though our competitors would also be affected to a similar degree. Finally, it should be noted that some scientists have concluded that increasing concentrations of GHGs in the Earth’s atmosphere may produce climate changes that have significant physical effects, such as increased frequency and severity of storms, droughts, and floods and other climate events that could have an adverse effect on our assets and operations.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Pursuant to the 1997 United Nations Framework Convention on Climate Change, also known as the “Kyoto Protocol”, many nations, including Canada, agreed to limit emissions of GHGs. The Kyoto Protocol required Canada to reduce its emissions of GHG to 6% below 1990 levels by 2012. However, by 2009, emissions in Canada were 17% higher than 1990 levels. In December 2011, Canada withdrew from the Kyoto Protocol, but signed the “Durban Platform” committing it to a legally binding treaty to reduce GHG emissions, the terms of which are to be defined by 2015 and are to become effective in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2007, in response to the Kyoto Protocol, the Canadian federal government introduced the </w:t>
      </w:r>
      <w:r>
        <w:rPr>
          <w:rFonts w:ascii="Arial" w:cs="Arial" w:eastAsia="Arial" w:hAnsi="Arial"/>
          <w:sz w:val="16"/>
          <w:szCs w:val="16"/>
          <w:i w:val="1"/>
          <w:iCs w:val="1"/>
          <w:color w:val="auto"/>
        </w:rPr>
        <w:t>Regulatory Framework for Air Emissions</w:t>
      </w:r>
      <w:r>
        <w:rPr>
          <w:rFonts w:ascii="Arial" w:cs="Arial" w:eastAsia="Arial" w:hAnsi="Arial"/>
          <w:sz w:val="16"/>
          <w:szCs w:val="16"/>
          <w:color w:val="auto"/>
        </w:rPr>
        <w:t xml:space="preserve"> (also known as the “Turning the Corner” measures), a regulatory framework for monitoring industrial GHG emissions by establishing mandatory emissions reduction requirements on a sector basis. Since 2004, companies emitting more than 100 thousand tons per year (“kt/y”) of CO</w:t>
      </w:r>
      <w:r>
        <w:rPr>
          <w:rFonts w:ascii="Arial" w:cs="Arial" w:eastAsia="Arial" w:hAnsi="Arial"/>
          <w:sz w:val="10"/>
          <w:szCs w:val="10"/>
          <w:color w:val="auto"/>
        </w:rPr>
        <w:t>2</w:t>
      </w:r>
      <w:r>
        <w:rPr>
          <w:rFonts w:ascii="Arial" w:cs="Arial" w:eastAsia="Arial" w:hAnsi="Arial"/>
          <w:sz w:val="16"/>
          <w:szCs w:val="16"/>
          <w:color w:val="auto"/>
        </w:rPr>
        <w:t xml:space="preserve"> equivalent (“CO</w:t>
      </w:r>
      <w:r>
        <w:rPr>
          <w:rFonts w:ascii="Arial" w:cs="Arial" w:eastAsia="Arial" w:hAnsi="Arial"/>
          <w:sz w:val="10"/>
          <w:szCs w:val="10"/>
          <w:color w:val="auto"/>
        </w:rPr>
        <w:t>2</w:t>
      </w:r>
      <w:r>
        <w:rPr>
          <w:rFonts w:ascii="Arial" w:cs="Arial" w:eastAsia="Arial" w:hAnsi="Arial"/>
          <w:sz w:val="16"/>
          <w:szCs w:val="16"/>
          <w:color w:val="auto"/>
        </w:rPr>
        <w:t>e”) were required to report their GHG emissions under the Greenhouse Gas Emissions Reporting Program. In 2010, this reporting threshold was reduced to 50 kt/y. Two PMC facilities meet this reporting threshold. Originally, the framework was intended to be implemented by 2010; however no federally mandated reduction targets for GHGs have been implemented to date. Canada has taken sectoral action on two of its largest sources of emissions — electricity and vehicles. Construction of traditional coal fired generation has been banned and new vehicle emissions and fuel efficiency standards have been established through to 2025.</w:t>
      </w:r>
    </w:p>
    <w:p>
      <w:pPr>
        <w:spacing w:after="0" w:line="16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Alberta, the provincial government implemented the Specified Gas Emitter Regulation in 2007 (under the Alberta Environment Protection and Enhancement Act), which mandated a 12% reduction in emission intensity over the established baseline level (average of the 2003-2005 levels) for all facilities emitting more than 100kt/y of CO</w:t>
      </w:r>
      <w:r>
        <w:rPr>
          <w:rFonts w:ascii="Arial" w:cs="Arial" w:eastAsia="Arial" w:hAnsi="Arial"/>
          <w:sz w:val="10"/>
          <w:szCs w:val="10"/>
          <w:color w:val="auto"/>
        </w:rPr>
        <w:t>2</w:t>
      </w:r>
      <w:r>
        <w:rPr>
          <w:rFonts w:ascii="Arial" w:cs="Arial" w:eastAsia="Arial" w:hAnsi="Arial"/>
          <w:sz w:val="16"/>
          <w:szCs w:val="16"/>
          <w:color w:val="auto"/>
        </w:rPr>
        <w:t>e. Since the regulation came into effect, PMC has one facility (Fort Saskatchewan Storage and Fractionation Facility) which currently does not meet the reduction obligation. As such, PMC has been required to submit compliance credits which have been completed by submitting payment to the Climate Change Emissions Management Fund. Alberta also has a GHG reporting threshold at 50kt/y of CO</w:t>
      </w:r>
      <w:r>
        <w:rPr>
          <w:rFonts w:ascii="Arial" w:cs="Arial" w:eastAsia="Arial" w:hAnsi="Arial"/>
          <w:sz w:val="10"/>
          <w:szCs w:val="10"/>
          <w:color w:val="auto"/>
        </w:rPr>
        <w:t>2</w:t>
      </w:r>
      <w:r>
        <w:rPr>
          <w:rFonts w:ascii="Arial" w:cs="Arial" w:eastAsia="Arial" w:hAnsi="Arial"/>
          <w:sz w:val="16"/>
          <w:szCs w:val="16"/>
          <w:color w:val="auto"/>
        </w:rPr>
        <w:t>e.</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With regard to the oil and gas industry and the pipeline transportation sector, it is unclear at this time what direction the government plans to take. However, given that there have been no specific regulatory changes announced to date regarding GHG emissions reduction in these sectors, any future initiatives would likely not take effect until beyond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17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w:t>
      </w:r>
    </w:p>
    <w:p>
      <w:pPr>
        <w:spacing w:after="0" w:line="17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 (e) authorizes the Corps to issue permits on a nationwide basis for categories of discharges that have no more than minimal individual or cumulative environmental effects. For the past 35 years, the Corps has authorized construction, maintenance and repair of pipelines under a streamlined nationwide permit program known as Nationwide Permit 12 (“NWP”). The NWP is supported by strong statutory and regulatory history and was originally approved by Congress in 1977. From time to time, several environmental groups have challenged the NWP; however, to date, federal courts have upheld the validity of the NWP under the CWA. We cannot predict whether future lawsuits will be filed to contest the validity of the NWP; however, in the event that a court wholly or partially strikes down the NWP, which we believe to be unlikely, we could face significant delays and financial costs when seeking project approvals.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could materially and negatively affect the viability of such projects.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ectPr>
          <w:pgSz w:w="11900" w:h="16838" w:orient="portrait"/>
          <w:cols w:equalWidth="0" w:num="1">
            <w:col w:w="11420"/>
          </w:cols>
          <w:pgMar w:left="240" w:top="125" w:right="239" w:bottom="32" w:gutter="0" w:footer="0" w:header="0"/>
        </w:sectPr>
      </w:pPr>
    </w:p>
    <w:bookmarkStart w:id="30" w:name="page31"/>
    <w:bookmarkEnd w:id="30"/>
    <w:p>
      <w:pPr>
        <w:ind w:right="100" w:firstLine="648"/>
        <w:spacing w:after="0" w:line="259" w:lineRule="auto"/>
        <w:rPr>
          <w:sz w:val="20"/>
          <w:szCs w:val="20"/>
          <w:color w:val="auto"/>
        </w:rPr>
      </w:pPr>
      <w:r>
        <w:rPr>
          <w:rFonts w:ascii="Arial" w:cs="Arial" w:eastAsia="Arial" w:hAnsi="Arial"/>
          <w:sz w:val="18"/>
          <w:szCs w:val="18"/>
          <w:color w:val="auto"/>
        </w:rPr>
        <w:t>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w:t>
      </w:r>
    </w:p>
    <w:p>
      <w:pPr>
        <w:spacing w:after="0" w:line="187"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liquids pipeline operations are subject to rate regulation by the FERC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Our intrastate liquids pipeline transportation activities are subject to various state laws and regulations, as well as orders of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Regulation of OCS Pipelines. </w:t>
      </w:r>
      <w:r>
        <w:rPr>
          <w:rFonts w:ascii="Arial" w:cs="Arial" w:eastAsia="Arial" w:hAnsi="Arial"/>
          <w:sz w:val="16"/>
          <w:szCs w:val="16"/>
          <w:color w:val="auto"/>
        </w:rPr>
        <w:t>The Outer Continental Shelf Lands Act requires that all pipelines operating on or across the OCS provide open access,</w:t>
      </w:r>
      <w:r>
        <w:rPr>
          <w:rFonts w:ascii="Arial" w:cs="Arial" w:eastAsia="Arial" w:hAnsi="Arial"/>
          <w:sz w:val="16"/>
          <w:szCs w:val="16"/>
          <w:i w:val="1"/>
          <w:iCs w:val="1"/>
          <w:color w:val="auto"/>
        </w:rPr>
        <w:t xml:space="preserve"> </w:t>
      </w:r>
      <w:r>
        <w:rPr>
          <w:rFonts w:ascii="Arial" w:cs="Arial" w:eastAsia="Arial" w:hAnsi="Arial"/>
          <w:sz w:val="16"/>
          <w:szCs w:val="16"/>
          <w:color w:val="auto"/>
        </w:rPr>
        <w:t>non-discriminatory transportation service. In June 2008, the Minerals Management Service (now replaced by the Bureau of Ocean Energy Management, Regulation and Enforcement) issued a final rule establishing formal and informal complaint procedures for shippers that believe they have been denied open and nondiscriminatory access to transportation on the OCS. We do not expect the rule to have a material impact on our operations or results.</w:t>
      </w:r>
    </w:p>
    <w:p>
      <w:pPr>
        <w:spacing w:after="0" w:line="15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i w:val="1"/>
          <w:iCs w:val="1"/>
          <w:color w:val="auto"/>
        </w:rPr>
        <w:t xml:space="preserve">Energy Policy Act of 1992 and Subsequent Developments. </w:t>
      </w:r>
      <w:r>
        <w:rPr>
          <w:rFonts w:ascii="Arial" w:cs="Arial" w:eastAsia="Arial" w:hAnsi="Arial"/>
          <w:sz w:val="17"/>
          <w:szCs w:val="17"/>
          <w:color w:val="auto"/>
        </w:rPr>
        <w:t>In October 1992, Congress passed the Energy Policy Act of 1992 (“EPAct”),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annual index adjustment for the five year period ending June 30, 2016 will equal the producer price index for finished goods for the applicable year plus an adjustment factor of 2.65%.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Our Pipelines. </w:t>
      </w:r>
      <w:r>
        <w:rPr>
          <w:rFonts w:ascii="Arial" w:cs="Arial" w:eastAsia="Arial" w:hAnsi="Arial"/>
          <w:sz w:val="18"/>
          <w:szCs w:val="18"/>
          <w:color w:val="auto"/>
        </w:rPr>
        <w:t>The FERC generally has not investigated rates of liquids pipelines on its own initiative when those rates have not been the subject of</w:t>
      </w:r>
      <w:r>
        <w:rPr>
          <w:rFonts w:ascii="Arial" w:cs="Arial" w:eastAsia="Arial" w:hAnsi="Arial"/>
          <w:sz w:val="18"/>
          <w:szCs w:val="18"/>
          <w:i w:val="1"/>
          <w:iCs w:val="1"/>
          <w:color w:val="auto"/>
        </w:rPr>
        <w:t xml:space="preserve"> </w:t>
      </w:r>
      <w:r>
        <w:rPr>
          <w:rFonts w:ascii="Arial" w:cs="Arial" w:eastAsia="Arial" w:hAnsi="Arial"/>
          <w:sz w:val="18"/>
          <w:szCs w:val="18"/>
          <w:color w:val="auto"/>
        </w:rPr>
        <w:t>a protest or complaint by a shipper. The majority of our transportation segment profit in the United States is produced by rates that are either grandfathered or set by agreement with one or more shippers.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We are also subject to OSHA with respect to our trucking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 We believe that our trucking operations are in substantial compliance with all existing federal, state and local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ectPr>
          <w:pgSz w:w="11900" w:h="16838" w:orient="portrait"/>
          <w:cols w:equalWidth="0" w:num="1">
            <w:col w:w="11420"/>
          </w:cols>
          <w:pgMar w:left="240" w:top="125" w:right="239" w:bottom="0" w:gutter="0" w:footer="0" w:header="0"/>
        </w:sectPr>
      </w:pPr>
    </w:p>
    <w:bookmarkStart w:id="31" w:name="page32"/>
    <w:bookmarkEnd w:id="31"/>
    <w:p>
      <w:pPr>
        <w:ind w:right="80" w:firstLine="648"/>
        <w:spacing w:after="0" w:line="259" w:lineRule="auto"/>
        <w:rPr>
          <w:sz w:val="20"/>
          <w:szCs w:val="20"/>
          <w:color w:val="auto"/>
        </w:rPr>
      </w:pPr>
      <w:r>
        <w:rPr>
          <w:rFonts w:ascii="Arial" w:cs="Arial" w:eastAsia="Arial" w:hAnsi="Arial"/>
          <w:sz w:val="18"/>
          <w:szCs w:val="18"/>
          <w:color w:val="auto"/>
        </w:rPr>
        <w:t>We operate a number of railcar loading and unloading facilities, and lease a significant number of railcars, in the United States and Canada. Our railcar operations are subject to the regulatory jurisdiction of the Federal Railroad Administration of the DOT, the Occupational Safety and Health Administration, as well as other federal and state regulatory agencies and Canadian regulatory agencies for operations in Canada. We believe that our railcar operations are in substantial compliance with all existing federal, state, and local regulations.</w:t>
      </w:r>
    </w:p>
    <w:p>
      <w:pPr>
        <w:spacing w:after="0" w:line="187" w:lineRule="exact"/>
        <w:rPr>
          <w:sz w:val="20"/>
          <w:szCs w:val="20"/>
          <w:color w:val="auto"/>
        </w:rPr>
      </w:pPr>
    </w:p>
    <w:p>
      <w:pPr>
        <w:ind w:right="300" w:firstLine="648"/>
        <w:spacing w:after="0" w:line="285" w:lineRule="auto"/>
        <w:rPr>
          <w:sz w:val="20"/>
          <w:szCs w:val="20"/>
          <w:color w:val="auto"/>
        </w:rPr>
      </w:pPr>
      <w:r>
        <w:rPr>
          <w:rFonts w:ascii="Arial" w:cs="Arial" w:eastAsia="Arial" w:hAnsi="Arial"/>
          <w:sz w:val="16"/>
          <w:szCs w:val="16"/>
          <w:color w:val="auto"/>
        </w:rPr>
        <w:t>Railcar accidents in Lac-Megantic, Quebec, Aliceville, Alabama and Casselton, North Dakota involving derailments and explosions have led to increased regulatory scrutiny over the safety of transporting crude oil by rail. All of these incidents, together with more recent incidents in Lynchburg, Virginia and Fayette County, West Virginia, involved trains carrying crude oil from North Dakota’s Bakken shale formation. In the wake of the Casselton derailment, PHMSA issued a safety advisory warning that Bakken crude may be more flammable than other grades of crude oil and reinforcing the requirement to properly test, characterize, classify, and where appropriate sufficiently degasify hazardous materials prior to and during</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On February 25, 2014, the DOT issued an emergency order designed to insure that crude oil is properly tested and classified prior to transportation by rail in accordance with existing hazardous materials regulations. The DOT emergency order also provides for potential penalties for non-compliance of up to $175,000 per violation. While we believe that we are in material compliance with existing regulations governing our railcar operations, the extent to which the DOT’s emergency order requires additional procedures has not yet been fully established; accordingly, we cannot predict the impact that the DOT order and any future regulations may have on our operations.</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These accidents have prompted lawmakers to step up their efforts to phase out or require upgrades on the DOT Class 111 tank railcar, the most commonly used tank car to transport crude oil by railcar in North America. A DOT Class 111 rail tanker is not pressurized, unlike sturdier DOT-112 and -114 models used to transport more volatile liquids such as propane and methane. The U.S. National Transportation Safety Board (“NTSB”) has recommended that all tank cars used to carry crude oil be reinforced to make them more resistant to punctures if trains derail. In response to the NTSB recommendations, in July 2014, the DOT released a Notice of Proposed Rulemaking (“NPRM”). The NPRM proposes enhanced tank car standards, a classification and testing program for mined gases and liquids and new operational requirements for high-hazard flammable trains that included braking controls and speed restrictions. Specifically, within two years, the NPRM proposes the phase out of the use of older DOT-111 tank cars for the shipment of packing group I flammable liquids, including most Bakken crude oil, unless the tank cars are retrofitted to comply with the new tank car design requirements. We do not anticipate that any requirement to retrofit and upgrade existing rail tankers (DOT-111 or other models) would involve material cost to the partnership. The new, comprehensive rulemaking was open for public comment through September 30, 2014 and will likely take months to finalize. Similar changes have been proposed in Canada.</w:t>
      </w:r>
    </w:p>
    <w:p>
      <w:pPr>
        <w:spacing w:after="0" w:line="18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is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certain vapor pressure limits.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$1 million or triple the monetary gain to the person for each violation.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experienced a material impact from the FTC or CFTC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 The regulatory burden increases our cost of doing business and, consequently, affects our profitability.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We do not believe that we are affected by applicable laws and regulations in a significantly different manner than are our competitors.</w:t>
      </w:r>
    </w:p>
    <w:p>
      <w:pPr>
        <w:sectPr>
          <w:pgSz w:w="11900" w:h="16838" w:orient="portrait"/>
          <w:cols w:equalWidth="0" w:num="1">
            <w:col w:w="11400"/>
          </w:cols>
          <w:pgMar w:left="240" w:top="125" w:right="259" w:bottom="0" w:gutter="0" w:footer="0" w:header="0"/>
        </w:sectPr>
      </w:pPr>
    </w:p>
    <w:bookmarkStart w:id="32" w:name="page33"/>
    <w:bookmarkEnd w:id="32"/>
    <w:p>
      <w:pPr>
        <w:ind w:right="10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 million per day for each violation. FERC also has the authority to order disgorgement of profits from transactions deemed to violate the NGA and the EPAct 2005.</w:t>
      </w:r>
    </w:p>
    <w:p>
      <w:pPr>
        <w:spacing w:after="0" w:line="15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35 times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9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real property holdings are generally comprised of: (i) parcels of land that we own in fee, (ii) surface leases, underground storage leases and</w:t>
      </w:r>
    </w:p>
    <w:p>
      <w:pPr>
        <w:spacing w:after="0" w:line="46" w:lineRule="exact"/>
        <w:rPr>
          <w:sz w:val="20"/>
          <w:szCs w:val="20"/>
          <w:color w:val="auto"/>
        </w:rPr>
      </w:pPr>
    </w:p>
    <w:p>
      <w:pPr>
        <w:ind w:firstLine="8"/>
        <w:spacing w:after="0" w:line="287" w:lineRule="auto"/>
        <w:tabs>
          <w:tab w:leader="none" w:pos="3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 We believe that our real property holdings are adequate for the conduct of our business activities and that none of the burdens discussed above will materially (i) detract from the value of such properties or (ii) interfere with the use of such properties in our business.</w:t>
      </w:r>
    </w:p>
    <w:p>
      <w:pPr>
        <w:sectPr>
          <w:pgSz w:w="11900" w:h="16838" w:orient="portrait"/>
          <w:cols w:equalWidth="0" w:num="1">
            <w:col w:w="11420"/>
          </w:cols>
          <w:pgMar w:left="240" w:top="125" w:right="239" w:bottom="0" w:gutter="0" w:footer="0" w:header="0"/>
        </w:sectPr>
      </w:pPr>
    </w:p>
    <w:bookmarkStart w:id="33" w:name="page34"/>
    <w:bookmarkEnd w:id="33"/>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 carry out our operations, our general partner or its affiliates (including PMC) employed approximately 5,300 employees at December 31, 2014. None of the employees of our general partner are subject to a collective bargaining agreement, except for nine employees covered by an agreement scheduled for renegotiation in September 2015 and another nine employees covered by another agreement scheduled for renegotiation in September 2016. Our general partner considers its employee relations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as well as Canada and the Canadian provinces, of the unitholder’s investment in us. Further, it is the responsibility of each unitholder to file all U.S. federal, Canadian, state, provincial and local tax returns that may be required of the unitholder. Also see Item 1A. “Risk Factors—Tax Risks to Common Unitholders.”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treated for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we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dividend payments and are treated as income tax expenses as a result of our restructuring of how we hold our Canadian investment on January 1, 2011. Unitholders may be eligible for foreign tax credits with respect to allocable Canadian withholding and income taxes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Any time incentive distributions are made to the general partner, gross income will be allocated to the recipient to the extent of those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and distributions (including deemed distributions due to a decrease in the unitholder’s share of our nonrecourse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ectPr>
          <w:pgSz w:w="11900" w:h="16907" w:orient="portrait"/>
          <w:cols w:equalWidth="0" w:num="1">
            <w:col w:w="11400"/>
          </w:cols>
          <w:pgMar w:left="240" w:top="125" w:right="259" w:bottom="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Finally, distributions to non-U.S. unitholders are subject to federal income tax withholding at the highest applicable rate.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 xml:space="preserve">We make available, free of charge on our Internet website at </w:t>
      </w:r>
      <w:r>
        <w:rPr>
          <w:rFonts w:ascii="Arial" w:cs="Arial" w:eastAsia="Arial" w:hAnsi="Arial"/>
          <w:sz w:val="16"/>
          <w:szCs w:val="16"/>
          <w:i w:val="1"/>
          <w:iCs w:val="1"/>
          <w:color w:val="auto"/>
        </w:rPr>
        <w:t>http://www.plainsallamerican.com</w:t>
      </w:r>
      <w:r>
        <w:rPr>
          <w:rFonts w:ascii="Arial" w:cs="Arial" w:eastAsia="Arial" w:hAnsi="Arial"/>
          <w:sz w:val="16"/>
          <w:szCs w:val="16"/>
          <w:color w:val="auto"/>
        </w:rPr>
        <w:t>,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implement or capitalize upon planned growth projects.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have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our control, including the following:</w:t>
      </w:r>
    </w:p>
    <w:p>
      <w:pPr>
        <w:spacing w:after="0" w:line="181" w:lineRule="exact"/>
        <w:rPr>
          <w:sz w:val="20"/>
          <w:szCs w:val="20"/>
          <w:color w:val="auto"/>
        </w:rPr>
      </w:pPr>
    </w:p>
    <w:p>
      <w:pPr>
        <w:ind w:left="980" w:right="60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or may be obtained with conditions that materially alter the expected return associated with the underlying projects;</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face opposition to our planned growth projects from environmental groups, landowners, local groups and other advocates, including lawsuits or other actions designed to disrupt or delay our planned projects;</w:t>
      </w:r>
    </w:p>
    <w:p>
      <w:pPr>
        <w:spacing w:after="0" w:line="170" w:lineRule="exact"/>
        <w:rPr>
          <w:rFonts w:ascii="Arial" w:cs="Arial" w:eastAsia="Arial" w:hAnsi="Arial"/>
          <w:sz w:val="18"/>
          <w:szCs w:val="18"/>
          <w:color w:val="auto"/>
        </w:rPr>
      </w:pPr>
    </w:p>
    <w:p>
      <w:pPr>
        <w:ind w:left="980" w:right="40" w:hanging="324"/>
        <w:spacing w:after="0" w:line="342" w:lineRule="auto"/>
        <w:tabs>
          <w:tab w:leader="none" w:pos="9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not be able to secure,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23" w:lineRule="exact"/>
        <w:rPr>
          <w:rFonts w:ascii="Arial" w:cs="Arial" w:eastAsia="Arial" w:hAnsi="Arial"/>
          <w:sz w:val="16"/>
          <w:szCs w:val="16"/>
          <w:color w:val="auto"/>
        </w:rPr>
      </w:pPr>
    </w:p>
    <w:p>
      <w:pPr>
        <w:ind w:left="980" w:hanging="324"/>
        <w:spacing w:after="0" w:line="286" w:lineRule="auto"/>
        <w:tabs>
          <w:tab w:leader="none" w:pos="9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Despite the fact that we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construct pipelines, facilities or other assets in anticipation of market demand that dissipates or market growth that never materializes;</w:t>
      </w:r>
    </w:p>
    <w:p>
      <w:pPr>
        <w:sectPr>
          <w:pgSz w:w="11900" w:h="16838" w:orient="portrait"/>
          <w:cols w:equalWidth="0" w:num="1">
            <w:col w:w="11400"/>
          </w:cols>
          <w:pgMar w:left="240" w:top="341" w:right="259" w:bottom="0" w:gutter="0" w:footer="0" w:header="0"/>
        </w:sectPr>
      </w:pPr>
    </w:p>
    <w:bookmarkStart w:id="35" w:name="page36"/>
    <w:bookmarkEnd w:id="35"/>
    <w:p>
      <w:pPr>
        <w:spacing w:after="0" w:line="28" w:lineRule="exact"/>
        <w:rPr>
          <w:sz w:val="20"/>
          <w:szCs w:val="20"/>
          <w:color w:val="auto"/>
        </w:rPr>
      </w:pPr>
    </w:p>
    <w:p>
      <w:pPr>
        <w:ind w:left="980" w:right="240" w:hanging="324"/>
        <w:spacing w:after="0" w:line="264"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completion or success of our projects may depend on the completion or success of third-party facilities over which we have no control.</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our capital projects may not be achieved or could be delayed. In turn, this could negatively impact our cash flow and our ability to make or increase cash distributions to our partners.</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volume of crude oil, refined product, natural gas and NGL shipped, processed, purchased, stored, fractionated and/or gathered at or through the use of our facilities, which can be negatively impacted by a variety of factors outside of our control.</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profitability could be materially impacted by a decline in the volume of crude oil, natural gas, refined product and NGL transported, gathered, stored or processed at our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refined product or NGL handled by our facilities and other energy logistics assets.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latter half of 2014, benchmark crude oil prices declined significantly; as a result, many of the companies that produce oil and gas have announced that they are reducing capital expenditures for 2015. Such reduced expenditure levels, coupled with high decline rates for many horizontal wells in the shale resource plays, could lead to a significant slow-down in the rate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growth of North American production and possibly an overall reduction in production levels. Other factors that could adversely impact production include reduced capital market access, increased capital raising costs for producers or adverse governmental or regulatory action. In turn, such developments could lead to reduced throughput on our pipelines and at our other facilities, which, depending on the level of production declines, could have a material adverse effect on our business.</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8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our ability to secure additional supplies of crude oil.</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results of operations are influenced by the overall forward market for crude oil, and certain market structures or the absence of pricing volatility may adversely impact our results.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Results from our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can have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our results from our supply and logistics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least beneficial environment for our supply and logistics segment.</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A natural disaster, catastrophe, terrorist attack, process safety failure or other event, including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Some of our operations involve risks of personal injury, property damage and environmental damage, which could curtail our operations and otherwise materially adversely affect our cash flow. Virtually all of our operations are exposed to potential natural disasters, including hurricanes, tornadoes, storms, floods and/or earthquakes.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our physical facilities and hackers may attack our electronic and computer systems.</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one or more of our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ectPr>
          <w:pgSz w:w="11900" w:h="16867" w:orient="portrait"/>
          <w:cols w:equalWidth="0" w:num="1">
            <w:col w:w="11400"/>
          </w:cols>
          <w:pgMar w:left="240" w:top="341" w:right="259" w:bottom="0" w:gutter="0" w:footer="0" w:header="0"/>
        </w:sectPr>
      </w:pPr>
    </w:p>
    <w:bookmarkStart w:id="36" w:name="page37"/>
    <w:bookmarkEnd w:id="36"/>
    <w:p>
      <w:pPr>
        <w:spacing w:after="0" w:line="106"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may also suffer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make acquisitions or if we make acquisitions that fail to perform as anticipated, our future growth may be limited.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ability to grow our distributions depends in part on our ability to make acquisitions that result in an increase in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grow as quickly as we have historically.</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to timely and effectively integrate the underlying assets and such assets perform at or near the levels anticipated in our acquisition projections.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risks that may adversely affect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25" w:lineRule="exact"/>
        <w:rPr>
          <w:rFonts w:ascii="Arial" w:cs="Arial" w:eastAsia="Arial" w:hAnsi="Arial"/>
          <w:sz w:val="18"/>
          <w:szCs w:val="18"/>
          <w:color w:val="auto"/>
        </w:rPr>
      </w:pPr>
    </w:p>
    <w:p>
      <w:pPr>
        <w:ind w:left="980" w:right="420" w:hanging="324"/>
        <w:spacing w:after="0" w:line="264"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we are either not indemnified, or the indemnity is not from a credit-worthy party, including liabilities arising from the operation of the acquired businesses or assets prior to our acquisition;</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to our partners or meet our debt service requirements.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growth strategy requires access to new capital. Tightened capital markets or other factors that increase our cost of capital could impair our ability to grow.</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continuously consider potential acquisitions and opportunities for expansion capital projects. Acquisition transactions can be effected quickly, may occur at any time and may be significant in size relative to our existing assets and operations. Our ability to fund our capital projects and make acquisitions depends on whether we can access the necessary financing to fund these activities.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6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Due to these factors, we cannot be certain that funding for our capital needs will be available from bank credit arrangements or capital markets on acceptable terms. If funding is not available when needed, or is available only on unfavorable terms, we may be unable to implement our development plans, enhance our existing business, complete acquisitions and construction projects, take advantage of business opportunities or respond to competitive pressures, any of which could have a material adverse effect on our revenues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ability to purchase crude oil, NGL and natural gas supplies or to capitalize on market opportunities.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believe that, because of our strategic asset base and complementary business model, we will continue to benefit from swings in market prices and shifts in market structure during periods of volatility in the crude oil, NGL and natural gas markets. The extent to which we are able to capture that benefit, however, is subject to numerous risks and uncertainties, including whether we will be able to maintain an attractive credit rating and continue to receive open credit from our suppliers and trade counterparties. Our senior unsecured debt is currently rated as “investment grade” by Standard &amp; Poor’s and Moody’s</w:t>
      </w:r>
    </w:p>
    <w:p>
      <w:pPr>
        <w:sectPr>
          <w:pgSz w:w="11900" w:h="16945" w:orient="portrait"/>
          <w:cols w:equalWidth="0" w:num="1">
            <w:col w:w="11420"/>
          </w:cols>
          <w:pgMar w:left="240" w:top="341" w:right="239" w:bottom="0" w:gutter="0" w:footer="0" w:header="0"/>
        </w:sectPr>
      </w:pPr>
    </w:p>
    <w:bookmarkStart w:id="37" w:name="page38"/>
    <w:bookmarkEnd w:id="37"/>
    <w:p>
      <w:pPr>
        <w:spacing w:after="0" w:line="4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Investors Service. A downgrade by either of such rating agencies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credit risk of our customers in the ordinary course of our business activities.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Risks of nonpayment and nonperformance by customers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policies cannot eliminate all risks. In addition, any non-compliance with our risk policies could result in significant financial losses.</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operations are also subject to laws and regulations relating to protection of the environment and wildlife, operational safety, climate change and related matters that may expose us to significant costs and liabilities.</w:t>
      </w:r>
    </w:p>
    <w:p>
      <w:pPr>
        <w:spacing w:after="0" w:line="170"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For example, the adoption of legislation or regulatory programs to reduce emissions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greenhouse gases, including cap and trade programs, could require us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including new regulations requiring that existing railcars be retrofitted or upgraded to improve integrity,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Any such change or interpretation adverse to us could have a material adverse effect on our operations, revenues, expenses and profitability.</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a history of incremental additions to the miles of pipelines we own, both through acquisitions and expansion capital projects.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historically have observed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17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currently devote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w:t>
      </w:r>
    </w:p>
    <w:p>
      <w:pPr>
        <w:sectPr>
          <w:pgSz w:w="11900" w:h="16885" w:orient="portrait"/>
          <w:cols w:equalWidth="0" w:num="1">
            <w:col w:w="11420"/>
          </w:cols>
          <w:pgMar w:left="240" w:top="125" w:right="239" w:bottom="0" w:gutter="0" w:footer="0" w:header="0"/>
        </w:sectPr>
      </w:pPr>
    </w:p>
    <w:bookmarkStart w:id="38" w:name="page39"/>
    <w:bookmarkEnd w:id="38"/>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consequences. We have also developed and implemented certain pipeline integrity measures that go beyond regulatory mandate. See Items 1 and 2 “Business and Properties—Regulation.”</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For 2015 and beyond, we will continue to focus on pipeline integrity management as a primary operational emphasis. In that regard, we have implemented programs intended to maintain the integrity of our assets, with a focus on risk reduction through testing, enhanced corrosion control, leak detection, and damage prevention. We have an internal review process pursuant to which we examine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Item 3 “Legal Proceedings—Environmental.”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demand, which can be caused by a variety of factors outside of our control, can negatively affect our operating results.</w:t>
      </w:r>
    </w:p>
    <w:p>
      <w:pPr>
        <w:spacing w:after="0" w:line="23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Demand for crude oil and other hydrocarbon products we handle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our transportation assets to satisfy their demand by deliveries through those assets.</w:t>
      </w:r>
    </w:p>
    <w:p>
      <w:pPr>
        <w:spacing w:after="0" w:line="193"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18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7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Our U.S. interstate common carrier liquids pipelines are subject to regulation by the FERC under the ICA. The ICA requires that tariff rates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our U.S. interstate common carrier liquids pipelines subject to FERC regulation under the ICA, shippers may protest our pipeline tariff filings, file complaints against our existing rates,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cross border activities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1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sales of crude oil, natural gas, NGL and other energy commodities, and related transportation and hedging activities, expose us to potential regulatory risks.</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sales of oil, natural gas, NGL</w:t>
      </w:r>
    </w:p>
    <w:p>
      <w:pPr>
        <w:sectPr>
          <w:pgSz w:w="11900" w:h="16908" w:orient="portrait"/>
          <w:cols w:equalWidth="0" w:num="1">
            <w:col w:w="11420"/>
          </w:cols>
          <w:pgMar w:left="240" w:top="125" w:right="239" w:bottom="0" w:gutter="0" w:footer="0" w:header="0"/>
        </w:sectPr>
      </w:pPr>
    </w:p>
    <w:bookmarkStart w:id="39" w:name="page40"/>
    <w:bookmarkEnd w:id="39"/>
    <w:p>
      <w:pPr>
        <w:spacing w:after="0" w:line="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or other energy commodities, and any related transportation and/or hedging activities that we undertake, we are required to observe the market-related regulations enforced by these agencies, which hold substantial enforcement authority. Our sales may also be subject to certain reporting and other requirements. Additionally, to the extent that we enter into transportation contracts with natural gas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 Frank Act”), enacted on July 21, 2010, established federal oversight and regulation of derivative markets and entities, such as us, that participate in those markets. The Dodd Frank Act requires the CFTC and the SEC to promulgate rules and regulations implementing the Dodd 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could also require us, in connection with covered derivative activities, to comply with clearing and trade-execution requirements or take steps to qualify for an exemption from such requirements. We do not utilize credit default swaps and we qualify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Posting of additional cash margin or collateral could affect our liquidity (defined as unrestricted cash on hand plus available capacity under our credit facilities) and reduce our ability to use cash for capital expenditures or other partnership purposes. A requirement to post additional cash margin or collateral could therefore reduce our ability to execute hedges necessary to reduce commodity price exposures and protect cash flows. We could be at risk for reduced liquidity if the CFTC adopts rules and definitions that require companies, such as ours, to post collateral for our uncleared derivative hedging activities. The proposed margin rules for uncleared swaps are not yet final and, therefore, the impact of such rules on us is uncertain at this time.</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 Frank Act and related rules. The costs of such compliance may be passed on to customers such as ourselves, thus decreasing the benefits to us of hedging transactions or reducing our profitability. In addition, implementation of the Dodd 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Finally, the Dodd Frank Act was intended, in part, to reduce the volatility of oil and gas prices, which some legislators attributed to speculative trading in derivatives and commodity instruments related to oil and gas. Our financial results could be adversely affected if a consequence of the Dodd Frank Act and implementing regulations is lower commodity prices.</w:t>
      </w:r>
    </w:p>
    <w:p>
      <w:pPr>
        <w:spacing w:after="0" w:line="18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full impact of the Dodd Frank Act and related regulatory requirements upon our business will not be known until the regulations are implemented and the market for derivatives contracts has adjusted. The Dodd 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 Frank Act and regulations implementing the Dodd Frank Act, our results of operations may become more volatile and our cash flows may be less predictable. Any of these consequences could have a material adverse effect on us, our financial condition and our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our transportation, terminalling and storage services as well as our supply and logistics services.</w:t>
      </w:r>
    </w:p>
    <w:p>
      <w:pPr>
        <w:sectPr>
          <w:pgSz w:w="11900" w:h="16902" w:orient="portrait"/>
          <w:cols w:equalWidth="0" w:num="1">
            <w:col w:w="11420"/>
          </w:cols>
          <w:pgMar w:left="240" w:top="125" w:right="239" w:bottom="0" w:gutter="0" w:footer="0" w:header="0"/>
        </w:sectPr>
      </w:pPr>
    </w:p>
    <w:bookmarkStart w:id="40" w:name="page41"/>
    <w:bookmarkEnd w:id="40"/>
    <w:p>
      <w:pPr>
        <w:ind w:right="3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in our transportation, facilities and supply and logistics activities, and our business is subject to the risk of a capacity overbuild of midstream energy infrastructure in the areas where we operate.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players in a wide variety of contexts, including new entrants and existing players and in connection with day-to-day business, expansion capital projects, acquisitions and joint venture activities. Some of our competitors have capital resources many times greater than ours and control greater supplies of crude oil, natural gas or NGL.</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significant driver of competition in some of the markets where we operate (including, for example, the Eagle Ford, Permian Basin, and Rockies/Bakken areas) is the rapid development of new midstream energy infrastructure capacity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presents opportunities for us, we are also exposed to the risk that these areas become overbuilt, resulting in an excess of midstream energy infrastructure capacity. Most midstream projects require several years of “lead time” to develop and companies like us that develop such projects are exposed (to varying degrees depending on the contractual arrangements that underpin specific projects) to the risk that expectations for oil and gas development in the particular area may not be realized or that too much capacity is developed relative to the demand for services that ultimately materializes. In addition, as an established player in some markets, we also face competition from aggressive new entrants to the market that are willing to provide services at a discount in order to establish relationships and gain a foothold in the market. If we experience a significant capacity overbuild in one or more of the areas where we operate, it could have a significant adverse impact on our financial position, cash flows and ability to pay or increase distributions to our unitholders.</w:t>
      </w:r>
    </w:p>
    <w:p>
      <w:pPr>
        <w:spacing w:after="0" w:line="18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With respect to our crude oil activities, our competitors include other crude oil pipelines, the major integrated oil companies, their marketing affiliates, refiners, industrial companies, independent gatherers, investment banks,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00" w:firstLine="594"/>
        <w:spacing w:after="0" w:line="286" w:lineRule="auto"/>
        <w:rPr>
          <w:sz w:val="20"/>
          <w:szCs w:val="20"/>
          <w:color w:val="auto"/>
        </w:rPr>
      </w:pPr>
      <w:r>
        <w:rPr>
          <w:rFonts w:ascii="Arial" w:cs="Arial" w:eastAsia="Arial" w:hAnsi="Arial"/>
          <w:sz w:val="17"/>
          <w:szCs w:val="17"/>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(e.g., extraction premiums) paid to the owners or aggregators of natural gas to be processed, geographic proximity to the natural gas or NGL mix, available processing and fractionation capacity, transportation alternatives and their associated costs, and access to end user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encounter increased costs related to, and lack of availability of, insurance.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Over the last several years, as the scale and scope of our business activities has expanded, the breadth and depth of available insurance markets has contracted. As a result of these factors and other market conditions, premiums and deductibles for certain insurance policies has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December 31, 2014, our consolidated debt outstanding was over $10 billion, consisting of approximately $8.8 billion principal amount of long-term debt (including senior notes) and approximately $1.3 billion of short-term borrowings (including current maturities of senior notes). As of December 31, 2014, we had approximately $2.6 billion of liquidity available, including cash and cash equivalents and available borrowing capacity under our senior unsecured revolving credit facility and our senior secured hedged inventory facility, subject to continued covenant compliance.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25" w:lineRule="exact"/>
        <w:rPr>
          <w:sz w:val="20"/>
          <w:szCs w:val="20"/>
          <w:color w:val="auto"/>
        </w:rPr>
      </w:pPr>
    </w:p>
    <w:p>
      <w:pPr>
        <w:ind w:left="980" w:right="8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and general partnership purposes may be limited;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ectPr>
          <w:pgSz w:w="11900" w:h="16838" w:orient="portrait"/>
          <w:cols w:equalWidth="0" w:num="1">
            <w:col w:w="11420"/>
          </w:cols>
          <w:pgMar w:left="240" w:top="341" w:right="239" w:bottom="0" w:gutter="0" w:footer="0" w:header="0"/>
        </w:sectPr>
      </w:pPr>
    </w:p>
    <w:bookmarkStart w:id="41" w:name="page42"/>
    <w:bookmarkEnd w:id="41"/>
    <w:p>
      <w:pPr>
        <w:spacing w:after="0" w:line="3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December 31, 2014, we had over $10 billion of consolidated debt, of which approximately $9.3 billion was at fixed interest rates and approximately $734 million was at variable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as the U.S. dollar appreciates against the Canadian dollar, the U.S. dollar value of our Canadian dollar denominated earnings is reduced for U.S. reporting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goodwill, intangibles or certain investments could reduce our earnings.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December 31, 2014, we had approximately $2.5 billion of goodwill, $366 million of net intangibles and $1.7 billion of investments accounted for under the equity method of accounting. Goodwill is recorded when the purchase price of a business exceeds the fair market value of the acquired tangible and separately measurable intangible net assets. GAAP requires us to test goodwill for impairment on an annual basis or when events or circumstances occur indicating that goodwill might be impaired. GAAP requires that we amortize finite-lived intangibles over their estimated useful lives and test all of our intangibles for impairment when events or circumstances indicate the carrying value may not be recoverable. In addition, certain of our investments are accounted for under the equity method of accounting. GAAP requires that investments accounted for under the equity method be tested for impairment based on whether the fair value of the equity investment as a whole, not the underlying net assets, has declined and whether that decline is other than temporary. If we were to determine that any of our goodwill, intangibles or equity method investments were impaired, we would be required to take an immediate charge to earnings, which could adversely impact our operating results, with a corresponding reduction of partners’ capital and increase in balance sheet leverage as measured by debt-to-total capitalization.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use of third-party assets for certain of our operations.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Certain of our business activities require the use of third-party assets over which we may have little or no control. For example, a portion of our storage and distribution business conducted in the Los Angeles basin receives waterborne crude oil through dock facilities operated by a third party in the Port of Long Beach. If at any time our access to this dock was denied, and if access to an alternative dock could not be arranged, the volume of crude oil that we presently receive from our customers in the Los Angeles basin may be reduced, which could result in a reduction of facilities segment revenue and cash flow.</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our leased railcars, could significantly reduce our profitability due to fixed costs incurred to obtain the right to use such assets.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From time to time in connection with our business, we may lease or otherwise secure the right to use certain third party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w:t>
      </w:r>
    </w:p>
    <w:p>
      <w:pPr>
        <w:sectPr>
          <w:pgSz w:w="11900" w:h="16877" w:orient="portrait"/>
          <w:cols w:equalWidth="0" w:num="1">
            <w:col w:w="11420"/>
          </w:cols>
          <w:pgMar w:left="240" w:top="341" w:right="239" w:bottom="0" w:gutter="0" w:footer="0" w:header="0"/>
        </w:sectPr>
      </w:pPr>
    </w:p>
    <w:bookmarkStart w:id="42" w:name="page43"/>
    <w:bookmarkEnd w:id="42"/>
    <w:p>
      <w:pPr>
        <w:spacing w:after="0" w:line="1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continue paying any applicable fixed charges, in addition to the potential of incurring other costs attributable to the non-utilization of such assets. For example, in connection with our rail operations, we lease substantially all of our railcars, typically pursuant to multi-year leases that obligate us to pay the applicable lease rate without regard to utilization. If business conditions are such that a portion of our rail fleet is not utilized for any period of time due to reduced demand for the services they provide, we will still be obligated to pay the applicable fixed lease rate for such railcars. In addition, during the period of time that we are not utilizing such railcars, we will incur incremental costs associated with the cost of storing such railcars and will continue to incur costs for maintenance and upkeep. Non-utilization of our leased railcars and other similar assets in connection with our business could have a significant negative impact on our profitability and cash flows.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we may not be able to perform all of our obligations under our contracts, which could lead to increased costs and negatively impact our financial results.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our part to satisfy our contractual commitments and obligations. For example, in connection with our provision of firm storage services and hub services to our natural gas storage customers, we enter into contracts that obligate us to honor our customers’ requests to inject gas into our storage facilities, withdraw gas from our facilities and wheel gas through our facilities, in each case subject to volume, timing and other limitations set forth in such contracts. The following factors could adversely impact our ability to perform our obligations under these contracts:</w:t>
      </w:r>
    </w:p>
    <w:p>
      <w:pPr>
        <w:spacing w:after="0" w:line="188" w:lineRule="exact"/>
        <w:rPr>
          <w:sz w:val="20"/>
          <w:szCs w:val="20"/>
          <w:color w:val="auto"/>
        </w:rPr>
      </w:pPr>
    </w:p>
    <w:p>
      <w:pPr>
        <w:ind w:left="1360" w:right="420" w:hanging="704"/>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failure on the part of our storage facilities to perform as we expect them to, whether due to malfunction of equipment or facilities or realization of other operational risks;</w:t>
      </w:r>
    </w:p>
    <w:p>
      <w:pPr>
        <w:spacing w:after="0" w:line="170" w:lineRule="exact"/>
        <w:rPr>
          <w:rFonts w:ascii="Arial" w:cs="Arial" w:eastAsia="Arial" w:hAnsi="Arial"/>
          <w:sz w:val="18"/>
          <w:szCs w:val="18"/>
          <w:color w:val="auto"/>
        </w:rPr>
      </w:pPr>
    </w:p>
    <w:p>
      <w:pPr>
        <w:ind w:left="1360" w:right="380" w:hanging="704"/>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operating pressure of our storage facilities (affected in varying degree, depending on the type of storage cavern, by total volume of working and base gas, and temperature);</w:t>
      </w:r>
    </w:p>
    <w:p>
      <w:pPr>
        <w:spacing w:after="0" w:line="170" w:lineRule="exact"/>
        <w:rPr>
          <w:rFonts w:ascii="Arial" w:cs="Arial" w:eastAsia="Arial" w:hAnsi="Arial"/>
          <w:sz w:val="18"/>
          <w:szCs w:val="18"/>
          <w:color w:val="auto"/>
        </w:rPr>
      </w:pPr>
    </w:p>
    <w:p>
      <w:pPr>
        <w:ind w:left="1360" w:right="220" w:hanging="704"/>
        <w:spacing w:after="0" w:line="270" w:lineRule="auto"/>
        <w:tabs>
          <w:tab w:leader="none" w:pos="1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variety of commercial decisions we make from time to time in connection with the management and operation of our storage facilities. Examples include, without limitation, decisions with respect to matters such as (i) the aggregate amount of commitments we are willing to make with respect to wheeling, injection, and withdrawal services, which could exceed our capabilities at any given time for various reasons, (ii) the timing of scheduled and unplanned maintenance or repairs, which can impact equipment availability and capacity, (iii) the schedule for and rate at which we conduct opportunistic leaching activities at our facilities in connection with the expansion of existing salt caverns, which can impact the amount of storage capacity we have available to satisfy our customers’ requests, (iv) the timing and aggregate volume of any base gas park and/or loan transactions we consummate, which can directly affect the operating pressure of our storage facilities and (v) the amount of compression capacity and other gas handling equipment that we install at our facilities to support gas wheeling, injection and withdrawal activities; and</w:t>
      </w:r>
    </w:p>
    <w:p>
      <w:pPr>
        <w:spacing w:after="0" w:line="181" w:lineRule="exact"/>
        <w:rPr>
          <w:rFonts w:ascii="Arial" w:cs="Arial" w:eastAsia="Arial" w:hAnsi="Arial"/>
          <w:sz w:val="17"/>
          <w:szCs w:val="17"/>
          <w:color w:val="auto"/>
        </w:rPr>
      </w:pPr>
    </w:p>
    <w:p>
      <w:pPr>
        <w:ind w:left="1360" w:right="140" w:hanging="704"/>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Although we manage and monitor all of these various factors in connection with the ongoing operation of our natural gas storage facilities with the goal of performing all of our contractual commitments and obligations and optimizing our revenue, one or more of the above factors may adversely impact our ability to satisfy our injection, withdrawal or wheeling obligations under our storage contracts. In such event, we may be liable to our customers for losses or damages they suffer and/or we may need to incur costs or expenses in order to permit us to satisfy our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our general partner may be substantial and will reduce our cash available for distribution to unitholders.</w:t>
      </w:r>
    </w:p>
    <w:p>
      <w:pPr>
        <w:spacing w:after="0" w:line="23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Prior to making any distribution on our common units, we will reimburse our general partner and its affiliates, including officers and directors of the general partner, for all expenses incurred on our behalf (other than expenses related to the AAP Management Units).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w:t>
      </w:r>
    </w:p>
    <w:p>
      <w:pPr>
        <w:spacing w:after="0" w:line="181" w:lineRule="exact"/>
        <w:rPr>
          <w:sz w:val="20"/>
          <w:szCs w:val="20"/>
          <w:color w:val="auto"/>
        </w:rPr>
      </w:pPr>
    </w:p>
    <w:p>
      <w:pPr>
        <w:ind w:right="280" w:firstLine="648"/>
        <w:spacing w:after="0" w:line="340" w:lineRule="auto"/>
        <w:rPr>
          <w:sz w:val="20"/>
          <w:szCs w:val="20"/>
          <w:color w:val="auto"/>
        </w:rPr>
      </w:pPr>
      <w:r>
        <w:rPr>
          <w:rFonts w:ascii="Arial" w:cs="Arial" w:eastAsia="Arial" w:hAnsi="Arial"/>
          <w:sz w:val="16"/>
          <w:szCs w:val="16"/>
          <w:color w:val="auto"/>
        </w:rPr>
        <w:t>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our</w:t>
      </w:r>
    </w:p>
    <w:p>
      <w:pPr>
        <w:sectPr>
          <w:pgSz w:w="11900" w:h="17037" w:orient="portrait"/>
          <w:cols w:equalWidth="0" w:num="1">
            <w:col w:w="11400"/>
          </w:cols>
          <w:pgMar w:left="240" w:top="125" w:right="259" w:bottom="0" w:gutter="0" w:footer="0" w:header="0"/>
        </w:sectPr>
      </w:pPr>
    </w:p>
    <w:bookmarkStart w:id="43" w:name="page44"/>
    <w:bookmarkEnd w:id="43"/>
    <w:p>
      <w:pPr>
        <w:spacing w:after="0" w:line="1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70" w:lineRule="exact"/>
        <w:rPr>
          <w:sz w:val="20"/>
          <w:szCs w:val="20"/>
          <w:color w:val="auto"/>
        </w:rPr>
      </w:pPr>
    </w:p>
    <w:p>
      <w:pPr>
        <w:ind w:left="980" w:right="22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common units without unitholder approval, which would dilute a unitholder’s existing ownership interests.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spacing w:after="0" w:line="147"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8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25"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248" w:lineRule="exact"/>
        <w:rPr>
          <w:rFonts w:ascii="Arial" w:cs="Arial" w:eastAsia="Arial" w:hAnsi="Arial"/>
          <w:sz w:val="16"/>
          <w:szCs w:val="16"/>
          <w:color w:val="auto"/>
        </w:rPr>
      </w:pPr>
    </w:p>
    <w:p>
      <w:pPr>
        <w:ind w:left="980" w:right="160" w:hanging="324"/>
        <w:spacing w:after="0" w:line="273" w:lineRule="auto"/>
        <w:tabs>
          <w:tab w:leader="none" w:pos="9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ectPr>
          <w:pgSz w:w="11900" w:h="16853" w:orient="portrait"/>
          <w:cols w:equalWidth="0" w:num="1">
            <w:col w:w="11400"/>
          </w:cols>
          <w:pgMar w:left="240" w:top="125" w:right="259" w:bottom="0" w:gutter="0" w:footer="0" w:header="0"/>
        </w:sectPr>
      </w:pPr>
    </w:p>
    <w:bookmarkStart w:id="44" w:name="page45"/>
    <w:bookmarkEnd w:id="44"/>
    <w:p>
      <w:pPr>
        <w:ind w:left="980" w:right="520" w:hanging="324"/>
        <w:spacing w:after="0" w:line="27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to transfer its general partnership interest in our general partner to a third party. Any new owner of our general partner would be able to replace the board of directors and officers with its own choices and to control their decisions and actions.</w:t>
      </w:r>
    </w:p>
    <w:p>
      <w:pPr>
        <w:spacing w:after="0" w:line="18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leverage is significant in relation to our partners’ capital. At December 31, 2014, our total outstanding long-term debt was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$8.8 billion, and our total outstanding short-term debt (including current maturities of senior notes) was approximately $1.3 billion. We will be prohibited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making cash distributions during an event of default under any of our indebtedness. Various limitations in our credit facilities and other debt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reduce our ability to incur additional debt, to engage in some transactions and to capitalize on business opportunities. Any subsequent refinancing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indebtedness or any new indebtedness could have similar or greater restrictions.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ectPr>
          <w:pgSz w:w="11900" w:h="16838" w:orient="portrait"/>
          <w:cols w:equalWidth="0" w:num="1">
            <w:col w:w="11380"/>
          </w:cols>
          <w:pgMar w:left="240" w:top="341" w:right="279" w:bottom="0" w:gutter="0" w:footer="0" w:header="0"/>
        </w:sectPr>
      </w:pPr>
    </w:p>
    <w:bookmarkStart w:id="45" w:name="page46"/>
    <w:bookmarkEnd w:id="45"/>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760" w:hanging="324"/>
        <w:spacing w:after="0" w:line="277"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provide funds for distributions to our unitholders and the general partner for any one or more of the next four calendar quarters; or</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U.S. federal income tax purposes, as well as our not being subject to a material amount of additional entity-level taxation by individual states. If the Internal Revenue Service (“IRS”) were to treat us as a corporation for federal income tax purposes or if we become subject to additional amounts of entity-level taxation for state or foreign tax purposes, it would reduce the amount of cash available to pay distributions and our debt obligations.</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Based on our current operations we believe that we are treated as a partnership rather than a corporation for such purposes; however, a change in our business could cause us to be treated as a corporation for federal income tax purposes. We have not requested, and do not plan to request, a ruling from the IRS on this or any other tax matter affecting us.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Current law may change, causing us to be treated as a corporation for federal income tax purposes or otherwise subject us to additional entity-level taxation. In addition, several states are evaluating ways to subject partnerships to entity-level taxation through the imposition of state income, franchise and other forms of taxation. For example, we are subject to entity-level tax on the portion of our income apportioned to Texas. Imposition of any similar taxes on us in additional states will reduce the cash available for distribution to our unitholders. If we were treated as a corporation for federal income tax purposes, we would pay federal income tax on our taxable income at the corporate tax rate, which is currently a maximum of 35%,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common units.</w:t>
      </w:r>
    </w:p>
    <w:p>
      <w:pPr>
        <w:spacing w:after="0" w:line="18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income tax purposes, our minimum quarterly distribution and target distribution amounts will be adjusted downward by a percentage that is based on the applicable entity-level tax rate, including both federal and state tax burdens. Although it is impossible to make an accurate assessment of the impact on us without the specific details of any such new law or modification, in such event, it is likely the overall amount of cash available for distribution by the partnership will decline and, due to the structure of our incentive distribution rights and the distribution provisions of our partnership agreement, our common unitholders will likely bear a disproportionately larger percentage of such reduction as compared to the holder of our incentive distribution rights.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possibly on a retroactive basis.</w:t>
      </w:r>
    </w:p>
    <w:p>
      <w:pPr>
        <w:spacing w:after="0" w:line="170" w:lineRule="exact"/>
        <w:rPr>
          <w:sz w:val="20"/>
          <w:szCs w:val="20"/>
          <w:color w:val="auto"/>
        </w:rPr>
      </w:pPr>
    </w:p>
    <w:p>
      <w:pPr>
        <w:ind w:right="20" w:firstLine="729"/>
        <w:spacing w:after="0" w:line="293"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publicly-traded partnerships as corporations upon which we rely for our treatment as a partnership for U.S. federal income tax purposes.</w:t>
      </w:r>
    </w:p>
    <w:p>
      <w:pPr>
        <w:spacing w:after="0" w:line="165" w:lineRule="exact"/>
        <w:rPr>
          <w:sz w:val="20"/>
          <w:szCs w:val="20"/>
          <w:color w:val="auto"/>
        </w:rPr>
      </w:pPr>
    </w:p>
    <w:p>
      <w:pPr>
        <w:ind w:right="20" w:firstLine="729"/>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929" w:orient="portrait"/>
          <w:cols w:equalWidth="0" w:num="1">
            <w:col w:w="11400"/>
          </w:cols>
          <w:pgMar w:left="240" w:top="125" w:right="259" w:bottom="0" w:gutter="0" w:footer="0" w:header="0"/>
        </w:sectPr>
      </w:pP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twelve-month period will result in our termination as a partnership for federal income tax purposes.</w:t>
      </w:r>
    </w:p>
    <w:p>
      <w:pPr>
        <w:sectPr>
          <w:pgSz w:w="11900" w:h="16929" w:orient="portrait"/>
          <w:cols w:equalWidth="0" w:num="1">
            <w:col w:w="11400"/>
          </w:cols>
          <w:pgMar w:left="240" w:top="125" w:right="259" w:bottom="0" w:gutter="0" w:footer="0" w:header="0"/>
          <w:type w:val="continuous"/>
        </w:sectPr>
      </w:pPr>
    </w:p>
    <w:bookmarkStart w:id="46" w:name="page47"/>
    <w:bookmarkEnd w:id="46"/>
    <w:p>
      <w:pPr>
        <w:ind w:right="60" w:firstLine="648"/>
        <w:spacing w:after="0" w:line="269" w:lineRule="auto"/>
        <w:rPr>
          <w:sz w:val="20"/>
          <w:szCs w:val="20"/>
          <w:color w:val="auto"/>
        </w:rPr>
      </w:pPr>
      <w:r>
        <w:rPr>
          <w:rFonts w:ascii="Arial" w:cs="Arial" w:eastAsia="Arial" w:hAnsi="Arial"/>
          <w:sz w:val="17"/>
          <w:szCs w:val="17"/>
          <w:color w:val="auto"/>
        </w:rPr>
        <w:t>We will be considered to have constructively terminated as a partnership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our filing two tax returns for one fiscal year and could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his taxable income for the year of termination. Our termination currently would not affect our classification as a partnership for federal income tax purposes, but it would result in our being treated as a new partnership for tax purposes. If we were treated as a new partnership, we would be required to make new tax elections and could be subject to penalties if we were unable to determine that a termination occurred. The IRS has recently announced a relief procedure whereby if a publicly traded partnership that has technically terminated requests and the IRS grants special relief, among other things, the partnership may be permitted to provide only a single Schedule K-1 to unitholders for the tax years in which the termination occurs.</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IRS or Canada Revenue Agency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IRS has made no determination as to our status as a partnership for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unitholders may be required to pay taxes on their share of our income even if they do not receive any cash distributions from us.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disposition of our common units could be more or less than expected.</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our unitholders sell their common units, they will recognize gain or loss equal to the difference between the amount realized and their tax basis in those common units. Because distributions in excess of a unitholder’s allocable share of our net taxable 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a unitholder sells units, the unitholder may incur a tax liability in excess of the amount of cash received from the sale.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 them.</w:t>
      </w:r>
    </w:p>
    <w:p>
      <w:pPr>
        <w:spacing w:after="0" w:line="26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Investment in common units by tax-exempt entities, such as employee benefit plans and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Non-U.S. persons will also potentially have tax filing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payment obligations in additional jurisdictions. Tax-exempt entities and non-U.S. persons should consult their tax advisor before investing in our common units.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actual units purchased. The IRS may challenge this treatment, which could adversely affect the value of our common units.</w:t>
      </w:r>
    </w:p>
    <w:p>
      <w:pPr>
        <w:spacing w:after="0" w:line="170" w:lineRule="exact"/>
        <w:rPr>
          <w:sz w:val="20"/>
          <w:szCs w:val="20"/>
          <w:color w:val="auto"/>
        </w:rPr>
      </w:pPr>
    </w:p>
    <w:p>
      <w:pPr>
        <w:ind w:right="480" w:firstLine="648"/>
        <w:spacing w:after="0" w:line="279" w:lineRule="auto"/>
        <w:rPr>
          <w:sz w:val="20"/>
          <w:szCs w:val="20"/>
          <w:color w:val="auto"/>
        </w:rPr>
      </w:pPr>
      <w:r>
        <w:rPr>
          <w:rFonts w:ascii="Arial" w:cs="Arial" w:eastAsia="Arial" w:hAnsi="Arial"/>
          <w:sz w:val="17"/>
          <w:szCs w:val="17"/>
          <w:color w:val="auto"/>
        </w:rPr>
        <w:t>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U.S. federal income taxes, our unitholders will likely be subject to other taxes, including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most of which impose a personal income tax on individuals and an income tax on corporations and other entities. It is our unitholders’ responsibility to file all U.S. federal, state, local and non-U.S. tax returns, as applicable.</w:t>
      </w:r>
    </w:p>
    <w:p>
      <w:pPr>
        <w:sectPr>
          <w:pgSz w:w="11900" w:h="16838" w:orient="portrait"/>
          <w:cols w:equalWidth="0" w:num="1">
            <w:col w:w="11400"/>
          </w:cols>
          <w:pgMar w:left="240" w:top="341" w:right="259" w:bottom="0" w:gutter="0" w:footer="0" w:header="0"/>
        </w:sectPr>
      </w:pPr>
    </w:p>
    <w:bookmarkStart w:id="47" w:name="page48"/>
    <w:bookmarkEnd w:id="47"/>
    <w:p>
      <w:pPr>
        <w:ind w:right="28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47" w:lineRule="exact"/>
        <w:rPr>
          <w:sz w:val="20"/>
          <w:szCs w:val="20"/>
          <w:color w:val="auto"/>
        </w:rPr>
      </w:pPr>
    </w:p>
    <w:p>
      <w:pPr>
        <w:ind w:right="100" w:firstLine="729"/>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6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Because there are no specific rules governing the federal income tax consequences of loaning a partnership interest, a unitholder whose common units are the subject of a securities loan may be considered as having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generally prorate our items of income, gain, loss and deduction between existing unitholders and unitholders who purchase our units based upon the ownership of our units on the first day of each month, instead of on the basis of the date a particular unit is transferred. The use of this proration method may not be permitted under existing Treasury Regulations. Recently, the U.S. Treasury Department issued proposed Treasury Regulations that provide a safe harbor pursuant to which publicly traded partnerships may use a similar monthly simplifying convention to allocate tax items. Nonetheless, the proposed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At December 31, 2014, our estimated undiscounted reserve for environmental liabilities totaled $82 million, of which $13 million was classified as short-term and $69 million was classified as long-term. At December 31, 2013, our estimated undiscounted reserve for environmental liabilities totaled</w:t>
      </w:r>
    </w:p>
    <w:p>
      <w:pPr>
        <w:ind w:right="40"/>
        <w:spacing w:after="0" w:line="253" w:lineRule="auto"/>
        <w:rPr>
          <w:sz w:val="20"/>
          <w:szCs w:val="20"/>
          <w:color w:val="auto"/>
        </w:rPr>
      </w:pPr>
      <w:r>
        <w:rPr>
          <w:rFonts w:ascii="Arial" w:cs="Arial" w:eastAsia="Arial" w:hAnsi="Arial"/>
          <w:sz w:val="18"/>
          <w:szCs w:val="18"/>
          <w:color w:val="auto"/>
        </w:rPr>
        <w:t>$93 million, of which $11 million was classified as short-term and $82 million was classified as long-term. The short- and long-term environmental liabilities referenced above are reflected in “Accounts payable and accrued liabilities” and “Other long-term liabilities and deferred credits,” respectively, on our Consolidated Balance Sheets. At December 31, 2014 and 2013, we had recorded receivables totaling $8 million and $10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9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ectPr>
          <w:pgSz w:w="11900" w:h="16838" w:orient="portrait"/>
          <w:cols w:equalWidth="0" w:num="1">
            <w:col w:w="11400"/>
          </w:cols>
          <w:pgMar w:left="240" w:top="125" w:right="259" w:bottom="0" w:gutter="0" w:footer="0" w:header="0"/>
        </w:sectPr>
      </w:pPr>
    </w:p>
    <w:bookmarkStart w:id="48" w:name="page49"/>
    <w:bookmarkEnd w:id="48"/>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approximately $6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Releases. </w:t>
      </w:r>
      <w:r>
        <w:rPr>
          <w:rFonts w:ascii="Arial" w:cs="Arial" w:eastAsia="Arial" w:hAnsi="Arial"/>
          <w:sz w:val="17"/>
          <w:szCs w:val="17"/>
          <w:color w:val="auto"/>
        </w:rPr>
        <w:t>During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Final investigation by the AER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approximately $15 million. Through December 31, 2014, we spent approximately $9 million in connection with clean-up and remediation activities.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assessment of the current availability of coverage and associated rates for hurricane insurance has led us to the decision to self-insure this risk. This decision does not affect our third-party liability insurance, which still covers hurricane-related liability claims and which we have maintained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50"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common units are listed and traded on the New York Stock Exchange (“NYSE”) under the symbol “PAA.” As of February 18, 2015, the closing market price for our common units was $50.73 per unit and there were approximately 236,000 record holders and beneficial owners (held in street name). As of February 18, 2015, there were 376,241,697 common units outstanding.</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two-for-one split of our common units was completed on October 1, 2012. The effect of the two-for one split has been retroactively applied to all unit and per-unit amounts presented in this Form 10-K. In addition, our partnership agreement was amended to modify certain definitions related to target distribution amounts and minimum distribution amounts to reflect the unit split.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common units and the cash distributions declared per common unit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Common Unit</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Price Range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2"/>
                <w:szCs w:val="12"/>
                <w:color w:val="auto"/>
              </w:rPr>
            </w:pPr>
          </w:p>
        </w:tc>
        <w:tc>
          <w:tcPr>
            <w:tcW w:w="9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 xml:space="preserve">Distributions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jc w:val="right"/>
              <w:ind w:right="6190"/>
              <w:spacing w:after="0" w:line="196" w:lineRule="exact"/>
              <w:rPr>
                <w:sz w:val="20"/>
                <w:szCs w:val="20"/>
                <w:color w:val="auto"/>
              </w:rPr>
            </w:pPr>
            <w:r>
              <w:rPr>
                <w:rFonts w:ascii="Arial" w:cs="Arial" w:eastAsia="Arial" w:hAnsi="Arial"/>
                <w:sz w:val="18"/>
                <w:szCs w:val="18"/>
                <w:b w:val="1"/>
                <w:bCs w:val="1"/>
                <w:color w:val="auto"/>
                <w:w w:val="84"/>
              </w:rPr>
              <w:t>2014</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4th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59.75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43.61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0.6750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61.09</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9" w:name="page50"/>
    <w:bookmarkEnd w:id="49"/>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3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60.05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54.54</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3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55.30</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49.25</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3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3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53.74</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47.26</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3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57.72</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48.86</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3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59.52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50.15</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3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57.17</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45.95</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27"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Cash distributions associated with the quarter presented. These distributions were declared and paid in the following calendar quarter. See the “Cash Distribution Policy” section below for a discussion of our policy regarding distribution payments.</w:t>
      </w:r>
    </w:p>
    <w:p>
      <w:pPr>
        <w:spacing w:after="0" w:line="20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common units are also used as a form of compensation to our employees and directors. Additional information regarding our equity-indexed compensation plans is included in Part III of this report under Item 13. “Certain Relationships and Related Transactions, and Director Independence.”</w:t>
      </w:r>
    </w:p>
    <w:p>
      <w:pPr>
        <w:spacing w:after="0" w:line="1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Unitholder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accordance with our partnership agreement, we will distribute all of our available cash to our unitholders within 45 days following the end of each quarter in the manner described below. Available cash generally means, for any quarter ending prior to liquidation, all cash on hand at the end of that quarter less the amount of cash reserves that are necessary or appropriate in the reasonable discretion of the general partner to:</w:t>
      </w:r>
    </w:p>
    <w:p>
      <w:pPr>
        <w:spacing w:after="0" w:line="166" w:lineRule="exact"/>
        <w:rPr>
          <w:sz w:val="20"/>
          <w:szCs w:val="20"/>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25" w:lineRule="exact"/>
        <w:rPr>
          <w:rFonts w:ascii="Arial" w:cs="Arial" w:eastAsia="Arial" w:hAnsi="Arial"/>
          <w:sz w:val="18"/>
          <w:szCs w:val="18"/>
          <w:color w:val="auto"/>
        </w:rPr>
      </w:pPr>
    </w:p>
    <w:p>
      <w:pPr>
        <w:ind w:left="5620" w:right="1560" w:hanging="4964"/>
        <w:spacing w:after="0" w:line="528" w:lineRule="auto"/>
        <w:tabs>
          <w:tab w:leader="none" w:pos="9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and except for the agreed upon adjustments discussed below, to 15% of amounts we distribute in excess of $0.2250 per unit, 25% of the amounts we distribute in excess of $0.2475 per unit and 50% of amounts we distribute in excess of $0.3375 per unit.</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Although not required to do so, in response to past requests by our management in connection with our acquisition activities, our general partner has, from time to time, agreed to reduce the amounts due to it as incentive distributions. Such modifications were implemented with a view toward enhancing our competitiveness for such acquisitions and managing the overall cost of equity capital while achieving an appropriate balance between short-term and long-term accretion to our limited partners and the holders of our general partner interest and IDRs. During 2014 and 2013, our general partner’s incentive distributions were reduced by approximately $23 million and $15 million, respectively. These reductions were agreed to in connection with our BP NGL Acquisition and the PNG Merger. In addition, our general partner has agreed to reduce the amount of its incentive distribution by $5.5 million per quarter during 2015, $5.0 million per quarter in 2016 and $3.75 million per quarter thereafter. See Note 3 to our Consolidated Financial Statements for further discussion of the BP NGL Acquisition. See Note 11 to our Consolidated Financial Statements for further discussion of the PNG Merger.</w:t>
      </w:r>
    </w:p>
    <w:p>
      <w:pPr>
        <w:spacing w:after="0" w:line="166"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During 2014, we paid $473 million to our general partner, including $454 million of incentive distributions, net of reductions of approximately $23 million. Additionally, on February 13, 2015, we paid a quarterly distribution of $0.6750 per limited partner unit applicable to the fourth quarter of 2014, and in connection therewith, approximately $136 million was paid to our general partner, including approximately $131 million of incentive distributions, net of reductions of $5.5 million. See Item 13. “Certain Relationships and Related Transactions, and Director Independence—Our General Partner.”</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did not repurchase any of our common units during the fourth quarter of 2014, and we do not have any announced or existing plans to repurchase any of our common units other than potential repurchases consistent with past practice in providing units for relatively small vestings of phantom units under our long-term incentive plans (“LTIP”).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historical financial information below was derived from our audited consolidated financial statements as of December 31, 2014, 2013, 2012, 2011 and 2010 and for the years then ended. The selected financial data should be read in conjunction with the Consolidated Financial Statements, including the notes thereto, and Item 7. “Management’s Discussion and Analysis of Financial Condition and Results of Operations.” See Note 3 to our Consolidated Financial Statements for a discussion of our acquisitions.</w:t>
      </w:r>
    </w:p>
    <w:p>
      <w:pPr>
        <w:sectPr>
          <w:pgSz w:w="11900" w:h="16926" w:orient="portrait"/>
          <w:cols w:equalWidth="0" w:num="1">
            <w:col w:w="11420"/>
          </w:cols>
          <w:pgMar w:left="240" w:top="125"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gridSpan w:val="6"/>
          </w:tcPr>
          <w:p>
            <w:pPr>
              <w:jc w:val="center"/>
              <w:ind w:left="472"/>
              <w:spacing w:after="0" w:line="142" w:lineRule="exact"/>
              <w:rPr>
                <w:sz w:val="20"/>
                <w:szCs w:val="20"/>
                <w:color w:val="auto"/>
              </w:rPr>
            </w:pPr>
            <w:r>
              <w:rPr>
                <w:rFonts w:ascii="Arial" w:cs="Arial" w:eastAsia="Arial" w:hAnsi="Arial"/>
                <w:sz w:val="14"/>
                <w:szCs w:val="14"/>
                <w:b w:val="1"/>
                <w:bCs w:val="1"/>
                <w:color w:val="auto"/>
                <w:w w:val="93"/>
              </w:rPr>
              <w:t>(in millions, except per unit data)</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43,464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42,249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37,797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34,275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25,893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1,391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1,384</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1,361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1,094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Per unit data:</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2.38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2.80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Declared distributions per limited partner unit </w:t>
            </w:r>
            <w:r>
              <w:rPr>
                <w:rFonts w:ascii="Arial" w:cs="Arial" w:eastAsia="Arial" w:hAnsi="Arial"/>
                <w:sz w:val="23"/>
                <w:szCs w:val="23"/>
                <w:color w:val="auto"/>
                <w:vertAlign w:val="superscript"/>
              </w:rPr>
              <w:t>(1)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22,256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20,360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19,235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15,381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13,703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6,715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10,049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7,828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7,406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5,199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7,703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2,004</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1,954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1,240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2,365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(1,653)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cash provided by/(used in) financing activities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1,657</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(281)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2,151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Acquisition capital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2,286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Expansion capital</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1,622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Maintenance capital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176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91"/>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Volumes </w:t>
            </w:r>
            <w:r>
              <w:rPr>
                <w:rFonts w:ascii="Arial" w:cs="Arial" w:eastAsia="Arial" w:hAnsi="Arial"/>
                <w:sz w:val="22"/>
                <w:szCs w:val="22"/>
                <w:b w:val="1"/>
                <w:bCs w:val="1"/>
                <w:color w:val="auto"/>
                <w:vertAlign w:val="superscript"/>
              </w:rPr>
              <w:t>(2)(3)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rPr>
              <w:t>Transportation segment (average daily volumes in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thousands of barrels per day):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Tariff activities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3,595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Transportation segment 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segment: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8"/>
              </w:rPr>
              <w:t>Crude oil, refined products and NGL terminalling and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storage (average monthly capacity in millions of</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rPr>
              <w:t>Rail load / unload volumes (average volumes in</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08"/>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thousands of barrels per day)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160"/>
              <w:spacing w:after="0" w:line="195" w:lineRule="exact"/>
              <w:rPr>
                <w:sz w:val="20"/>
                <w:szCs w:val="20"/>
                <w:color w:val="auto"/>
              </w:rPr>
            </w:pPr>
            <w:r>
              <w:rPr>
                <w:rFonts w:ascii="Arial" w:cs="Arial" w:eastAsia="Arial" w:hAnsi="Arial"/>
                <w:sz w:val="18"/>
                <w:szCs w:val="18"/>
                <w:color w:val="auto"/>
                <w:w w:val="93"/>
              </w:rPr>
              <w:t>Natural gas storage (average monthly working capacity</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8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in billions of cubic feet)</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w w:val="99"/>
              </w:rPr>
              <w:t>NGL fractionation (average volumes in thousands of</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08"/>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340"/>
              <w:spacing w:after="0" w:line="195" w:lineRule="exact"/>
              <w:rPr>
                <w:sz w:val="20"/>
                <w:szCs w:val="20"/>
                <w:color w:val="auto"/>
              </w:rPr>
            </w:pPr>
            <w:r>
              <w:rPr>
                <w:rFonts w:ascii="Arial" w:cs="Arial" w:eastAsia="Arial" w:hAnsi="Arial"/>
                <w:sz w:val="18"/>
                <w:szCs w:val="18"/>
                <w:color w:val="auto"/>
                <w:w w:val="98"/>
              </w:rPr>
              <w:t>Facilities segment total (average monthly volumes</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3"/>
                <w:szCs w:val="13"/>
                <w:color w:val="auto"/>
              </w:rPr>
            </w:pPr>
          </w:p>
        </w:tc>
        <w:tc>
          <w:tcPr>
            <w:tcW w:w="1160" w:type="dxa"/>
            <w:vAlign w:val="bottom"/>
            <w:gridSpan w:val="2"/>
            <w:vMerge w:val="restart"/>
          </w:tcPr>
          <w:p>
            <w:pPr>
              <w:jc w:val="right"/>
              <w:ind w:right="208"/>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3"/>
                <w:szCs w:val="13"/>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gridSpan w:val="2"/>
          </w:tcPr>
          <w:p>
            <w:pPr>
              <w:ind w:left="520"/>
              <w:spacing w:after="0"/>
              <w:rPr>
                <w:sz w:val="20"/>
                <w:szCs w:val="20"/>
                <w:color w:val="auto"/>
              </w:rPr>
            </w:pPr>
            <w:r>
              <w:rPr>
                <w:rFonts w:ascii="Arial" w:cs="Arial" w:eastAsia="Arial" w:hAnsi="Arial"/>
                <w:sz w:val="18"/>
                <w:szCs w:val="18"/>
                <w:color w:val="auto"/>
              </w:rPr>
              <w:t>in millions of barrels)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w w:val="95"/>
              </w:rPr>
              <w:t>Supply and Logistics segment (average daily volumes in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thousands of barrels per day):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Supply and Logistics segment total</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-4375150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-4375150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40" w:hanging="11"/>
        <w:spacing w:after="0" w:line="312" w:lineRule="auto"/>
        <w:rPr>
          <w:sz w:val="20"/>
          <w:szCs w:val="20"/>
          <w:color w:val="auto"/>
        </w:rPr>
      </w:pPr>
      <w:r>
        <w:rPr>
          <w:rFonts w:ascii="Arial" w:cs="Arial" w:eastAsia="Arial" w:hAnsi="Arial"/>
          <w:sz w:val="16"/>
          <w:szCs w:val="16"/>
          <w:color w:val="auto"/>
        </w:rPr>
        <w:t>Represents cash distributions declared and paid during the year presented. Our general partner is entitled, directly or indirectly, to receive 2% proportional distributions, as well as incentive distributions if the amount we distribute with respect to any quarter exceeds levels specified in our partnership agreement. See Note 11 to our Consolidated Financial Statements for further discussion regarding our distributions.</w:t>
      </w:r>
    </w:p>
    <w:p>
      <w:pPr>
        <w:spacing w:after="0" w:line="147" w:lineRule="exact"/>
        <w:rPr>
          <w:sz w:val="20"/>
          <w:szCs w:val="20"/>
          <w:color w:val="auto"/>
        </w:rPr>
      </w:pPr>
    </w:p>
    <w:p>
      <w:pPr>
        <w:ind w:right="26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(attributable to our interest) for the number of days or months we actually owned the assets divided by the number of days or months in the year.</w:t>
      </w:r>
    </w:p>
    <w:p>
      <w:pPr>
        <w:spacing w:after="0" w:line="170" w:lineRule="exact"/>
        <w:rPr>
          <w:sz w:val="20"/>
          <w:szCs w:val="20"/>
          <w:color w:val="auto"/>
        </w:rPr>
      </w:pPr>
    </w:p>
    <w:p>
      <w:pPr>
        <w:ind w:right="40" w:hanging="7"/>
        <w:spacing w:after="0" w:line="257" w:lineRule="auto"/>
        <w:rPr>
          <w:sz w:val="20"/>
          <w:szCs w:val="20"/>
          <w:color w:val="auto"/>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thousand cubic feet (“mcf”) of natural gas to crude British thermal unit (“Btu”) equivalent ratio and further divided by 1,000 to convert to monthly volumes in millions; and (iv) NGL fractionation volumes multiplied by the number of days in the year and divided by the number of months in the year.</w:t>
      </w:r>
    </w:p>
    <w:p>
      <w:pPr>
        <w:sectPr>
          <w:pgSz w:w="11900" w:h="16838" w:orient="portrait"/>
          <w:cols w:equalWidth="0" w:num="2">
            <w:col w:w="160" w:space="500"/>
            <w:col w:w="10800"/>
          </w:cols>
          <w:pgMar w:left="240" w:top="333" w:right="199" w:bottom="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Overview of Operating Results, Capital Investments and Other Significant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own and operate midstream energy infrastructure and provide logistics services for crude oil, NGL, natural gas and refined products. The term NGL includes ethane and natural gasoline products as well as products commonly referred to as liquefied petroleum gas (“LPG”) such as propane and butane. When used in this Form 10-K, NGL refers to all NGL products including LPG.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40" w:firstLine="612"/>
        <w:spacing w:after="0" w:line="257" w:lineRule="auto"/>
        <w:rPr>
          <w:sz w:val="20"/>
          <w:szCs w:val="20"/>
          <w:color w:val="auto"/>
        </w:rPr>
      </w:pPr>
      <w:r>
        <w:rPr>
          <w:rFonts w:ascii="Arial" w:cs="Arial" w:eastAsia="Arial" w:hAnsi="Arial"/>
          <w:sz w:val="18"/>
          <w:szCs w:val="18"/>
          <w:color w:val="auto"/>
        </w:rPr>
        <w:t>Primarily as a result of advances in drilling and completion techniques and their application to a number of large-scale shale and resource plays occurring contemporaneously with attractive crude oil and liquids prices, U.S. crude oil and liquids production over the last several years increased rapidly in multiple regions in the lower 48 states. Additionally, the crude oil market periodically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w:t>
      </w:r>
    </w:p>
    <w:p>
      <w:pPr>
        <w:spacing w:after="0" w:line="188" w:lineRule="exact"/>
        <w:rPr>
          <w:sz w:val="20"/>
          <w:szCs w:val="20"/>
          <w:color w:val="auto"/>
        </w:rPr>
      </w:pPr>
    </w:p>
    <w:p>
      <w:pPr>
        <w:ind w:left="40" w:right="40" w:firstLine="612"/>
        <w:spacing w:after="0" w:line="276" w:lineRule="auto"/>
        <w:rPr>
          <w:sz w:val="20"/>
          <w:szCs w:val="20"/>
          <w:color w:val="auto"/>
        </w:rPr>
      </w:pPr>
      <w:r>
        <w:rPr>
          <w:rFonts w:ascii="Arial" w:cs="Arial" w:eastAsia="Arial" w:hAnsi="Arial"/>
          <w:sz w:val="17"/>
          <w:szCs w:val="17"/>
          <w:color w:val="auto"/>
        </w:rPr>
        <w:t>During 2013 and 2014, these market conditions had a positive impact on our profitability as our business strategy and asset base positioned us to capitalize on opportunities created by the volatile environment. In 2014, we recognized net income attributable to PAA of $1.384 billion as compared to net income attributable to PAA of $1.361 billion recognized in 2013. The year-over-year change in operating results was due to growth in our fee-based Transportation segment partially offset by less favorable results from our Supply and Logistics and Facilities segments (see further discussion of our segment operating results in the following sections). Net income attributable to PAA for 2014 was also impacted by: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Higher depreciation and amortization expense and interest expense associated with our growing asset base and related financing activities;</w:t>
      </w:r>
    </w:p>
    <w:p>
      <w:pPr>
        <w:spacing w:after="0" w:line="248" w:lineRule="exact"/>
        <w:rPr>
          <w:rFonts w:ascii="Arial" w:cs="Arial" w:eastAsia="Arial" w:hAnsi="Arial"/>
          <w:sz w:val="16"/>
          <w:szCs w:val="16"/>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income tax expense resulting from higher year-over-year earnings from our taxable Canadian operations;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net income attributable to noncontrolling interests due to our completion of the PNG Merger in 2013.</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have continued to invest in midstream infrastructure projects to address the need for additional pipeline takeaway capacity and to address associated logistical challenges, resulting in the execution of a $2.0 billion capital program during 2014. We also completed the acquisition of a 50% interest in BridgeTex in November 2014 for $1.088 billion. The majority of the capital spent in 2014 will contribute to growth in our fee-based Transportation and Facilities segments in future years. In addition, during the year, we paid $1.4 billion of cash distributions to our limited partners and general partner.</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funded our 2014 capital activities with the issuance of approximately 15.4 million common units under our continuous offering program for net proceeds of $866 million, and the completion of multiple senior notes offerings for net proceeds of approximately $2.6 billion.</w:t>
      </w:r>
    </w:p>
    <w:p>
      <w:pPr>
        <w:sectPr>
          <w:pgSz w:w="11900" w:h="16838" w:orient="portrait"/>
          <w:cols w:equalWidth="0" w:num="1">
            <w:col w:w="11420"/>
          </w:cols>
          <w:pgMar w:left="240" w:top="125" w:right="239" w:bottom="0" w:gutter="0" w:footer="0" w:header="0"/>
        </w:sectPr>
      </w:pPr>
    </w:p>
    <w:bookmarkStart w:id="52" w:name="page53"/>
    <w:bookmarkEnd w:id="52"/>
    <w:p>
      <w:pPr>
        <w:ind w:right="540" w:firstLine="648"/>
        <w:spacing w:after="0" w:line="277" w:lineRule="auto"/>
        <w:rPr>
          <w:sz w:val="20"/>
          <w:szCs w:val="20"/>
          <w:color w:val="auto"/>
        </w:rPr>
      </w:pPr>
      <w:r>
        <w:rPr>
          <w:rFonts w:ascii="Arial" w:cs="Arial" w:eastAsia="Arial" w:hAnsi="Arial"/>
          <w:sz w:val="18"/>
          <w:szCs w:val="18"/>
          <w:color w:val="auto"/>
        </w:rPr>
        <w:t>During late 2014 and early 2015, crude oil and NGL prices decreased meaningfully, which resulted in significant reductions in the outlook for producer drilling activities in 2015. See “—Outlook” for a discussion of how such developments may impact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completed a number of acquisitions and capital projects in 2014, 2013 and 2012 that have impacted our results of operations. The following table summarizes our expenditures for acquisition capital, expansion capital and maintenance capital for the periods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 (2)</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(3)</w:t>
            </w:r>
          </w:p>
        </w:tc>
        <w:tc>
          <w:tcPr>
            <w:tcW w:w="9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1,622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(3)</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598"/>
        <w:spacing w:after="0" w:line="234" w:lineRule="auto"/>
        <w:tabs>
          <w:tab w:leader="none" w:pos="64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Includes our acquisition for $1.088 billion of a 50% interest in BridgeTex. We account for our interest in BridgeTex under the equity method of accounting. Acquisitions of initial investments in unconsolidated entities are included in “Acquisition capital.” Additional subsequent investments in unconsolidated entities related to expansion projects of such entities are recognized in “Expansion capital.”</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80" w:hanging="11"/>
        <w:spacing w:after="0" w:line="286" w:lineRule="auto"/>
        <w:rPr>
          <w:sz w:val="20"/>
          <w:szCs w:val="20"/>
          <w:color w:val="auto"/>
        </w:rPr>
      </w:pPr>
      <w:r>
        <w:rPr>
          <w:rFonts w:ascii="Arial" w:cs="Arial" w:eastAsia="Arial" w:hAnsi="Arial"/>
          <w:sz w:val="17"/>
          <w:szCs w:val="17"/>
          <w:color w:val="auto"/>
        </w:rPr>
        <w:t>Excludes the PNG Merger completed on December 31, 2013, as we historically consolidated PNG into our financial statements for financial reporting purposes in accordance with GAAP. As consideration for the PNG Merger, we issued approximately 14.7 million PAA common units with a value of approximately $760 million. See Note 11 to our Consolidated Financial Statements for further discussion of the PNG Merger.</w:t>
      </w:r>
    </w:p>
    <w:p>
      <w:pPr>
        <w:spacing w:after="0" w:line="111" w:lineRule="exact"/>
        <w:rPr>
          <w:sz w:val="20"/>
          <w:szCs w:val="20"/>
          <w:color w:val="auto"/>
        </w:rPr>
      </w:pPr>
    </w:p>
    <w:p>
      <w:pPr>
        <w:ind w:right="280" w:hanging="11"/>
        <w:spacing w:after="0" w:line="264"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Acquisitions are financed using a combination of equity and debt, including borrowings under our commercial paper program or credit facilities and the issuance of senior notes. Businesses acquired impact our results of operations commencing on the closing date of each acquisition. Our acquisition and capital expansion activities are discussed further in “—Liquidity and Capital Resources” and in Note 3 to our Consolidated Financial Statements. Information regarding acquisitions completed in 2014, 2013 and 2012 is set forth in the table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Effective</w:t>
            </w: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Acquisition</w:t>
            </w:r>
          </w:p>
        </w:tc>
        <w:tc>
          <w:tcPr>
            <w:tcW w:w="260" w:type="dxa"/>
            <w:vAlign w:val="bottom"/>
          </w:tcPr>
          <w:p>
            <w:pPr>
              <w:spacing w:after="0"/>
              <w:rPr>
                <w:sz w:val="14"/>
                <w:szCs w:val="14"/>
                <w:color w:val="auto"/>
              </w:rPr>
            </w:pPr>
          </w:p>
        </w:tc>
        <w:tc>
          <w:tcPr>
            <w:tcW w:w="33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71"/>
        </w:trPr>
        <w:tc>
          <w:tcPr>
            <w:tcW w:w="4820" w:type="dxa"/>
            <w:vAlign w:val="bottom"/>
            <w:gridSpan w:val="4"/>
            <w:vMerge w:val="continue"/>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BridgeTex Acquisition (50% interest)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11/14/2014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Other</w:t>
            </w: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Various</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560" w:type="dxa"/>
            <w:vAlign w:val="bottom"/>
            <w:gridSpan w:val="3"/>
          </w:tcPr>
          <w:p>
            <w:pPr>
              <w:ind w:left="26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4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424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09/01/2013</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BP NGL Acquisition </w:t>
            </w:r>
            <w:r>
              <w:rPr>
                <w:rFonts w:ascii="Arial" w:cs="Arial" w:eastAsia="Arial" w:hAnsi="Arial"/>
                <w:sz w:val="23"/>
                <w:szCs w:val="23"/>
                <w:color w:val="auto"/>
                <w:vertAlign w:val="superscript"/>
              </w:rPr>
              <w:t>(3)</w:t>
            </w:r>
          </w:p>
        </w:tc>
        <w:tc>
          <w:tcPr>
            <w:tcW w:w="168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04/01/2012</w:t>
            </w:r>
          </w:p>
        </w:tc>
        <w:tc>
          <w:tcPr>
            <w:tcW w:w="220" w:type="dxa"/>
            <w:vAlign w:val="bottom"/>
            <w:shd w:val="clear" w:color="auto" w:fill="CCEEFF"/>
          </w:tcPr>
          <w:p>
            <w:pPr>
              <w:jc w:val="right"/>
              <w:ind w:right="22"/>
              <w:spacing w:after="0" w:line="201"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1,633</w:t>
            </w:r>
          </w:p>
        </w:tc>
        <w:tc>
          <w:tcPr>
            <w:tcW w:w="356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Transportation, Facilities and Supply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Logistics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US Development Group Crude Oil Rail Terminals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12/13/2012</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3560" w:type="dxa"/>
            <w:vAlign w:val="bottom"/>
            <w:gridSpan w:val="3"/>
          </w:tcPr>
          <w:p>
            <w:pPr>
              <w:ind w:left="26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3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Various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150</w:t>
            </w:r>
          </w:p>
        </w:tc>
        <w:tc>
          <w:tcPr>
            <w:tcW w:w="356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Transportation, Facilities and Supply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2012</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We account for our 50% interest in BridgeTex under the equity method of accounting. See Note 8 to our Consolidated Financial Statements for further discussion of our equity method investments.</w:t>
      </w:r>
    </w:p>
    <w:p>
      <w:pPr>
        <w:spacing w:after="0" w:line="170" w:lineRule="exact"/>
        <w:rPr>
          <w:sz w:val="20"/>
          <w:szCs w:val="20"/>
          <w:color w:val="auto"/>
        </w:rPr>
      </w:pPr>
    </w:p>
    <w:p>
      <w:pPr>
        <w:ind w:left="20" w:right="80" w:hanging="11"/>
        <w:spacing w:after="0" w:line="286" w:lineRule="auto"/>
        <w:rPr>
          <w:sz w:val="20"/>
          <w:szCs w:val="20"/>
          <w:color w:val="auto"/>
        </w:rPr>
      </w:pPr>
      <w:r>
        <w:rPr>
          <w:rFonts w:ascii="Arial" w:cs="Arial" w:eastAsia="Arial" w:hAnsi="Arial"/>
          <w:sz w:val="17"/>
          <w:szCs w:val="17"/>
          <w:color w:val="auto"/>
        </w:rPr>
        <w:t>Excludes the PNG Merger completed on December 31, 2013, as we historically consolidated PNG into our financial statements for financial reporting purposes in accordance with GAAP. As consideration for the PNG Merger, we issued approximately 14.7 million PAA common units with a value of approximately $760 million. See Note 11 to our Consolidated Financial Statements for further discussion of the PNG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Total BP NGL Acquisition purchase price was approximately $1.683 billion. A cash deposit of $50 million was paid during 2011.</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2014 projects primarily included the construction and expansion of pipeline systems and storage and terminal facilities. The following table summarizes our 2014, 2013 and 2012 projects (in millions):</w:t>
      </w:r>
    </w:p>
    <w:p>
      <w:pPr>
        <w:sectPr>
          <w:pgSz w:w="11900" w:h="16838" w:orient="portrait"/>
          <w:cols w:equalWidth="0" w:num="1">
            <w:col w:w="11420"/>
          </w:cols>
          <w:pgMar w:left="240" w:top="125" w:right="239" w:bottom="0" w:gutter="0" w:footer="0" w:header="0"/>
          <w:type w:val="continuous"/>
        </w:sectPr>
      </w:pPr>
    </w:p>
    <w:p>
      <w:pPr>
        <w:spacing w:after="0" w:line="162" w:lineRule="exact"/>
        <w:rPr>
          <w:sz w:val="20"/>
          <w:szCs w:val="20"/>
          <w:color w:val="auto"/>
        </w:rPr>
      </w:pPr>
    </w:p>
    <w:p>
      <w:pPr>
        <w:spacing w:after="0"/>
        <w:tabs>
          <w:tab w:leader="none" w:pos="7160" w:val="left"/>
          <w:tab w:leader="none" w:pos="8840" w:val="left"/>
          <w:tab w:leader="none" w:pos="10480" w:val="left"/>
        </w:tabs>
        <w:rPr>
          <w:sz w:val="20"/>
          <w:szCs w:val="20"/>
          <w:color w:val="auto"/>
        </w:rPr>
      </w:pPr>
      <w:r>
        <w:rPr>
          <w:rFonts w:ascii="Arial" w:cs="Arial" w:eastAsia="Arial" w:hAnsi="Arial"/>
          <w:sz w:val="14"/>
          <w:szCs w:val="14"/>
          <w:b w:val="1"/>
          <w:bCs w:val="1"/>
          <w:color w:val="auto"/>
        </w:rPr>
        <w:t>Projects</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44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44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3" w:name="page54"/>
    <w:bookmarkEnd w:id="53"/>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Permian Basin Area Projects </w:t>
            </w:r>
            <w:r>
              <w:rPr>
                <w:rFonts w:ascii="Arial" w:cs="Arial" w:eastAsia="Arial" w:hAnsi="Arial"/>
                <w:sz w:val="23"/>
                <w:szCs w:val="23"/>
                <w:color w:val="auto"/>
                <w:vertAlign w:val="superscript"/>
              </w:rPr>
              <w:t>(1)</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3"/>
                <w:szCs w:val="23"/>
                <w:color w:val="auto"/>
                <w:vertAlign w:val="superscript"/>
              </w:rPr>
              <w:t>(1)</w:t>
            </w:r>
          </w:p>
        </w:tc>
        <w:tc>
          <w:tcPr>
            <w:tcW w:w="5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 (4)</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Fort Saskatchewan Facility Projects / NGL Line </w:t>
            </w:r>
            <w:r>
              <w:rPr>
                <w:rFonts w:ascii="Arial" w:cs="Arial" w:eastAsia="Arial" w:hAnsi="Arial"/>
                <w:sz w:val="23"/>
                <w:szCs w:val="23"/>
                <w:color w:val="auto"/>
                <w:vertAlign w:val="superscript"/>
              </w:rPr>
              <w:t>(1)</w:t>
            </w:r>
          </w:p>
        </w:tc>
        <w:tc>
          <w:tcPr>
            <w:tcW w:w="5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JV Project </w:t>
            </w:r>
            <w:r>
              <w:rPr>
                <w:rFonts w:ascii="Arial" w:cs="Arial" w:eastAsia="Arial" w:hAnsi="Arial"/>
                <w:sz w:val="23"/>
                <w:szCs w:val="23"/>
                <w:color w:val="auto"/>
                <w:vertAlign w:val="superscript"/>
              </w:rPr>
              <w:t>(1) (3)</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Western Oklahoma Pipeline</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White Cliffs Expansion </w:t>
            </w:r>
            <w:r>
              <w:rPr>
                <w:rFonts w:ascii="Arial" w:cs="Arial" w:eastAsia="Arial" w:hAnsi="Arial"/>
                <w:sz w:val="23"/>
                <w:szCs w:val="23"/>
                <w:color w:val="auto"/>
                <w:vertAlign w:val="superscript"/>
              </w:rPr>
              <w:t>(5)</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63 Reactivation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3"/>
                <w:szCs w:val="23"/>
                <w:color w:val="auto"/>
                <w:vertAlign w:val="superscript"/>
              </w:rPr>
              <w:t>(1)</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Pascagoula Pipeline</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St. James Terminal Expansions</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Eagle Ford Area Projects </w:t>
            </w:r>
            <w:r>
              <w:rPr>
                <w:rFonts w:ascii="Arial" w:cs="Arial" w:eastAsia="Arial" w:hAnsi="Arial"/>
                <w:sz w:val="23"/>
                <w:szCs w:val="23"/>
                <w:color w:val="auto"/>
                <w:vertAlign w:val="superscript"/>
              </w:rPr>
              <w:t>(1) (2)</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Rainbow II Pipeline</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projects</w:t>
            </w:r>
          </w:p>
        </w:tc>
        <w:tc>
          <w:tcPr>
            <w:tcW w:w="5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483</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492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r>
      <w:tr>
        <w:trPr>
          <w:trHeight w:val="210"/>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205740</wp:posOffset>
            </wp:positionV>
            <wp:extent cx="1826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32" w:orient="portrait"/>
          <w:cols w:equalWidth="0" w:num="1">
            <w:col w:w="11420"/>
          </w:cols>
          <w:pgMar w:left="240" w:top="9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These projects will continue into 2015. See “—Liquidity and Capital Resources—Acquisitions, Capital Expenditures and Distributions Paid to Our Unitholders, General Partner and Noncontrolling Interests—2015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 tankage and condensate stabilization.</w:t>
      </w:r>
    </w:p>
    <w:p>
      <w:pPr>
        <w:spacing w:after="0" w:line="225" w:lineRule="exact"/>
        <w:rPr>
          <w:sz w:val="20"/>
          <w:szCs w:val="20"/>
          <w:color w:val="auto"/>
        </w:rPr>
      </w:pPr>
    </w:p>
    <w:p>
      <w:pPr>
        <w:ind w:left="20" w:right="100" w:hanging="7"/>
        <w:spacing w:after="0" w:line="277" w:lineRule="auto"/>
        <w:rPr>
          <w:sz w:val="20"/>
          <w:szCs w:val="20"/>
          <w:color w:val="auto"/>
        </w:rPr>
      </w:pPr>
      <w:r>
        <w:rPr>
          <w:rFonts w:ascii="Arial" w:cs="Arial" w:eastAsia="Arial" w:hAnsi="Arial"/>
          <w:sz w:val="18"/>
          <w:szCs w:val="18"/>
          <w:color w:val="auto"/>
        </w:rPr>
        <w:t>Includes net expenditures associated with the formation of Eagle Ford Pipeline LLC in 2012, as well as subsequent contributions related to our 50%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Bakersfield, CA; Carr, CO; Manitou, ND; Van Hook, ND; Yorktown, VA; and Kerrobert, Canada rail projects.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Represents contributions related to our 35.7% investment interest in the White Cliffs Pipeline.</w:t>
      </w:r>
    </w:p>
    <w:p>
      <w:pPr>
        <w:spacing w:after="0" w:line="200" w:lineRule="exact"/>
        <w:rPr>
          <w:sz w:val="20"/>
          <w:szCs w:val="20"/>
          <w:color w:val="auto"/>
        </w:rPr>
      </w:pPr>
    </w:p>
    <w:p>
      <w:pPr>
        <w:sectPr>
          <w:pgSz w:w="11900" w:h="16932" w:orient="portrait"/>
          <w:cols w:equalWidth="0" w:num="2">
            <w:col w:w="160" w:space="480"/>
            <w:col w:w="10780"/>
          </w:cols>
          <w:pgMar w:left="240" w:top="91" w:right="239" w:bottom="0" w:gutter="0" w:footer="0" w:header="0"/>
          <w:type w:val="continuous"/>
        </w:sectPr>
      </w:pPr>
    </w:p>
    <w:p>
      <w:pPr>
        <w:spacing w:after="0" w:line="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overall increase in our expansion capital expenditures over the periods presented was primarily driven by our investment in midstream infrastructure projects to address the need for additional takeaway capacity in regions impacted by the increase in crude oil and liquids-rich gas production growth in North America. A majority of the expansion capital spent in the years presented was invested in our fee-based Transportation and Facilities segments.</w:t>
      </w:r>
    </w:p>
    <w:p>
      <w:pPr>
        <w:spacing w:after="0" w:line="18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expect to spend approximately $1.85 billion for expansion capital in 2015. See “—Liquidity and Capital Resources—Acquisitions, Capital Expenditures and Distributions Paid to Our Unitholders, General Partner and Noncontrolling Interests—2015 Capital Projects” for additional information.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have adopted various accounting policies to prepare our consolidated financial statements in accordance with generally accepted accounting principles in the United States (“GAAP”). These critical accounting policies are discussed in Note 2 to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GAAP and rules and regulations of the United States Securities and Exchange Commission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93"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believe that the assumptions, judgments and estimates involved in the accounting for our (i) purchase and sales accruals, (ii) fair value of assets and liabilities acquired and identification of associated goodwill and intangible assets, (iii) fair value of derivatives, (iv) accruals and contingent liabilities, including our equity-indexed compensation plan accruals, (v) property and equipment and depreciation expense, (vi) allowance for doubtful accounts and</w:t>
      </w:r>
    </w:p>
    <w:p>
      <w:pPr>
        <w:ind w:right="280" w:firstLine="8"/>
        <w:spacing w:after="0" w:line="255" w:lineRule="auto"/>
        <w:tabs>
          <w:tab w:leader="none" w:pos="3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inventory valuations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90"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i w:val="1"/>
          <w:iCs w:val="1"/>
          <w:color w:val="auto"/>
        </w:rPr>
        <w:t xml:space="preserve">Purchase and Sales Accruals. </w:t>
      </w:r>
      <w:r>
        <w:rPr>
          <w:rFonts w:ascii="Arial" w:cs="Arial" w:eastAsia="Arial" w:hAnsi="Arial"/>
          <w:sz w:val="16"/>
          <w:szCs w:val="16"/>
          <w:color w:val="auto"/>
        </w:rPr>
        <w:t>We routinely make accruals based on estimates for certain components of our revenues and cost of sales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compiling billing information, receiving third-party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2014, we estimate that approximately 1% of annual revenues and cost of sales were recorded using sales and purchase estimates. Accordingly, a hypothetical variance of 10% from both of these estimates, either up or down in tandem, would impact annual revenues, cost of sales, operating income and net income attributable to PAA by less than 1% on an annual basis. Although the resolution of these uncertainties has not historically had a material impact on our reported results of operations or financial condition, because of the high volume, low</w:t>
      </w:r>
    </w:p>
    <w:p>
      <w:pPr>
        <w:sectPr>
          <w:pgSz w:w="11900" w:h="16932" w:orient="portrait"/>
          <w:cols w:equalWidth="0" w:num="1">
            <w:col w:w="11420"/>
          </w:cols>
          <w:pgMar w:left="240" w:top="91" w:right="239" w:bottom="0" w:gutter="0" w:footer="0" w:header="0"/>
          <w:type w:val="continuous"/>
        </w:sectPr>
      </w:pPr>
    </w:p>
    <w:bookmarkStart w:id="54" w:name="page55"/>
    <w:bookmarkEnd w:id="54"/>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margin nature of our business, we cannot provide assurance that actual amounts will not vary significantly from estimated amounts. Variances from estimates are reflected in the period actual results become known, typically in the month following the estimate.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Fair Value of Assets and Liabilities Acquired and Identification of Associated Goodwill and Intangible Assets. </w:t>
      </w:r>
      <w:r>
        <w:rPr>
          <w:rFonts w:ascii="Arial" w:cs="Arial" w:eastAsia="Arial" w:hAnsi="Arial"/>
          <w:sz w:val="18"/>
          <w:szCs w:val="18"/>
          <w:color w:val="auto"/>
        </w:rPr>
        <w:t>In accordance with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our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9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Impairment testing entails estimating future net cash flows relating to the asset, based on management’s estimate of future revenues, future cash flows and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 Through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See Note 7 to our Consolidated Financial Statements for a further discussion of goodwill.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Our derivatives that are not elected for the normal purchases and normal sales scope exception are reported at fair value as</w:t>
      </w:r>
      <w:r>
        <w:rPr>
          <w:rFonts w:ascii="Arial" w:cs="Arial" w:eastAsia="Arial" w:hAnsi="Arial"/>
          <w:sz w:val="17"/>
          <w:szCs w:val="17"/>
          <w:i w:val="1"/>
          <w:iCs w:val="1"/>
          <w:color w:val="auto"/>
        </w:rPr>
        <w:t xml:space="preserve"> </w:t>
      </w:r>
      <w:r>
        <w:rPr>
          <w:rFonts w:ascii="Arial" w:cs="Arial" w:eastAsia="Arial" w:hAnsi="Arial"/>
          <w:sz w:val="17"/>
          <w:szCs w:val="17"/>
          <w:color w:val="auto"/>
        </w:rPr>
        <w:t>either assets or liabilities with changes in fair value recognized in either earnings or accumulated other comprehensive income / loss (“AOCI”). The fair value of a derivative at a particular period end does not reflect the end results of a particular transaction, and will most likely not reflect the gain or loss at the conclusion of a transaction. We reflect estimates for these items based on our internal records and information from third parties.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 See Note 12 to our Consolidated Financial Statements for a discussion regarding our derivatives and risk management activities.</w:t>
      </w:r>
    </w:p>
    <w:p>
      <w:pPr>
        <w:spacing w:after="0" w:line="18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Accruals and Contingent Liabilities. </w:t>
      </w:r>
      <w:r>
        <w:rPr>
          <w:rFonts w:ascii="Arial" w:cs="Arial" w:eastAsia="Arial" w:hAnsi="Arial"/>
          <w:sz w:val="17"/>
          <w:szCs w:val="17"/>
          <w:color w:val="auto"/>
        </w:rPr>
        <w:t>We record accruals or liabilities including, but not limited to, environmental remediation and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penalties, asset retirement obligations, equity-indexed compensation plan accruals (as further discussed below), bonus accruals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$15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83"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i w:val="1"/>
          <w:iCs w:val="1"/>
          <w:color w:val="auto"/>
        </w:rPr>
        <w:t xml:space="preserve">Equity-Indexed Compensation Plan Accruals. </w:t>
      </w:r>
      <w:r>
        <w:rPr>
          <w:rFonts w:ascii="Arial" w:cs="Arial" w:eastAsia="Arial" w:hAnsi="Arial"/>
          <w:sz w:val="16"/>
          <w:szCs w:val="16"/>
          <w:color w:val="auto"/>
        </w:rPr>
        <w:t>We accrue compensation expense (referred to herein as equity-indexed compensation expense)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compensation expense only if the attainment of the performance condition is considered probable.</w:t>
      </w:r>
    </w:p>
    <w:p>
      <w:pPr>
        <w:spacing w:after="0" w:line="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Uncertainties involved in this estimate include the actual unit price at time of vesting, whether or not a performance condition will be attained and the continued employment of personnel with outstanding equity-indexed compensation awards. We cannot provide assurance that the actual fair value of our equity-indexed compensation awards will not vary significantly from estimated amounts.</w:t>
      </w:r>
    </w:p>
    <w:p>
      <w:pPr>
        <w:spacing w:after="0" w:line="1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recognized equity-indexed compensation expense of $98 million, $116 million and $101 million in 2014, 2013 and 2012, respectively, related to awards granted under our various equity-indexed compensation plans. A hypothetical variance of 5% in our aggregate estimate for the equity-indexed compensation expense would have an impact on net income attributable to PAA of less than 1%. See Note 16 to our Consolidated Financial Statements for a discussion regarding our equity-indexed compensation plans.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Property and Equipment and Depreciation Expense. </w:t>
      </w:r>
      <w:r>
        <w:rPr>
          <w:rFonts w:ascii="Arial" w:cs="Arial" w:eastAsia="Arial" w:hAnsi="Arial"/>
          <w:sz w:val="18"/>
          <w:szCs w:val="18"/>
          <w:color w:val="auto"/>
        </w:rPr>
        <w:t>We compute depreciation using the straight-line method based on estimated useful lives.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w:t>
      </w:r>
    </w:p>
    <w:p>
      <w:pPr>
        <w:sectPr>
          <w:pgSz w:w="11900" w:h="16908" w:orient="portrait"/>
          <w:cols w:equalWidth="0" w:num="1">
            <w:col w:w="11420"/>
          </w:cols>
          <w:pgMar w:left="240" w:top="125" w:right="239" w:bottom="0" w:gutter="0" w:footer="0" w:header="0"/>
        </w:sectPr>
      </w:pPr>
    </w:p>
    <w:bookmarkStart w:id="55" w:name="page56"/>
    <w:bookmarkEnd w:id="55"/>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calculate impairment of property and equipment a critical accounting estimate. In determining the existence of an impairment of carrying value, we make a number of subjective assumptions as to:</w:t>
      </w:r>
    </w:p>
    <w:p>
      <w:pPr>
        <w:spacing w:after="0" w:line="170" w:lineRule="exact"/>
        <w:rPr>
          <w:sz w:val="20"/>
          <w:szCs w:val="20"/>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2014, 2013 and 2012, we recognized losses on impairments of long-lived assets of $10 million, $20 million and $168 million, respectively. The impairments recognized in 2014 and 2013 primarily related to assets that were taken out of service. These assets did not support spending the capital necessary to continue service and, in some instances, we utilized other assets to handle these activities. The impairments recognized in 2012 primarily related to our Pier 400 terminal project and the anticipated sale of certain refined products pipeline systems and related assets. See Note 6 to our Consolidated Financial Statements for further discussion regarding impairments.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$5 million in the aggregate over the years ended December 31, 2014, 2013 and 2012)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Inventory Valuations. </w:t>
      </w:r>
      <w:r>
        <w:rPr>
          <w:rFonts w:ascii="Arial" w:cs="Arial" w:eastAsia="Arial" w:hAnsi="Arial"/>
          <w:sz w:val="17"/>
          <w:szCs w:val="17"/>
          <w:color w:val="auto"/>
        </w:rPr>
        <w:t>Inventory, including long-term inventory, primarily consists of crude oil, NGL and natural gas and are valued at the lower of</w:t>
      </w:r>
      <w:r>
        <w:rPr>
          <w:rFonts w:ascii="Arial" w:cs="Arial" w:eastAsia="Arial" w:hAnsi="Arial"/>
          <w:sz w:val="17"/>
          <w:szCs w:val="17"/>
          <w:i w:val="1"/>
          <w:iCs w:val="1"/>
          <w:color w:val="auto"/>
        </w:rPr>
        <w:t xml:space="preserve"> </w:t>
      </w:r>
      <w:r>
        <w:rPr>
          <w:rFonts w:ascii="Arial" w:cs="Arial" w:eastAsia="Arial" w:hAnsi="Arial"/>
          <w:sz w:val="17"/>
          <w:szCs w:val="17"/>
          <w:color w:val="auto"/>
        </w:rPr>
        <w:t>cost or market,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also estimate the upcoming liquidation timing of the inventory. Changes in assumptions made as to the timing of a sale can materially impact net realizable value. During the years ended December 31, 2014, 2013 and 2012, we recorded charges of $289 million, $7 million and $128 million, respectively, related to the valuation adjustment of our crude oil, NGL and natural gas inventory due to declines in prices. See Note 5 to our Consolidated Financial Statements for further discussion regarding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such segment performance based on a variety of measures including segment profit, segment volumes, segment profit per barrel and maintenance capital investment. See Note 19 to our Consolidated Financial Statements for a definition of segment profit (including an explanation of why this is a performance measure) and a reconciliation of segment profit to net income attributable to PAA.</w:t>
      </w:r>
    </w:p>
    <w:p>
      <w:pPr>
        <w:spacing w:after="0" w:line="15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for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8"/>
              </w:rPr>
              <w:t>Favorable/(Unfavorable) Variance</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2014-2013</w:t>
            </w:r>
          </w:p>
        </w:tc>
        <w:tc>
          <w:tcPr>
            <w:tcW w:w="34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2013-2012</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2014</w:t>
            </w:r>
          </w:p>
        </w:tc>
        <w:tc>
          <w:tcPr>
            <w:tcW w:w="130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8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right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6" w:name="page57"/>
    <w:bookmarkEnd w:id="5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2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1,945</w:t>
            </w:r>
          </w:p>
        </w:tc>
        <w:tc>
          <w:tcPr>
            <w:tcW w:w="18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vMerge w:val="continue"/>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vMerge w:val="continue"/>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8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2.41</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income per limited partner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60"/>
              <w:spacing w:after="0" w:line="201" w:lineRule="exact"/>
              <w:rPr>
                <w:sz w:val="20"/>
                <w:szCs w:val="20"/>
                <w:color w:val="auto"/>
              </w:rPr>
            </w:pPr>
            <w:r>
              <w:rPr>
                <w:rFonts w:ascii="Arial" w:cs="Arial" w:eastAsia="Arial" w:hAnsi="Arial"/>
                <w:sz w:val="18"/>
                <w:szCs w:val="18"/>
                <w:color w:val="auto"/>
                <w:w w:val="97"/>
              </w:rPr>
              <w:t>Basic weighted average limited partner units</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 weighted average limited partner</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units outstanding</w:t>
            </w: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inventory valuation adjustments, (iv) items that are not indicative of our core operating results and business outlook and/or (v)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Consolidated Financial Statements and footnotes.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w w:val="97"/>
              </w:rPr>
              <w:t>Favorable/(Unfavorable) Variance</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7"/>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2014-2013</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2013-2012</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2,168</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1,951</w:t>
            </w:r>
          </w:p>
        </w:tc>
        <w:tc>
          <w:tcPr>
            <w:tcW w:w="200" w:type="dxa"/>
            <w:vAlign w:val="bottom"/>
            <w:tcBorders>
              <w:right w:val="single" w:sz="8" w:color="auto"/>
            </w:tcBorders>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w w:val="99"/>
              </w:rPr>
              <w:t>Selected Items Impacting Comparability of EBITDA</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 activities net of</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3"/>
                <w:szCs w:val="23"/>
                <w:color w:val="auto"/>
                <w:vertAlign w:val="superscript"/>
              </w:rPr>
              <w:t>(1)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Long-term inventory valuation adjustments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(1,200)%</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Significant acquisition-related expenses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Selected Items Impacting Comparability of EBITDA</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Selected Items Impacting Comparability of EBITDA</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Equity earnings in unconsolidated entities, net of</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ind w:left="160"/>
              <w:spacing w:after="0" w:line="205"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(7)</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7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line="205"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8"/>
              <w:spacing w:after="0" w:line="205"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86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92%</w:t>
            </w:r>
          </w:p>
        </w:tc>
        <w:tc>
          <w:tcPr>
            <w:tcW w:w="220" w:type="dxa"/>
            <w:vAlign w:val="bottom"/>
          </w:tcPr>
          <w:p>
            <w:pPr>
              <w:spacing w:after="0"/>
              <w:rPr>
                <w:sz w:val="17"/>
                <w:szCs w:val="17"/>
                <w:color w:val="auto"/>
              </w:rPr>
            </w:pPr>
          </w:p>
        </w:tc>
        <w:tc>
          <w:tcPr>
            <w:tcW w:w="7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76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Implied DCF</w:t>
            </w: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3"/>
                <w:szCs w:val="23"/>
                <w:color w:val="auto"/>
                <w:vertAlign w:val="superscript"/>
              </w:rPr>
              <w:t>(7)</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(1,469)</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3"/>
                <w:szCs w:val="23"/>
                <w:color w:val="auto"/>
                <w:vertAlign w:val="superscript"/>
              </w:rPr>
              <w:t>(8)</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0" w:hanging="11"/>
        <w:spacing w:after="0" w:line="255"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We also exclude the impact of corresponding inventory valuation adjustments, as applicable. See Note 12 to our Consolidated Financial Statements for a comprehensive discussion regarding our derivatives and risk management activities.</w:t>
      </w:r>
    </w:p>
    <w:p>
      <w:pPr>
        <w:spacing w:after="0" w:line="189" w:lineRule="exact"/>
        <w:rPr>
          <w:sz w:val="20"/>
          <w:szCs w:val="20"/>
          <w:color w:val="auto"/>
        </w:rPr>
      </w:pPr>
    </w:p>
    <w:p>
      <w:pPr>
        <w:ind w:left="20" w:right="20" w:hanging="11"/>
        <w:spacing w:after="0" w:line="255" w:lineRule="auto"/>
        <w:rPr>
          <w:sz w:val="20"/>
          <w:szCs w:val="20"/>
          <w:color w:val="auto"/>
        </w:rPr>
      </w:pPr>
      <w:r>
        <w:rPr>
          <w:rFonts w:ascii="Arial" w:cs="Arial" w:eastAsia="Arial" w:hAnsi="Arial"/>
          <w:sz w:val="18"/>
          <w:szCs w:val="18"/>
          <w:color w:val="auto"/>
        </w:rPr>
        <w:t>We carry approximately 4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as a Selected Item Impacting Comparability of EBITDA. During the fourth quarter of 2014, crude oil and NGL prices decreased significantly resulting in an inventory valuation adjustment. See Note 5 to our Consolidated Financial Statements for additional inventory disclosures.</w:t>
      </w:r>
    </w:p>
    <w:p>
      <w:pPr>
        <w:spacing w:after="0" w:line="18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652"/>
        <w:spacing w:after="0" w:line="243" w:lineRule="auto"/>
        <w:tabs>
          <w:tab w:leader="none" w:pos="648"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 considered a selected item impacting comparability. See Note 16 to our Consolidated Financial Statements for a comprehensive discussion regarding our equity-indexed compensation plans.</w:t>
      </w:r>
    </w:p>
    <w:p>
      <w:pPr>
        <w:spacing w:after="0" w:line="203" w:lineRule="exact"/>
        <w:rPr>
          <w:rFonts w:ascii="Arial" w:cs="Arial" w:eastAsia="Arial" w:hAnsi="Arial"/>
          <w:sz w:val="23"/>
          <w:szCs w:val="23"/>
          <w:color w:val="auto"/>
          <w:vertAlign w:val="superscript"/>
        </w:rPr>
      </w:pPr>
    </w:p>
    <w:p>
      <w:pPr>
        <w:jc w:val="both"/>
        <w:ind w:left="660" w:right="120" w:hanging="652"/>
        <w:spacing w:after="0" w:line="269" w:lineRule="auto"/>
        <w:tabs>
          <w:tab w:leader="none" w:pos="648"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During 2014, 2013 and 2012, there were fluctuations in the value of the Canadian dollar (“CAD”) to the U.S. dollar (“USD”), resulting in gains and losses that were not related to our core operating results for the period and were thus classified as selected items impacting comparability. See Note 12 to our Consolidated Financial Statements for further discussion regarding our currency exchange rate risk hedging activities.</w:t>
      </w:r>
    </w:p>
    <w:p>
      <w:pPr>
        <w:sectPr>
          <w:pgSz w:w="11900" w:h="16838" w:orient="portrait"/>
          <w:cols w:equalWidth="0" w:num="1">
            <w:col w:w="11420"/>
          </w:cols>
          <w:pgMar w:left="240" w:top="140" w:right="239" w:bottom="0" w:gutter="0" w:footer="0" w:header="0"/>
          <w:type w:val="continuous"/>
        </w:sectPr>
      </w:pP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Includes other immaterial selected items impacting comparability.</w:t>
      </w:r>
    </w:p>
    <w:p>
      <w:pPr>
        <w:spacing w:after="0" w:line="225" w:lineRule="exact"/>
        <w:rPr>
          <w:sz w:val="20"/>
          <w:szCs w:val="20"/>
          <w:color w:val="auto"/>
        </w:rPr>
      </w:pPr>
    </w:p>
    <w:p>
      <w:pPr>
        <w:ind w:left="20" w:right="16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distributions that pertain to the current period’s net income and are paid in the subsequent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Transportation Segment</w:t>
      </w:r>
    </w:p>
    <w:p>
      <w:pPr>
        <w:spacing w:after="0" w:line="200" w:lineRule="exact"/>
        <w:rPr>
          <w:sz w:val="20"/>
          <w:szCs w:val="20"/>
          <w:color w:val="auto"/>
        </w:rPr>
      </w:pPr>
    </w:p>
    <w:p>
      <w:pPr>
        <w:sectPr>
          <w:pgSz w:w="11900" w:h="16838" w:orient="portrait"/>
          <w:cols w:equalWidth="0" w:num="2">
            <w:col w:w="160" w:space="480"/>
            <w:col w:w="10780"/>
          </w:cols>
          <w:pgMar w:left="240" w:top="140" w:right="239" w:bottom="0" w:gutter="0" w:footer="0" w:header="0"/>
          <w:type w:val="continuous"/>
        </w:sectPr>
      </w:pPr>
    </w:p>
    <w:p>
      <w:pPr>
        <w:spacing w:after="0" w:line="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80" w:type="dxa"/>
            <w:vAlign w:val="bottom"/>
          </w:tcPr>
          <w:p>
            <w:pPr>
              <w:spacing w:after="0"/>
              <w:rPr>
                <w:sz w:val="14"/>
                <w:szCs w:val="14"/>
                <w:color w:val="auto"/>
              </w:rPr>
            </w:pPr>
          </w:p>
        </w:tc>
        <w:tc>
          <w:tcPr>
            <w:tcW w:w="222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9"/>
              </w:rPr>
              <w:t>Favorable/(Unfavorable) Variance</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22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2014-2013</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2013-2012</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Tariff activities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1,293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560" w:type="dxa"/>
            <w:vAlign w:val="bottom"/>
            <w:gridSpan w:val="2"/>
          </w:tcPr>
          <w:p>
            <w:pPr>
              <w:jc w:val="right"/>
              <w:ind w:right="148"/>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Total transportation revenues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1,655</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1,498</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Borders>
              <w:right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Equity-indexed compensation expense -</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gridSpan w:val="2"/>
          </w:tcPr>
          <w:p>
            <w:pPr>
              <w:ind w:left="160"/>
              <w:spacing w:after="0" w:line="162" w:lineRule="exact"/>
              <w:rPr>
                <w:sz w:val="20"/>
                <w:szCs w:val="20"/>
                <w:color w:val="auto"/>
              </w:rPr>
            </w:pPr>
            <w:r>
              <w:rPr>
                <w:rFonts w:ascii="Arial" w:cs="Arial" w:eastAsia="Arial" w:hAnsi="Arial"/>
                <w:sz w:val="18"/>
                <w:szCs w:val="18"/>
                <w:color w:val="auto"/>
                <w:w w:val="96"/>
              </w:rPr>
              <w:t>Segment general and administrative expenses</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3540" w:type="dxa"/>
            <w:vAlign w:val="bottom"/>
            <w:gridSpan w:val="2"/>
          </w:tcPr>
          <w:p>
            <w:pPr>
              <w:ind w:left="360"/>
              <w:spacing w:after="0"/>
              <w:rPr>
                <w:sz w:val="20"/>
                <w:szCs w:val="20"/>
                <w:color w:val="auto"/>
              </w:rPr>
            </w:pPr>
            <w:r>
              <w:rPr>
                <w:rFonts w:ascii="Arial" w:cs="Arial" w:eastAsia="Arial" w:hAnsi="Arial"/>
                <w:sz w:val="12"/>
                <w:szCs w:val="12"/>
                <w:color w:val="auto"/>
              </w:rPr>
              <w:t>(2) (3)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Equity-indexed compensation expense -</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gridSpan w:val="3"/>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c>
          <w:tcPr>
            <w:tcW w:w="220" w:type="dxa"/>
            <w:vAlign w:val="bottom"/>
            <w:vMerge w:val="continue"/>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200" w:type="dxa"/>
            <w:vAlign w:val="bottom"/>
            <w:tcBorders>
              <w:right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0"/>
                <w:szCs w:val="20"/>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(42)</w:t>
            </w:r>
          </w:p>
        </w:tc>
        <w:tc>
          <w:tcPr>
            <w:tcW w:w="2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(34)%</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2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0.08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top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140" w:right="239" w:bottom="0" w:gutter="0" w:footer="0" w:header="0"/>
          <w:type w:val="continuous"/>
        </w:sectPr>
      </w:pPr>
    </w:p>
    <w:bookmarkStart w:id="58" w:name="page59"/>
    <w:bookmarkEnd w:id="58"/>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400" w:type="dxa"/>
            <w:vAlign w:val="bottom"/>
            <w:gridSpan w:val="5"/>
            <w:vMerge w:val="restart"/>
          </w:tcPr>
          <w:p>
            <w:pPr>
              <w:ind w:left="720"/>
              <w:spacing w:after="0"/>
              <w:rPr>
                <w:sz w:val="20"/>
                <w:szCs w:val="20"/>
                <w:color w:val="auto"/>
              </w:rPr>
            </w:pPr>
            <w:r>
              <w:rPr>
                <w:rFonts w:ascii="Arial" w:cs="Arial" w:eastAsia="Arial" w:hAnsi="Arial"/>
                <w:sz w:val="14"/>
                <w:szCs w:val="14"/>
                <w:b w:val="1"/>
                <w:bCs w:val="1"/>
                <w:color w:val="auto"/>
                <w:w w:val="96"/>
              </w:rPr>
              <w:t>Year Ended December 31,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6"/>
              </w:rPr>
              <w:t>Favorable/(Unfavorable) Variance</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2400" w:type="dxa"/>
            <w:vAlign w:val="bottom"/>
            <w:tcBorders>
              <w:bottom w:val="single" w:sz="8" w:color="auto"/>
            </w:tcBorders>
            <w:gridSpan w:val="5"/>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Borders>
              <w:bottom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2014-2013</w:t>
            </w:r>
          </w:p>
        </w:tc>
        <w:tc>
          <w:tcPr>
            <w:tcW w:w="3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2013-2012</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86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86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Volumes</w:t>
            </w:r>
          </w:p>
        </w:tc>
        <w:tc>
          <w:tcPr>
            <w:tcW w:w="6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Volumes</w:t>
            </w:r>
          </w:p>
        </w:tc>
        <w:tc>
          <w:tcPr>
            <w:tcW w:w="58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American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Bakken Area Systems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Basin / Mesa / Sunrise</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BridgeTex</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N/A</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Capline</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Eagle Ford Area Systems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123%</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Line 63 / Line 2000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Manito</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Mid-Continent Area Systems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Permian Basin Area Systems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765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Rainbow</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Rangeland</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Salt Lake City Area Systems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South Saskatchewan</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White Cliffs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767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Co-Ed</w:t>
            </w: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Refined Products Pipelines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(100)%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8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Trucking</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8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7"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2120" w:hanging="11"/>
        <w:spacing w:after="0" w:line="342" w:lineRule="auto"/>
        <w:rPr>
          <w:sz w:val="20"/>
          <w:szCs w:val="20"/>
          <w:color w:val="auto"/>
        </w:rPr>
      </w:pPr>
      <w:r>
        <w:rPr>
          <w:rFonts w:ascii="Arial" w:cs="Arial" w:eastAsia="Arial" w:hAnsi="Arial"/>
          <w:sz w:val="16"/>
          <w:szCs w:val="16"/>
          <w:color w:val="auto"/>
        </w:rPr>
        <w:t>Volumes associated with assets employed through acquisitions and capital expansion projects represent total volumes (attributable to our interest) for the number of days we employed the assets divided by the number of days in the period.</w:t>
      </w:r>
    </w:p>
    <w:p>
      <w:pPr>
        <w:spacing w:after="0" w:line="124" w:lineRule="exact"/>
        <w:rPr>
          <w:sz w:val="20"/>
          <w:szCs w:val="20"/>
          <w:color w:val="auto"/>
        </w:rPr>
      </w:pPr>
    </w:p>
    <w:p>
      <w:pPr>
        <w:sectPr>
          <w:pgSz w:w="11900" w:h="16877" w:orient="portrait"/>
          <w:cols w:equalWidth="0" w:num="2">
            <w:col w:w="140" w:space="500"/>
            <w:col w:w="10780"/>
          </w:cols>
          <w:pgMar w:left="240" w:top="341" w:right="239" w:bottom="0" w:gutter="0" w:footer="0" w:header="0"/>
          <w:type w:val="continuous"/>
        </w:sectPr>
      </w:pPr>
    </w:p>
    <w:p>
      <w:pPr>
        <w:ind w:right="26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agreements generally reflects a negotiated amount.</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year-over-year for each comparative period presented. Our Transportation segment results were impacted by the following for the years ended December 31, 2014, 2013 and 2012:</w:t>
      </w:r>
    </w:p>
    <w:p>
      <w:pPr>
        <w:spacing w:after="0" w:line="181" w:lineRule="exact"/>
        <w:rPr>
          <w:sz w:val="20"/>
          <w:szCs w:val="20"/>
          <w:color w:val="auto"/>
        </w:rPr>
      </w:pPr>
    </w:p>
    <w:p>
      <w:pPr>
        <w:ind w:left="660" w:right="20" w:hanging="328"/>
        <w:spacing w:after="0" w:line="289" w:lineRule="auto"/>
        <w:tabs>
          <w:tab w:leader="none" w:pos="6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North American Crude Oil Production— During the years ended December 31, 2014 and 2013, the increase in North American crude oil production had a favorable impact on our results over the comparative periods presented. We experienced increased volumes and revenues on our existing pipeline systems, as well as incremental volumes and revenues from the expansion of certain of our pipelines systems, the construction of new pipelines and increased interconnectivity in the Permian Basin as a result of increased opportunities for midstream infrastructure development in production growth areas. For each of the comparative year-over-year periods presented, we experienced increased volumes, most notably on our Permian Basin Area Systems, Eagle Ford Area Systems (including the Eagle Ford pipeline) and certain pipelines included in our Mid-Continent Area Systems, as well as incremental revenue from increased pumpover movements at our Basin pipeline terminal. We estimate that the impact of increased production and related midstream infrastructure development increased our revenues by $95 million for the year ended December 31, 2014 over the year ended December 31, 2013 and $40 million for the year ended December 31, 2013 period over the year ended December 31, 2012.</w:t>
      </w:r>
    </w:p>
    <w:p>
      <w:pPr>
        <w:spacing w:after="0" w:line="166" w:lineRule="exact"/>
        <w:rPr>
          <w:rFonts w:ascii="Arial" w:cs="Arial" w:eastAsia="Arial" w:hAnsi="Arial"/>
          <w:sz w:val="16"/>
          <w:szCs w:val="16"/>
          <w:color w:val="auto"/>
        </w:rPr>
      </w:pPr>
    </w:p>
    <w:p>
      <w:pPr>
        <w:ind w:left="660" w:right="220" w:hanging="328"/>
        <w:spacing w:after="0" w:line="302" w:lineRule="auto"/>
        <w:tabs>
          <w:tab w:leader="none" w:pos="6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Loss Allowance Revenue —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$46 million for 2014 over 2013 and</w:t>
      </w:r>
    </w:p>
    <w:p>
      <w:pPr>
        <w:sectPr>
          <w:pgSz w:w="11900" w:h="16877" w:orient="portrait"/>
          <w:cols w:equalWidth="0" w:num="1">
            <w:col w:w="11420"/>
          </w:cols>
          <w:pgMar w:left="240" w:top="341" w:right="239" w:bottom="0" w:gutter="0" w:footer="0" w:header="0"/>
          <w:type w:val="continuous"/>
        </w:sectPr>
      </w:pPr>
    </w:p>
    <w:bookmarkStart w:id="59" w:name="page60"/>
    <w:bookmarkEnd w:id="59"/>
    <w:p>
      <w:pPr>
        <w:ind w:left="660" w:right="140"/>
        <w:spacing w:after="0" w:line="277" w:lineRule="auto"/>
        <w:rPr>
          <w:sz w:val="20"/>
          <w:szCs w:val="20"/>
          <w:color w:val="auto"/>
        </w:rPr>
      </w:pPr>
      <w:r>
        <w:rPr>
          <w:rFonts w:ascii="Arial" w:cs="Arial" w:eastAsia="Arial" w:hAnsi="Arial"/>
          <w:sz w:val="18"/>
          <w:szCs w:val="18"/>
          <w:color w:val="auto"/>
        </w:rPr>
        <w:t>was primarily driven by higher volumes. The loss allowance revenue decreased by $23 million for 2013 compared to 2012 primarily due to a lower average realized price per barrel.</w:t>
      </w:r>
    </w:p>
    <w:p>
      <w:pPr>
        <w:spacing w:after="0" w:line="170" w:lineRule="exact"/>
        <w:rPr>
          <w:sz w:val="20"/>
          <w:szCs w:val="20"/>
          <w:color w:val="auto"/>
        </w:rPr>
      </w:pPr>
    </w:p>
    <w:p>
      <w:pPr>
        <w:ind w:left="660" w:right="80" w:hanging="328"/>
        <w:spacing w:after="0" w:line="279" w:lineRule="auto"/>
        <w:tabs>
          <w:tab w:leader="none" w:pos="6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Rate Changes — Revenues on our pipelines are impacted by various rate changes that occur during the period. These primarily include the indexing of rates on our FERC regulated pipelines, rate increases or decreases on our intrastate and Canadian pipelines or other negotiated rate changes. We estimate that the net impact of rate changes on our pipelines increased revenues by $40 million and $50 million during the year ended December 31, 2014 compared to 2013 and the year ended December 31, 2013 compared to 2012, respectively.</w:t>
      </w:r>
    </w:p>
    <w:p>
      <w:pPr>
        <w:spacing w:after="0" w:line="171" w:lineRule="exact"/>
        <w:rPr>
          <w:rFonts w:ascii="Arial" w:cs="Arial" w:eastAsia="Arial" w:hAnsi="Arial"/>
          <w:sz w:val="17"/>
          <w:szCs w:val="17"/>
          <w:color w:val="auto"/>
        </w:rPr>
      </w:pPr>
    </w:p>
    <w:p>
      <w:pPr>
        <w:ind w:left="660" w:right="60" w:hanging="328"/>
        <w:spacing w:after="0" w:line="257" w:lineRule="auto"/>
        <w:tabs>
          <w:tab w:leader="none" w:pos="6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 of Refined Products Pipelines — We sold certain refined products pipeline systems and related assets in July 2013 and November 2013. For the year ended December 31, 2013 compared to the year ended December 31, 2012, revenues and volumes on our refined products pipelines were lower by $15 million and 48,000 barrels per day, respectively, primarily due to the sale of such pipelines and related assets. As we did not own these assets during 2014, our revenues were lower by $28 million and volumes were lower by 68,000 barrels per day as compared to the year ended December 31, 2013.</w:t>
      </w:r>
    </w:p>
    <w:p>
      <w:pPr>
        <w:spacing w:after="0" w:line="188" w:lineRule="exact"/>
        <w:rPr>
          <w:rFonts w:ascii="Arial" w:cs="Arial" w:eastAsia="Arial" w:hAnsi="Arial"/>
          <w:sz w:val="18"/>
          <w:szCs w:val="18"/>
          <w:color w:val="auto"/>
        </w:rPr>
      </w:pPr>
    </w:p>
    <w:p>
      <w:pPr>
        <w:ind w:left="660" w:right="60" w:hanging="328"/>
        <w:spacing w:after="0" w:line="273" w:lineRule="auto"/>
        <w:tabs>
          <w:tab w:leader="none" w:pos="6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2014, 2013 and 2012 were $1.10 CAD: $1.00 USD, $1.03 CAD: $1.00 USD, and $1.00 CAD: $1.00 USD, respectively. Therefore, we estimate that revenues from our Canadian pipeline systems and trucking operations were unfavorably impacted by $28 million for the year ended December 31, 2014 compared to the year ended December 31, 2013 and by $13 million for the year ended December 31, 2013 compared to the year ended December 31, 2012 due to the depreciation of the Canadian dollar relative to the U.S. dollar.</w:t>
      </w:r>
    </w:p>
    <w:p>
      <w:pPr>
        <w:spacing w:after="0" w:line="178" w:lineRule="exact"/>
        <w:rPr>
          <w:rFonts w:ascii="Arial" w:cs="Arial" w:eastAsia="Arial" w:hAnsi="Arial"/>
          <w:sz w:val="17"/>
          <w:szCs w:val="17"/>
          <w:color w:val="auto"/>
        </w:rPr>
      </w:pPr>
    </w:p>
    <w:p>
      <w:pPr>
        <w:ind w:left="660" w:right="180" w:hanging="328"/>
        <w:spacing w:after="0" w:line="279" w:lineRule="auto"/>
        <w:tabs>
          <w:tab w:leader="none" w:pos="6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BP NGL Acquisition Assets — We acquired pipelines through the BP NGL Acquisition completed on April 1, 2012. These assets contributed $27 million of additional tariff revenues for the year ended December 31, 2013 over the year ended December 31, 2012, which was primarily related to the benefit from a full period of ownership of these assets (as we only owned the assets for nine months of 2012). This increase excludes the unfavorable impacts on our Co-Ed pipeline related to (i) rate changes and (ii) weather-related downtime, as discussed below.</w:t>
      </w:r>
    </w:p>
    <w:p>
      <w:pPr>
        <w:spacing w:after="0" w:line="171" w:lineRule="exact"/>
        <w:rPr>
          <w:rFonts w:ascii="Arial" w:cs="Arial" w:eastAsia="Arial" w:hAnsi="Arial"/>
          <w:sz w:val="17"/>
          <w:szCs w:val="17"/>
          <w:color w:val="auto"/>
        </w:rPr>
      </w:pPr>
    </w:p>
    <w:p>
      <w:pPr>
        <w:ind w:left="660" w:right="220" w:hanging="328"/>
        <w:spacing w:after="0" w:line="276" w:lineRule="auto"/>
        <w:tabs>
          <w:tab w:leader="none" w:pos="6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Weather-Related Downtime — During the second and third quarters of 2013, our Rangeland, South Saskatchewan and Co-Ed pipelines in Canada were shut down due to high river flow rates and flooding in the surrounding area. We estimate that the downtime on these pipelines negatively impacted revenues and volumes by $15 million to $20 million and 15,000 to 20,000 barrels per day, respectively, for the year ended December 31, 2013. Similar weather-related downtime did not occur during the years ended December 31, 2014 or 2012 and, therefore, we experienced more favorable results in those periods as compared to the year ended December 31, 2013.</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93" w:lineRule="auto"/>
        <w:tabs>
          <w:tab w:leader="none" w:pos="6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Rail Impact — Volumes and revenues, primarily on our Manito and Rainbow pipelines and certain pipelines included in our Bakken Area Systems, were unfavorably impacted by producer decisions to deliver more crude oil to rail loading facilities in the area during the year ended December 31, 2013 compared to the year ended December 31, 2012. We estimate that volumes decreased by approximately 25,000 to 30,000 barrels per day and the impact to revenues was a decrease of $20 million over the comparative periods. During the year ended December 31, 2014, we did not experience the same decrease in volumes on these pipelines as compared to the prior period, and we also experienced favorable impacts on our South Saskatchewan pipeline related to producer decisions to deliver more crude oil via pipeline as opposed to using competing alternatives such as rail.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noteworthy volume and revenue variances for the year ended December 31, 2014 compared to 2013 include (i) additional revenues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million resulting from a reclassification of certain of our Canadian storage facilities from our Facilities segment to our Transportation segment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2014 (ii) incremental volumes and revenues from our Pascagoula, Wascana and Bakken North pipelines, which were placed into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2014, (iii) decreased volumes and revenues on certain of our NGL pipelines due to (a) the discontinuation in the fourth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of an agreement to transport volumes on a pipeline and (b) the impact of netting joint venture related volumes to our share on a pipeline during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did not affect revenues and (iv) decreased volumes on our Rainbow pipeline due to (a) lower producer volumes and (b) operational issues during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2014; however, the unfavorable revenue impact of these decreases in volumes on Rainbow pipeline was offset by favorable revenue variances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an increase in tariff rates and the reclassification of a storage facility from our Facilities segment, the impacts of both of which are discussed above.</w:t>
      </w:r>
    </w:p>
    <w:p>
      <w:pPr>
        <w:spacing w:after="0" w:line="234"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Additional noteworthy volume and revenue variances for the year ended December 31, 2013 compared to 2012 include (i) increased volumes and revenues on our All American pipeline due to higher production levels in 2013 coupled with lower maintenance activities at the production facilities in 2013 compared to 2012, (ii) decreases on the Salt Lake City Area Systems and our Line 63 and Line 2000 pipelines due to refinery maintenance issues and lower refinery demand for pipeline barrels; however, revenues on Line 63 pipeline were consistent with 2012 results due to movements on higher tariff segments and (iii) increased trucking activity due to increased demand for production transported to rail terminals and hauls from pipeline disruptions.</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increased during the year ended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2013 primarily due to (i) a change in classification of $14 million of certain costs from General and administrative expenses, (ii) increased asset integrity spending, (iii) higher property tax expense due to capital expansion and (iv) higher utility costs associated with increased throughput volumes. The increase in operating costs for the comparative year ended periods was partially offset by a reduction in environmental remediation costs and an $11 million favorable impact of foreign exchange.</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Field operating costs (excluding equity-indexed compensation expense) increased during the year ended December 31, 2013 compared to the year ended December 31, 2012 primarily due to (i) higher environmental response, remediation and related repair expenses associated with pipeline releases of $21 million, (ii) higher integrity management expenses associated with smart pigging and other integrity work, (iii) higher payroll costs, primarily due to the BP NGL Acquisition and increased headcount and (iv) $4 million of cost incurred associated with the testing of certain lines that we considered bringing back into service. Excluding the impacts of the environmental response and remediation expenses, field operating costs in general remained relatively consistent on a per barrel basis during the comparable annual periods.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decreased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2014 over the year ended December 31, 2013 due to a change in classification of $14 million of certain costs to Field operating costs and a $5 million favorable impact of foreign exchange.</w:t>
      </w:r>
    </w:p>
    <w:p>
      <w:pPr>
        <w:sectPr>
          <w:pgSz w:w="11900" w:h="16838" w:orient="portrait"/>
          <w:cols w:equalWidth="0" w:num="1">
            <w:col w:w="11420"/>
          </w:cols>
          <w:pgMar w:left="240" w:top="125" w:right="239" w:bottom="0" w:gutter="0" w:footer="0" w:header="0"/>
        </w:sectPr>
      </w:pPr>
    </w:p>
    <w:bookmarkStart w:id="60" w:name="page61"/>
    <w:bookmarkEnd w:id="60"/>
    <w:p>
      <w:pPr>
        <w:spacing w:after="0" w:line="6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General and administrative expenses (excluding equity-indexed compensation expenses) increased during the year ended December 31, 2013 over the year ended December 31, 2012 due to the continued overall growth of the segment and legal fees incurred in connection with the sale of certain of our refined products pipelines in 2013.</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 xml:space="preserve">Equity-Indexed Compensation Expenses. </w:t>
      </w:r>
      <w:r>
        <w:rPr>
          <w:rFonts w:ascii="Arial" w:cs="Arial" w:eastAsia="Arial" w:hAnsi="Arial"/>
          <w:sz w:val="17"/>
          <w:szCs w:val="17"/>
          <w:color w:val="auto"/>
        </w:rPr>
        <w:t>A majority of our equity-indexed compensation awards (including the AAP Management Units)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December 31, 2014 and 2013, we determined that PAA distribution levels of $2.90 and $2.75 per unit, respectively, were probable of occurring. Furthermore, a change in unit price impacts the fair value of our liability-classified awards. See Note 16 to our Consolidated Financial Statements for additional information regarding our equity-indexed compensation plans.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a consolidated basis, equity-indexed compensation expense decreased by approximately $18 million for the year ended December 31, 2014 over the year ended December 31, 2013 primarily due to the impact of the decrease in unit price during the year ended December 31, 2014 compared to the impact of the increase in unit price during the year ended December 31, 2013. Equity-indexed compensation expense increased by approximately $15 million for the year ended December 31, 2013 compared to the year ended December 31, 2012, primarily due to the following: (i) a more significant impact of the increase in unit price during the year ended December 31, 2013 compared to the impact of the increase during the year ended December 31, 2012, (ii) a greater number of units deemed probable of vesting for the year ended December 31, 2013 compared to the year ended December 31, 2012 and (iii) a higher average fair value per unit for those units deemed probable of vesting for the year ended December 31, 2013 compared to the year ended December 31, 2012.</w:t>
      </w:r>
    </w:p>
    <w:p>
      <w:pPr>
        <w:spacing w:after="0" w:line="167"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i w:val="1"/>
          <w:iCs w:val="1"/>
          <w:color w:val="auto"/>
        </w:rPr>
        <w:t>Equity Earnings in Unconsolidated Entities</w:t>
      </w:r>
      <w:r>
        <w:rPr>
          <w:rFonts w:ascii="Arial" w:cs="Arial" w:eastAsia="Arial" w:hAnsi="Arial"/>
          <w:sz w:val="17"/>
          <w:szCs w:val="17"/>
          <w:color w:val="auto"/>
        </w:rPr>
        <w:t>. The favorable variance in equity earnings in unconsolidated entities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compared to the year ended December 31, 2013 was primarily driven by (i) increased throughput on the Eagle Ford pipeline as a result of increased crude oil production, as discussed above, (ii) increased throughput on the White Cliffs pipeline due to an expansion of the pipeline that was placed into service in July 2014, and (iii) earnings from our interest in BridgeTex, which we acquired in November 2014.</w:t>
      </w:r>
    </w:p>
    <w:p>
      <w:pPr>
        <w:spacing w:after="0" w:line="17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favorable variance for the year ended December 31, 2013 compared to the year ended December 31, 2012 was largely due to (i) increased throughput on the Eagle Ford and White Cliffs pipelines as a result of increased production, as discussed above and (ii) increased capacity related to vessel additions and increased rates on services provided by Settoon Towing.</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increase in maintenance capital in 2014 compared to 2013 is primarily due to pipeline replacement projects and increased investments in pipeline integrity. The increase in maintenance capital in 2013 compared to 2012 is primarily due to increased investments on pipeline integrity projects.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22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w w:val="91"/>
              </w:rPr>
              <w:t>Favorable/(Unfavorable) Variance</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7"/>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2014-2013</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2013-2012</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8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4"/>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Storage related costs (natural gas related)</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4"/>
          </w:tcPr>
          <w:p>
            <w:pPr>
              <w:spacing w:after="0" w:line="216" w:lineRule="exact"/>
              <w:rPr>
                <w:sz w:val="20"/>
                <w:szCs w:val="20"/>
                <w:color w:val="auto"/>
              </w:rPr>
            </w:pPr>
            <w:r>
              <w:rPr>
                <w:rFonts w:ascii="Arial" w:cs="Arial" w:eastAsia="Arial" w:hAnsi="Arial"/>
                <w:sz w:val="18"/>
                <w:szCs w:val="18"/>
                <w:color w:val="auto"/>
              </w:rPr>
              <w:t xml:space="preserve">Natural gas sales costs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4"/>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gridSpan w:val="4"/>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4"/>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560" w:type="dxa"/>
            <w:vAlign w:val="bottom"/>
            <w:gridSpan w:val="4"/>
            <w:shd w:val="clear" w:color="auto" w:fill="CCEEFF"/>
          </w:tcPr>
          <w:p>
            <w:pPr>
              <w:spacing w:after="0" w:line="162" w:lineRule="exact"/>
              <w:rPr>
                <w:sz w:val="20"/>
                <w:szCs w:val="20"/>
                <w:color w:val="auto"/>
              </w:rPr>
            </w:pPr>
            <w:r>
              <w:rPr>
                <w:rFonts w:ascii="Arial" w:cs="Arial" w:eastAsia="Arial" w:hAnsi="Arial"/>
                <w:sz w:val="18"/>
                <w:szCs w:val="18"/>
                <w:color w:val="auto"/>
                <w:w w:val="95"/>
              </w:rPr>
              <w:t>Segment general and administrative expenses</w:t>
            </w:r>
          </w:p>
        </w:tc>
        <w:tc>
          <w:tcPr>
            <w:tcW w:w="20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(3) (4)</w:t>
            </w:r>
          </w:p>
        </w:tc>
        <w:tc>
          <w:tcPr>
            <w:tcW w:w="2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60" w:type="dxa"/>
            <w:vAlign w:val="bottom"/>
            <w:gridSpan w:val="4"/>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4"/>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4"/>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Borders>
              <w:right w:val="single" w:sz="8" w:color="auto"/>
            </w:tcBorders>
            <w:vMerge w:val="continue"/>
            <w:shd w:val="clear" w:color="auto" w:fill="CCEEFF"/>
          </w:tcPr>
          <w:p>
            <w:pPr>
              <w:spacing w:after="0"/>
              <w:rPr>
                <w:sz w:val="18"/>
                <w:szCs w:val="18"/>
                <w:color w:val="auto"/>
              </w:rPr>
            </w:pPr>
          </w:p>
        </w:tc>
        <w:tc>
          <w:tcPr>
            <w:tcW w:w="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vMerge w:val="continue"/>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gridSpan w:val="4"/>
            <w:vMerge w:val="continue"/>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180" w:type="dxa"/>
            <w:vAlign w:val="bottom"/>
            <w:vMerge w:val="continue"/>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8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180" w:type="dxa"/>
            <w:vAlign w:val="bottom"/>
            <w:tcBorders>
              <w:right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65"/>
              <w:spacing w:after="0" w:line="196" w:lineRule="exact"/>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560" w:type="dxa"/>
            <w:vAlign w:val="bottom"/>
            <w:tcBorders>
              <w:top w:val="single" w:sz="8" w:color="CCEEFF"/>
              <w:bottom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20" w:type="dxa"/>
            <w:vAlign w:val="bottom"/>
            <w:tcBorders>
              <w:top w:val="single" w:sz="8" w:color="CCEEFF"/>
              <w:bottom w:val="single" w:sz="8" w:color="CCEEFF"/>
              <w:right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3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1"/>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60" w:type="dxa"/>
            <w:vAlign w:val="bottom"/>
            <w:tcBorders>
              <w:top w:val="single" w:sz="8" w:color="CCEEFF"/>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w w:val="89"/>
              </w:rPr>
              <w:t>82</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gridSpan w:val="9"/>
            <w:vMerge w:val="restart"/>
          </w:tcPr>
          <w:p>
            <w:pPr>
              <w:jc w:val="right"/>
              <w:ind w:right="74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w w:val="95"/>
              </w:rPr>
              <w:t>Favorable/(Unfavorable) Variance</w:t>
            </w:r>
          </w:p>
        </w:tc>
        <w:tc>
          <w:tcPr>
            <w:tcW w:w="5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(5)</w:t>
            </w:r>
          </w:p>
        </w:tc>
        <w:tc>
          <w:tcPr>
            <w:tcW w:w="2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9"/>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2014-2013</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2013-2012</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Volumes</w:t>
            </w:r>
          </w:p>
        </w:tc>
        <w:tc>
          <w:tcPr>
            <w:tcW w:w="5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w w:val="92"/>
              </w:rPr>
              <w:t>Volumes</w:t>
            </w:r>
          </w:p>
        </w:tc>
        <w:tc>
          <w:tcPr>
            <w:tcW w:w="5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4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 NGL</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left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left w:val="single" w:sz="8" w:color="CCEEFF"/>
            </w:tcBorders>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9"/>
              </w:rPr>
              <w:t>terminalling and storage (average monthly</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9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capacity in millions of barrels)</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92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280" w:type="dxa"/>
            <w:vAlign w:val="bottom"/>
            <w:tcBorders>
              <w:top w:val="single" w:sz="8" w:color="CCEEFF"/>
            </w:tcBorders>
          </w:tcPr>
          <w:p>
            <w:pPr>
              <w:spacing w:after="0"/>
              <w:rPr>
                <w:sz w:val="2"/>
                <w:szCs w:val="2"/>
                <w:color w:val="auto"/>
              </w:rPr>
            </w:pPr>
          </w:p>
        </w:tc>
        <w:tc>
          <w:tcPr>
            <w:tcW w:w="2060" w:type="dxa"/>
            <w:vAlign w:val="bottom"/>
            <w:tcBorders>
              <w:top w:val="single" w:sz="8" w:color="CCEEFF"/>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160" w:type="dxa"/>
            <w:vAlign w:val="bottom"/>
            <w:tcBorders>
              <w:top w:val="single" w:sz="8" w:color="CCEEFF"/>
              <w:left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-1280795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-1280795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61" w:name="page62"/>
    <w:bookmarkEnd w:id="61"/>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color w:val="auto"/>
                <w:w w:val="98"/>
              </w:rPr>
              <w:t>Rail load / unload volumes (average volumes in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10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thousands of barrels per day)</w:t>
            </w:r>
          </w:p>
        </w:tc>
        <w:tc>
          <w:tcPr>
            <w:tcW w:w="8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CCEEFF"/>
              <w:right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Natural gas storage (average monthly working</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capacity in billions of cubic feet)</w:t>
            </w:r>
          </w:p>
        </w:tc>
        <w:tc>
          <w:tcPr>
            <w:tcW w:w="8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NGL fractionation (average volumes in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3"/>
                <w:szCs w:val="13"/>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96</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760" w:type="dxa"/>
            <w:vAlign w:val="bottom"/>
          </w:tcPr>
          <w:p>
            <w:pPr>
              <w:ind w:left="180"/>
              <w:spacing w:after="0"/>
              <w:rPr>
                <w:sz w:val="20"/>
                <w:szCs w:val="20"/>
                <w:color w:val="auto"/>
              </w:rPr>
            </w:pPr>
            <w:r>
              <w:rPr>
                <w:rFonts w:ascii="Arial" w:cs="Arial" w:eastAsia="Arial" w:hAnsi="Arial"/>
                <w:sz w:val="18"/>
                <w:szCs w:val="18"/>
                <w:color w:val="auto"/>
              </w:rPr>
              <w:t>thousands of barrels per day)</w:t>
            </w:r>
          </w:p>
        </w:tc>
        <w:tc>
          <w:tcPr>
            <w:tcW w:w="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Facilities segment total (average monthly</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60" w:type="dxa"/>
            <w:vAlign w:val="bottom"/>
            <w:vMerge w:val="continue"/>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0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volumes in millions of barrels) </w:t>
            </w:r>
            <w:r>
              <w:rPr>
                <w:rFonts w:ascii="Arial" w:cs="Arial" w:eastAsia="Arial" w:hAnsi="Arial"/>
                <w:sz w:val="23"/>
                <w:szCs w:val="23"/>
                <w:color w:val="auto"/>
                <w:vertAlign w:val="superscript"/>
              </w:rPr>
              <w:t>(6)</w:t>
            </w:r>
          </w:p>
        </w:tc>
        <w:tc>
          <w:tcPr>
            <w:tcW w:w="11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2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7" w:orient="portrait"/>
          <w:cols w:equalWidth="0" w:num="1">
            <w:col w:w="11420"/>
          </w:cols>
          <w:pgMar w:left="240" w:top="13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300" w:hanging="11"/>
        <w:spacing w:after="0" w:line="277" w:lineRule="auto"/>
        <w:rPr>
          <w:sz w:val="20"/>
          <w:szCs w:val="20"/>
          <w:color w:val="auto"/>
        </w:rPr>
      </w:pPr>
      <w:r>
        <w:rPr>
          <w:rFonts w:ascii="Arial" w:cs="Arial" w:eastAsia="Arial" w:hAnsi="Arial"/>
          <w:sz w:val="18"/>
          <w:szCs w:val="18"/>
          <w:color w:val="auto"/>
        </w:rPr>
        <w:t>Effective January 1, 2014, our natural gas sales and costs, primarily attributable to the activities performed by our natural gas storage commercial optimization group, are reported in our Supply and Logistics segment.</w:t>
      </w:r>
    </w:p>
    <w:p>
      <w:pPr>
        <w:spacing w:after="0" w:line="170"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for the number of months we employed the assets divided by the number of months in the period.</w:t>
      </w:r>
    </w:p>
    <w:p>
      <w:pPr>
        <w:spacing w:after="0" w:line="170" w:lineRule="exact"/>
        <w:rPr>
          <w:sz w:val="20"/>
          <w:szCs w:val="20"/>
          <w:color w:val="auto"/>
        </w:rPr>
      </w:pPr>
    </w:p>
    <w:p>
      <w:pPr>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mcf of natural gas to crude Btu equivalent ratio and further divided by 1,000 to convert to monthly volumes in millions; and (iv) NGL fractionation volumes multiplied by the number of days in the year and divided by the number of months in the year.</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907" w:orient="portrait"/>
          <w:cols w:equalWidth="0" w:num="2">
            <w:col w:w="160" w:space="480"/>
            <w:col w:w="10780"/>
          </w:cols>
          <w:pgMar w:left="240" w:top="134" w:right="239" w:bottom="0" w:gutter="0" w:footer="0" w:header="0"/>
          <w:type w:val="continuous"/>
        </w:sectPr>
      </w:pPr>
    </w:p>
    <w:p>
      <w:pPr>
        <w:spacing w:after="0" w:line="25"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i w:val="1"/>
          <w:iCs w:val="1"/>
          <w:color w:val="auto"/>
        </w:rPr>
        <w:t xml:space="preserve">Net Operating Revenues and Volumes. </w:t>
      </w:r>
      <w:r>
        <w:rPr>
          <w:rFonts w:ascii="Arial" w:cs="Arial" w:eastAsia="Arial" w:hAnsi="Arial"/>
          <w:sz w:val="16"/>
          <w:szCs w:val="16"/>
          <w:color w:val="auto"/>
        </w:rPr>
        <w:t>As noted in the table above, our Facilities segment revenues, less storage related costs, and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year-over-year for each comparative period presented, albeit with a less significant increase for the year ended December 31, 2014 over the year ended December 31, 2013. Variances in net revenues and average monthly volumes between the comparative periods are discussed below:</w:t>
      </w:r>
    </w:p>
    <w:p>
      <w:pPr>
        <w:spacing w:after="0" w:line="147" w:lineRule="exact"/>
        <w:rPr>
          <w:sz w:val="20"/>
          <w:szCs w:val="20"/>
          <w:color w:val="auto"/>
        </w:rPr>
      </w:pPr>
    </w:p>
    <w:p>
      <w:pPr>
        <w:ind w:left="660" w:right="240" w:hanging="328"/>
        <w:spacing w:after="0" w:line="297" w:lineRule="auto"/>
        <w:tabs>
          <w:tab w:leader="none" w:pos="6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NGL Fractionation, NGL Storage and Natural Gas Processing Activities — Revenues increased by $31 million for the year ended December 31, 2014 over the year ended December 31, 2013 largely driven by higher facility fee revenues due to rate increases at certain of our storage and fractionation facilities, partially offset by lower physical processing gains. This increase in NGL revenues includes estimated unfavorable foreign currency impacts of $18 million due to the depreciation of the Canadian dollar relative to the U.S. dollar. The average CAD to USD exchange rate for the year ended December 31, 2014 was $1.10 CAD: $1.00 USD and $1.03 CAD: $1.00 USD for the year ended December 31, 2013.</w:t>
      </w:r>
    </w:p>
    <w:p>
      <w:pPr>
        <w:spacing w:after="0" w:line="158"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Our NGL fractionation plants, storage and processing facilities and related assets were primarily acquired through the BP NGL Acquisition completed in April 2012. These assets contributed $87 million of aggregate revenues for the year ended December 31, 2013 over the year ended December 31, 2012, primarily due to the benefit from a full period of ownership of these assets in 2013 (as we only owned the assets for nine months of 2012), as well as from physical processing gains recognized primarily at certain of our NGL fractionation facilities.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hanging="328"/>
        <w:spacing w:after="0" w:line="259" w:lineRule="auto"/>
        <w:tabs>
          <w:tab w:leader="none" w:pos="6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Natural Gas Storage Operations — Net revenues decreased by $43 million for the year ended December 31, 2014 compared to the year ended December 31, 2013 primarily due to (i) less favorable storage rates on contracts that renewed or replaced expiring contracts, (ii) costs incurred to manage deliverability requirements in conjunction with the extended period of severe cold weather experienced during the first quarter of 2014 and (iii) lower hub services revenues due to limited market opportunities.</w:t>
      </w:r>
    </w:p>
    <w:p>
      <w:pPr>
        <w:spacing w:after="0" w:line="187" w:lineRule="exact"/>
        <w:rPr>
          <w:sz w:val="20"/>
          <w:szCs w:val="20"/>
          <w:color w:val="auto"/>
        </w:rPr>
      </w:pPr>
    </w:p>
    <w:p>
      <w:pPr>
        <w:ind w:left="660" w:right="320"/>
        <w:spacing w:after="0" w:line="342" w:lineRule="auto"/>
        <w:rPr>
          <w:sz w:val="20"/>
          <w:szCs w:val="20"/>
          <w:color w:val="auto"/>
        </w:rPr>
      </w:pPr>
      <w:r>
        <w:rPr>
          <w:rFonts w:ascii="Arial" w:cs="Arial" w:eastAsia="Arial" w:hAnsi="Arial"/>
          <w:sz w:val="16"/>
          <w:szCs w:val="16"/>
          <w:color w:val="auto"/>
        </w:rPr>
        <w:t>Natural gas storage net revenues remained relatively consistent for the year ended December 31, 2013 compared to the year ended December 31, 2012 as less favorable storage rates largely offset incremental revenues from the expansions of our Pine Prairie and Southern Pines facilities.</w:t>
      </w:r>
    </w:p>
    <w:p>
      <w:pPr>
        <w:spacing w:after="0" w:line="124" w:lineRule="exact"/>
        <w:rPr>
          <w:sz w:val="20"/>
          <w:szCs w:val="20"/>
          <w:color w:val="auto"/>
        </w:rPr>
      </w:pPr>
    </w:p>
    <w:p>
      <w:pPr>
        <w:ind w:left="660" w:right="40" w:hanging="328"/>
        <w:spacing w:after="0" w:line="312" w:lineRule="auto"/>
        <w:tabs>
          <w:tab w:leader="none" w:pos="6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Rail Terminals — For the year ended December 31, 2014, revenues increased by $3 million over the year ended December 31, 2013 due to new rail terminals that came on line in the fourth quarter of 2013 and in 2014, substantially offset by the unfavorable impact of rail delays and lower volumes at certain of our existing rail terminals during 2014 and weather-related issues at certain of our terminals during the first quarter of 2014.</w:t>
      </w:r>
    </w:p>
    <w:p>
      <w:pPr>
        <w:spacing w:after="0" w:line="147"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Rail activities contributed $103 million to the increase in total revenues for the year ended December 31, 2013 over the year ended December 31, 2012 due to revenues from new terminals acquired through the USD Rail Terminal Acquisition completed in December 2012 and rail-related expansion projects placed into service during the latter portion of 2012 and 2013.</w:t>
      </w:r>
    </w:p>
    <w:p>
      <w:pPr>
        <w:spacing w:after="0" w:line="181" w:lineRule="exact"/>
        <w:rPr>
          <w:sz w:val="20"/>
          <w:szCs w:val="20"/>
          <w:color w:val="auto"/>
        </w:rPr>
      </w:pPr>
    </w:p>
    <w:p>
      <w:pPr>
        <w:ind w:left="660" w:hanging="328"/>
        <w:spacing w:after="0" w:line="257" w:lineRule="auto"/>
        <w:tabs>
          <w:tab w:leader="none" w:pos="6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Crude Oil Storage Activities — For the year ended December 31, 2014, revenues increased by $8 million over the year ended December 31, 2013 primarily due to increased throughput at our Cushing, Yorktown and Mobile/Ten Mile terminals and a 1.2 million barrel capacity expansion at our St. James terminal, partially offset by lower revenues from certain storage facilities in California and the East Coast due to underutilization resulting from decreased demand, as well decreased revenues of $12 million due to the reclassification of certain of our Canadian storage facilities to our Transportation segment during the second quarter of 2014.</w:t>
      </w:r>
    </w:p>
    <w:p>
      <w:pPr>
        <w:spacing w:after="0" w:line="188"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Revenues from our crude oil storage activities increased by $6 million for the year ended December 31, 2013 over the year ended December 31, 2012. Incremental revenues from expansion projects that were completed in phases at our Cushing, Patoka, St. James and Yorktown terminals were partially offset by decreased demand for storage at certain facilities in California and the East Coast.</w:t>
      </w:r>
    </w:p>
    <w:p>
      <w:pPr>
        <w:sectPr>
          <w:pgSz w:w="11900" w:h="16907" w:orient="portrait"/>
          <w:cols w:equalWidth="0" w:num="1">
            <w:col w:w="11420"/>
          </w:cols>
          <w:pgMar w:left="240" w:top="134" w:right="239" w:bottom="0" w:gutter="0" w:footer="0" w:header="0"/>
          <w:type w:val="continuous"/>
        </w:sectPr>
      </w:pPr>
    </w:p>
    <w:bookmarkStart w:id="62" w:name="page63"/>
    <w:bookmarkEnd w:id="62"/>
    <w:p>
      <w:pPr>
        <w:ind w:left="660" w:right="200" w:hanging="328"/>
        <w:spacing w:after="0" w:line="264" w:lineRule="auto"/>
        <w:tabs>
          <w:tab w:leader="none" w:pos="6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Condensate Processing Activities — Revenues increased by $8 million for the year ended December 31, 2014 compared to 2013 and by $5 million for the year ended December 31, 2013 compared to 2012 due to the benefit from the start-up and subsequent expansion of our Gardendale condensate processing facility.</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expenses) increased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compared to the year ended December 31, 2013 due to (i) an increase in costs for rail activities, primarily due to new rail terminals that came online in the fourth quarter of 2013 and in 2014 as discussed above, (ii) a change in classification of $8 million of certain costs from General and administrative expenses, (iii) an increase in brine disposal costs associated with our NGL storage caverns, (iv) higher gas and power costs and (v) increased costs associated with the cancellation of certain capital projects. The effect of these increases was reduced by a $9 million favorable impact of foreign exchange.</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Field operating costs (excluding equity-indexed compensation expenses) increased during the year ended December 31, 2013 compared to the year ended December 31, 2012 due to our growth through acquisitions, primarily the BP NGL and USD Rail Terminal Acquisitions. A portion of the increase was also related to additional costs for integrity and other maintenance, particularly on the assets that were part of the BP NGL Acquisition.</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decreased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2014 compared to the year ended December 31, 2013. These results reflect the net impact of a decrease due to a change in classification of $8 million of certain costs to Field operating costs during the 2014 period, partially offset by increased expenses resulting from overall growth in the segment.</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in 2014 from 2013 is primarily due to the timing of maintenance projects for tanks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facility assets. The decrease in maintenance capital in 2013 from 2012 is primarily due to two major equipment replacement projects that occurred in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w:t>
      </w:r>
    </w:p>
    <w:p>
      <w:pPr>
        <w:spacing w:after="0" w:line="2" w:lineRule="exact"/>
        <w:rPr>
          <w:sz w:val="20"/>
          <w:szCs w:val="20"/>
          <w:color w:val="auto"/>
        </w:rPr>
      </w:pPr>
    </w:p>
    <w:p>
      <w:pPr>
        <w:ind w:right="340" w:firstLine="8"/>
        <w:spacing w:after="0" w:line="277" w:lineRule="auto"/>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overall volatility and strength or weakness of market conditions and the allocation of our assets among our various risk management strategies. In addition, the execution of our risk management strategies in conjunction with our assets can provide upside in certain markets. We do not anticipate that future changes in revenues resulting from variances in commodity prices will be a primary driver of segment profit.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 (2)</w:t>
            </w:r>
          </w:p>
        </w:tc>
        <w:tc>
          <w:tcPr>
            <w:tcW w:w="180" w:type="dxa"/>
            <w:vAlign w:val="bottom"/>
          </w:tcPr>
          <w:p>
            <w:pPr>
              <w:spacing w:after="0"/>
              <w:rPr>
                <w:sz w:val="14"/>
                <w:szCs w:val="14"/>
                <w:color w:val="auto"/>
              </w:rPr>
            </w:pPr>
          </w:p>
        </w:tc>
        <w:tc>
          <w:tcPr>
            <w:tcW w:w="2260" w:type="dxa"/>
            <w:vAlign w:val="bottom"/>
            <w:gridSpan w:val="7"/>
            <w:vMerge w:val="restart"/>
          </w:tcPr>
          <w:p>
            <w:pPr>
              <w:ind w:left="600"/>
              <w:spacing w:after="0"/>
              <w:rPr>
                <w:sz w:val="20"/>
                <w:szCs w:val="20"/>
                <w:color w:val="auto"/>
              </w:rPr>
            </w:pPr>
            <w:r>
              <w:rPr>
                <w:rFonts w:ascii="Arial" w:cs="Arial" w:eastAsia="Arial" w:hAnsi="Arial"/>
                <w:sz w:val="14"/>
                <w:szCs w:val="14"/>
                <w:b w:val="1"/>
                <w:bCs w:val="1"/>
                <w:color w:val="auto"/>
                <w:w w:val="95"/>
              </w:rPr>
              <w:t>Year Ended December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4"/>
                <w:szCs w:val="14"/>
                <w:b w:val="1"/>
                <w:bCs w:val="1"/>
                <w:color w:val="auto"/>
                <w:w w:val="97"/>
              </w:rPr>
              <w:t>Favorable/(Unfavorable) Variance</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7"/>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228"/>
              <w:spacing w:after="0" w:line="142" w:lineRule="exact"/>
              <w:rPr>
                <w:sz w:val="20"/>
                <w:szCs w:val="20"/>
                <w:color w:val="auto"/>
              </w:rPr>
            </w:pPr>
            <w:r>
              <w:rPr>
                <w:rFonts w:ascii="Arial" w:cs="Arial" w:eastAsia="Arial" w:hAnsi="Arial"/>
                <w:sz w:val="14"/>
                <w:szCs w:val="14"/>
                <w:b w:val="1"/>
                <w:bCs w:val="1"/>
                <w:color w:val="auto"/>
              </w:rPr>
              <w:t>2014-2013</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2013-2012</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(3)</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(40,752)</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(39,315)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(4,176)</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w w:val="97"/>
              </w:rPr>
              <w:t>Segment general and administrative expenses</w:t>
            </w: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 (5)</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7"/>
        </w:trPr>
        <w:tc>
          <w:tcPr>
            <w:tcW w:w="3620" w:type="dxa"/>
            <w:vAlign w:val="bottom"/>
            <w:gridSpan w:val="2"/>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vMerge w:val="continue"/>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53%</w:t>
            </w:r>
          </w:p>
        </w:tc>
        <w:tc>
          <w:tcPr>
            <w:tcW w:w="4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20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160" w:type="dxa"/>
            <w:vAlign w:val="bottom"/>
            <w:tcBorders>
              <w:right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(11)</w:t>
            </w:r>
          </w:p>
        </w:tc>
        <w:tc>
          <w:tcPr>
            <w:tcW w:w="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gridSpan w:val="9"/>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80" w:type="dxa"/>
            <w:vAlign w:val="bottom"/>
          </w:tcPr>
          <w:p>
            <w:pPr>
              <w:spacing w:after="0"/>
              <w:rPr>
                <w:sz w:val="24"/>
                <w:szCs w:val="24"/>
                <w:color w:val="auto"/>
              </w:rPr>
            </w:pPr>
          </w:p>
        </w:tc>
        <w:tc>
          <w:tcPr>
            <w:tcW w:w="2260" w:type="dxa"/>
            <w:vAlign w:val="bottom"/>
            <w:gridSpan w:val="7"/>
            <w:vMerge w:val="restart"/>
          </w:tcPr>
          <w:p>
            <w:pPr>
              <w:ind w:left="600"/>
              <w:spacing w:after="0"/>
              <w:rPr>
                <w:sz w:val="20"/>
                <w:szCs w:val="20"/>
                <w:color w:val="auto"/>
              </w:rPr>
            </w:pPr>
            <w:r>
              <w:rPr>
                <w:rFonts w:ascii="Arial" w:cs="Arial" w:eastAsia="Arial" w:hAnsi="Arial"/>
                <w:sz w:val="14"/>
                <w:szCs w:val="14"/>
                <w:b w:val="1"/>
                <w:bCs w:val="1"/>
                <w:color w:val="auto"/>
                <w:w w:val="95"/>
              </w:rPr>
              <w:t>Year Ended December 31,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4"/>
                <w:szCs w:val="14"/>
                <w:b w:val="1"/>
                <w:bCs w:val="1"/>
                <w:color w:val="auto"/>
                <w:w w:val="96"/>
              </w:rPr>
              <w:t>Favorable (Unfavorable) Variance</w:t>
            </w: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20" w:type="dxa"/>
            <w:vAlign w:val="bottom"/>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7"/>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228"/>
              <w:spacing w:after="0" w:line="142" w:lineRule="exact"/>
              <w:rPr>
                <w:sz w:val="20"/>
                <w:szCs w:val="20"/>
                <w:color w:val="auto"/>
              </w:rPr>
            </w:pPr>
            <w:r>
              <w:rPr>
                <w:rFonts w:ascii="Arial" w:cs="Arial" w:eastAsia="Arial" w:hAnsi="Arial"/>
                <w:sz w:val="14"/>
                <w:szCs w:val="14"/>
                <w:b w:val="1"/>
                <w:bCs w:val="1"/>
                <w:color w:val="auto"/>
              </w:rPr>
              <w:t>2014-2013</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2013-2012</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8"/>
              </w:rPr>
              <w:t>Volume</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Volume</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ind w:left="180"/>
              <w:spacing w:after="0"/>
              <w:rPr>
                <w:sz w:val="20"/>
                <w:szCs w:val="20"/>
                <w:color w:val="auto"/>
              </w:rPr>
            </w:pPr>
            <w:r>
              <w:rPr>
                <w:rFonts w:ascii="Arial" w:cs="Arial" w:eastAsia="Arial" w:hAnsi="Arial"/>
                <w:sz w:val="18"/>
                <w:szCs w:val="18"/>
                <w:color w:val="auto"/>
              </w:rPr>
              <w:t>Supply and Logistics segment total</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Borders>
              <w:right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Prior to January 1, 2014, natural gas sales and costs attributable to the activities performed by our natural gas storage commercial optimization group were reported in our Facilities segment.</w:t>
      </w:r>
    </w:p>
    <w:p>
      <w:pPr>
        <w:spacing w:after="0" w:line="170"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$12 million, $30 million and $12 million for the years ended December 31, 2014, 2013, and 2012, respectively.</w:t>
      </w:r>
    </w:p>
    <w:p>
      <w:pPr>
        <w:spacing w:after="0" w:line="170"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ectPr>
          <w:pgSz w:w="11900" w:h="16838" w:orient="portrait"/>
          <w:cols w:equalWidth="0" w:num="2">
            <w:col w:w="140" w:space="500"/>
            <w:col w:w="10780"/>
          </w:cols>
          <w:pgMar w:left="240" w:top="341" w:right="239" w:bottom="0" w:gutter="0" w:footer="0" w:header="0"/>
          <w:type w:val="continuous"/>
        </w:sectPr>
      </w:pPr>
    </w:p>
    <w:bookmarkStart w:id="63" w:name="page64"/>
    <w:bookmarkEnd w:id="63"/>
    <w:p>
      <w:pPr>
        <w:spacing w:after="0" w:line="5" w:lineRule="exact"/>
        <w:rPr>
          <w:sz w:val="20"/>
          <w:szCs w:val="20"/>
          <w:color w:val="auto"/>
        </w:rPr>
      </w:pPr>
    </w:p>
    <w:p>
      <w:pPr>
        <w:ind w:left="660" w:right="280" w:hanging="634"/>
        <w:spacing w:after="0" w:line="267" w:lineRule="auto"/>
        <w:tabs>
          <w:tab w:leader="none" w:pos="652"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range of the NYMEX West Texas Intermediate benchmark price of crude oil during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NYMEX WTI</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During the Year Ended December 31,</w:t>
            </w:r>
          </w:p>
        </w:tc>
        <w:tc>
          <w:tcPr>
            <w:tcW w:w="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Crude Oil Price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2013</w:t>
            </w:r>
          </w:p>
        </w:tc>
        <w:tc>
          <w:tcPr>
            <w:tcW w:w="122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220" w:type="dxa"/>
            <w:vAlign w:val="bottom"/>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comparative periods presented, primarily resulting from higher crude oil volumes in the 2014 period and higher crude oil and NGL volumes in the 2013 period. The impact of the increase in volumes in 2014 was partially offset by lower crude oil prices relative to 2013, particularly in the fourth quarter.</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 costs, increased year-over-year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comparative period presented. The following summarizes the more significant items in the comparative periods:</w:t>
      </w:r>
    </w:p>
    <w:p>
      <w:pPr>
        <w:spacing w:after="0" w:line="170" w:lineRule="exact"/>
        <w:rPr>
          <w:sz w:val="20"/>
          <w:szCs w:val="20"/>
          <w:color w:val="auto"/>
        </w:rPr>
      </w:pPr>
    </w:p>
    <w:p>
      <w:pPr>
        <w:jc w:val="both"/>
        <w:ind w:left="660" w:right="160" w:hanging="328"/>
        <w:spacing w:after="0" w:line="284" w:lineRule="auto"/>
        <w:tabs>
          <w:tab w:leader="none" w:pos="6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NGL Marketing Operations — Net revenues from our NGL marketing operations decreased for the year ended December 31, 2014 as compared to the year ended December 31, 2013. This decrease was driven by higher NGL purchases and related costs in the 2014 periods, primarily due to (i) a higher weighted average inventory cost, (ii) increased facility fees and (iii) a $10 million long-term inventory valuation adjustment. The long-term inventory valuation adjustment related to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 Additionally, NGL margins were further impacted by less favorable market conditions, most notably during</w:t>
      </w:r>
    </w:p>
    <w:p>
      <w:pPr>
        <w:spacing w:after="0" w:line="4" w:lineRule="exact"/>
        <w:rPr>
          <w:rFonts w:ascii="Arial" w:cs="Arial" w:eastAsia="Arial" w:hAnsi="Arial"/>
          <w:sz w:val="16"/>
          <w:szCs w:val="16"/>
          <w:color w:val="auto"/>
        </w:rPr>
      </w:pPr>
    </w:p>
    <w:p>
      <w:pPr>
        <w:ind w:left="660" w:right="60"/>
        <w:spacing w:after="0" w:line="255" w:lineRule="auto"/>
        <w:rPr>
          <w:rFonts w:ascii="Arial" w:cs="Arial" w:eastAsia="Arial" w:hAnsi="Arial"/>
          <w:sz w:val="16"/>
          <w:szCs w:val="16"/>
          <w:color w:val="auto"/>
        </w:rPr>
      </w:pPr>
      <w:r>
        <w:rPr>
          <w:rFonts w:ascii="Arial" w:cs="Arial" w:eastAsia="Arial" w:hAnsi="Arial"/>
          <w:sz w:val="18"/>
          <w:szCs w:val="18"/>
          <w:color w:val="auto"/>
        </w:rPr>
        <w:t>(i) the second quarter of 2014, as market pricing was stronger in the comparable 2013 period due to heating requirements during a winter season that extended into the second quarter and greater petrochemical demand for propane and (ii) the fourth quarter of 2014, due to less demand for crop drying as compared to the 2013 period.</w:t>
      </w:r>
    </w:p>
    <w:p>
      <w:pPr>
        <w:spacing w:after="0" w:line="190" w:lineRule="exact"/>
        <w:rPr>
          <w:sz w:val="20"/>
          <w:szCs w:val="20"/>
          <w:color w:val="auto"/>
        </w:rPr>
      </w:pPr>
    </w:p>
    <w:p>
      <w:pPr>
        <w:ind w:left="660" w:right="320"/>
        <w:spacing w:after="0" w:line="259" w:lineRule="auto"/>
        <w:rPr>
          <w:sz w:val="20"/>
          <w:szCs w:val="20"/>
          <w:color w:val="auto"/>
        </w:rPr>
      </w:pPr>
      <w:r>
        <w:rPr>
          <w:rFonts w:ascii="Arial" w:cs="Arial" w:eastAsia="Arial" w:hAnsi="Arial"/>
          <w:sz w:val="18"/>
          <w:szCs w:val="18"/>
          <w:color w:val="auto"/>
        </w:rPr>
        <w:t>Increased net revenues from our NGL marketing operations for the year ended December 31, 2013 as compared to the year ended December 31, 2012, were primarily due to more favorable market prices and higher demand related to (i) increases in export capacity in the U.S. that reduced overall product availability in the market, (ii) increased heating requirements during the extended winter season discussed above, (iii) heavy crop drying and (iv) petrochemical demand as well as more favorable supply contracts.</w:t>
      </w:r>
    </w:p>
    <w:p>
      <w:pPr>
        <w:spacing w:after="0" w:line="187" w:lineRule="exact"/>
        <w:rPr>
          <w:sz w:val="20"/>
          <w:szCs w:val="20"/>
          <w:color w:val="auto"/>
        </w:rPr>
      </w:pPr>
    </w:p>
    <w:p>
      <w:pPr>
        <w:ind w:left="660" w:right="380" w:hanging="328"/>
        <w:spacing w:after="0" w:line="277"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valuation of certain of our derivative activities impacted our net revenues as shown in the table below (in millions):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2014-2013</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2013-2012</w:t>
            </w:r>
          </w:p>
        </w:tc>
        <w:tc>
          <w:tcPr>
            <w:tcW w:w="120" w:type="dxa"/>
            <w:vAlign w:val="bottom"/>
            <w:tcBorders>
              <w:bottom w:val="single" w:sz="8" w:color="CCEEFF"/>
            </w:tcBorders>
          </w:tcPr>
          <w:p>
            <w:pPr>
              <w:spacing w:after="0"/>
              <w:rPr>
                <w:sz w:val="12"/>
                <w:szCs w:val="12"/>
                <w:color w:val="auto"/>
              </w:rPr>
            </w:pPr>
          </w:p>
        </w:tc>
      </w:tr>
      <w:tr>
        <w:trPr>
          <w:trHeight w:val="182"/>
        </w:trPr>
        <w:tc>
          <w:tcPr>
            <w:tcW w:w="3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Gains/(losses) from certain derivative</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 net of inventory valuation</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32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2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100" w:hanging="644"/>
        <w:spacing w:after="0" w:line="238" w:lineRule="auto"/>
        <w:tabs>
          <w:tab w:leader="none" w:pos="1287"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940"/>
        <w:spacing w:after="0" w:line="277" w:lineRule="auto"/>
        <w:rPr>
          <w:sz w:val="20"/>
          <w:szCs w:val="20"/>
          <w:color w:val="auto"/>
        </w:rPr>
      </w:pPr>
      <w:r>
        <w:rPr>
          <w:rFonts w:ascii="Arial" w:cs="Arial" w:eastAsia="Arial" w:hAnsi="Arial"/>
          <w:sz w:val="18"/>
          <w:szCs w:val="18"/>
          <w:color w:val="auto"/>
        </w:rPr>
        <w:t>down. See Note 12 to our Consolidated Financial Statements for a comprehensive discussion regarding our derivatives and risk management activities.</w:t>
      </w:r>
    </w:p>
    <w:p>
      <w:pPr>
        <w:spacing w:after="0" w:line="170" w:lineRule="exact"/>
        <w:rPr>
          <w:sz w:val="20"/>
          <w:szCs w:val="20"/>
          <w:color w:val="auto"/>
        </w:rPr>
      </w:pPr>
    </w:p>
    <w:p>
      <w:pPr>
        <w:ind w:left="660" w:right="20" w:hanging="328"/>
        <w:spacing w:after="0" w:line="257" w:lineRule="auto"/>
        <w:tabs>
          <w:tab w:leader="none" w:pos="6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North American Crude Oil Production and Related Market Economics — The significant increase in crude oil and liquids-rich gas production growth in North America has created regional supply and demand imbalances due to the lack of sufficient infrastructure to support the movement of such production, which increased certain crude oil location differentials. The lack of existing pipeline takeaway capacity and associated logistical challenges created market conditions that provided opportunities to capture above-baseline margins in our supply and logistics crude oil activities over the last few years.</w:t>
      </w:r>
    </w:p>
    <w:p>
      <w:pPr>
        <w:sectPr>
          <w:pgSz w:w="11900" w:h="16843" w:orient="portrait"/>
          <w:cols w:equalWidth="0" w:num="1">
            <w:col w:w="11420"/>
          </w:cols>
          <w:pgMar w:left="240" w:top="125" w:right="239" w:bottom="0" w:gutter="0" w:footer="0" w:header="0"/>
        </w:sectPr>
      </w:pPr>
    </w:p>
    <w:bookmarkStart w:id="64" w:name="page65"/>
    <w:bookmarkEnd w:id="64"/>
    <w:p>
      <w:pPr>
        <w:spacing w:after="0" w:line="62"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Net revenues from our crude oil supply and logistics activities decreased for 2014 as compared to 2013. This decrease was driven by higher purchases and related costs, primarily due to a $75 million long-term inventory valuation adjustment. As also discussed in our NGL Marketing Operations section above, the long-term inventory valuation adjustment related to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 This unfavorable impact to the period was partially offset by favorable impacts from the widening of certain differentials, most notably in the second and third quarters of 2014 that allowed for more opportunities to capture above-baseline margins as compared to 2013.</w:t>
      </w:r>
    </w:p>
    <w:p>
      <w:pPr>
        <w:spacing w:after="0" w:line="189" w:lineRule="exact"/>
        <w:rPr>
          <w:sz w:val="20"/>
          <w:szCs w:val="20"/>
          <w:color w:val="auto"/>
        </w:rPr>
      </w:pPr>
    </w:p>
    <w:p>
      <w:pPr>
        <w:ind w:left="660" w:right="220"/>
        <w:spacing w:after="0" w:line="276" w:lineRule="auto"/>
        <w:rPr>
          <w:sz w:val="20"/>
          <w:szCs w:val="20"/>
          <w:color w:val="auto"/>
        </w:rPr>
      </w:pPr>
      <w:r>
        <w:rPr>
          <w:rFonts w:ascii="Arial" w:cs="Arial" w:eastAsia="Arial" w:hAnsi="Arial"/>
          <w:sz w:val="17"/>
          <w:szCs w:val="17"/>
          <w:color w:val="auto"/>
        </w:rPr>
        <w:t>Net revenues from our crude oil supply and logistics activities also decreased for 2013 as compared to 2012. During the first quarter of 2013, the market conditions discussed above provided opportunities for increased margins. However, infrastructure additions in many of the impactful resource plays during the second and third quarters of 2013 began to relieve certain of the transportation constraints that had created opportunities for these favorable crude oil margins. Therefore, although we experienced higher crude oil lease gathering volumes in 2013 compared to 2012, we experienced fewer opportunities to capture favorable differentials from market dislocations.</w:t>
      </w:r>
    </w:p>
    <w:p>
      <w:pPr>
        <w:spacing w:after="0" w:line="173" w:lineRule="exact"/>
        <w:rPr>
          <w:sz w:val="20"/>
          <w:szCs w:val="20"/>
          <w:color w:val="auto"/>
        </w:rPr>
      </w:pPr>
    </w:p>
    <w:p>
      <w:pPr>
        <w:ind w:left="660" w:right="120"/>
        <w:spacing w:after="0" w:line="297" w:lineRule="auto"/>
        <w:rPr>
          <w:sz w:val="20"/>
          <w:szCs w:val="20"/>
          <w:color w:val="auto"/>
        </w:rPr>
      </w:pPr>
      <w:r>
        <w:rPr>
          <w:rFonts w:ascii="Arial" w:cs="Arial" w:eastAsia="Arial" w:hAnsi="Arial"/>
          <w:sz w:val="16"/>
          <w:szCs w:val="16"/>
          <w:color w:val="auto"/>
        </w:rPr>
        <w:t>We believe the fundamentals of our business remain strong, as crude oil lease gathering purchases volumes in 2014 increased by 10% over 2013. However, as midstream infrastructure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for further discussion regarding our business model, including diversification and utilization of our asset base among varying demand- and supply-driven markets.)</w:t>
      </w:r>
    </w:p>
    <w:p>
      <w:pPr>
        <w:spacing w:after="0" w:line="158" w:lineRule="exact"/>
        <w:rPr>
          <w:sz w:val="20"/>
          <w:szCs w:val="20"/>
          <w:color w:val="auto"/>
        </w:rPr>
      </w:pPr>
    </w:p>
    <w:p>
      <w:pPr>
        <w:jc w:val="both"/>
        <w:ind w:left="660" w:right="120" w:hanging="328"/>
        <w:spacing w:after="0" w:line="264" w:lineRule="auto"/>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Natural Gas Storage Commercial Optimization — Our natural gas storage commercial optimization activities for the year ended December 31, 2014 were unfavorably impacted by costs incurred to manage deliverability requirements in conjunction with the extended period of severe cold weather experienced during the first quarter of 2014.</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equity-indexed compensation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over the year ended December 31, 2013 was primarily due to an increase in trucking costs associated with higher crude oil lease gathering purchases volumes and mark-to-market losses on fuel hedges.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in 2014 compared to 2013 was primarily due to reduced spending on trucking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Depreciation and amortization expense includes losses on impairments of long-lived assets of approximately $10 million, $20 million and $168 million, for the 2014, 2013 and 2012 periods, respectively. The impairments recognized in 2014 and 2013 primarily related to assets that were taken out of service. These assets did not support spending the capital necessary to continue service and, in some instances, we utilized other assets to handle these activities. The impairments recognized in 2012 primarily related to our Pier 400 terminal project and the anticipated sale of certain refined products pipeline systems and related assets, which occurred in 2013. See Note 6 to our Consolidated Financial Statements for further discussion of asset impairments.</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Excluding the impact of asset impairments, depreciation and amortization expense increased during the 2014 period over the comparable 2013 period primarily due to various recently completed capital expansion projects, as well as an acceleration of depreciation on certain pipeline assets to reflect a change in their estimated useful lives. These increases were partially offset by a reduction in amortization expense due to declining-balance amortization used for certain of our intangible assets acquired in recent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Excluding the impact of asset impairments, depreciation and amortization expense increased during the 2013 period over the comparable 2012 period primarily due to an increased amount of assets resulting from acquisition activities, as well as various capital expansion projects completed in recent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225" w:lineRule="exact"/>
        <w:rPr>
          <w:sz w:val="20"/>
          <w:szCs w:val="20"/>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 capitalized on capital projects and included in purchases and related costs.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the components impacting the interest expense variance for the years ended December 31, 2014 and 2013 (in millions, except for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Average LIBOR</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Interest Rate </w:t>
            </w:r>
            <w:r>
              <w:rPr>
                <w:rFonts w:ascii="Arial" w:cs="Arial" w:eastAsia="Arial" w:hAnsi="Arial"/>
                <w:sz w:val="8"/>
                <w:szCs w:val="8"/>
                <w:b w:val="1"/>
                <w:bCs w:val="1"/>
                <w:color w:val="auto"/>
                <w:w w:val="95"/>
              </w:rPr>
              <w:t>(1)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 for the year ended December 31, 2012</w:t>
            </w:r>
          </w:p>
        </w:tc>
        <w:tc>
          <w:tcPr>
            <w:tcW w:w="166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288</w:t>
            </w:r>
          </w:p>
        </w:tc>
        <w:tc>
          <w:tcPr>
            <w:tcW w:w="1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0.2%</w:t>
            </w:r>
          </w:p>
        </w:tc>
        <w:tc>
          <w:tcPr>
            <w:tcW w:w="15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180"/>
              <w:spacing w:after="0" w:line="23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(2) (3)</w:t>
            </w:r>
          </w:p>
        </w:tc>
        <w:tc>
          <w:tcPr>
            <w:tcW w:w="1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(4)</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(5) (6)</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ineffective portion of terminated forward-starting swaps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w:t>
            </w: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2013</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0.2%</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80"/>
              <w:spacing w:after="0" w:line="23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(3) (7)</w:t>
            </w: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(4)</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(6)</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capitalized interest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2014</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0.1%</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Excludes commitment and other fees.</w:t>
      </w:r>
    </w:p>
    <w:p>
      <w:pPr>
        <w:spacing w:after="0" w:line="225" w:lineRule="exact"/>
        <w:rPr>
          <w:sz w:val="20"/>
          <w:szCs w:val="20"/>
          <w:color w:val="auto"/>
        </w:rPr>
      </w:pPr>
    </w:p>
    <w:p>
      <w:pPr>
        <w:ind w:left="20" w:right="60" w:hanging="11"/>
        <w:spacing w:after="0" w:line="342" w:lineRule="auto"/>
        <w:rPr>
          <w:sz w:val="20"/>
          <w:szCs w:val="20"/>
          <w:color w:val="auto"/>
        </w:rPr>
      </w:pPr>
      <w:r>
        <w:rPr>
          <w:rFonts w:ascii="Arial" w:cs="Arial" w:eastAsia="Arial" w:hAnsi="Arial"/>
          <w:sz w:val="16"/>
          <w:szCs w:val="16"/>
          <w:color w:val="auto"/>
        </w:rPr>
        <w:t>In March 2012, we completed the issuance of $750 million of 3.65% senior notes due 2022 and $500 million of 5.15% senior notes due 2042, and in December 2012, we completed the issuance of $400 million of 2.85% senior notes due 2023 and $350 million of 4.30% senior notes due 2043.</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August 2013, we completed the issuance of $700 million of 3.85% senior notes due 2023.</w:t>
      </w:r>
    </w:p>
    <w:p>
      <w:pPr>
        <w:spacing w:after="0" w:line="225" w:lineRule="exact"/>
        <w:rPr>
          <w:sz w:val="20"/>
          <w:szCs w:val="20"/>
          <w:color w:val="auto"/>
        </w:rPr>
      </w:pPr>
    </w:p>
    <w:p>
      <w:pPr>
        <w:jc w:val="both"/>
        <w:ind w:left="20" w:right="460" w:hanging="11"/>
        <w:spacing w:after="0" w:line="264" w:lineRule="auto"/>
        <w:rPr>
          <w:sz w:val="20"/>
          <w:szCs w:val="20"/>
          <w:color w:val="auto"/>
        </w:rPr>
      </w:pPr>
      <w:r>
        <w:rPr>
          <w:rFonts w:ascii="Arial" w:cs="Arial" w:eastAsia="Arial" w:hAnsi="Arial"/>
          <w:sz w:val="18"/>
          <w:szCs w:val="18"/>
          <w:color w:val="auto"/>
        </w:rPr>
        <w:t>Interest costs attributable to borrowings for hedged inventory purchases are included in purchases and related costs in our Supply and Logistics segment profit as we consider interest on these borrowings a direct cost to storing the inventory. These costs were $12 million, $30 million and $12 million for the years ended December 31, 2014,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2012, our $500 million, 4.25% senior notes matured.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2013, our $250 million, 5.63% senior notes matured.</w:t>
      </w:r>
    </w:p>
    <w:p>
      <w:pPr>
        <w:spacing w:after="0" w:line="225" w:lineRule="exact"/>
        <w:rPr>
          <w:sz w:val="20"/>
          <w:szCs w:val="20"/>
          <w:color w:val="auto"/>
        </w:rPr>
      </w:pPr>
    </w:p>
    <w:p>
      <w:pPr>
        <w:ind w:left="20" w:right="20" w:hanging="11"/>
        <w:spacing w:after="0" w:line="264" w:lineRule="auto"/>
        <w:rPr>
          <w:sz w:val="20"/>
          <w:szCs w:val="20"/>
          <w:color w:val="auto"/>
        </w:rPr>
      </w:pPr>
      <w:r>
        <w:rPr>
          <w:rFonts w:ascii="Arial" w:cs="Arial" w:eastAsia="Arial" w:hAnsi="Arial"/>
          <w:sz w:val="18"/>
          <w:szCs w:val="18"/>
          <w:color w:val="auto"/>
        </w:rPr>
        <w:t>In April 2014, we completed the issuance of $700 million of 4.70% senior notes due 2044, in September 2014, we completed the issuance of $750 million of 3.60% senior notes due 2024 and in December 2014, we completed the issuance of $500 million of 2.60% senior notes due 2019 and $650 million of 4.90% senior notes due 2045.</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480"/>
            <w:col w:w="1078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Other income/(expense), net in each of the years ended December 31, 2014, 2013 and 2012 was primarily comprised of foreign currency gains or losses related to revaluations of CAD-denominated interest receivables associated with our intercompany notes and the impact of related foreign currency hedges.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Income tax expense increased for the year ended December 31, 2014 compared to the year ended December 31, 2013 primarily as a result of higher deferred income tax expense associated with derivative mark-to-market gains in our Canadian operations. The increased deferred income tax expense was partially offset by lower current income tax expense as a result of decreased year-over-year taxable earnings from our Canadian operations.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Income tax expense increased for year ended December 31, 2013 compared to the year ended December 31, 2012 primarily as a result of stronger performance from our existing Canadian operations and our operations related to the BP NGL Acquisition, both of which increased the proportion of earnings subject to Canadian federal and provincial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right="100" w:firstLine="612"/>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occurring contemporaneously with attractive crude oil and liquids prices, U.S. crude oil and liquids production over the last several years has increased rapidly in multiple regions in the lower 48 states. This has been particularly true for light crudes and condensates. Similar resource development activities in Canada and ongoing oil sands development activities have also led to increased Canadian crude oil production. Additionally, the crude oil market has periodically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9" w:lineRule="exact"/>
        <w:rPr>
          <w:sz w:val="20"/>
          <w:szCs w:val="20"/>
          <w:color w:val="auto"/>
        </w:rPr>
      </w:pPr>
    </w:p>
    <w:p>
      <w:pPr>
        <w:ind w:left="40" w:right="120" w:firstLine="612"/>
        <w:spacing w:after="0" w:line="288" w:lineRule="auto"/>
        <w:rPr>
          <w:sz w:val="20"/>
          <w:szCs w:val="20"/>
          <w:color w:val="auto"/>
        </w:rPr>
      </w:pPr>
      <w:r>
        <w:rPr>
          <w:rFonts w:ascii="Arial" w:cs="Arial" w:eastAsia="Arial" w:hAnsi="Arial"/>
          <w:sz w:val="16"/>
          <w:szCs w:val="16"/>
          <w:color w:val="auto"/>
        </w:rPr>
        <w:t>However, over the last several years the combination of surging North American liquids production, relatively flat liquids production for the rest of the world and relatively modest growth in global liquids demand has led to a near to medium-term supply imbalance, which has further led to a significant and rapid reduction in petroleum prices and compression of basis differentials in a number of locations.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prices during the second half of 2014 and early 2015 have led many producers, including producers that impact North American production levels, to significantly scale back capital programs for the next year or more. While we believe that the large North American resource base remains intact and will be developed, such production will likely take place at a slower pace and previously anticipated peak production levels will likely be reduced. This transitioning crude oil market may present challenges to our business model and asset base and may impact the rate of growth that we would have otherwise experienced over the next several years. In addition, increased competition and compressed differentials may drive lower unit margins in parts of our business, including our Supply and Logistics segment.</w:t>
      </w:r>
    </w:p>
    <w:p>
      <w:pPr>
        <w:spacing w:after="0" w:line="169" w:lineRule="exact"/>
        <w:rPr>
          <w:sz w:val="20"/>
          <w:szCs w:val="20"/>
          <w:color w:val="auto"/>
        </w:rPr>
      </w:pPr>
    </w:p>
    <w:p>
      <w:pPr>
        <w:ind w:right="200" w:firstLine="612"/>
        <w:spacing w:after="0" w:line="342" w:lineRule="auto"/>
        <w:rPr>
          <w:sz w:val="20"/>
          <w:szCs w:val="20"/>
          <w:color w:val="auto"/>
        </w:rPr>
      </w:pPr>
      <w:r>
        <w:rPr>
          <w:rFonts w:ascii="Arial" w:cs="Arial" w:eastAsia="Arial" w:hAnsi="Arial"/>
          <w:sz w:val="16"/>
          <w:szCs w:val="16"/>
          <w:color w:val="auto"/>
        </w:rPr>
        <w:t>While we believe that these recent market developments should ultimately slow down crude oil supply growth and contribute toward bringing the markets back to equilibrium, there can be no assurance that such equilibrium will be achieved or that we will not be negatively impacted by declining crude</w:t>
      </w:r>
    </w:p>
    <w:p>
      <w:pPr>
        <w:sectPr>
          <w:pgSz w:w="11900" w:h="16838" w:orient="portrait"/>
          <w:cols w:equalWidth="0" w:num="1">
            <w:col w:w="11420"/>
          </w:cols>
          <w:pgMar w:left="240" w:top="140" w:right="239" w:bottom="0" w:gutter="0" w:footer="0" w:header="0"/>
          <w:type w:val="continuous"/>
        </w:sectPr>
      </w:pPr>
    </w:p>
    <w:bookmarkStart w:id="66" w:name="page67"/>
    <w:bookmarkEnd w:id="66"/>
    <w:p>
      <w:pPr>
        <w:ind w:right="20"/>
        <w:spacing w:after="0" w:line="257" w:lineRule="auto"/>
        <w:rPr>
          <w:sz w:val="20"/>
          <w:szCs w:val="20"/>
          <w:color w:val="auto"/>
        </w:rPr>
      </w:pPr>
      <w:r>
        <w:rPr>
          <w:rFonts w:ascii="Arial" w:cs="Arial" w:eastAsia="Arial" w:hAnsi="Arial"/>
          <w:sz w:val="18"/>
          <w:szCs w:val="18"/>
          <w:color w:val="auto"/>
        </w:rPr>
        <w:t>oil supply, unfavorable volatility or challenging capital markets conditions. Additionally, construction of additional infrastructure by us and our competitors will likely continue to reduce existing infrastructure constraints, which could further reduce unit margins in our various segments, and underutilization of midstream assets resulting from continued production declines could have a similar unfavorable impact on unit margins. Finally, we cannot be certain that our expansion efforts will generate targeted returns or that any future acquisition activities will be successful. See Item 1A. “Risk Factors - Risks Related to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primary sources of liquidity are (i) cash flow from operating activities as further discussed below in the section entitled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 (v) 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December 31, 2014, we had a working capital deficit of $576 million and approximately $2.6 billion of liquidity available to meet our ongoing operating, investing and financing needs as noted below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9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2014</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Amounts outstanding under PAA commercial paper program</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20" w:hanging="652"/>
        <w:spacing w:after="0" w:line="227" w:lineRule="auto"/>
        <w:tabs>
          <w:tab w:leader="none" w:pos="648"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amounts outstanding under the PAA commercial paper program. Borrowings under the PAA commercial paper program reduce available capacity under the facility.</w:t>
      </w:r>
    </w:p>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January 16, 2015, we entered into a new $1.0 billion, 364-day senior unsecured credit agreement. Pursuant to the terms of the agreement, we have up to 364 days to draw on this facility and repay any loans thereunder.</w:t>
      </w:r>
    </w:p>
    <w:p>
      <w:pPr>
        <w:spacing w:after="0" w:line="170"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which provide the backstop for the commercial paper program, is subject to ongoing compliance with covenants. As of December 31, 2014, we were in compliance with all such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storage and terminalling services provided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and/or the timing of settlement of our derivative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73" w:gutter="0" w:footer="0" w:header="0"/>
        </w:sectPr>
      </w:pPr>
    </w:p>
    <w:bookmarkStart w:id="67" w:name="page68"/>
    <w:bookmarkEnd w:id="67"/>
    <w:p>
      <w:pPr>
        <w:ind w:right="180"/>
        <w:spacing w:after="0" w:line="264" w:lineRule="auto"/>
        <w:rPr>
          <w:sz w:val="20"/>
          <w:szCs w:val="20"/>
          <w:color w:val="auto"/>
        </w:rPr>
      </w:pPr>
      <w:r>
        <w:rPr>
          <w:rFonts w:ascii="Arial" w:cs="Arial" w:eastAsia="Arial" w:hAnsi="Arial"/>
          <w:sz w:val="18"/>
          <w:szCs w:val="18"/>
          <w:color w:val="auto"/>
        </w:rPr>
        <w:t>activities. For example, gains and losses from settled instruments that qualify as effective cash flow hedges are deferred in AOCI, but may impact operating cash flow in the period settled. See Note 12 to our Consolidated Financial Statements for a discussion regarding our derivatives and risk management activities.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cash provided by operating activities for the years ended December 31, 2014, 2013 and 2012 was approximately $2.0 billion, $1.95 billion and $1.24 billion, respectively, and primarily resulted from earnings from our operations. Additionally, as discussed further below, changes in our inventory levels during these years impacted our cash flow from operating activities.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2014, we decreased the volume of our crude oil inventory that we held. The decreased inventory levels were further impacted by lower prices for such inventory stored at the end of the year compared to prior year amounts. In addition, our margin balances fluctuated from a net cash outflow to a net cash inflow. A portion of the net proceeds received from the liquidation of such inventory and the positive cash flow associated with our margin balance activities were used to repay borrowings under our commercial paper program and favorably impacted cash flow from operating activities. These overall decreases were partially offset by an increase in the amount of NGL inventory stored at December 31, 2014 compared to prior year amounts, which was primarily financed through borrowings under our commercial paper program.</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2013, we decreased the amount of our inventory, primarily due to the sale of crude oil inventory that had been stored during the contango market, as well as the sale of NGL inventory due to end users’ increased demand for product used for heating and crop drying during the latter half of 2013. The net proceeds received from liquidation of such inventory during the year were used to repay borrowings under our credit facilities or commercial paper program and favorably impacted cash flow from operating activities. These decreases in inventory were partially offset by an increase in natural gas inventory whereby we retained more capacity for our own use. We primarily used borrowings under credit facilities to pay for the stored natural gas, which negatively impacted our cash flow from operating activities. Also, a significant portion of our 2013 natural gas sales occurred in December 2013, with cash collections on these sales occurring in January 2014.</w:t>
      </w:r>
    </w:p>
    <w:p>
      <w:pPr>
        <w:spacing w:after="0" w:line="18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During 2012, we increased the amount of our crude oil inventory, which was primarily financed through borrowings under our credit facilities. This resulted in a negative impact on our cash flow from operating activities for the period. During the year, we also increased the amount of our NGL inventory; however, these volumetric increases were offset by lower prices for such inventory stored at the end of the year compared to prior year amounts.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At December 31, 2014, we had three primary credit arrangements. These include a $1.6 billion senior unsecured revolving credit facility maturing in 2019 and a $1.4 billion senior secured hedged inventory facility maturing in 2017. Additionally, we have a $3.0 billion unsecured commercial paper program that is backstopped by our revolving credit facility and our hedged inventory facility. Our credit agreements (which impact our ability to access our commercial paper 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2014.</w:t>
      </w:r>
    </w:p>
    <w:p>
      <w:pPr>
        <w:spacing w:after="0" w:line="178"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Additionally, in January 2015, we entered into a new $1.0 billion, 364-day senior unsecured credit agreement. See Note 10 to our Consolidated Financial Statements for additional discussion regarding our credit agreements, commercial paper program and senior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financing activities primarily relate to funding acquisitions, expansion capital projects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Registration Statements</w:t>
      </w:r>
      <w:r>
        <w:rPr>
          <w:rFonts w:ascii="Arial" w:cs="Arial" w:eastAsia="Arial" w:hAnsi="Arial"/>
          <w:sz w:val="16"/>
          <w:szCs w:val="16"/>
          <w:color w:val="auto"/>
        </w:rPr>
        <w:t>. We periodically access the capital markets for both equity and debt financing. We have filed with the SEC a universal shelf</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that, subject to effectiveness at the time of use, allows us to issue up to an aggregate of $2.0 billion of debt or equity securities (“Traditional Shelf”). All issuances of equity securities associated with our continuous offering program have been issued pursuant to the Traditional Shelf. At December 31, 2014, we had approximately $613 million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During 2014, we issued four series of senior notes under the WKSI Shelf. See “Senior Notes”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Equity Offerings</w:t>
      </w:r>
      <w:r>
        <w:rPr>
          <w:rFonts w:ascii="Arial" w:cs="Arial" w:eastAsia="Arial" w:hAnsi="Arial"/>
          <w:sz w:val="18"/>
          <w:szCs w:val="18"/>
          <w:color w:val="auto"/>
        </w:rPr>
        <w:t>. The following table summarizes our issuance of common units in connection with marketed offerings or our Continuous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during the three years ended December 31, 2014 (net proceeds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3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Type of Offering</w:t>
            </w:r>
          </w:p>
        </w:tc>
        <w:tc>
          <w:tcPr>
            <w:tcW w:w="2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 Issued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ind w:left="200"/>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 (2)</w:t>
            </w:r>
          </w:p>
        </w:tc>
      </w:tr>
      <w:tr>
        <w:trPr>
          <w:trHeight w:val="210"/>
        </w:trPr>
        <w:tc>
          <w:tcPr>
            <w:tcW w:w="2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8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2014 Total</w:t>
            </w:r>
          </w:p>
        </w:tc>
        <w:tc>
          <w:tcPr>
            <w:tcW w:w="3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Continuous Offering Program</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15,375,810</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480"/>
              <w:spacing w:after="0" w:line="216" w:lineRule="exact"/>
              <w:rPr>
                <w:sz w:val="20"/>
                <w:szCs w:val="20"/>
                <w:color w:val="auto"/>
              </w:rPr>
            </w:pPr>
            <w:r>
              <w:rPr>
                <w:rFonts w:ascii="Arial" w:cs="Arial" w:eastAsia="Arial" w:hAnsi="Arial"/>
                <w:sz w:val="18"/>
                <w:szCs w:val="18"/>
                <w:color w:val="auto"/>
              </w:rPr>
              <w:t>866</w:t>
            </w:r>
            <w:r>
              <w:rPr>
                <w:rFonts w:ascii="Arial" w:cs="Arial" w:eastAsia="Arial" w:hAnsi="Arial"/>
                <w:sz w:val="23"/>
                <w:szCs w:val="23"/>
                <w:color w:val="auto"/>
                <w:vertAlign w:val="superscript"/>
              </w:rPr>
              <w:t>(3)</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197"/>
        </w:trPr>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8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2013 Total</w:t>
            </w:r>
          </w:p>
        </w:tc>
        <w:tc>
          <w:tcPr>
            <w:tcW w:w="3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Continuous Offering Program</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8,644,807</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480"/>
              <w:spacing w:after="0" w:line="216" w:lineRule="exact"/>
              <w:rPr>
                <w:sz w:val="20"/>
                <w:szCs w:val="20"/>
                <w:color w:val="auto"/>
              </w:rPr>
            </w:pPr>
            <w:r>
              <w:rPr>
                <w:rFonts w:ascii="Arial" w:cs="Arial" w:eastAsia="Arial" w:hAnsi="Arial"/>
                <w:sz w:val="18"/>
                <w:szCs w:val="18"/>
                <w:color w:val="auto"/>
              </w:rPr>
              <w:t>477</w:t>
            </w:r>
            <w:r>
              <w:rPr>
                <w:rFonts w:ascii="Arial" w:cs="Arial" w:eastAsia="Arial" w:hAnsi="Arial"/>
                <w:sz w:val="23"/>
                <w:szCs w:val="23"/>
                <w:color w:val="auto"/>
                <w:vertAlign w:val="superscript"/>
              </w:rPr>
              <w:t>(3)</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197"/>
        </w:trPr>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4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Continuous Offering Program</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12,063,707</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524</w:t>
            </w:r>
            <w:r>
              <w:rPr>
                <w:rFonts w:ascii="Arial" w:cs="Arial" w:eastAsia="Arial" w:hAnsi="Arial"/>
                <w:sz w:val="11"/>
                <w:szCs w:val="11"/>
                <w:color w:val="auto"/>
              </w:rPr>
              <w:t>(3)</w:t>
            </w:r>
          </w:p>
        </w:tc>
      </w:tr>
      <w:tr>
        <w:trPr>
          <w:trHeight w:val="216"/>
        </w:trPr>
        <w:tc>
          <w:tcPr>
            <w:tcW w:w="24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40" w:type="dxa"/>
            <w:vAlign w:val="bottom"/>
          </w:tcPr>
          <w:p>
            <w:pPr>
              <w:spacing w:after="0"/>
              <w:rPr>
                <w:sz w:val="18"/>
                <w:szCs w:val="18"/>
                <w:color w:val="auto"/>
              </w:rPr>
            </w:pPr>
          </w:p>
        </w:tc>
        <w:tc>
          <w:tcPr>
            <w:tcW w:w="39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Marketed Offering</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11,500,000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ind w:left="1480"/>
              <w:spacing w:after="0"/>
              <w:rPr>
                <w:sz w:val="20"/>
                <w:szCs w:val="20"/>
                <w:color w:val="auto"/>
              </w:rPr>
            </w:pPr>
            <w:r>
              <w:rPr>
                <w:rFonts w:ascii="Arial" w:cs="Arial" w:eastAsia="Arial" w:hAnsi="Arial"/>
                <w:sz w:val="18"/>
                <w:szCs w:val="18"/>
                <w:color w:val="auto"/>
              </w:rPr>
              <w:t>455</w:t>
            </w:r>
            <w:r>
              <w:rPr>
                <w:rFonts w:ascii="Arial" w:cs="Arial" w:eastAsia="Arial" w:hAnsi="Arial"/>
                <w:sz w:val="11"/>
                <w:szCs w:val="11"/>
                <w:color w:val="auto"/>
              </w:rPr>
              <w:t>(4)</w:t>
            </w:r>
          </w:p>
        </w:tc>
      </w:tr>
      <w:tr>
        <w:trPr>
          <w:trHeight w:val="210"/>
        </w:trPr>
        <w:tc>
          <w:tcPr>
            <w:tcW w:w="2800" w:type="dxa"/>
            <w:vAlign w:val="bottom"/>
            <w:tcBorders>
              <w:top w:val="single" w:sz="8" w:color="CCEEFF"/>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2012 Total</w:t>
            </w:r>
          </w:p>
        </w:tc>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23,563,707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w w:val="86"/>
              </w:rPr>
              <w:t>979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21"/>
          <w:szCs w:val="21"/>
          <w:color w:val="auto"/>
          <w:vertAlign w:val="superscript"/>
        </w:rPr>
      </w:pPr>
      <w:r>
        <w:rPr>
          <w:rFonts w:ascii="Arial" w:cs="Arial" w:eastAsia="Arial" w:hAnsi="Arial"/>
          <w:sz w:val="16"/>
          <w:szCs w:val="16"/>
          <w:color w:val="auto"/>
        </w:rPr>
        <w:t>Amounts are net of costs associated with the offerings.</w:t>
      </w:r>
    </w:p>
    <w:p>
      <w:pPr>
        <w:sectPr>
          <w:pgSz w:w="11900" w:h="16838" w:orient="portrait"/>
          <w:cols w:equalWidth="0" w:num="1">
            <w:col w:w="11420"/>
          </w:cols>
          <w:pgMar w:left="240" w:top="125" w:right="239" w:bottom="0" w:gutter="0" w:footer="0" w:header="0"/>
          <w:type w:val="continuous"/>
        </w:sectPr>
      </w:pPr>
    </w:p>
    <w:bookmarkStart w:id="68" w:name="page69"/>
    <w:bookmarkEnd w:id="68"/>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40" w:hanging="11"/>
        <w:spacing w:after="0" w:line="277" w:lineRule="auto"/>
        <w:rPr>
          <w:sz w:val="20"/>
          <w:szCs w:val="20"/>
          <w:color w:val="auto"/>
        </w:rPr>
      </w:pPr>
      <w:r>
        <w:rPr>
          <w:rFonts w:ascii="Arial" w:cs="Arial" w:eastAsia="Arial" w:hAnsi="Arial"/>
          <w:sz w:val="18"/>
          <w:szCs w:val="18"/>
          <w:color w:val="auto"/>
        </w:rPr>
        <w:t>Amounts include our general partner’s proportionate capital contributions of $18 million, $9 million and $20 million during 2014, 2013 and 2012, respectively.</w:t>
      </w:r>
    </w:p>
    <w:p>
      <w:pPr>
        <w:spacing w:after="0" w:line="170" w:lineRule="exact"/>
        <w:rPr>
          <w:sz w:val="20"/>
          <w:szCs w:val="20"/>
          <w:color w:val="auto"/>
        </w:rPr>
      </w:pPr>
    </w:p>
    <w:p>
      <w:pPr>
        <w:jc w:val="both"/>
        <w:ind w:right="80" w:hanging="11"/>
        <w:spacing w:after="0" w:line="264" w:lineRule="auto"/>
        <w:rPr>
          <w:sz w:val="20"/>
          <w:szCs w:val="20"/>
          <w:color w:val="auto"/>
        </w:rPr>
      </w:pPr>
      <w:r>
        <w:rPr>
          <w:rFonts w:ascii="Arial" w:cs="Arial" w:eastAsia="Arial" w:hAnsi="Arial"/>
          <w:sz w:val="18"/>
          <w:szCs w:val="18"/>
          <w:color w:val="auto"/>
        </w:rPr>
        <w:t>We pay commissions to our sales agents in connection with common unit issuances under our Continuous Offering Program. We paid $9 million, $5 million and $6 million of such commissions during 2014, 2013 and 2012, respectively. The net proceeds from these offerings were used for general partnership purposes.</w:t>
      </w:r>
    </w:p>
    <w:p>
      <w:pPr>
        <w:spacing w:after="0" w:line="181" w:lineRule="exact"/>
        <w:rPr>
          <w:sz w:val="20"/>
          <w:szCs w:val="20"/>
          <w:color w:val="auto"/>
        </w:rPr>
      </w:pPr>
    </w:p>
    <w:p>
      <w:pPr>
        <w:sectPr>
          <w:pgSz w:w="11900" w:h="16900" w:orient="portrait"/>
          <w:cols w:equalWidth="0" w:num="2">
            <w:col w:w="140" w:space="520"/>
            <w:col w:w="10760"/>
          </w:cols>
          <w:pgMar w:left="240" w:top="341" w:right="239" w:bottom="0" w:gutter="0" w:footer="0" w:header="0"/>
        </w:sectPr>
      </w:pPr>
    </w:p>
    <w:p>
      <w:pPr>
        <w:ind w:left="660" w:right="180" w:hanging="652"/>
        <w:spacing w:after="0" w:line="227" w:lineRule="auto"/>
        <w:tabs>
          <w:tab w:leader="none" w:pos="648"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Offering was an underwritten transaction that required us to pay a gross spread. The net proceeds from such offering were used to fund a portion of the BP NGL Acquisition.</w:t>
      </w:r>
    </w:p>
    <w:p>
      <w:pPr>
        <w:spacing w:after="0" w:line="202"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During the last three years we issued senior unsecured notes as summarized in the table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4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Face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Proceeds</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2.60%</w:t>
            </w:r>
          </w:p>
        </w:tc>
        <w:tc>
          <w:tcPr>
            <w:tcW w:w="43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Senior Notes issued at 99.813% of face value </w:t>
            </w:r>
            <w:r>
              <w:rPr>
                <w:rFonts w:ascii="Arial" w:cs="Arial" w:eastAsia="Arial" w:hAnsi="Arial"/>
                <w:sz w:val="23"/>
                <w:szCs w:val="23"/>
                <w:color w:val="auto"/>
                <w:vertAlign w:val="superscript"/>
              </w:rPr>
              <w:t>(3)</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99.876% of face value </w:t>
            </w:r>
            <w:r>
              <w:rPr>
                <w:rFonts w:ascii="Arial" w:cs="Arial" w:eastAsia="Arial" w:hAnsi="Arial"/>
                <w:sz w:val="23"/>
                <w:szCs w:val="23"/>
                <w:color w:val="auto"/>
                <w:vertAlign w:val="superscript"/>
              </w:rPr>
              <w:t>(3)</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February 2045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5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Senior Notes issued at 99.842% of face value </w:t>
            </w:r>
            <w:r>
              <w:rPr>
                <w:rFonts w:ascii="Arial" w:cs="Arial" w:eastAsia="Arial" w:hAnsi="Arial"/>
                <w:sz w:val="23"/>
                <w:szCs w:val="23"/>
                <w:color w:val="auto"/>
                <w:vertAlign w:val="superscript"/>
              </w:rPr>
              <w:t>(4)</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November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99.734% of face value </w:t>
            </w:r>
            <w:r>
              <w:rPr>
                <w:rFonts w:ascii="Arial" w:cs="Arial" w:eastAsia="Arial" w:hAnsi="Arial"/>
                <w:sz w:val="23"/>
                <w:szCs w:val="23"/>
                <w:color w:val="auto"/>
                <w:vertAlign w:val="superscript"/>
              </w:rPr>
              <w:t>(4)</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2044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99.792% of face value </w:t>
            </w:r>
            <w:r>
              <w:rPr>
                <w:rFonts w:ascii="Arial" w:cs="Arial" w:eastAsia="Arial" w:hAnsi="Arial"/>
                <w:sz w:val="23"/>
                <w:szCs w:val="23"/>
                <w:color w:val="auto"/>
                <w:vertAlign w:val="superscript"/>
              </w:rPr>
              <w:t>(4)</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October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99.752% of face value </w:t>
            </w:r>
            <w:r>
              <w:rPr>
                <w:rFonts w:ascii="Arial" w:cs="Arial" w:eastAsia="Arial" w:hAnsi="Arial"/>
                <w:sz w:val="23"/>
                <w:szCs w:val="23"/>
                <w:color w:val="auto"/>
                <w:vertAlign w:val="superscript"/>
              </w:rPr>
              <w:t>(4)</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January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5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Senior Notes issued at 99.925% of face value </w:t>
            </w:r>
            <w:r>
              <w:rPr>
                <w:rFonts w:ascii="Arial" w:cs="Arial" w:eastAsia="Arial" w:hAnsi="Arial"/>
                <w:sz w:val="23"/>
                <w:szCs w:val="23"/>
                <w:color w:val="auto"/>
                <w:vertAlign w:val="superscript"/>
              </w:rPr>
              <w:t>(4)</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January 2043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4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Senior Notes issued at 99.823% of face value </w:t>
            </w:r>
            <w:r>
              <w:rPr>
                <w:rFonts w:ascii="Arial" w:cs="Arial" w:eastAsia="Arial" w:hAnsi="Arial"/>
                <w:sz w:val="23"/>
                <w:szCs w:val="23"/>
                <w:color w:val="auto"/>
                <w:vertAlign w:val="superscript"/>
              </w:rPr>
              <w:t>(5)</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2022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5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Senior Notes issued at 99.755% of face value </w:t>
            </w:r>
            <w:r>
              <w:rPr>
                <w:rFonts w:ascii="Arial" w:cs="Arial" w:eastAsia="Arial" w:hAnsi="Arial"/>
                <w:sz w:val="23"/>
                <w:szCs w:val="23"/>
                <w:color w:val="auto"/>
                <w:vertAlign w:val="superscript"/>
              </w:rPr>
              <w:t>(5)</w:t>
            </w:r>
          </w:p>
        </w:tc>
        <w:tc>
          <w:tcPr>
            <w:tcW w:w="1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June 2042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26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225" w:lineRule="exact"/>
        <w:rPr>
          <w:sz w:val="20"/>
          <w:szCs w:val="20"/>
          <w:color w:val="auto"/>
        </w:rPr>
      </w:pPr>
    </w:p>
    <w:p>
      <w:pPr>
        <w:ind w:left="20" w:right="200" w:hanging="11"/>
        <w:spacing w:after="0" w:line="308" w:lineRule="auto"/>
        <w:rPr>
          <w:sz w:val="20"/>
          <w:szCs w:val="20"/>
          <w:color w:val="auto"/>
        </w:rPr>
      </w:pPr>
      <w:r>
        <w:rPr>
          <w:rFonts w:ascii="Arial" w:cs="Arial" w:eastAsia="Arial" w:hAnsi="Arial"/>
          <w:sz w:val="17"/>
          <w:szCs w:val="17"/>
          <w:color w:val="auto"/>
        </w:rPr>
        <w:t>We used the net proceeds from this offering to repay outstanding borrowings under our commercial paper program (a portion of which was used to fund the acquisition of a 50% interest in BridgeTex). See Note 8 to our Consolidated Financial Statements for further discussion.</w:t>
      </w:r>
    </w:p>
    <w:p>
      <w:pPr>
        <w:spacing w:after="0" w:line="147"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We used the net proceeds from this offering to repay outstanding borrowings under our credit facilities or commercial paper program and for general partnership purposes.</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780"/>
          </w:cols>
          <w:pgMar w:left="240" w:top="341"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40" w:hanging="652"/>
        <w:spacing w:after="0" w:line="234" w:lineRule="auto"/>
        <w:tabs>
          <w:tab w:leader="none" w:pos="648"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We used the net proceeds from this offering to repay outstanding borrowings under our credit facilities and for general partnership purposes. In addition, we used a portion of the proceeds to prefund the BP NGL Acquisition. See Note 3 to our Consolidated Financial Statements for a discussion of the BP NGL Acquisition.</w:t>
      </w:r>
    </w:p>
    <w:p>
      <w:pPr>
        <w:spacing w:after="0" w:line="203"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In December 2013, our $250 million, 5.63% senior notes matured and were repaid with proceeds from our commercial paper program. In September 2012, our $500 million, 4.25% senior notes matured and were repaid with proceeds from our credit facilities.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$150 million, 5.25% senior notes will mature in June 2015, and our $400 million, 3.95% senior notes will mature in September 2015. We intend to use borrowings under our commercial paper program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Distributions Paid to Our Unitholders, General Partner and Noncontrolling Interests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operating needs discussed above, we also use cash for our acquisition activities, capital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“—Acquisitions and Capital Projects” for further discussion of such capital expenditures.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year. On November 14, 2014, we acquired a 50% interest in BridgeTex for $1.088 billion, including $13 million of working capital adjustments.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2015 Capital Projects. </w:t>
      </w:r>
      <w:r>
        <w:rPr>
          <w:rFonts w:ascii="Arial" w:cs="Arial" w:eastAsia="Arial" w:hAnsi="Arial"/>
          <w:sz w:val="17"/>
          <w:szCs w:val="17"/>
          <w:color w:val="auto"/>
        </w:rPr>
        <w:t>We expect the majority of funding for our 2015 capital program will be provided by borrowings under our commercial paper</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as well as through our access to the capital markets for equity and debt as we deem necessary. 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2015 expansion capital program will be invested in our fee-based Transportation and Facilities segments. We expect that our investments will have minimal contributions to our 2015 results, but will provide growth for 2016 and beyond. Our 2015 capital program includes the following projects as of February 2015 with the estimated cost for the entire year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210"/>
        </w:trPr>
        <w:tc>
          <w:tcPr>
            <w:tcW w:w="8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Fort Saskatchewan Facility Projects / NGL Line</w:t>
            </w: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290</w:t>
            </w: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420"/>
          </w:cols>
          <w:pgMar w:left="240" w:top="341" w:right="239" w:bottom="0" w:gutter="0" w:footer="0" w:header="0"/>
          <w:type w:val="continuous"/>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Diamond Pipeline</w:t>
            </w: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Cactus Pipeline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Cowboy Pipeline (Cheyenne to Carr)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Eagle Ford Area Projects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Line 63 Reactivation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Cushing Terminal Expansions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Projects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400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 + $100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Projected Expansion Capital Expenditures</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$1,750 - $1,950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$205 - $225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900" w:hanging="5612"/>
        <w:spacing w:after="0" w:line="461" w:lineRule="auto"/>
        <w:tabs>
          <w:tab w:leader="none" w:pos="64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Includes railcar purchases and projects located in or near St. James, LA and Kerrobert, Canada.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652"/>
        <w:spacing w:after="0" w:line="227" w:lineRule="auto"/>
        <w:tabs>
          <w:tab w:leader="none" w:pos="648"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Distributions to our unitholders and general partner. </w:t>
      </w:r>
      <w:r>
        <w:rPr>
          <w:rFonts w:ascii="Arial" w:cs="Arial" w:eastAsia="Arial" w:hAnsi="Arial"/>
          <w:sz w:val="17"/>
          <w:szCs w:val="17"/>
          <w:color w:val="auto"/>
        </w:rPr>
        <w:t>We distribute 100% of our available cash within 45 days following the end of each quarter to</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unitholders of record and to our general partner. Available cash is generally defined as all of our cash and cash equivalents on hand at the end of each quarter less reserves established in the discretion of our general partner for future requirements. On February 13, 2015, we paid a quarterly distribution of $0.6750 per limited partner unit. This distribution represents a year-over-year distribution increase of approximately 9.8%. See Note 11 to our Consolidated Financial Statements for details of distributions paid. Also, see Item 5. “Market for Registrant’s Common Units, Related Unitholder Matters and Issuer Purchases of Equity Securities—Cash Distribution Policy” for additional discussion regarding distributions.</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Although not required to do so, in response to past requests by our management in connection with our acquisition activities, our general partner has, from time to time, agreed to reduce the amounts due to it as incentive distributions. Such modifications were implemented with a view toward enhancing our competitiveness for such acquisitions and managing the overall cost of equity capital while achieving an appropriate balance between short-term and long-term accretion to our limited partners and the holders of our general partner interest and IDRs. Our general partner agreed to reduce the amount of its incentive distribution by $6.75 million for the distribution paid in February 2014, $5.5 million per quarter thereafter through November 2015, $5.0 million per quarter in 2016 and $3.75 million per quarter thereafter. These reductions were agreed to in connection with our BP NGL Acquisition and the PNG Merger. See Note 3 to our Consolidated Financial Statements for further discussion of the BP NGL Acquisition. See Note 11 to our Consolidated Financial Statements for further discussion of the PNG Merger. During 2014 and 2013, our general partner’s incentive distributions were reduced by approximately $23 million and $15 million, respectively.</w:t>
      </w:r>
    </w:p>
    <w:p>
      <w:pPr>
        <w:spacing w:after="0" w:line="18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Distributions to noncontrolling interests. </w:t>
      </w:r>
      <w:r>
        <w:rPr>
          <w:rFonts w:ascii="Arial" w:cs="Arial" w:eastAsia="Arial" w:hAnsi="Arial"/>
          <w:sz w:val="17"/>
          <w:szCs w:val="17"/>
          <w:color w:val="auto"/>
        </w:rPr>
        <w:t>We paid $3 million and $49 million for distributions to noncontrolling interests during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2014 and 2013, respectively. These amounts represent distributions paid on interests in PNG and SLC Pipeline LLC that were not owned by us. The decrease in amounts paid in 2014 is due to our completion of the PNG Merger on December 31, 2013, through which we purchased all of the noncontrolling interests in PNG. See Note 11 to our Consolidated Financial Statements for further discussion of the PNG Merger.</w:t>
      </w:r>
    </w:p>
    <w:p>
      <w:pPr>
        <w:spacing w:after="0" w:line="17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17 to our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2014 (in millions):</w:t>
      </w:r>
    </w:p>
    <w:p>
      <w:pPr>
        <w:sectPr>
          <w:pgSz w:w="11900" w:h="16838" w:orient="portrait"/>
          <w:cols w:equalWidth="0" w:num="1">
            <w:col w:w="11420"/>
          </w:cols>
          <w:pgMar w:left="240" w:top="91" w:right="239" w:bottom="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2020 and</w:t>
            </w: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Thereafter</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 maturities</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and related interest payments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3,303</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2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20" w:hanging="11"/>
        <w:spacing w:after="0" w:line="259"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the PAA revolving credit facilities. Although there may be short-term borrowings under the PAA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187"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ind w:right="40" w:hanging="11"/>
        <w:spacing w:after="0" w:line="286" w:lineRule="auto"/>
        <w:rPr>
          <w:sz w:val="20"/>
          <w:szCs w:val="20"/>
          <w:color w:val="auto"/>
        </w:rPr>
      </w:pPr>
      <w:r>
        <w:rPr>
          <w:rFonts w:ascii="Arial" w:cs="Arial" w:eastAsia="Arial" w:hAnsi="Arial"/>
          <w:sz w:val="17"/>
          <w:szCs w:val="17"/>
          <w:color w:val="auto"/>
        </w:rPr>
        <w:t>Includes (i) other long-term liabilities, (ii) storage, processing and transportation agreements and (iii) commitments related to our capital expansion projects, including projected contributions for our share of the capital spending of our equity-method investments. Excludes a non-current liability of approximately $32 million related to derivative activity included in Crude oil, natural gas, NGL and other purchases.</w:t>
      </w:r>
    </w:p>
    <w:p>
      <w:pPr>
        <w:spacing w:after="0" w:line="166" w:lineRule="exact"/>
        <w:rPr>
          <w:sz w:val="20"/>
          <w:szCs w:val="20"/>
          <w:color w:val="auto"/>
        </w:rPr>
      </w:pPr>
    </w:p>
    <w:p>
      <w:pPr>
        <w:ind w:right="10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December 2014.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66" w:lineRule="exact"/>
        <w:rPr>
          <w:sz w:val="20"/>
          <w:szCs w:val="20"/>
          <w:color w:val="auto"/>
        </w:rPr>
      </w:pPr>
    </w:p>
    <w:p>
      <w:pPr>
        <w:sectPr>
          <w:pgSz w:w="11900" w:h="16838" w:orient="portrait"/>
          <w:cols w:equalWidth="0" w:num="2">
            <w:col w:w="140" w:space="520"/>
            <w:col w:w="10760"/>
          </w:cols>
          <w:pgMar w:left="240" w:top="320" w:right="239" w:bottom="0" w:gutter="0" w:footer="0" w:header="0"/>
          <w:type w:val="continuous"/>
        </w:sect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supply and logistics activities, we provide certain suppliers with irrevocable standby letters of credit to secure</w:t>
      </w:r>
      <w:r>
        <w:rPr>
          <w:rFonts w:ascii="Arial" w:cs="Arial" w:eastAsia="Arial" w:hAnsi="Arial"/>
          <w:sz w:val="17"/>
          <w:szCs w:val="17"/>
          <w:i w:val="1"/>
          <w:iCs w:val="1"/>
          <w:color w:val="auto"/>
        </w:rPr>
        <w:t xml:space="preserve"> </w:t>
      </w:r>
      <w:r>
        <w:rPr>
          <w:rFonts w:ascii="Arial" w:cs="Arial" w:eastAsia="Arial" w:hAnsi="Arial"/>
          <w:sz w:val="17"/>
          <w:szCs w:val="17"/>
          <w:color w:val="auto"/>
        </w:rPr>
        <w:t>our obligation for the purchase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and construction activities. At December 31, 2014 and 2013, we had outstanding letters of credit of approximately $87 million and $41 million,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2014 (unaudited,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Our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Total Cash</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Total Entity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and</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Entity</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80" w:type="dxa"/>
            <w:vAlign w:val="bottom"/>
            <w:vMerge w:val="restart"/>
          </w:tcPr>
          <w:p>
            <w:pPr>
              <w:spacing w:after="0"/>
              <w:rPr>
                <w:sz w:val="12"/>
                <w:szCs w:val="12"/>
                <w:color w:val="auto"/>
              </w:rPr>
            </w:pPr>
          </w:p>
        </w:tc>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280" w:type="dxa"/>
            <w:vAlign w:val="bottom"/>
            <w:vMerge w:val="restart"/>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Ownership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7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Cash</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8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BridgeTex Pipeline Company, LLC</w:t>
            </w:r>
          </w:p>
        </w:tc>
        <w:tc>
          <w:tcPr>
            <w:tcW w:w="3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3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White Cliffs Pipeline, LLC</w:t>
            </w:r>
          </w:p>
        </w:tc>
        <w:tc>
          <w:tcPr>
            <w:tcW w:w="3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ectPr>
          <w:pgSz w:w="11900" w:h="16838" w:orient="portrait"/>
          <w:cols w:equalWidth="0" w:num="1">
            <w:col w:w="11420"/>
          </w:cols>
          <w:pgMar w:left="240" w:top="320" w:right="239" w:bottom="0" w:gutter="0" w:footer="0" w:header="0"/>
          <w:type w:val="continuous"/>
        </w:sectPr>
      </w:pPr>
    </w:p>
    <w:bookmarkStart w:id="71" w:name="page72"/>
    <w:bookmarkEnd w:id="71"/>
    <w:p>
      <w:pPr>
        <w:ind w:left="980" w:right="16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47" w:lineRule="exact"/>
        <w:rPr>
          <w:sz w:val="20"/>
          <w:szCs w:val="20"/>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jc w:val="both"/>
        <w:ind w:left="980" w:right="2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4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12 to our Consolidated Financial Statements for further discussion regarding our hedging strategies and objectives.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2014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December 31, 2014, $734 million, is subject to interest rate re-sets, which range up to three months. The average interest rate of 0.3% is based upon rates in effect during the year ended December 31, 2014. The fair value of our interest rate derivatives is a liability of $70 million as of December 31, 2014. A 10% increase in the forward LIBOR curve as of December 31, 2014 would result in an increase of $50 million to the fair value of our interest rate derivatives. A 10% decrease in the forward LIBOR curve as of December 31, 2014 would result in a decrease of $50 million to the fair value of our interest rate derivatives. See Note 12 to our Consolidated Financial Statements for a discussion of our interest rate risk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$12 million as of December 31, 2014. A 10% increase in the exchange rate (USD-to-CAD) would result in a decrease of $15 million to the fair value of our foreign currency derivatives. A 10% decrease in the exchange rate (USD-to-CAD) would result in an increase of $16 million to the fair value of our foreign currency derivatives. See Note 12 to our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72" w:name="page73"/>
    <w:bookmarkEnd w:id="72"/>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2014,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2014. See Management’s Report on Internal Control Over Financial Reporting on page F-2 of our Consolidated Financial Statements.</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2014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2014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and Governance</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Plains Midstream Canada ULC (“PMC” or “Plains Midstream Canada”)). GP LLC is the general partner of Plains AAP, L.P. (“AAP”), which is the sole member of PAA GP LLC, our general partner. Plains GP Holdings, L.P. (“PAGP”) is the sole member of GP LLC, and PAA GP Holdings LLC (“GP Holdings”) is the general partner of PAGP. References to our officers, directors and employees are references to the officers, directors and employees of GP LLC (or, in the case of our Canadian operations, Plains Midstream Canada).</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GP LLC manages our operations and activities; however, PAGP effectively controls our business and affairs through the exercise of its rights as the sole and managing member of GP LLC, including its right to appoint certain members to the board of directors of GP LLC. The business and affairs of GP LLC are managed by or under the direction of its board of directors, which we refer to as our “board of directors” or “board”. As provided in the Sixth Amended and Restated Limited Liability Company Agreement of GP LLC (the “GP LLC Agreement”), our board of directors consists of eight members, appointed as follows:</w:t>
      </w:r>
    </w:p>
    <w:p>
      <w:pPr>
        <w:spacing w:after="0" w:line="188" w:lineRule="exact"/>
        <w:rPr>
          <w:sz w:val="20"/>
          <w:szCs w:val="20"/>
          <w:color w:val="auto"/>
        </w:rPr>
      </w:pPr>
    </w:p>
    <w:p>
      <w:pPr>
        <w:ind w:left="980" w:right="40" w:hanging="324"/>
        <w:spacing w:after="0" w:line="256" w:lineRule="auto"/>
        <w:tabs>
          <w:tab w:leader="none" w:pos="9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Three of the members are the same individuals designated to serve on the board of directors of GP Holdings by the three members of GP Holdings that currently hold board designation rights for the GP Holdings board of directors (affiliates of The Energy &amp; Minerals Group, Kayne Anderson Investment Management Inc. and Occidental Petroleum Corporation);</w:t>
      </w:r>
    </w:p>
    <w:p>
      <w:pPr>
        <w:ind w:left="980" w:right="200" w:hanging="324"/>
        <w:spacing w:after="0" w:line="250" w:lineRule="auto"/>
        <w:tabs>
          <w:tab w:leader="none" w:pos="9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Four of the members (three of whom must be independent directors eligible to serve on the audit committee) are elected, and may be removed, by PAGP, acting by majority vote through the board of directors of its general partner, GP Holdings; and</w:t>
      </w:r>
    </w:p>
    <w:p>
      <w:pPr>
        <w:ind w:left="940" w:hanging="284"/>
        <w:spacing w:after="0"/>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 of the members is the Chief Executive Officer of GP LLC.</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Any member of GP Holdings that accumulates an interest in AAP greater than 20% and does not otherwise have a GP Holdings board designation right may designate a GP Holdings director, except that there may be no more than three designated directors serving on the GP Holdings board at any one time. In the</w:t>
      </w:r>
    </w:p>
    <w:p>
      <w:pPr>
        <w:sectPr>
          <w:pgSz w:w="11900" w:h="16908" w:orient="portrait"/>
          <w:cols w:equalWidth="0" w:num="1">
            <w:col w:w="11420"/>
          </w:cols>
          <w:pgMar w:left="240" w:top="337" w:right="239" w:bottom="0" w:gutter="0" w:footer="0" w:header="0"/>
        </w:sectPr>
      </w:pPr>
    </w:p>
    <w:bookmarkStart w:id="73" w:name="page74"/>
    <w:bookmarkEnd w:id="73"/>
    <w:p>
      <w:pPr>
        <w:spacing w:after="0" w:line="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event a designated director ceases to serve as a director of the GP Holdings board of directors, such director will be automatically removed as a director of our board; the replacement for such director shall either be (i) the director appointed to the GP Holdings board by a subsequent designating member of GP Holdings or (ii) if there is no such subsequent designating member, an individual elected by PAGP acting by majority vote through the board of directors of GP Holdings.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In addition, our partnership agreement limits any fiduciary duties our general partner might owe to our unitholders.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CEO also serves as Chairman of the Board. The board has no policy with respect to the separation of the offices of chairman and CEO; rather, that relationship is currently defined and governed by the GP LLC Agreement and the employment agreement with the CEO, which currently require coincidence of the offices. However, pursuant to the terms of the GP LLC Agreement, if and when our board of directors elects a successor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current CEO, by majority vote our board of directors may determine to separate the offices of CEO and Chairman of the Board. We do not have a lead independent director.</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provides an ELR assessment to the board at least once every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Non-management directors meet in executive session in connection with each regular board meeting. On a rotating basis (determined alphabetically by last name), one of the non-management directors acts as presiding director at each such regularly scheduled executive session.</w:t>
      </w:r>
    </w:p>
    <w:p>
      <w:pPr>
        <w:spacing w:after="0" w:line="14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We are, however, required to have an audit committee consisting of at least three members, all of whom are required to be “independent” as defined by the NYSE.</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of directors has determined that Messrs. Goyanes, Petersen, Symonds and Temple are independent under applicable NYSE rules.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(Messrs. Goyanes, Symonds and Temple) is (i) “independent” under applicable NYSE rules and (ii) an “Audit Committee Financial Expert,” as that term is defined in Item 407 of Regulation S-K.</w:t>
      </w:r>
    </w:p>
    <w:p>
      <w:pPr>
        <w:spacing w:after="0" w:line="188"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None of the members of our audit committee has any relationships with either GP LLC or us, other than as a director and unitholder. Mr. Goyanes also serves as a director and member of the audit committee of the board of directors of GP Holdings. For additional information regarding the experience and qualifications of our directors, please read the biographical descriptions under “—Directors, Executive Officers and Other Officers”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2014. The compensation committee has delegated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authority to the CEO to administer our long-term incentive plans with respect to employees other than executive officers.</w:t>
      </w:r>
    </w:p>
    <w:p>
      <w:pPr>
        <w:sectPr>
          <w:pgSz w:w="11900" w:h="16874" w:orient="portrait"/>
          <w:cols w:equalWidth="0" w:num="1">
            <w:col w:w="11420"/>
          </w:cols>
          <w:pgMar w:left="240" w:top="125" w:right="239" w:bottom="0" w:gutter="0" w:footer="0" w:header="0"/>
        </w:sectPr>
      </w:pPr>
    </w:p>
    <w:bookmarkStart w:id="74" w:name="page75"/>
    <w:bookmarkEnd w:id="74"/>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Other Committees</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Although not required by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and Symonds, both of whom (although not required in this context) are independent under the NYSE’s listing standards. In the event of a vacancy in the three required independent director seats on our board, the governance committee will assist in identifying and screening potential candidates. Upon request of PAGP as the sole member of GP LLC, the governance committee is also available to assist in identifying and screening potential candidates for any vacant “at large” seats. The governance committee will base its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the GP LLC Agreement and our partnership agreement.</w:t>
      </w:r>
    </w:p>
    <w:p>
      <w:pPr>
        <w:spacing w:after="0" w:line="16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addition, our partnership agreement allows for the establishment or activation of a conflicts committee as circumstances warrant to review conflicts of interest between us and our general partner or the owners of our general partner. Such committee will typically consist of a minimum of two independent, non-employee members of our board. Our partnership agreement provides that any matters approved by the conflicts committee will be conclusively deemed to be fair and reasonable to us, approved by all of our partners, and not a breach by our general partner of any duties owed to us or our unitholders. See Item 13. “Certain Relationships and Related Transactions, and Director Independence—Review, Approval or Ratification of Transactions with Related Persons.”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last fiscal year, our board of directors had five meetings, our audit committee had ten meetings, our compensation committee had one meeting and our governance committee had one meeting. All directors have access to members of management, and a substantial amount of information transfer and informal communication occurs between meetings. None of our directors attended fewer than 75% of the aggregate number of meetings of the board of directors and committees of the board on which the director served.</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discussed above, GP LLC manages our operations and activities, and GP LLC is managed by or under the direction of its board of directors, whose members are either designated by certain members of GP Holdings or appointed by PAGP, as the sole member of GP LLC acting through the GP Holdings board of directors. Accordingly, unlike holders of common stock in a corporation, our unitholders have only limited voting rights on matters affecting our business or governance, subject in all cases to any specific unitholder rights contained in our partnership agreement. As a result, we do not hold regular annual meetings of unitholders for the purpose of electing directors or soliciting approval of any other routine matters.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All of our standing committees have charters. Our committee charters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8"/>
          <w:szCs w:val="18"/>
          <w:i w:val="1"/>
          <w:iCs w:val="1"/>
          <w:color w:val="auto"/>
        </w:rPr>
        <w:t>http://www.plainsallamerican.com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audit committee of our board of directors oversees the Partnership’s financial reporting process on behalf of the board of directors. Management has the primary responsibility for the financial statements and the reporting process, including the systems of internal controls.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discussed with PricewaterhouseCoopers LLP the matters required to be discussed by Public Company Accounting Oversight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Auditing Standard No. 16, Communications with Audit Committees. The audit committee received written disclosures and the letter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required by applicable requirements of the Public Company Accounting Oversight Board regarding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LLP’s communications with the audit committee concerning independence, and has discussed with PricewaterhouseCoopers LLP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independence from management and the Partnership.</w:t>
      </w:r>
    </w:p>
    <w:p>
      <w:pPr>
        <w:spacing w:after="0" w:line="21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2014 for filing with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Taft Symonds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M. Temple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Other Officers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As discussed above, three of the owners of membership</w:t>
      </w:r>
    </w:p>
    <w:p>
      <w:pPr>
        <w:sectPr>
          <w:pgSz w:w="11900" w:h="16885" w:orient="portrait"/>
          <w:cols w:equalWidth="0" w:num="1">
            <w:col w:w="11400"/>
          </w:cols>
          <w:pgMar w:left="240" w:top="337" w:right="259" w:bottom="0" w:gutter="0" w:footer="0" w:header="0"/>
        </w:sectPr>
      </w:pPr>
    </w:p>
    <w:bookmarkStart w:id="75" w:name="page76"/>
    <w:bookmarkEnd w:id="75"/>
    <w:p>
      <w:pPr>
        <w:ind w:right="960"/>
        <w:spacing w:after="0" w:line="277" w:lineRule="auto"/>
        <w:rPr>
          <w:sz w:val="20"/>
          <w:szCs w:val="20"/>
          <w:color w:val="auto"/>
        </w:rPr>
      </w:pPr>
      <w:r>
        <w:rPr>
          <w:rFonts w:ascii="Arial" w:cs="Arial" w:eastAsia="Arial" w:hAnsi="Arial"/>
          <w:sz w:val="18"/>
          <w:szCs w:val="18"/>
          <w:color w:val="auto"/>
        </w:rPr>
        <w:t>interests in GP Holdings each have the right to separately designate a member of the board of directors of GP Holdings, and such designee in turn automatically becomes a member of our board. Such designees are indicated in footnote 2 to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960" w:type="dxa"/>
            <w:vAlign w:val="bottom"/>
            <w:gridSpan w:val="2"/>
          </w:tcPr>
          <w:p>
            <w:pPr>
              <w:jc w:val="right"/>
              <w:ind w:right="5499"/>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5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Age (as of</w:t>
            </w:r>
          </w:p>
        </w:tc>
        <w:tc>
          <w:tcPr>
            <w:tcW w:w="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gridSpan w:val="2"/>
            <w:vMerge w:val="restart"/>
          </w:tcPr>
          <w:p>
            <w:pPr>
              <w:ind w:left="308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1"/>
        </w:trPr>
        <w:tc>
          <w:tcPr>
            <w:tcW w:w="2580" w:type="dxa"/>
            <w:vAlign w:val="bottom"/>
            <w:gridSpan w:val="4"/>
            <w:vMerge w:val="continue"/>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12/31/14)</w:t>
            </w:r>
          </w:p>
        </w:tc>
        <w:tc>
          <w:tcPr>
            <w:tcW w:w="220" w:type="dxa"/>
            <w:vAlign w:val="bottom"/>
          </w:tcPr>
          <w:p>
            <w:pPr>
              <w:spacing w:after="0"/>
              <w:rPr>
                <w:sz w:val="14"/>
                <w:szCs w:val="14"/>
                <w:color w:val="auto"/>
              </w:rPr>
            </w:pPr>
          </w:p>
        </w:tc>
        <w:tc>
          <w:tcPr>
            <w:tcW w:w="6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Harry N. Pefanis*</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President and Chief Operating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J. Gorman*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President—Operations and Business Development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Phillip D. Kramer*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K. McGee*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John R. Rutherford*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 Swanson*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John P. vonBerg*</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President—Commercial Activities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Lawrence J. Dreyfuss</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w w:val="93"/>
              </w:rPr>
              <w:t>Senior Vice President, General Counsel—Commercial &amp; Litigation and Assistant Secretary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Alfred A. Lindseth</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President—Technology, Process &amp; Risk Management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Daniel J. Nerbonne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Senior Vice President—Engineering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Troy Baker</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Crude Commercial,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Jason Balasch</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w w:val="99"/>
              </w:rPr>
              <w:t>Executive Vice President, NGL Commercial and Facilities,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Samuel N. Brown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President—Pipeline Business Development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Kevin L. Cantrell</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President—Internal Audit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Craig</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Financial Officer,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Ralph R. Cross</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 Corporate Development,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 Deets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LPG Commercial,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Roger D. Everett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President—Human Resources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Ferrell</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President—Supply Chain Management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Bill Forward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 Finance,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B. Fryfogle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President—Refinery Supply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M.D. (Mike) Hallahan</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 Bulk Commodities Transportation,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 Herbold*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President—Accounting and Chief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Jim G. Hester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President—Natural Gas Gathering and Processing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Keith Jalbert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President—Commercial Activities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Richard Jensen</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Operations,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M. Kean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Engineering,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John Keffer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President—Terminals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Charles Kingswell-Smith</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President—Finance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Sterling Koch</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w w:val="99"/>
              </w:rPr>
              <w:t>Vice President, Health, Safety, Environment &amp; Regulatory,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Dwayne Koehn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President—Engineering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Mike Mikuska</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 Pipelines Development and Logistics,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N. Polydoros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President—Land and Office Services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Tyler Rimbey</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w w:val="93"/>
              </w:rPr>
              <w:t>Executive Vice President, Crude Oil Commercial and Pipelines,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M. Sanford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President—Lease Supply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David Schwarz</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 Human Resources,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Sill</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Operations,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Phil Smith</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President—Operations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Sharon S. Spurlin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Troy E. Valenzuela</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President—Environmental, Health and Safety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Walter van Zanten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President—Tax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Sandi Wingert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Vice President, Corporate Services,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Bernard (Ben) Figlock</w:t>
            </w:r>
            <w:r>
              <w:rPr>
                <w:rFonts w:ascii="Arial" w:cs="Arial" w:eastAsia="Arial" w:hAnsi="Arial"/>
                <w:sz w:val="23"/>
                <w:szCs w:val="23"/>
                <w:color w:val="auto"/>
                <w:vertAlign w:val="superscript"/>
              </w:rPr>
              <w:t>(2)</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Everardo Goyanes</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Director and Member of Audit** Committee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960" w:type="dxa"/>
            <w:vAlign w:val="bottom"/>
            <w:gridSpan w:val="2"/>
          </w:tcPr>
          <w:p>
            <w:pPr>
              <w:jc w:val="right"/>
              <w:ind w:right="5499"/>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300" w:type="dxa"/>
            <w:vAlign w:val="bottom"/>
            <w:tcBorders>
              <w:bottom w:val="single" w:sz="8" w:color="010101"/>
            </w:tcBorders>
            <w:gridSpan w:val="2"/>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5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R. Petersen</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Compensation and Governance Committees</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line="216" w:lineRule="exact"/>
              <w:rPr>
                <w:sz w:val="20"/>
                <w:szCs w:val="20"/>
                <w:color w:val="auto"/>
              </w:rPr>
            </w:pPr>
            <w:r>
              <w:rPr>
                <w:rFonts w:ascii="Arial" w:cs="Arial" w:eastAsia="Arial" w:hAnsi="Arial"/>
                <w:sz w:val="18"/>
                <w:szCs w:val="18"/>
                <w:color w:val="auto"/>
              </w:rPr>
              <w:t>John T. Raymond</w:t>
            </w:r>
            <w:r>
              <w:rPr>
                <w:rFonts w:ascii="Arial" w:cs="Arial" w:eastAsia="Arial" w:hAnsi="Arial"/>
                <w:sz w:val="23"/>
                <w:szCs w:val="23"/>
                <w:color w:val="auto"/>
                <w:vertAlign w:val="superscript"/>
              </w:rPr>
              <w:t>(2)</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Robert V. Sinnott</w:t>
            </w:r>
            <w:r>
              <w:rPr>
                <w:rFonts w:ascii="Arial" w:cs="Arial" w:eastAsia="Arial" w:hAnsi="Arial"/>
                <w:sz w:val="23"/>
                <w:szCs w:val="23"/>
                <w:color w:val="auto"/>
                <w:vertAlign w:val="superscript"/>
              </w:rPr>
              <w:t>(2)</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J. Taft Symonds</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6960" w:type="dxa"/>
            <w:vAlign w:val="bottom"/>
            <w:gridSpan w:val="2"/>
          </w:tcPr>
          <w:p>
            <w:pPr>
              <w:ind w:left="220"/>
              <w:spacing w:after="0"/>
              <w:rPr>
                <w:sz w:val="20"/>
                <w:szCs w:val="20"/>
                <w:color w:val="auto"/>
              </w:rPr>
            </w:pPr>
            <w:r>
              <w:rPr>
                <w:rFonts w:ascii="Arial" w:cs="Arial" w:eastAsia="Arial" w:hAnsi="Arial"/>
                <w:sz w:val="18"/>
                <w:szCs w:val="18"/>
                <w:color w:val="auto"/>
              </w:rPr>
              <w:t>Director and Member of Audit and Governance** Committees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Member of Audit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-8585835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-8585835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an “executive officer” for purposes of Item 401(b) of Regulation S-K.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chairman of committee.</w:t>
      </w:r>
    </w:p>
    <w:p>
      <w:pPr>
        <w:spacing w:after="0" w:line="191"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Unless otherwise described, the position indicates the position held with Plains All American GP LLC.</w:t>
      </w:r>
    </w:p>
    <w:p>
      <w:pPr>
        <w:sectPr>
          <w:pgSz w:w="11900" w:h="16838" w:orient="portrait"/>
          <w:cols w:equalWidth="0" w:num="1">
            <w:col w:w="11460"/>
          </w:cols>
          <w:pgMar w:left="240" w:top="125" w:right="199" w:bottom="117" w:gutter="0" w:footer="0" w:header="0"/>
        </w:sectPr>
      </w:pPr>
    </w:p>
    <w:bookmarkStart w:id="76" w:name="page77"/>
    <w:bookmarkEnd w:id="76"/>
    <w:p>
      <w:pPr>
        <w:ind w:left="660" w:right="20" w:hanging="652"/>
        <w:spacing w:after="0" w:line="261" w:lineRule="auto"/>
        <w:tabs>
          <w:tab w:leader="none" w:pos="648" w:val="left"/>
        </w:tabs>
        <w:numPr>
          <w:ilvl w:val="0"/>
          <w:numId w:val="75"/>
        </w:numPr>
        <w:rPr>
          <w:rFonts w:ascii="Arial" w:cs="Arial" w:eastAsia="Arial" w:hAnsi="Arial"/>
          <w:sz w:val="22"/>
          <w:szCs w:val="22"/>
          <w:color w:val="auto"/>
          <w:vertAlign w:val="superscript"/>
        </w:rPr>
      </w:pPr>
      <w:r>
        <w:rPr>
          <w:rFonts w:ascii="Arial" w:cs="Arial" w:eastAsia="Arial" w:hAnsi="Arial"/>
          <w:sz w:val="17"/>
          <w:szCs w:val="17"/>
          <w:color w:val="auto"/>
        </w:rPr>
        <w:t>The GP LLC Agreement specifies that the Chief Executive Officer of the general partner will be a member of the board of directors. Under the GP LLC Agreement, three of the members of GP Holdings each have the right to appoint one director each to the GP Holdings board of directors and each such appointee is automatically appointed as a member of our board of directors. Mr. Raymond is serving as a member of our board of directors by virtue of his appointment as a member of the board of directors of GP Holdings by EMG Investment, LLC (“EMG”), of which he is the sole member of the general partner of its manager. Mr. Sinnott is serving as a member of our board of directors by virtue of his appointment as a member of the board of directors of GP Holdings by KAFU Holdings, L.P., which is affiliated with Kayne Anderson Investment Management, Inc., of which he is President. Mr. Figlock is serving as a member of our board of directors by virtue of his appointment as a member of the board of directors of GP Holdings by Occidental Holding Company (Pipeline), Inc., a subsidiary of Occidental Petroleum Corporation (“Oxy”), of which he is Vice President and Treasurer. The remaining directors were elected by PAGP, as the sole member of GP LLC acting through the board of GP Holdings. See Item 12. “Security Ownership of Certain Beneficial Owners and Management and Related Unitholder Matters—Beneficial Ownership of General Partner Interest.”</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Greg L. Armstrong </w:t>
      </w:r>
      <w:r>
        <w:rPr>
          <w:rFonts w:ascii="Arial" w:cs="Arial" w:eastAsia="Arial" w:hAnsi="Arial"/>
          <w:sz w:val="18"/>
          <w:szCs w:val="18"/>
          <w:color w:val="auto"/>
        </w:rPr>
        <w:t>has served as Chairman of the Board and Chief Executive Officer since our formation in 1998. He has also served as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Chairman, Chief Executive Officer and Director of PAA GP Holdings LLC, which is the general partner of Plains GP Holdings, L.P.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9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 xml:space="preserve">Harry N. Pefanis </w:t>
      </w:r>
      <w:r>
        <w:rPr>
          <w:rFonts w:ascii="Arial" w:cs="Arial" w:eastAsia="Arial" w:hAnsi="Arial"/>
          <w:sz w:val="17"/>
          <w:szCs w:val="17"/>
          <w:color w:val="auto"/>
        </w:rPr>
        <w:t>has served as President and Chief Operating Officer since our formation in 1998. He was also a director of our former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 director of Settoon Towing. Mr. Pefanis is also President and Chief Operating Officer of PAA GP Holdings LLC, which is the general partner of Plains GP Holdings, L.P.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Mark J. Gorman </w:t>
      </w:r>
      <w:r>
        <w:rPr>
          <w:rFonts w:ascii="Arial" w:cs="Arial" w:eastAsia="Arial" w:hAnsi="Arial"/>
          <w:sz w:val="17"/>
          <w:szCs w:val="17"/>
          <w:color w:val="auto"/>
        </w:rPr>
        <w:t>has served as Executive Vice President—Operations and Business Development since February 2013 and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President—Operations and Business Development from August 2008 until February 2013. He previously served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Frontier and SLC Pipeline, and a managing director of Eagle Ford Pipeline. Mr. Gorman also serves as Executive Vice President — Operations and Business Development of PAA GP Holdings LLC, which is the general partner of Plains GP Holdings, L.P.</w:t>
      </w:r>
    </w:p>
    <w:p>
      <w:pPr>
        <w:spacing w:after="0" w:line="17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Phillip D. Kramer </w:t>
      </w:r>
      <w:r>
        <w:rPr>
          <w:rFonts w:ascii="Arial" w:cs="Arial" w:eastAsia="Arial" w:hAnsi="Arial"/>
          <w:sz w:val="16"/>
          <w:szCs w:val="16"/>
          <w:color w:val="auto"/>
        </w:rPr>
        <w:t>has served as Executive Vice President since November 2008 and previously served as Executive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from our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 Mr. Kramer also serves as Executive Vice President of PAA GP Holdings LLC, which is the general partner of Plains GP Holdings, L.P.</w:t>
      </w:r>
    </w:p>
    <w:p>
      <w:pPr>
        <w:spacing w:after="0" w:line="158"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since February 2013. He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and Secretary from 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PAA GP Holdings LLC, which is the general partner of Plains GP Holdings, L.P.</w:t>
      </w:r>
    </w:p>
    <w:p>
      <w:pPr>
        <w:spacing w:after="0" w:line="19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John R. Rutherford </w:t>
      </w:r>
      <w:r>
        <w:rPr>
          <w:rFonts w:ascii="Arial" w:cs="Arial" w:eastAsia="Arial" w:hAnsi="Arial"/>
          <w:sz w:val="18"/>
          <w:szCs w:val="18"/>
          <w:color w:val="auto"/>
        </w:rPr>
        <w:t>has served as Executive Vice President since October 2010. Mr. Rutherford has 25 years of energy and investment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most recently serving as Managing Director and Head of North American Energy at Lazard, Freres &amp; Co. Prior to joining Lazard, Mr. Rutherford worked at Simmons &amp; Company International for 10 years, where he served as Managing Director and Partner and played a leadership role in building its financial advisory businesses in the mid-stream, downstream, and exploration and production sectors. During his career, Mr. Rutherford has developed substantial experience advising clients on mergers and acquisitions, corporate restructurings and other strategic actions, including many transactions in which he represented PAA. Mr. Rutherford also serves as Executive Vice President of PAA GP Holdings LLC, which is the general partner of Plains GP Holdings, L.P.</w:t>
      </w:r>
    </w:p>
    <w:p>
      <w:pPr>
        <w:spacing w:after="0" w:line="18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Al Swanson </w:t>
      </w:r>
      <w:r>
        <w:rPr>
          <w:rFonts w:ascii="Arial" w:cs="Arial" w:eastAsia="Arial" w:hAnsi="Arial"/>
          <w:sz w:val="16"/>
          <w:szCs w:val="16"/>
          <w:color w:val="auto"/>
        </w:rPr>
        <w:t>has served as Executive Vice President and Chief Financial Officer since February 2011. He previously served as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also serves as Executive Vice President and Chief Financial Officer of PAA GP Holdings LLC, which is the general partner of Plains GP Holdings, L.P.</w:t>
      </w:r>
    </w:p>
    <w:p>
      <w:pPr>
        <w:sectPr>
          <w:pgSz w:w="11900" w:h="16838" w:orient="portrait"/>
          <w:cols w:equalWidth="0" w:num="1">
            <w:col w:w="11420"/>
          </w:cols>
          <w:pgMar w:left="240" w:top="125"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5" w:right="239" w:bottom="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John P. vonBerg </w:t>
      </w:r>
      <w:r>
        <w:rPr>
          <w:rFonts w:ascii="Arial" w:cs="Arial" w:eastAsia="Arial" w:hAnsi="Arial"/>
          <w:sz w:val="18"/>
          <w:szCs w:val="18"/>
          <w:color w:val="auto"/>
        </w:rPr>
        <w:t>has served as Executive Vice President—Commercial Activities since February 2014. Previously he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Activities from August 2008 until February 2014, as Vice President—Commercial Activities from August 2007 until August 2008 and as Vice President—Trading from May 2003 until August 2007. He served as Director of these activities from January 2002 until May 2003. Prior to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 Mr. vonBerg also serves as Executive Vice President — Commercial Activities of PAA GP Holdings LLC, which is the general partner of Plains GP Holdings, L.P.</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President of Plains Midstream Canada since June 2003, and served as Executive Vice President of Plains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Canada from July 2001 to June 2003. Mr. Duckett was with CANPET Energy Group Inc. (“CANPET”) from 1985 to 2001, where he served in various capacities, including most recently as President, Chief Executive Officer and Chairman of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Lawrence J. Dreyfuss </w:t>
      </w:r>
      <w:r>
        <w:rPr>
          <w:rFonts w:ascii="Arial" w:cs="Arial" w:eastAsia="Arial" w:hAnsi="Arial"/>
          <w:sz w:val="17"/>
          <w:szCs w:val="17"/>
          <w:color w:val="auto"/>
        </w:rPr>
        <w:t>has served as Senior Vice President, General Counsel—Commercial and Litigation and Assistant Secretary since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2013, and served as Vice President, General Counsel—Commercial &amp; Litigation and Assistant Secretary from August 2006 until February 2013.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Dreyfuss was Vice President, Associate General Counsel and Assistant Secretary of our general partner from February 2004 to August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 General Counsel and Assistant Secretary of our general partner from June 2001 to February 2004 and held a senior management position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 Department since May 1999. In addition, he was a Vice President of Scurlock Permian LLC from 1987 to 1999.</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Alfred A. Lindseth </w:t>
      </w:r>
      <w:r>
        <w:rPr>
          <w:rFonts w:ascii="Arial" w:cs="Arial" w:eastAsia="Arial" w:hAnsi="Arial"/>
          <w:sz w:val="18"/>
          <w:szCs w:val="18"/>
          <w:color w:val="auto"/>
        </w:rPr>
        <w:t>has served as Senior Vice President—Technology, Process &amp; Risk Management since June 2003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from March 2001 to June 2003. He served as Risk Manager from March 2000 to March 2001. Mr. Lindseth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Daniel J. Nerbonne </w:t>
      </w:r>
      <w:r>
        <w:rPr>
          <w:rFonts w:ascii="Arial" w:cs="Arial" w:eastAsia="Arial" w:hAnsi="Arial"/>
          <w:sz w:val="16"/>
          <w:szCs w:val="16"/>
          <w:color w:val="auto"/>
        </w:rPr>
        <w:t>has served as Senior Vice President—Engineering since February 2013 and as Vice President—Engineering from February 2005</w:t>
      </w:r>
      <w:r>
        <w:rPr>
          <w:rFonts w:ascii="Arial" w:cs="Arial" w:eastAsia="Arial" w:hAnsi="Arial"/>
          <w:sz w:val="16"/>
          <w:szCs w:val="16"/>
          <w:i w:val="1"/>
          <w:iCs w:val="1"/>
          <w:color w:val="auto"/>
        </w:rPr>
        <w:t xml:space="preserve"> </w:t>
      </w:r>
      <w:r>
        <w:rPr>
          <w:rFonts w:ascii="Arial" w:cs="Arial" w:eastAsia="Arial" w:hAnsi="Arial"/>
          <w:sz w:val="16"/>
          <w:szCs w:val="16"/>
          <w:color w:val="auto"/>
        </w:rPr>
        <w:t>until February 2013. Prior to joining us, Mr. Nerbonne was General Manager of Portfolio Projects for Shell Oil Products US from January 2004 to</w:t>
      </w:r>
    </w:p>
    <w:p>
      <w:pPr>
        <w:ind w:right="20"/>
        <w:spacing w:after="0" w:line="302" w:lineRule="auto"/>
        <w:rPr>
          <w:sz w:val="20"/>
          <w:szCs w:val="20"/>
          <w:color w:val="auto"/>
        </w:rPr>
      </w:pPr>
      <w:r>
        <w:rPr>
          <w:rFonts w:ascii="Arial" w:cs="Arial" w:eastAsia="Arial" w:hAnsi="Arial"/>
          <w:sz w:val="16"/>
          <w:szCs w:val="16"/>
          <w:color w:val="auto"/>
        </w:rPr>
        <w:t>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spacing w:after="0" w:line="15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Troy Baker </w:t>
      </w:r>
      <w:r>
        <w:rPr>
          <w:rFonts w:ascii="Arial" w:cs="Arial" w:eastAsia="Arial" w:hAnsi="Arial"/>
          <w:sz w:val="17"/>
          <w:szCs w:val="17"/>
          <w:color w:val="auto"/>
        </w:rPr>
        <w:t>has served as Vice President, Crude Commercial of Plains Midstream Canada since September 2014 and is responsible for Crude Oil and</w:t>
      </w:r>
      <w:r>
        <w:rPr>
          <w:rFonts w:ascii="Arial" w:cs="Arial" w:eastAsia="Arial" w:hAnsi="Arial"/>
          <w:sz w:val="17"/>
          <w:szCs w:val="17"/>
          <w:i w:val="1"/>
          <w:iCs w:val="1"/>
          <w:color w:val="auto"/>
        </w:rPr>
        <w:t xml:space="preserve"> </w:t>
      </w:r>
      <w:r>
        <w:rPr>
          <w:rFonts w:ascii="Arial" w:cs="Arial" w:eastAsia="Arial" w:hAnsi="Arial"/>
          <w:sz w:val="17"/>
          <w:szCs w:val="17"/>
          <w:color w:val="auto"/>
        </w:rPr>
        <w:t>Diluent Supply and Trading in addition to trading Crude Oil-by-Rail. Mr. Baker has been with PMC for over seven years, serving most recently as Director of Crude Oil and Diluent Trading. Prior to joining PMC, he worked with Husky Energy for 11 years where he served in various capacities, finishing as Manager of Crude Oil Trading. Mr. Baker also has field experience working in Facility Operations with Amoco Canada Petroleum.</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Jason Balasch </w:t>
      </w:r>
      <w:r>
        <w:rPr>
          <w:rFonts w:ascii="Arial" w:cs="Arial" w:eastAsia="Arial" w:hAnsi="Arial"/>
          <w:sz w:val="16"/>
          <w:szCs w:val="16"/>
          <w:color w:val="auto"/>
        </w:rPr>
        <w:t>has served as Executive Vice President, NGL Commercial and Facilities of Plains Midstream Canada since January 2015 and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overseeing all commercial activities associated with PMC’s NGL business including supply, logistics, facilities, business development and joint ventures. He previously served as Senior Vice President, LPG Commercial and Facilities of PMC from September 2013 through December 2014 and as Vice President of LPG of PMC from September 2011 until September 2013. Prior to joining PMC, he was with Enterprise Products Partners L.P. from June 2000 to August 2011, where he served in various capacities, most recently as Vice President, U.S. Gulf Coast Gathering &amp; Processing in their Houston, Texas office. Mr. Balasch has also worked for Chevron and TransCanada Corporation in both engineering and business development roles.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Samuel N. Brown </w:t>
      </w:r>
      <w:r>
        <w:rPr>
          <w:rFonts w:ascii="Arial" w:cs="Arial" w:eastAsia="Arial" w:hAnsi="Arial"/>
          <w:sz w:val="17"/>
          <w:szCs w:val="17"/>
          <w:color w:val="auto"/>
        </w:rPr>
        <w:t>has served as Vice President—Pipeline Business Development since October 2009. Prior to joining PAA, Mr. Brown served</w:t>
      </w:r>
      <w:r>
        <w:rPr>
          <w:rFonts w:ascii="Arial" w:cs="Arial" w:eastAsia="Arial" w:hAnsi="Arial"/>
          <w:sz w:val="17"/>
          <w:szCs w:val="17"/>
          <w:i w:val="1"/>
          <w:iCs w:val="1"/>
          <w:color w:val="auto"/>
        </w:rPr>
        <w:t xml:space="preserve"> </w:t>
      </w:r>
      <w:r>
        <w:rPr>
          <w:rFonts w:ascii="Arial" w:cs="Arial" w:eastAsia="Arial" w:hAnsi="Arial"/>
          <w:sz w:val="17"/>
          <w:szCs w:val="17"/>
          <w:color w:val="auto"/>
        </w:rPr>
        <w:t>TEPPCO for over 10 years, most recently as Vice President—Commercial Downstream and previously as Vice President—Pipeline Marketing and Business Development for the Upstream segment. Prior to joining TEPPCO, Mr. Brown was with Duke Energy Transport and Trading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Kevin L. Cantrell </w:t>
      </w:r>
      <w:r>
        <w:rPr>
          <w:rFonts w:ascii="Arial" w:cs="Arial" w:eastAsia="Arial" w:hAnsi="Arial"/>
          <w:sz w:val="17"/>
          <w:szCs w:val="17"/>
          <w:color w:val="auto"/>
        </w:rPr>
        <w:t>has served as Vice President—Internal Audit since February 2011 and served as Managing Director of Internal Audit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2009 to February 2011. Prior to joining PAA, Mr. Cantrell was a managing director and founding member of Protiviti, Inc., a global risk consulting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internal audit firm, from May 2002 to April 2009, and a manager in Andersen’s Risk Consulting practice in Houston, Texas, from February 1999 to</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May 2002, where he lead internal audit, risk management, and Sarbanes-Oxley compliance projects for clients in the Energy industry. Mr. Cantrell began his professional career at J.P. Morgan Chase, where he held positions of increasing responsibilities in the internal audit and capital markets compliance groups from July 1986 through February 1999.</w:t>
      </w:r>
    </w:p>
    <w:p>
      <w:pPr>
        <w:spacing w:after="0" w:line="1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David Craig </w:t>
      </w:r>
      <w:r>
        <w:rPr>
          <w:rFonts w:ascii="Arial" w:cs="Arial" w:eastAsia="Arial" w:hAnsi="Arial"/>
          <w:sz w:val="18"/>
          <w:szCs w:val="18"/>
          <w:color w:val="auto"/>
        </w:rPr>
        <w:t>has served as Executive Vice President and Chief Financial Officer of Plains Midstream Canada since June 2008.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operations, Mr. Craig was with Nexen Inc. from 2004 to June 2008, where he served in various capacities, including most recently as Vice President of natural gas marketing. From 1999 until 2004, he was with Apache Canada Ltd., with responsibilities in the areas of gas marketing and finance. Mr. Craig has over 25 years of experience in the energy industry in various financial roles (including accounting, planning, treasury, and mergers &amp; acquisitions) as well as natural gas marketing.</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Ralph R. Cross </w:t>
      </w:r>
      <w:r>
        <w:rPr>
          <w:rFonts w:ascii="Arial" w:cs="Arial" w:eastAsia="Arial" w:hAnsi="Arial"/>
          <w:sz w:val="17"/>
          <w:szCs w:val="17"/>
          <w:color w:val="auto"/>
        </w:rPr>
        <w:t>has served as Vice President, Corporate Development of Plains Midstream Canada since July 2012. He previously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President—Corporate Development and Transportation Services of Plains Midstream Canada from July 2001 until July 2012. Mr. Cross was previously with CANPET since 1992, where he served in various capacities, including most recently as Vice President of Business Development.</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Brad Deets </w:t>
      </w:r>
      <w:r>
        <w:rPr>
          <w:rFonts w:ascii="Arial" w:cs="Arial" w:eastAsia="Arial" w:hAnsi="Arial"/>
          <w:sz w:val="18"/>
          <w:szCs w:val="18"/>
          <w:color w:val="auto"/>
        </w:rPr>
        <w:t>has served as Vice President, LPG Commercial of Plains Midstream Canada since September 2013. He served as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Planning from June 2013 through August 2013, and previously served as Director of Strategic Planning. He has served in a number of roles at PMC including butane trading, risk management and acquisitions. Prior to joining PMC, Mr. Deets worked with CANPET Energy Group Inc. for a number of years, focusing on crude oil trading.</w:t>
      </w:r>
    </w:p>
    <w:p>
      <w:pPr>
        <w:sectPr>
          <w:pgSz w:w="11900" w:h="16838" w:orient="portrait"/>
          <w:cols w:equalWidth="0" w:num="1">
            <w:col w:w="11400"/>
          </w:cols>
          <w:pgMar w:left="240" w:top="517" w:right="259" w:bottom="0" w:gutter="0" w:footer="0" w:header="0"/>
        </w:sectPr>
      </w:pPr>
    </w:p>
    <w:bookmarkStart w:id="78" w:name="page79"/>
    <w:bookmarkEnd w:id="78"/>
    <w:p>
      <w:pPr>
        <w:spacing w:after="0" w:line="2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Roger D. Everett </w:t>
      </w:r>
      <w:r>
        <w:rPr>
          <w:rFonts w:ascii="Arial" w:cs="Arial" w:eastAsia="Arial" w:hAnsi="Arial"/>
          <w:sz w:val="17"/>
          <w:szCs w:val="17"/>
          <w:color w:val="auto"/>
        </w:rPr>
        <w:t>has served as Vice President—Human Resources since November 2006 and as Director of Human Resources from August 2006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2006. Before 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James Ferrell </w:t>
      </w:r>
      <w:r>
        <w:rPr>
          <w:rFonts w:ascii="Arial" w:cs="Arial" w:eastAsia="Arial" w:hAnsi="Arial"/>
          <w:sz w:val="18"/>
          <w:szCs w:val="18"/>
          <w:color w:val="auto"/>
        </w:rPr>
        <w:t>has served as Vice President—Supply Chain Management since August 2011. He joined Plains in 2006 from ConocoPhillips. He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functions all along the supply chain, including the majority of all purchasing requirements, all vendor contract negotiations, and fleet management.</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Bill Forward </w:t>
      </w:r>
      <w:r>
        <w:rPr>
          <w:rFonts w:ascii="Arial" w:cs="Arial" w:eastAsia="Arial" w:hAnsi="Arial"/>
          <w:sz w:val="18"/>
          <w:szCs w:val="18"/>
          <w:color w:val="auto"/>
        </w:rPr>
        <w:t>has served as Vice President, Finance of Plains Midstream Canada since September 2013. Prior to joining PMC, he held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positions in accounting and finance for several midstream energy companies, most recently serving as Corporate Controller for Pembina Pipelines Corp. Previously, he was Vice-President at Provident Energy Ltd. and served in financial reporting and accounting roles at ENMAX, TransCanada and PricewaterhouseCoopers.</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i w:val="1"/>
          <w:iCs w:val="1"/>
          <w:color w:val="auto"/>
        </w:rPr>
        <w:t xml:space="preserve">James B. Fryfogle </w:t>
      </w:r>
      <w:r>
        <w:rPr>
          <w:rFonts w:ascii="Arial" w:cs="Arial" w:eastAsia="Arial" w:hAnsi="Arial"/>
          <w:sz w:val="18"/>
          <w:szCs w:val="18"/>
          <w:color w:val="auto"/>
        </w:rPr>
        <w:t>has served as Vice President—Refinery Supply since March 2005. He served as Vice President—Lease Operations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2004 until March 2005. Prior to joining Plains in January 2004, Mr. Fryfogle served as Manager of Crude Supply and Trading for Marathon Ashland Petroleum. Mr. Fryfogle had held numerous positions of increasing responsibility with Marathon Ashland Petroleum or its affiliates or predecessors since 1975.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i w:val="1"/>
          <w:iCs w:val="1"/>
          <w:color w:val="auto"/>
        </w:rPr>
        <w:t xml:space="preserve">M.D. (Mike) Hallahan </w:t>
      </w:r>
      <w:r>
        <w:rPr>
          <w:rFonts w:ascii="Arial" w:cs="Arial" w:eastAsia="Arial" w:hAnsi="Arial"/>
          <w:sz w:val="16"/>
          <w:szCs w:val="16"/>
          <w:color w:val="auto"/>
        </w:rPr>
        <w:t>has served as Vice President, Bulk Commodities Transportation since August 2014. He previously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and Truck Transportation of Plains Midstream Canada from February 2004 to August 2014 and as Managing Director, Facilities from July 2001 to February 2004. He was previously with CANPET where he served in various capacities since 1996, most recently as General Manager, Facilities.</w:t>
      </w:r>
    </w:p>
    <w:p>
      <w:pPr>
        <w:spacing w:after="0" w:line="14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since August 2010. He served as Controller of PAA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Vice President — Accounting and Chief Accounting Officer of PAA GP Holdings LLC, which is the general partner of Plains GP Holdings, L.P.</w:t>
      </w:r>
    </w:p>
    <w:p>
      <w:pPr>
        <w:spacing w:after="0" w:line="18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6"/>
          <w:szCs w:val="16"/>
          <w:i w:val="1"/>
          <w:iCs w:val="1"/>
          <w:color w:val="auto"/>
        </w:rPr>
        <w:t xml:space="preserve">Jim G. Hester </w:t>
      </w:r>
      <w:r>
        <w:rPr>
          <w:rFonts w:ascii="Arial" w:cs="Arial" w:eastAsia="Arial" w:hAnsi="Arial"/>
          <w:sz w:val="16"/>
          <w:szCs w:val="16"/>
          <w:color w:val="auto"/>
        </w:rPr>
        <w:t>has served as Vice President—Natural Gas Gathering and Processing since August 2011. He previously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since March 2002. Prior to joining PAA, Mr. Hester was Senior Vice President—Special Projects of Plains Resources. 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May 1999, Manager of Corporate Development from 1995 to 1997 and Manager of Special Projects from 1993 to 1995. He was Assistant Controller from 1991 to 1993, Accounting Manager from 1990 to 1991 and Revenue Accounting Supervisor from 1988 to 1990.</w:t>
      </w:r>
    </w:p>
    <w:p>
      <w:pPr>
        <w:spacing w:after="0" w:line="18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Keith Jalbert </w:t>
      </w:r>
      <w:r>
        <w:rPr>
          <w:rFonts w:ascii="Arial" w:cs="Arial" w:eastAsia="Arial" w:hAnsi="Arial"/>
          <w:sz w:val="16"/>
          <w:szCs w:val="16"/>
          <w:color w:val="auto"/>
        </w:rPr>
        <w:t>has served as Vice President of Commercial Activities since December 2014. He previously served as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Activities from 2008 until December 2014, and as a Trader from 2002 through 2008. Before joining Plains, he was employed by Genesis Energy as a Crude Oil Trader. Prior to that, he held various analyst, scheduling, trading and management positions with Basis Petroleum and Phibro Energy.</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 xml:space="preserve">Richard Jensen </w:t>
      </w:r>
      <w:r>
        <w:rPr>
          <w:rFonts w:ascii="Arial" w:cs="Arial" w:eastAsia="Arial" w:hAnsi="Arial"/>
          <w:sz w:val="18"/>
          <w:szCs w:val="18"/>
          <w:color w:val="auto"/>
        </w:rPr>
        <w:t>has served as Executive Vice President, Operations of Plains Midstream Canada since October 2012. Prior to joining PMC,</w:t>
      </w:r>
    </w:p>
    <w:p>
      <w:pPr>
        <w:spacing w:after="0" w:line="2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Mr. Jensen worked with Nexen Petroleum for over 27 years, where he served in various leadership capacities, most recently as Vice President, Middle East, South America and Africa. Mr. Jensen has also worked in executive leadership roles at Canadian Occidental Petroleum and Canadian Nexen Chemicals.</w:t>
      </w:r>
    </w:p>
    <w:p>
      <w:pPr>
        <w:spacing w:after="0" w:line="139"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i w:val="1"/>
          <w:iCs w:val="1"/>
          <w:color w:val="auto"/>
        </w:rPr>
        <w:t xml:space="preserve">Christopher M. Kean </w:t>
      </w:r>
      <w:r>
        <w:rPr>
          <w:rFonts w:ascii="Arial" w:cs="Arial" w:eastAsia="Arial" w:hAnsi="Arial"/>
          <w:sz w:val="18"/>
          <w:szCs w:val="18"/>
          <w:color w:val="auto"/>
        </w:rPr>
        <w:t>has served as Vice President, Engineering of Plains Midstream Canada since September 2012. He has over 25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global projects and operations across the oil and gas, chemical and oil sands sectors. Prior to joining PMC, Mr. Kean worked with Enbridge Pipelines for over four years, where he served in various capacities, most recently as Project Director for the Cabin Gas Plant project. Mr. Kean has also worked in both engineering and project management leadership roles for Canadian Natural Resources Limited (11 years), Petro-Canada, and Amoco Chemical and Production Companies.</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John Keffer </w:t>
      </w:r>
      <w:r>
        <w:rPr>
          <w:rFonts w:ascii="Arial" w:cs="Arial" w:eastAsia="Arial" w:hAnsi="Arial"/>
          <w:sz w:val="16"/>
          <w:szCs w:val="16"/>
          <w:color w:val="auto"/>
        </w:rPr>
        <w:t>has served as Vice President—Terminals since November 2006. Mr. Keffer joined Plains Marketing, L.P. in October 1998 and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his appointment as Vice President, he served as Managing Director—Refinery Supply, Director of Trading and Manager of Sales and Trading. Prior to joining Plains, Mr. Keffer was with Prebon Energy, an energy brokerage firm, from January 1996 through September 1998. Mr. Keffer was with the Permian Corporation/Scurlock Permian from January 1990 through December 1995, where he served in several capacities in the marketing department including Director of Crude Oil Trading. Mr. Keffer began his career with Amoco Production Company and served in various capacities beginning in June 1982.</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Charles Kingswell-Smith </w:t>
      </w:r>
      <w:r>
        <w:rPr>
          <w:rFonts w:ascii="Arial" w:cs="Arial" w:eastAsia="Arial" w:hAnsi="Arial"/>
          <w:sz w:val="18"/>
          <w:szCs w:val="18"/>
          <w:color w:val="auto"/>
        </w:rPr>
        <w:t>has served as Vice President — Finance since October 2014 and served as Vice President and Treasurer from August 2008</w:t>
      </w:r>
      <w:r>
        <w:rPr>
          <w:rFonts w:ascii="Arial" w:cs="Arial" w:eastAsia="Arial" w:hAnsi="Arial"/>
          <w:sz w:val="18"/>
          <w:szCs w:val="18"/>
          <w:i w:val="1"/>
          <w:iCs w:val="1"/>
          <w:color w:val="auto"/>
        </w:rPr>
        <w:t xml:space="preserve"> </w:t>
      </w:r>
      <w:r>
        <w:rPr>
          <w:rFonts w:ascii="Arial" w:cs="Arial" w:eastAsia="Arial" w:hAnsi="Arial"/>
          <w:sz w:val="18"/>
          <w:szCs w:val="18"/>
          <w:color w:val="auto"/>
        </w:rPr>
        <w:t>until October 2014. Mr. Kingswell-Smith previously served as Managing Director of GE Energy Financial Services from January 2008 to July 2008 and as Managing Director with Merrill Lynch Capital from March 2007 until January 2008. Prior to joining Merrill Lynch Capital, Mr. Kingswell-Smith spent 12 years in the energy banking business with JPMorgan Chase and BankOne.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91" w:lineRule="auto"/>
        <w:rPr>
          <w:sz w:val="20"/>
          <w:szCs w:val="20"/>
          <w:color w:val="auto"/>
        </w:rPr>
      </w:pPr>
      <w:r>
        <w:rPr>
          <w:rFonts w:ascii="Arial" w:cs="Arial" w:eastAsia="Arial" w:hAnsi="Arial"/>
          <w:sz w:val="16"/>
          <w:szCs w:val="16"/>
          <w:i w:val="1"/>
          <w:iCs w:val="1"/>
          <w:color w:val="auto"/>
        </w:rPr>
        <w:t xml:space="preserve">Sterling Koch </w:t>
      </w:r>
      <w:r>
        <w:rPr>
          <w:rFonts w:ascii="Arial" w:cs="Arial" w:eastAsia="Arial" w:hAnsi="Arial"/>
          <w:sz w:val="16"/>
          <w:szCs w:val="16"/>
          <w:color w:val="auto"/>
        </w:rPr>
        <w:t>has served as Vice President, Health, Safety, Environment &amp; Regulatory of Plains Midstream Canada since January 2013. He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providing strategic direction and oversight to the environment, health &amp; safety, regulatory and land activities of our Canadian operations.</w:t>
      </w:r>
    </w:p>
    <w:p>
      <w:pPr>
        <w:spacing w:after="0"/>
        <w:rPr>
          <w:sz w:val="20"/>
          <w:szCs w:val="20"/>
          <w:color w:val="auto"/>
        </w:rPr>
      </w:pPr>
      <w:r>
        <w:rPr>
          <w:rFonts w:ascii="Arial" w:cs="Arial" w:eastAsia="Arial" w:hAnsi="Arial"/>
          <w:sz w:val="16"/>
          <w:szCs w:val="16"/>
          <w:color w:val="auto"/>
        </w:rPr>
        <w:t>Mr. Koch brings over 20 years of energy industry experience, including regulatory and legal affairs, commercial operations, compliance and security. Prior to</w:t>
      </w:r>
    </w:p>
    <w:p>
      <w:pPr>
        <w:sectPr>
          <w:pgSz w:w="11900" w:h="16865" w:orient="portrait"/>
          <w:cols w:equalWidth="0" w:num="1">
            <w:col w:w="11420"/>
          </w:cols>
          <w:pgMar w:left="240" w:top="341" w:right="239" w:bottom="0" w:gutter="0" w:footer="0" w:header="0"/>
        </w:sectPr>
      </w:pPr>
    </w:p>
    <w:bookmarkStart w:id="79" w:name="page80"/>
    <w:bookmarkEnd w:id="79"/>
    <w:p>
      <w:pPr>
        <w:spacing w:after="0" w:line="46"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joining PMC, Mr. Koch worked with TransAlta for over 14 years, where he served in various vice president roles including regulatory and legal affairs, commercial management and business development. He also brings to PMC a background as legal counsel, originating from his days with Western Gas Marketing, Northridge Petroleum and TransCanada.</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Dwayne Koehn </w:t>
      </w:r>
      <w:r>
        <w:rPr>
          <w:rFonts w:ascii="Arial" w:cs="Arial" w:eastAsia="Arial" w:hAnsi="Arial"/>
          <w:sz w:val="18"/>
          <w:szCs w:val="18"/>
          <w:color w:val="auto"/>
        </w:rPr>
        <w:t>has served as Vice President—Engineering since February 2014. Mr. Koehn previously served as Managing Director of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2008 to February 2014, and as Director of Engineering from September 2005 to June 2008. He initially joined Plains in 2004 in connection with the acquisition of Link Energy where he was a Manager of Engineering. Mr. Koehn has also served in various manager and director roles with Koch Industries and PF Net Construction.</w:t>
      </w:r>
    </w:p>
    <w:p>
      <w:pPr>
        <w:spacing w:after="0" w:line="18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i w:val="1"/>
          <w:iCs w:val="1"/>
          <w:color w:val="auto"/>
        </w:rPr>
        <w:t xml:space="preserve">Mike Mikuska </w:t>
      </w:r>
      <w:r>
        <w:rPr>
          <w:rFonts w:ascii="Arial" w:cs="Arial" w:eastAsia="Arial" w:hAnsi="Arial"/>
          <w:sz w:val="17"/>
          <w:szCs w:val="17"/>
          <w:color w:val="auto"/>
        </w:rPr>
        <w:t>has served as Vice President, Pipelines Development and Logistics of Plains Midstream Canada since August 2012. He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Vice President of Business Development—Crude Oil of Plains Midstream Canada from September 2008 to August 2012. Mr. Mikuska has been with PMC and its predecessor CANPET since 1995 and has served in various commercial and development roles over that time.</w:t>
      </w:r>
    </w:p>
    <w:p>
      <w:pPr>
        <w:spacing w:after="0" w:line="166"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i w:val="1"/>
          <w:iCs w:val="1"/>
          <w:color w:val="auto"/>
        </w:rPr>
        <w:t xml:space="preserve">George N. Polydoros </w:t>
      </w:r>
      <w:r>
        <w:rPr>
          <w:rFonts w:ascii="Arial" w:cs="Arial" w:eastAsia="Arial" w:hAnsi="Arial"/>
          <w:sz w:val="17"/>
          <w:szCs w:val="17"/>
          <w:color w:val="auto"/>
        </w:rPr>
        <w:t>has served as Vice President—Land and Office Services since February 2013. He served as Managing Director—Land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 Services from April 2011 until February 2013. Prior to joining PAA, Mr. Polydoros was a partner at the law firm of Mayer Brown. Before joining Mayer Brown, he worked as an attorney at American General Corporation (now part of AIG) and Bracewell &amp; Giuliani.</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Tyler Rimbey </w:t>
      </w:r>
      <w:r>
        <w:rPr>
          <w:rFonts w:ascii="Arial" w:cs="Arial" w:eastAsia="Arial" w:hAnsi="Arial"/>
          <w:sz w:val="18"/>
          <w:szCs w:val="18"/>
          <w:color w:val="auto"/>
        </w:rPr>
        <w:t>has served as Executive Vice President, Crude Oil Commercial and Pipelines of Plains Midstream Canada since July 2014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overseeing commercial areas of the business including crude oil trading, crude oil business development, pipelines and logistics, acquisitions and rail and truck transportation. Mr. Rimbey brings over 25 years of energy industry experience, including commodity trading, marketing and business development. Prior to joining PMC, Mr. Rimbey worked with Platino Energy Corp., serving as Vice President of Business Development. He has also worked in executive and senior leadership roles with BP Canada Energy Trading Company, BP Energy Company, Goldman Sachs and Shell in Canada, the U.S. and United Kingdom.</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Robert M. Sanford </w:t>
      </w:r>
      <w:r>
        <w:rPr>
          <w:rFonts w:ascii="Arial" w:cs="Arial" w:eastAsia="Arial" w:hAnsi="Arial"/>
          <w:sz w:val="17"/>
          <w:szCs w:val="17"/>
          <w:color w:val="auto"/>
        </w:rPr>
        <w:t>has served as Vice President—Lease Supply since June 2006. He served as Managing Director—Lease Acquisitions and Trucking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2005 to June 2006 and as Director of South Texas and Mid Continent Business Units from April 2004 to July 2005. Mr. Sanford was with Link Energy/EOTT Energy from 1994 to April 2004, where he held various positions of increasing responsibility.</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David Schwarz </w:t>
      </w:r>
      <w:r>
        <w:rPr>
          <w:rFonts w:ascii="Arial" w:cs="Arial" w:eastAsia="Arial" w:hAnsi="Arial"/>
          <w:sz w:val="18"/>
          <w:szCs w:val="18"/>
          <w:color w:val="auto"/>
        </w:rPr>
        <w:t>has served as Vice President, Human Resources of Plains Midstream Canada since October 2012. He previously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Human Resources and Corporate Communications of Plains Midstream Canada from February 2011 to October 2012. He joined Plains Midstream Canada in August 2009 and brings over 18 years of experience to this role. Prior to joining PMC, Mr. Schwarz held various senior human resources roles in Calgary, and most recently served as Senior Manager, Human Resources in the ATCO Group of Companies. He has also gained experience working for such companies as Fluor Daniel, Manalta Coal and Superior Propane.</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i w:val="1"/>
          <w:iCs w:val="1"/>
          <w:color w:val="auto"/>
        </w:rPr>
        <w:t xml:space="preserve">Scott Sill </w:t>
      </w:r>
      <w:r>
        <w:rPr>
          <w:rFonts w:ascii="Arial" w:cs="Arial" w:eastAsia="Arial" w:hAnsi="Arial"/>
          <w:sz w:val="16"/>
          <w:szCs w:val="16"/>
          <w:color w:val="auto"/>
        </w:rPr>
        <w:t>has served as Vice President, Operations of Plains Midstream Canada since September 2013 and is responsible for PMC’s crude oil, NGL</w:t>
      </w:r>
      <w:r>
        <w:rPr>
          <w:rFonts w:ascii="Arial" w:cs="Arial" w:eastAsia="Arial" w:hAnsi="Arial"/>
          <w:sz w:val="16"/>
          <w:szCs w:val="16"/>
          <w:i w:val="1"/>
          <w:iCs w:val="1"/>
          <w:color w:val="auto"/>
        </w:rPr>
        <w:t xml:space="preserve"> </w:t>
      </w:r>
      <w:r>
        <w:rPr>
          <w:rFonts w:ascii="Arial" w:cs="Arial" w:eastAsia="Arial" w:hAnsi="Arial"/>
          <w:sz w:val="16"/>
          <w:szCs w:val="16"/>
          <w:color w:val="auto"/>
        </w:rPr>
        <w:t>and LPG operations. He previously served as Vice President of LPG Operations from March 2010 until September 2013. He joined Plains Midstream Canada in April 2006 through PAA’s acquisition of the Shafter gas liquids processing facility. Prior to his most recent role as Managing Director of U.S. and Canadian LPG Operations, Mr. Sill performed the role of West Coast District Superintendent, overseeing an LPG isomerization/hydrotreating facility, salt cavern terminal, fractionation plant and various storage terminals. Mr. Sill brings over 25 years of LPG operations experience to this role.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Phil Smith </w:t>
      </w:r>
      <w:r>
        <w:rPr>
          <w:rFonts w:ascii="Arial" w:cs="Arial" w:eastAsia="Arial" w:hAnsi="Arial"/>
          <w:sz w:val="18"/>
          <w:szCs w:val="18"/>
          <w:color w:val="auto"/>
        </w:rPr>
        <w:t>has served as Vice President—Operations since April 2010. He joined PAA in 2002 from Shell Pipeline. Mr. Smith is responsible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operations and maintenance activities on its domestic pipeline and terminal facilities.</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Sharon S. Spurlin </w:t>
      </w:r>
      <w:r>
        <w:rPr>
          <w:rFonts w:ascii="Arial" w:cs="Arial" w:eastAsia="Arial" w:hAnsi="Arial"/>
          <w:sz w:val="18"/>
          <w:szCs w:val="18"/>
          <w:color w:val="auto"/>
        </w:rPr>
        <w:t>has served as Vice President and Treasurer since October 2014. Before re-joining PAA, Ms. Spurlin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PetroLogistics from 2009 until 2014. She originally joined PAA in 2002 and served as Director of Internal Audit and as Assistant Treasurer until 2009.</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Troy E. Valenzuela </w:t>
      </w:r>
      <w:r>
        <w:rPr>
          <w:rFonts w:ascii="Arial" w:cs="Arial" w:eastAsia="Arial" w:hAnsi="Arial"/>
          <w:sz w:val="18"/>
          <w:szCs w:val="18"/>
          <w:color w:val="auto"/>
        </w:rPr>
        <w:t>has served as Vice President—Environmental, Health and Safety, or EH&amp;S, since July 2002, and has had oversight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environmental, safety and regulatory compliance efforts of us and our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Walter van Zanten </w:t>
      </w:r>
      <w:r>
        <w:rPr>
          <w:rFonts w:ascii="Arial" w:cs="Arial" w:eastAsia="Arial" w:hAnsi="Arial"/>
          <w:sz w:val="18"/>
          <w:szCs w:val="18"/>
          <w:color w:val="auto"/>
        </w:rPr>
        <w:t>has served as Vice President—Tax since February 2013. He served as Director of Tax from December 2008 until February 2013.</w:t>
      </w:r>
      <w:r>
        <w:rPr>
          <w:rFonts w:ascii="Arial" w:cs="Arial" w:eastAsia="Arial" w:hAnsi="Arial"/>
          <w:sz w:val="18"/>
          <w:szCs w:val="18"/>
          <w:i w:val="1"/>
          <w:iCs w:val="1"/>
          <w:color w:val="auto"/>
        </w:rPr>
        <w:t xml:space="preserve"> </w:t>
      </w:r>
      <w:r>
        <w:rPr>
          <w:rFonts w:ascii="Arial" w:cs="Arial" w:eastAsia="Arial" w:hAnsi="Arial"/>
          <w:sz w:val="18"/>
          <w:szCs w:val="18"/>
          <w:color w:val="auto"/>
        </w:rPr>
        <w:t>Before joining PAA, Mr. van Zanten worked in various leadership and functional capacities for Chimerical, Inc., El Paso Corp., Tenneco Energy, The Coastal Corporation, Tangram Transmission Corp. and Arthur Young.</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Sandi Wingert </w:t>
      </w:r>
      <w:r>
        <w:rPr>
          <w:rFonts w:ascii="Arial" w:cs="Arial" w:eastAsia="Arial" w:hAnsi="Arial"/>
          <w:sz w:val="18"/>
          <w:szCs w:val="18"/>
          <w:color w:val="auto"/>
        </w:rPr>
        <w:t>has served as Vice President, Corporate Services of Plains Midstream Canada since September 2013. She served as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 PMC from February 2008 until September 2013. She has been with PMC and its predecessor CANPET acting as Controller since 2000. Prior to joining our Canadian operations, she held various accounting roles with Koch Petroleum and Ernst &amp; Young.</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Bernard (Ben) Figlock </w:t>
      </w:r>
      <w:r>
        <w:rPr>
          <w:rFonts w:ascii="Arial" w:cs="Arial" w:eastAsia="Arial" w:hAnsi="Arial"/>
          <w:sz w:val="18"/>
          <w:szCs w:val="18"/>
          <w:color w:val="auto"/>
        </w:rPr>
        <w:t>has served as a director of our general partner since January 2015. Mr. Figlock currently serves as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Treasurer at Oxy, where he directs and oversees management of Oxy’s treasury and risk management functions including finance, investments, insurance and operational risk, commodities trading credit and market risk, and currencies. Mr. Figlock joined Oxy in 1987, advancing to positions of increasing responsibility in Internal Audit, Corporate Finance Planning &amp; Analysis, Corporate Development, and Treasury. He also serves as a director of PAA GP Holdings LLC, which is the general partner of Plains GP Holdings, L.P. Mr. Figlock holds a BS in Accounting from Wake Forest University and an MBA from Loyola Marymount University. We believe that Mr. Figlock’s financial and analytical background provides the board a distinctive and valuable perspective.</w:t>
      </w:r>
    </w:p>
    <w:p>
      <w:pPr>
        <w:spacing w:after="0" w:line="18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i w:val="1"/>
          <w:iCs w:val="1"/>
          <w:color w:val="auto"/>
        </w:rPr>
        <w:t xml:space="preserve">Everardo Goyanes </w:t>
      </w:r>
      <w:r>
        <w:rPr>
          <w:rFonts w:ascii="Arial" w:cs="Arial" w:eastAsia="Arial" w:hAnsi="Arial"/>
          <w:sz w:val="16"/>
          <w:szCs w:val="16"/>
          <w:color w:val="auto"/>
        </w:rPr>
        <w:t>has served as a director of our general partner or former general partner since May 1999. He is Founder of Ex Cathedra LLC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w:t>
      </w:r>
    </w:p>
    <w:p>
      <w:pPr>
        <w:sectPr>
          <w:pgSz w:w="11900" w:h="16885" w:orient="portrait"/>
          <w:cols w:equalWidth="0" w:num="1">
            <w:col w:w="11420"/>
          </w:cols>
          <w:pgMar w:left="240" w:top="125" w:right="239" w:bottom="0" w:gutter="0" w:footer="0" w:header="0"/>
        </w:sectPr>
      </w:pPr>
    </w:p>
    <w:bookmarkStart w:id="80" w:name="page81"/>
    <w:bookmarkEnd w:id="80"/>
    <w:p>
      <w:pPr>
        <w:spacing w:after="0" w:line="10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also serves as a director and as chairman of the audit committee of PAA GP Holdings LLC, which is the general partner of Plains GP Holdings, L.P. Mr. Goyanes received a BA in Economics 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Gary R. Petersen </w:t>
      </w:r>
      <w:r>
        <w:rPr>
          <w:rFonts w:ascii="Arial" w:cs="Arial" w:eastAsia="Arial" w:hAnsi="Arial"/>
          <w:sz w:val="18"/>
          <w:szCs w:val="18"/>
          <w:color w:val="auto"/>
        </w:rPr>
        <w:t>has served as a director of our general partner since June 2001. Mr. Petersen is a Managing Partner of EnCap Investments L.P.,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of directors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7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December 2010. Mr. Raymond is an owner and founder of The Energy &amp;</w:t>
      </w:r>
      <w:r>
        <w:rPr>
          <w:rFonts w:ascii="Arial" w:cs="Arial" w:eastAsia="Arial" w:hAnsi="Arial"/>
          <w:sz w:val="16"/>
          <w:szCs w:val="16"/>
          <w:i w:val="1"/>
          <w:iCs w:val="1"/>
          <w:color w:val="auto"/>
        </w:rPr>
        <w:t xml:space="preserve"> </w:t>
      </w:r>
      <w:r>
        <w:rPr>
          <w:rFonts w:ascii="Arial" w:cs="Arial" w:eastAsia="Arial" w:hAnsi="Arial"/>
          <w:sz w:val="16"/>
          <w:szCs w:val="16"/>
          <w:color w:val="auto"/>
        </w:rPr>
        <w:t>Minerals Group, which is the management company for a series of specialized private equity funds. EMG was founded in 2006 and focuses on investing across various facets of the global natural resource industry including the upstream and midstream segments of the energy complex. EMG has approximately $17.1 billion of regulatory assets under management and approximately $8.1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also serves as a director of PAA GP Holdings LLC, which is the general partner of Plains GP Holdings, L.P. He serves on numerous other boards, including NGL Energy Holdings LLC, the general partner of NGL Energy Partners, L.P., and Tallgrass MLP GP, LLC, the general partner of Tallgrass Energy Partners,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6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i w:val="1"/>
          <w:iCs w:val="1"/>
          <w:color w:val="auto"/>
        </w:rPr>
        <w:t xml:space="preserve">Robert V. Sinnott </w:t>
      </w:r>
      <w:r>
        <w:rPr>
          <w:rFonts w:ascii="Arial" w:cs="Arial" w:eastAsia="Arial" w:hAnsi="Arial"/>
          <w:sz w:val="16"/>
          <w:szCs w:val="16"/>
          <w:color w:val="auto"/>
        </w:rPr>
        <w:t>has served as a director of our general partner or former general partner since September 1998. Mr. Sinnott is President,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Chief Investment Officer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 and PAA GP Holdings LLC, which is the general partner of Plains GP Holdings, L.P. Mr. Sinnott received a BA from the University of Virginia and an MBA from Harvard. Mr. Sinnott’s extensive investment management background includes his current role of managing approximately $23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J. Taft Symonds </w:t>
      </w:r>
      <w:r>
        <w:rPr>
          <w:rFonts w:ascii="Arial" w:cs="Arial" w:eastAsia="Arial" w:hAnsi="Arial"/>
          <w:sz w:val="17"/>
          <w:szCs w:val="17"/>
          <w:color w:val="auto"/>
        </w:rPr>
        <w:t>has served as a director of our general partner since June 2001. Mr. Symonds is Chairman of the Board of Symonds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of directors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Christopher M. Temple </w:t>
      </w:r>
      <w:r>
        <w:rPr>
          <w:rFonts w:ascii="Arial" w:cs="Arial" w:eastAsia="Arial" w:hAnsi="Arial"/>
          <w:sz w:val="16"/>
          <w:szCs w:val="16"/>
          <w:color w:val="auto"/>
        </w:rPr>
        <w:t>has served as a director of our general partner since May 2009. He is President of DelTex Capital LLC (a private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firm) and Chairman of Brawler Industries, LLC, a Midland, Texas based distributor of engineered plastics used in the exploration and production of oil and gas.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w:t>
      </w:r>
    </w:p>
    <w:p>
      <w:pPr>
        <w:sectPr>
          <w:pgSz w:w="11900" w:h="16941" w:orient="portrait"/>
          <w:cols w:equalWidth="0" w:num="1">
            <w:col w:w="11400"/>
          </w:cols>
          <w:pgMar w:left="240" w:top="125" w:right="259" w:bottom="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November 2009 through January 2011. Prior to joining Vulcan in September 2008, Mr. Temple served as a managing director at Tailwind Capital LLC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to August 2008. Prior to joining Tailwind, Mr. Temple was a managing director at Friend Skoler &amp; Co., Inc. from May 2005 to May 2008.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1996 to December 2004, Mr. Temple was a managing director at Thayer Capital Partners. Additionally, Mr. Temple was a licensed CPA serving clients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energy sector with KPMG in Houston, Texas from 1989 to 1993. Mr. Temple holds a BBA, magna cum laude, from the University of Texas and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MBA from Harvard. The board of directors has determined that Mr. Temple is “independent” under applicable NYSE rules and qualifies as an “Audit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Financial Expert.” Mr. Temple has a broad investment management background across a variety of business sectors, as well as experience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energy sector. We believe that this background, along with the leadership attributes indicated by his executive experience, provide an important source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insight and perspective to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compensation committee of Plains All American GP LLC reviews and makes recommendations to the board of directors regarding the compensation for the executive officers and directors.</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fulfilling its oversight responsibilities, the compensation committee reviewed and discussed with management the compensation discussion and analysis contained in this Annual Report on Form 10-K. Based on those reviews and discussions, the compensation committee recommended to the board of directors that the compensation discussion and analysis be included in the Annual Report on Form 10-K for the year ended December 31, 2014 for filing with the SEC.</w:t>
      </w:r>
    </w:p>
    <w:p>
      <w:pPr>
        <w:spacing w:after="0" w:line="1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18"/>
          <w:szCs w:val="18"/>
          <w:i w:val="1"/>
          <w:iCs w:val="1"/>
          <w:color w:val="auto"/>
        </w:rPr>
        <w:t>Chairman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John T. Raymond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Messrs. Petersen, Raymond and Sinnott currently serve on the compensation committee and served on the compensation committee throughout 2014. Vicky Sutil, a former director, also served on the compensation committee during 2014. During 2014,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EMG and Mr. Sinnott is associated with Kayne Anderson and its affiliates, and, during 2014, Ms. Sutil was associated with Oxy. We have relationships with these entities. See Item 13. “Certain Relationships and Related Transactions, and Director Independence—Transactions with Related Persons — Other.”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All of our officers and employees (other than our Canadian personnel) are employed by Plains All American GP LLC. Our Canadian personnel are employed by Plains Midstream Canada, which is a wholly owned subsidiary. Under our partnership agreement, we are required to reimburse our general partner and its affiliates for all employment-related costs, including compensation for executive officers, other than expenses related to the AAP Management Units (which are borne entirely by 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 long-term incentive awards is</w:t>
      </w:r>
    </w:p>
    <w:p>
      <w:pPr>
        <w:sectPr>
          <w:pgSz w:w="11900" w:h="16838" w:orient="portrait"/>
          <w:cols w:equalWidth="0" w:num="1">
            <w:col w:w="11400"/>
          </w:cols>
          <w:pgMar w:left="240" w:top="125" w:right="259" w:bottom="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based on their expected contribution in respect of longer term performance objectives.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“benchmark” our salary or bonus amounts. In practice, we believe our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Our cash bonuses include annual discretionary bonuses in which all of our current domestic Named Executive Officers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as well as a quarterly bonus program in which Mr. vonBerg participates. Mr. Duckett participates in an annual and quarterly bonus program that is specific to activities managed by our Canadian personnel.</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primary long-term measure of our performance is our ability to increase our sustainable quarterly distribution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our unitholders. Historically, we have used performance-indexed phantom unit grants issued under our Long-Term Incentive Plans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w:t>
      </w:r>
    </w:p>
    <w:p>
      <w:pPr>
        <w:spacing w:after="0" w:line="18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2007, the owners of AAP authorized the creation of “Class B” units of AAP (“AAP Management Units”), each of which represents a “profits interest” in AAP, and authorized GP LLC’s compensation committee to issue grants of AAP Management Units to create additional long-term incentives for our management designed to attract talent and encourage retention over an extended period of time. The entire economic burden of the AAP Management Units is borne solely by AAP, and does not impact our cash or units outstanding.</w:t>
      </w:r>
    </w:p>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AAP Management Units are subject to restrictions on transfer and generally become incrementally “earned” (entitled to receive a portion of the distributions that would otherwise be paid to holders of AAP units) upon achievement of certain performance thresholds, which are aligned with the interests of our common unitholders. As of February 17, 2015, 100% of the outstanding AAP Management Units granted in 2007, 2009, 2010 and 2011 had been earned, 75% of the AAP Management Units granted in 2013 had been earned (or will be earned within 180 days), and 25% of the AAP Management Units granted in 2014 will be earned within 180 days. No AAP Management Units were granted in 2008 or 2012.</w:t>
      </w:r>
    </w:p>
    <w:p>
      <w:pPr>
        <w:spacing w:after="0" w:line="17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 holder of an AAP Management Unit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range from January 1, 2016 for AAP Management Units granted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2007 to January 1, 2022 for AAP Management Units granted in 2014. In order to encourage retention,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at any time after December 31, 2015 the PAGP Class A shares are publicly traded, each vested AAP Management Unit may be converted into AAP units and a like number of PAGP Class B shares based on a conversion ratio calculated in accordance with the AAP limited partnership agreement (which conversion ratio will not be more than one-to-one and was approximately 0.925 AAP units and PAGP Class B shares for each AAP Management Unit as of December 31, 2014 and approximately 0.930 as of February 17, 2015). Following any such conversion, the resulting AAP units and PAGP Class B shares are exchangeable for PAGP Class A shares on a one-for-one basis as provided in the PAGP limited partnership agreement. See Item 13. “Certain Relationships and Related Transactions, and Director Independence—Our General Partner—AAP Management Units.”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compensation program is designed to motivate, reward and retain our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GP LLC’s compensation</w:t>
      </w:r>
    </w:p>
    <w:p>
      <w:pPr>
        <w:sectPr>
          <w:pgSz w:w="11900" w:h="16838" w:orient="portrait"/>
          <w:cols w:equalWidth="0" w:num="1">
            <w:col w:w="11420"/>
          </w:cols>
          <w:pgMar w:left="240" w:top="368" w:right="239" w:bottom="0" w:gutter="0" w:footer="0" w:header="0"/>
        </w:sectPr>
      </w:pPr>
    </w:p>
    <w:bookmarkStart w:id="83" w:name="page84"/>
    <w:bookmarkEnd w:id="83"/>
    <w:p>
      <w:pPr>
        <w:ind w:right="100"/>
        <w:spacing w:after="0" w:line="277" w:lineRule="auto"/>
        <w:rPr>
          <w:sz w:val="20"/>
          <w:szCs w:val="20"/>
          <w:color w:val="auto"/>
        </w:rPr>
      </w:pPr>
      <w:r>
        <w:rPr>
          <w:rFonts w:ascii="Arial" w:cs="Arial" w:eastAsia="Arial" w:hAnsi="Arial"/>
          <w:sz w:val="18"/>
          <w:szCs w:val="18"/>
          <w:color w:val="auto"/>
        </w:rPr>
        <w:t>committee in reviewing and making recommendations, a compensation “tally sheet” is prepared by GP LLC’s CEO and General Counsel and provided to the compensation committee.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stress performance-based compensation elements to attempt to create a performance-driven environment in which our executive officers are</w:t>
      </w:r>
    </w:p>
    <w:p>
      <w:pPr>
        <w:spacing w:after="0" w:line="46" w:lineRule="exact"/>
        <w:rPr>
          <w:sz w:val="20"/>
          <w:szCs w:val="20"/>
          <w:color w:val="auto"/>
        </w:rPr>
      </w:pPr>
    </w:p>
    <w:p>
      <w:pPr>
        <w:ind w:right="60" w:firstLine="8"/>
        <w:spacing w:after="0" w:line="288" w:lineRule="auto"/>
        <w:tabs>
          <w:tab w:leader="none" w:pos="2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believe our compensation program has been instrumental in our achievement of stated objectives. Over the five-year period ended December 31, 2014, our annual distribution per common unit has grown at a compound annual rate of 7.5% and the total return realized by our unitholders for that period averaged approximately 20.4% per annum. During this period, we have enjoyed a very high rate of retention among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i w:val="1"/>
          <w:iCs w:val="1"/>
          <w:color w:val="auto"/>
        </w:rPr>
        <w:t xml:space="preserve">Salary. </w:t>
      </w:r>
      <w:r>
        <w:rPr>
          <w:rFonts w:ascii="Arial" w:cs="Arial" w:eastAsia="Arial" w:hAnsi="Arial"/>
          <w:sz w:val="17"/>
          <w:szCs w:val="17"/>
          <w:color w:val="auto"/>
        </w:rPr>
        <w:t>We do not make systematic annual adjustments to the salaries of our Named Executive Officers. We do, however, make salary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necessary to maintain hierarchical relationships among senior management levels after new senior management members are added to keep pace with our overall growth. Since the date of our initial public offering in 1998 (or date of employment, if later) through December 31, 2014,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our performance relative to our annual plan forecast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guidance (typically 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w:t>
      </w:r>
    </w:p>
    <w:p>
      <w:pPr>
        <w:spacing w:after="0" w:line="16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resulting document and supporting detail is submitted to the board of directors of GP LLC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spacing w:after="0" w:line="1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Accordingly,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compensation committee and the CEO reach consensus on the appropriate bonus amount for the CEO. The preliminary draft is then revised to include any changes or adjustments, as well as an amount for the CEO, in the formal submittal to the compensation committee for review and recommendation to the board.</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U.S. Bonus based on Adjusted EBITDA. </w:t>
      </w:r>
      <w:r>
        <w:rPr>
          <w:rFonts w:ascii="Arial" w:cs="Arial" w:eastAsia="Arial" w:hAnsi="Arial"/>
          <w:sz w:val="17"/>
          <w:szCs w:val="17"/>
          <w:color w:val="auto"/>
        </w:rPr>
        <w:t>Mr. vonBerg and certain other members of our U.S.-based senior management team are directly involved in</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generate partnership earnings. These 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Mr. vonBerg are taken into consideration in determining the recommended annual discretionary bonus submitted by the CEO to the compensation committee.</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Annual Bonus and Quarterly Bonus based on Adjusted EBITDA (Canada). </w:t>
      </w:r>
      <w:r>
        <w:rPr>
          <w:rFonts w:ascii="Arial" w:cs="Arial" w:eastAsia="Arial" w:hAnsi="Arial"/>
          <w:sz w:val="18"/>
          <w:szCs w:val="18"/>
          <w:color w:val="auto"/>
        </w:rPr>
        <w:t>Substantially all of the personnel employed by Plains Midstream 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spacing w:after="0" w:line="19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We do not make systematic annual grants of phantom unit awards to our Named Executive Officers. Instead, our</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an additional means of providing longer-term, performance-based officer incentives that require extended periods of employment to realize the full benefit, in 2007 the owners of AAP authorized the creation of AAP Management Units (each of which represents a “profits interest” in AAP), which the compensation committee of GP LLC is authorized to administer. See “—Elements of Compensation—Long-Term Incentives.” These AAP Management Units are limited to 52,125,935 authorized units, of which approximately 49,172,830 were outstanding as of December 31, 2014 pursuant to individual restricted unit agreements between AAP and certain members of management. As of December 31, 2014 our Named Executive Officers held 28,931,571 of the restricted AAP Management Units. The remaining available AAP Management Units are administered at the discretion of the compensation committee (subject to limited authority delegated to the CEO to approve awards to employees other than executive officers) and may be awarded upon advancement, exceptional performance or other change in circumstance of an existing member of management, or upon the addition of a new individual to the management team.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beginning of 2014, we established four public goals with paraphrased versions of these goals overlapping three of our five internal goals.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four public goals for the year were to:</w:t>
      </w:r>
    </w:p>
    <w:p>
      <w:pPr>
        <w:spacing w:after="0" w:line="22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Deliver operating and financial performance in line with or above guidance;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Successfully execute our 2014 capital program and set the stage for growth in 2015 and beyond;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Increase our November 2014 annualized distribution level by 10% over the November 2013 annualized distribution level;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Selectively pursue strategic and accretive acquisitions.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Additionally, our internal qualitative goals included (a) advancing multi-year programs and initiatives and preparing the organization for future growth, and</w:t>
      </w:r>
    </w:p>
    <w:p>
      <w:pPr>
        <w:spacing w:after="0" w:line="46" w:lineRule="exact"/>
        <w:rPr>
          <w:sz w:val="20"/>
          <w:szCs w:val="20"/>
          <w:color w:val="auto"/>
        </w:rPr>
      </w:pPr>
    </w:p>
    <w:p>
      <w:pPr>
        <w:ind w:left="660" w:right="3680" w:hanging="652"/>
        <w:spacing w:after="0" w:line="492" w:lineRule="auto"/>
        <w:tabs>
          <w:tab w:leader="none" w:pos="2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continuing to promote a culture of safety and environmental responsibility throughout the organization. In general, we substantially achieved all of these goals.</w:t>
      </w:r>
    </w:p>
    <w:p>
      <w:pPr>
        <w:spacing w:after="0" w:line="1" w:lineRule="exact"/>
        <w:rPr>
          <w:rFonts w:ascii="Arial" w:cs="Arial" w:eastAsia="Arial" w:hAnsi="Arial"/>
          <w:sz w:val="18"/>
          <w:szCs w:val="18"/>
          <w:color w:val="auto"/>
        </w:rPr>
      </w:pPr>
    </w:p>
    <w:p>
      <w:pPr>
        <w:ind w:left="1300" w:right="180" w:hanging="320"/>
        <w:spacing w:after="0" w:line="277" w:lineRule="auto"/>
        <w:tabs>
          <w:tab w:leader="none" w:pos="12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Our adjusted EBITDA slightly exceeded, and our distributable cash flow was in line with, the midpoint of our 2014 guidance furnished in our February 5, 2014 Form 8-K;</w:t>
      </w:r>
    </w:p>
    <w:p>
      <w:pPr>
        <w:spacing w:after="0" w:line="170" w:lineRule="exact"/>
        <w:rPr>
          <w:rFonts w:ascii="Arial" w:cs="Arial" w:eastAsia="Arial" w:hAnsi="Arial"/>
          <w:sz w:val="18"/>
          <w:szCs w:val="18"/>
          <w:color w:val="auto"/>
        </w:rPr>
      </w:pPr>
    </w:p>
    <w:p>
      <w:pPr>
        <w:ind w:left="1300" w:right="420" w:hanging="320"/>
        <w:spacing w:after="0" w:line="277" w:lineRule="auto"/>
        <w:tabs>
          <w:tab w:leader="none" w:pos="12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We executed a $2.0 billion expansion capital program timely and cost effectively, and advanced, refined and expanded our portfolio of organic growth projects, setting up a 2015 program of approximately $1.85 billion;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We completed the acquisition of a 50% interest in BridgeTex Pipeline LLC for $1.1 billion;</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2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We increased our annualized distribution rate by 10% to $2.64 per common unit, while maintaining distribution coverage of approximately 111%;</w:t>
      </w:r>
    </w:p>
    <w:p>
      <w:pPr>
        <w:spacing w:after="0" w:line="170" w:lineRule="exact"/>
        <w:rPr>
          <w:rFonts w:ascii="Arial" w:cs="Arial" w:eastAsia="Arial" w:hAnsi="Arial"/>
          <w:sz w:val="18"/>
          <w:szCs w:val="18"/>
          <w:color w:val="auto"/>
        </w:rPr>
      </w:pPr>
    </w:p>
    <w:p>
      <w:pPr>
        <w:jc w:val="both"/>
        <w:ind w:left="1300" w:right="60" w:hanging="320"/>
        <w:spacing w:after="0" w:line="259" w:lineRule="auto"/>
        <w:tabs>
          <w:tab w:leader="none" w:pos="12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We executed multiple financings that enabled us to fund our expansion capital expenditures while maintaining solid financial strength and liquidity, including raising an aggregate of approximately $3.5 billion of long-term debt and equity capital, extending the maturities of our bank credit facilities, increasing our commercial paper program to $3.0 billion and initiating efforts to arrange a $1.0 billion 364-day credit facility to further enhance liquidity; and</w:t>
      </w:r>
    </w:p>
    <w:p>
      <w:pPr>
        <w:spacing w:after="0" w:line="186" w:lineRule="exact"/>
        <w:rPr>
          <w:rFonts w:ascii="Arial" w:cs="Arial" w:eastAsia="Arial" w:hAnsi="Arial"/>
          <w:sz w:val="18"/>
          <w:szCs w:val="18"/>
          <w:color w:val="auto"/>
        </w:rPr>
      </w:pPr>
    </w:p>
    <w:p>
      <w:pPr>
        <w:ind w:left="1300" w:right="120" w:hanging="320"/>
        <w:spacing w:after="0" w:line="277" w:lineRule="auto"/>
        <w:tabs>
          <w:tab w:leader="none" w:pos="126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We executed multiple initiatives to sustain the organization, prepare it for future growth and promote a culture of safety and environmental responsibility.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2014, the elements of compensation were applied as described below.</w:t>
      </w:r>
    </w:p>
    <w:p>
      <w:pPr>
        <w:sectPr>
          <w:pgSz w:w="11900" w:h="16838" w:orient="portrait"/>
          <w:cols w:equalWidth="0" w:num="1">
            <w:col w:w="11380"/>
          </w:cols>
          <w:pgMar w:left="240" w:top="125" w:right="279" w:bottom="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No salary adjustments for Named Executive Officers were recommended or made in 2014.</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Cash Bonuses. </w:t>
      </w:r>
      <w:r>
        <w:rPr>
          <w:rFonts w:ascii="Arial" w:cs="Arial" w:eastAsia="Arial" w:hAnsi="Arial"/>
          <w:sz w:val="17"/>
          <w:szCs w:val="17"/>
          <w:color w:val="auto"/>
        </w:rPr>
        <w:t>Based on the CEO’s annual performance review and the individual performance of each of our Named Executive Officers,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recommended to the board of directors and the board of directors approved the annual bonuses reflected in the Summary Compensation Table and notes thereto. Such amounts take into account the performance relative to our 2014 goals; areas where performance failed to meet expectations;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In the case of Mr. Duckett, the aggregate bonus amount reflected in the Summary Compensation Table for 2014 represented 40% of his participation level for the first three fiscal quarters and an annual payment consisting of 60% of his participation for the first three quarters and 100% of his participation for the fourth quarter. For Mr. vonBerg, the aggregate bonus amount reflected in the Summary Compensation Table for 2014 represented approximately 46% in annual bonus and 54% in quarterly bonus.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There were no grants of long-term incentive awards to Named Executive Officers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Equity Ownership in PAA. </w:t>
      </w:r>
      <w:r>
        <w:rPr>
          <w:rFonts w:ascii="Arial" w:cs="Arial" w:eastAsia="Arial" w:hAnsi="Arial"/>
          <w:sz w:val="16"/>
          <w:szCs w:val="16"/>
          <w:color w:val="auto"/>
        </w:rPr>
        <w:t>Our Named Executive Officers collectively own substantial equity in the Partnership. Although we encourage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February 17, 2015, our Named Executive Officers beneficially owned, in the aggregate, (i) approximately 2.2 million of our common units (excluding any unvested equity awards), (ii) through their ownership of interests in PAA Management, L.P., an approximate 2.0% indirect ownership interest (approximate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1.9% economic interest) in AAP, and (iii) 28,931,571 AAP Management Units, which represent an approximate 4.1% economic interest in AAP. Based on the market price of our common units and PAGP’s Class A shares at February 17, 2015 and assuming the conversion of all earned AAP Management Units into AAP units at a conversion factor of approximately 0.930 and the exchange of such AAP units for an equivalent number of PAGP Class A shares, the value of the equity ownership of these individuals was significantly greater than the combined aggregate salaries and bonuses of these individuals for 2014.</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we do not have a policy with respect to adjustment or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or payments if relevant company performance measures upon which previous awards were based are restated or otherwise adjusted in a manner that would have reduced the size of such award or payment if previously known.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we are a limited partnership and do not fall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“corporation” under Section 162(m).</w:t>
      </w:r>
    </w:p>
    <w:p>
      <w:pPr>
        <w:spacing w:after="0" w:line="170"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and Pefanis, the long-term incentive plan grants to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the AAP Management Unit grant agreements to which our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and with respect to the completion of the initial public offering of PAGP in October 2013. The AAP Management Unit grant agreements generally call for vesting upon a change in control of any units that have already been earned, plus the next increment of units that could be earned at the next distribution threshold. Any remaining AAP Management Units would be forfeited (unless waived at the discretion of the general partner or acquirer as the case may be). As a result of significant participation by existing general partner owners or their affiliates in the December 2010 sale of Vulcan Energy’s</w:t>
      </w:r>
    </w:p>
    <w:p>
      <w:pPr>
        <w:spacing w:after="0" w:line="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50.1% ownership in the general partner, the change of control provisions of the AAP Management Unit grant agreements were not triggered. In addition, the completion of the initial public offering of PAGP in October 2013 did not constitute a change of control pursuant to the terms of the AAP Management Unit grant agreements.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158" w:lineRule="exact"/>
        <w:rPr>
          <w:sz w:val="20"/>
          <w:szCs w:val="20"/>
          <w:color w:val="auto"/>
        </w:rPr>
      </w:pPr>
    </w:p>
    <w:p>
      <w:pPr>
        <w:ind w:right="500" w:firstLine="648"/>
        <w:spacing w:after="0" w:line="279"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Model—Risk Management” in Part I of this annual report. We also routinely monitor and measure the execution and performance of our capital projects and acquisitions relative to expectations.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341" w:right="259" w:bottom="0" w:gutter="0" w:footer="0" w:header="0"/>
        </w:sectPr>
      </w:pPr>
    </w:p>
    <w:bookmarkStart w:id="86" w:name="page87"/>
    <w:bookmarkEnd w:id="86"/>
    <w:p>
      <w:pPr>
        <w:ind w:right="180" w:firstLine="648"/>
        <w:spacing w:after="0" w:line="257"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 practices or of our Code of Business Conduct. In addition, our long-term incentive awards typically include vesting criteria based on payment of distributions from currently available cash. See “Compensation Discussion and Analysis—Relation of Compensation Elements to Compensation Objectives.”</w:t>
      </w:r>
    </w:p>
    <w:p>
      <w:pPr>
        <w:spacing w:after="0" w:line="18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combination with our risk-management practices, we do not believe that risks arising from our compensation policies and practices for our employees are reasonably likely to have a material adverse effect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following table sets forth certain compensation information for our Chief Executive Officer, Chief Financial Officer, and the three other most highly compensated executive officers in 2014 (our “Named Executive Officers”). We reimburse our general partner and its affiliates for expenses incurred on our behalf, including the costs of officer compensation (excluding the costs of the obligations represented by the AAP Management Units).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Salary</w:t>
            </w: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Bonus</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(2)</w:t>
            </w:r>
          </w:p>
        </w:tc>
        <w:tc>
          <w:tcPr>
            <w:tcW w:w="220" w:type="dxa"/>
            <w:vAlign w:val="bottom"/>
          </w:tcPr>
          <w:p>
            <w:pPr>
              <w:spacing w:after="0"/>
              <w:rPr>
                <w:sz w:val="14"/>
                <w:szCs w:val="14"/>
                <w:color w:val="auto"/>
              </w:rPr>
            </w:pPr>
          </w:p>
        </w:tc>
        <w:tc>
          <w:tcPr>
            <w:tcW w:w="11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3,900,000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4,292,040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Chairman and Chief Executive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4,400,000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2,662,378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7,454,118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5,591,320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4,117,040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Operating</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4,250,000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2,396,140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6,962,880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5,316,320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1,650,000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1,917,040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1,800,000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3,841,659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2,266,320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257,571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3,244,686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101,472</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3,603,729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President—Plains Midstream</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276,666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3,887,652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102,936</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6,042,173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4,080,876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115,433</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4,481,689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4,175,000</w:t>
            </w:r>
            <w:r>
              <w:rPr>
                <w:rFonts w:ascii="Arial" w:cs="Arial" w:eastAsia="Arial" w:hAnsi="Arial"/>
                <w:sz w:val="11"/>
                <w:szCs w:val="11"/>
                <w:color w:val="auto"/>
                <w:w w:val="98"/>
              </w:rPr>
              <w:t>(4)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4,442,040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5,255,000</w:t>
            </w:r>
            <w:r>
              <w:rPr>
                <w:rFonts w:ascii="Arial" w:cs="Arial" w:eastAsia="Arial" w:hAnsi="Arial"/>
                <w:sz w:val="11"/>
                <w:szCs w:val="11"/>
                <w:color w:val="auto"/>
                <w:w w:val="98"/>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1,331,189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6,852,929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6,315,000</w:t>
            </w:r>
            <w:r>
              <w:rPr>
                <w:rFonts w:ascii="Arial" w:cs="Arial" w:eastAsia="Arial" w:hAnsi="Arial"/>
                <w:sz w:val="11"/>
                <w:szCs w:val="11"/>
                <w:color w:val="auto"/>
                <w:w w:val="98"/>
              </w:rPr>
              <w:t>(4)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6,581,320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43" w:lineRule="auto"/>
        <w:tabs>
          <w:tab w:leader="none" w:pos="648"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Grant date fair values are presented for LTIP phantom unit grants awarded to Messrs. Armstrong, Pefanis, Swanson, Duckett and vonBerg in 2013. Dollar amounts in the table represent the aggregate grant date fair value of phantom units awarded based on the probable outcome of underlying performance conditions pursuant to FASB ASC Topic 718. The performance threshold for the first tranche of vesting was deemed probable of occurring on the grant date. The maximum grant date fair values of phantom unit grants awarded in 2013 assuming that the highest level of performance conditions will be met are: $7,562,664 for Mr. Armstrong; $6,806,398 for Mr. Pefanis; $5,041,776 for Mr. Swanson; $5,041,776 for Mr. Duckett and $3,781,332 for Mr. vonBerg. See Note 16 to our Consolidated Financial Statements for further discussion regarding the calculation of grant date fair values.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652"/>
        <w:spacing w:after="0"/>
        <w:tabs>
          <w:tab w:leader="none" w:pos="648"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each of Messrs. Armstrong, Pefanis, Swanson and vonBerg includes $15,600 in such contributions for 2014. The remaining amount for each represents premium payments on behalf of such Named Executive Officer for group term life insurance. All Other Compensation for Mr. Duckett includes, for 2014, employer contributions to the Plains Midstream Canada savings plan of $33,484, group term life insurance premiums of $31,751, automobile lease payments of $29,571 and club dues of $6,666.</w:t>
      </w:r>
    </w:p>
    <w:p>
      <w:pPr>
        <w:sectPr>
          <w:pgSz w:w="11900" w:h="16838" w:orient="portrait"/>
          <w:cols w:equalWidth="0" w:num="1">
            <w:col w:w="11420"/>
          </w:cols>
          <w:pgMar w:left="240" w:top="125" w:right="239" w:bottom="63"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Salary, bonus and all other compensation amounts for Mr. Duckett are presented in U.S. dollar equivalent based on the exchange rates in effect on the dates payments were made or approved.</w:t>
      </w:r>
    </w:p>
    <w:p>
      <w:pPr>
        <w:spacing w:after="0" w:line="170" w:lineRule="exact"/>
        <w:rPr>
          <w:sz w:val="20"/>
          <w:szCs w:val="20"/>
          <w:color w:val="auto"/>
        </w:rPr>
      </w:pPr>
    </w:p>
    <w:p>
      <w:pPr>
        <w:ind w:right="300" w:hanging="11"/>
        <w:spacing w:after="0" w:line="342" w:lineRule="auto"/>
        <w:rPr>
          <w:sz w:val="20"/>
          <w:szCs w:val="20"/>
          <w:color w:val="auto"/>
        </w:rPr>
      </w:pPr>
      <w:r>
        <w:rPr>
          <w:rFonts w:ascii="Arial" w:cs="Arial" w:eastAsia="Arial" w:hAnsi="Arial"/>
          <w:sz w:val="16"/>
          <w:szCs w:val="16"/>
          <w:color w:val="auto"/>
        </w:rPr>
        <w:t>Includes quarterly bonuses aggregating $2,275,000, $3,355,000 and $4,115,000 and annual bonuses of $1,900,000, $1,900,000 and $2,200,000 in 2014, 2013 and 2012, respectively. The annual bonuses are payable 60% at the time of award and 20% in each of the two succeeding years.</w:t>
      </w:r>
    </w:p>
    <w:p>
      <w:pPr>
        <w:spacing w:after="0" w:line="120" w:lineRule="exact"/>
        <w:rPr>
          <w:sz w:val="20"/>
          <w:szCs w:val="20"/>
          <w:color w:val="auto"/>
        </w:rPr>
      </w:pPr>
    </w:p>
    <w:p>
      <w:pPr>
        <w:sectPr>
          <w:pgSz w:w="11900" w:h="16838" w:orient="portrait"/>
          <w:cols w:equalWidth="0" w:num="2">
            <w:col w:w="140" w:space="520"/>
            <w:col w:w="10760"/>
          </w:cols>
          <w:pgMar w:left="240" w:top="125" w:right="239" w:bottom="63" w:gutter="0" w:footer="0" w:header="0"/>
          <w:type w:val="continuous"/>
        </w:sect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grants of plan-based awards to our Named Executive Officers during the fiscal year ended December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“—Compensation Discussion and Analysis” and in the footnotes to such tables.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ectPr>
          <w:pgSz w:w="11900" w:h="16838" w:orient="portrait"/>
          <w:cols w:equalWidth="0" w:num="1">
            <w:col w:w="11420"/>
          </w:cols>
          <w:pgMar w:left="240" w:top="125" w:right="239" w:bottom="63" w:gutter="0" w:footer="0" w:header="0"/>
          <w:type w:val="continuous"/>
        </w:sectPr>
      </w:pPr>
    </w:p>
    <w:bookmarkStart w:id="87" w:name="page88"/>
    <w:bookmarkEnd w:id="87"/>
    <w:p>
      <w:pPr>
        <w:ind w:right="280" w:firstLine="648"/>
        <w:spacing w:after="0" w:line="293" w:lineRule="auto"/>
        <w:rPr>
          <w:sz w:val="20"/>
          <w:szCs w:val="20"/>
          <w:color w:val="auto"/>
        </w:rPr>
      </w:pPr>
      <w:r>
        <w:rPr>
          <w:rFonts w:ascii="Arial" w:cs="Arial" w:eastAsia="Arial" w:hAnsi="Arial"/>
          <w:sz w:val="16"/>
          <w:szCs w:val="16"/>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we use salary and bonus to achieve compensation objectives. See “— Potential Payments upon Termination or Change-In-Control” for a discussion of the provisions in Messrs. Armstrong’s and Pefanis’ employment agreements related to termination, change of control and related payment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outstanding equity awards at December 31, 2014 with respect to our Named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2"/>
              </w:rPr>
              <w:t>Unit Awards</w:t>
            </w: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8"/>
              </w:rPr>
              <w:t>Equity</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880" w:type="dxa"/>
            <w:vAlign w:val="bottom"/>
            <w:gridSpan w:val="3"/>
            <w:vMerge w:val="continue"/>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Value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Have</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Not</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Vested (#)</w:t>
            </w:r>
          </w:p>
        </w:tc>
        <w:tc>
          <w:tcPr>
            <w:tcW w:w="18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8"/>
                <w:szCs w:val="8"/>
                <w:b w:val="1"/>
                <w:bCs w:val="1"/>
                <w:color w:val="auto"/>
                <w:w w:val="93"/>
              </w:rPr>
              <w:t>(1)</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Vested (#)</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10,425,791</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247,683,292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7,819,344</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185,762,495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4,105,600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2,606,448</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61,920,823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33,333</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4,430,961</w:t>
            </w:r>
            <w:r>
              <w:rPr>
                <w:rFonts w:ascii="Arial" w:cs="Arial" w:eastAsia="Arial" w:hAnsi="Arial"/>
                <w:sz w:val="11"/>
                <w:szCs w:val="11"/>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105,265,402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33,333</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3,649,027</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86,689,157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1,847,520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60" w:hanging="11"/>
        <w:spacing w:after="0" w:line="255" w:lineRule="auto"/>
        <w:rPr>
          <w:sz w:val="20"/>
          <w:szCs w:val="20"/>
          <w:color w:val="auto"/>
        </w:rPr>
      </w:pPr>
      <w:r>
        <w:rPr>
          <w:rFonts w:ascii="Arial" w:cs="Arial" w:eastAsia="Arial" w:hAnsi="Arial"/>
          <w:sz w:val="18"/>
          <w:szCs w:val="18"/>
          <w:color w:val="auto"/>
        </w:rPr>
        <w:t>Market value of phantom units reported in these columns is calculated by multiplying the closing market price ($51.32) of our common units at December 31, 2014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December 31, 2014 conversion factor of approximately 0.925 AAP units and PAGP Class B shares for each AAP Management Unit, (ii) assuming the exchange of the resulting AAP units and PAGP Class B shares for PAGP Class A shares on a one-for-one basis, and (iii) multiplying such resulting number of PAGP Class A shares by the closing market price ($25.68) of PAGP’s Class A shares at December 31, 2014 (the last trading day of the fiscal year).</w:t>
      </w:r>
    </w:p>
    <w:p>
      <w:pPr>
        <w:spacing w:after="0" w:line="189" w:lineRule="exact"/>
        <w:rPr>
          <w:sz w:val="20"/>
          <w:szCs w:val="20"/>
          <w:color w:val="auto"/>
        </w:rPr>
      </w:pPr>
    </w:p>
    <w:p>
      <w:pPr>
        <w:ind w:right="20" w:hanging="11"/>
        <w:spacing w:after="0" w:line="290" w:lineRule="auto"/>
        <w:rPr>
          <w:sz w:val="20"/>
          <w:szCs w:val="20"/>
          <w:color w:val="auto"/>
        </w:rPr>
      </w:pPr>
      <w:r>
        <w:rPr>
          <w:rFonts w:ascii="Arial" w:cs="Arial" w:eastAsia="Arial" w:hAnsi="Arial"/>
          <w:sz w:val="16"/>
          <w:szCs w:val="16"/>
          <w:color w:val="auto"/>
        </w:rPr>
        <w:t>Represents the pre-conversion number of AAP Management Units held by the applicable individual, each of which represents a “profits interest” in AAP, entitling the holder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Despite the fact that 100% of the AAP Management Units held by our Named Executive Officers had been earned as of December 31, 2014 (i.e., all relevant performance benchmarks have been satisfied), all such AAP Management Units are treated as stock that has not vested for purposes of this table due to the fact that, as of December 31, 2014, they remained subject to a “call right” held by AAP. Such call right gives AAP the right to purchase such AAP Management Units for an amount equal to 75% of the fair market value of such AAP Management Units upon the termination of the applicable Named Executive Officer’s employment with GP LLC and its</w:t>
      </w:r>
    </w:p>
    <w:p>
      <w:pPr>
        <w:spacing w:after="0" w:line="166"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88" w:name="page89"/>
    <w:bookmarkEnd w:id="88"/>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70"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affiliates prior to January 1, 2016 (subject to certain exceptions as set forth in the AAP Management Unit grant agreements). If at any time after December 31, 2015 the PAGP Class A shares are publicly traded, each vested AAP Management Unit may be converted into AAP units and a like number of PAGP Class B shares based on a conversion ratio calculated in accordance with the AAP limited partnership agreement (which conversion ratio will not be more than one-to-one and was approximately 0.925 AAP units and PAGP Class B shares for each AAP Management Unit as of December 31, 2014). Following any such conversion, the resulting AAP units and PAGP Class B shares are exchangeable for PAGP Class A shares on a one-for-one basis as provided in the PAGP limited partnership agreement. For additional information regarding the AAP Management Units, please read Item 13. “Certain Relationships and Related Transactions, and Director Independence—Our General Partner—AAP Management Units.”</w:t>
      </w:r>
    </w:p>
    <w:p>
      <w:pPr>
        <w:spacing w:after="0" w:line="192" w:lineRule="exact"/>
        <w:rPr>
          <w:sz w:val="20"/>
          <w:szCs w:val="20"/>
          <w:color w:val="auto"/>
        </w:rPr>
      </w:pPr>
    </w:p>
    <w:p>
      <w:pPr>
        <w:ind w:left="4" w:right="420" w:hanging="7"/>
        <w:spacing w:after="0" w:line="342" w:lineRule="auto"/>
        <w:rPr>
          <w:sz w:val="20"/>
          <w:szCs w:val="20"/>
          <w:color w:val="auto"/>
        </w:rPr>
      </w:pPr>
      <w:r>
        <w:rPr>
          <w:rFonts w:ascii="Arial" w:cs="Arial" w:eastAsia="Arial" w:hAnsi="Arial"/>
          <w:sz w:val="16"/>
          <w:szCs w:val="16"/>
          <w:color w:val="auto"/>
        </w:rPr>
        <w:t>Represents phantom units granted in 2010 under our Long-Term Incentive Plan. As of December 31, 2014, all of these phantom units had been earned and will vest on the May 2015 distribution date. All of the DERs associated with these phantom units are currently payable.</w:t>
      </w:r>
    </w:p>
    <w:p>
      <w:pPr>
        <w:spacing w:after="0" w:line="124" w:lineRule="exact"/>
        <w:rPr>
          <w:sz w:val="20"/>
          <w:szCs w:val="20"/>
          <w:color w:val="auto"/>
        </w:rPr>
      </w:pPr>
    </w:p>
    <w:p>
      <w:pPr>
        <w:jc w:val="both"/>
        <w:ind w:left="4" w:right="80" w:hanging="11"/>
        <w:spacing w:after="0" w:line="288" w:lineRule="auto"/>
        <w:rPr>
          <w:sz w:val="20"/>
          <w:szCs w:val="20"/>
          <w:color w:val="auto"/>
        </w:rPr>
      </w:pPr>
      <w:r>
        <w:rPr>
          <w:rFonts w:ascii="Arial" w:cs="Arial" w:eastAsia="Arial" w:hAnsi="Arial"/>
          <w:sz w:val="16"/>
          <w:szCs w:val="16"/>
          <w:color w:val="auto"/>
        </w:rPr>
        <w:t>Represents phantom units granted in 2013 under our Long-Term Incentive Plan. These phantom units will vest as follows: (i) one-third will vest on the August 2016 distribution date as the quarterly distribution threshold of $0.5875 ($2.35 annualized) has already been satisfied, (ii) one third will vest on the August 2017 distribution date as the quarterly distribution threshold of $0.6250 ($2.50 annualized) has already been satisfied, and</w:t>
      </w:r>
    </w:p>
    <w:p>
      <w:pPr>
        <w:ind w:left="4" w:right="180" w:hanging="4"/>
        <w:spacing w:after="0" w:line="295" w:lineRule="auto"/>
        <w:tabs>
          <w:tab w:leader="none" w:pos="319"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one-third will vest on the August 2018 distribution date as the quarterly distribution threshold of $0.6625 ($2.65 annualized) will have been satisfied as of the February 2015 distribution date. Upon vesting, the phantom units are payable on a one-for-one basis in PAA common units. All of the DERs associated with these phantom units are currently payable. The DERs expire when the associated phantom units vest. Any of these phantom units (and all associated DERs) that have not vested as of the August 2019 distribution date will be forfeited.</w:t>
      </w:r>
    </w:p>
    <w:p>
      <w:pPr>
        <w:spacing w:after="0" w:line="158" w:lineRule="exact"/>
        <w:rPr>
          <w:sz w:val="20"/>
          <w:szCs w:val="20"/>
          <w:color w:val="auto"/>
        </w:rPr>
      </w:pPr>
    </w:p>
    <w:p>
      <w:pPr>
        <w:sectPr>
          <w:pgSz w:w="11900" w:h="16870" w:orient="portrait"/>
          <w:cols w:equalWidth="0" w:num="2">
            <w:col w:w="160" w:space="496"/>
            <w:col w:w="10764"/>
          </w:cols>
          <w:pgMar w:left="240" w:top="368"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2014 with respect to our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w w:val="97"/>
              </w:rPr>
              <w:t>Unit Awards</w:t>
            </w:r>
          </w:p>
        </w:tc>
        <w:tc>
          <w:tcPr>
            <w:tcW w:w="1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 Units</w:t>
            </w: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7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00" w:type="dxa"/>
            <w:vAlign w:val="bottom"/>
            <w:gridSpan w:val="3"/>
            <w:vMerge w:val="continue"/>
          </w:tcPr>
          <w:p>
            <w:pPr>
              <w:spacing w:after="0"/>
              <w:rPr>
                <w:sz w:val="14"/>
                <w:szCs w:val="14"/>
                <w:color w:val="auto"/>
              </w:rPr>
            </w:pPr>
          </w:p>
        </w:tc>
        <w:tc>
          <w:tcPr>
            <w:tcW w:w="2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Vesting (#)</w:t>
            </w: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6,831,600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4,554,400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2,277,200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2,846,500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2,049,480</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328"/>
        <w:spacing w:after="0" w:line="227" w:lineRule="auto"/>
        <w:tabs>
          <w:tab w:leader="none" w:pos="648" w:val="left"/>
        </w:tabs>
        <w:numPr>
          <w:ilvl w:val="0"/>
          <w:numId w:val="82"/>
        </w:numPr>
        <w:rPr>
          <w:rFonts w:ascii="Arial" w:cs="Arial" w:eastAsia="Arial" w:hAnsi="Arial"/>
          <w:sz w:val="23"/>
          <w:szCs w:val="23"/>
          <w:color w:val="auto"/>
          <w:vertAlign w:val="superscript"/>
        </w:rPr>
      </w:pPr>
      <w:r>
        <w:rPr>
          <w:rFonts w:ascii="Arial" w:cs="Arial" w:eastAsia="Arial" w:hAnsi="Arial"/>
          <w:sz w:val="18"/>
          <w:szCs w:val="18"/>
          <w:color w:val="auto"/>
        </w:rPr>
        <w:t>Represents the gross number of phantom units that vested during the year ended December 31, 2014. The actual number of units delivered was net of income tax withholding.</w:t>
      </w:r>
    </w:p>
    <w:p>
      <w:pPr>
        <w:spacing w:after="0" w:line="202" w:lineRule="exact"/>
        <w:rPr>
          <w:rFonts w:ascii="Arial" w:cs="Arial" w:eastAsia="Arial" w:hAnsi="Arial"/>
          <w:sz w:val="23"/>
          <w:szCs w:val="23"/>
          <w:color w:val="auto"/>
          <w:vertAlign w:val="superscript"/>
        </w:rPr>
      </w:pPr>
    </w:p>
    <w:p>
      <w:pPr>
        <w:ind w:left="660" w:right="380" w:hanging="328"/>
        <w:spacing w:after="0" w:line="238" w:lineRule="auto"/>
        <w:tabs>
          <w:tab w:leader="none" w:pos="648" w:val="left"/>
        </w:tabs>
        <w:numPr>
          <w:ilvl w:val="0"/>
          <w:numId w:val="82"/>
        </w:numPr>
        <w:rPr>
          <w:rFonts w:ascii="Arial" w:cs="Arial" w:eastAsia="Arial" w:hAnsi="Arial"/>
          <w:sz w:val="22"/>
          <w:szCs w:val="22"/>
          <w:color w:val="auto"/>
          <w:vertAlign w:val="superscript"/>
        </w:rPr>
      </w:pPr>
      <w:r>
        <w:rPr>
          <w:rFonts w:ascii="Arial" w:cs="Arial" w:eastAsia="Arial" w:hAnsi="Arial"/>
          <w:sz w:val="17"/>
          <w:szCs w:val="17"/>
          <w:color w:val="auto"/>
        </w:rPr>
        <w:t>Consistent with the terms of our Long-Term Incentive Plan, the value realized upon vesting is computed by multiplying the closing market price ($56.93) of our common units on May 14, 2014 (the date preceding the vesting date) by the number of units that vested.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sponsor a 401(k) plan that is available to all U.S. employees, but we do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 nonqualified deferred compensation plan or program for our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the Named Executive Officers upon termination of employment under various circumstances, and as if terminated on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By Company</w:t>
            </w: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By Executive</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By Reason of</w:t>
            </w: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By Reason of</w:t>
            </w:r>
          </w:p>
        </w:tc>
        <w:tc>
          <w:tcPr>
            <w:tcW w:w="154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with a</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without</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with Good</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6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Death</w:t>
            </w: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Disability</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Cause</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Reason</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Control</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Greg L. Armstrong</w:t>
            </w: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Salary and Bonus</w:t>
            </w:r>
          </w:p>
        </w:tc>
        <w:tc>
          <w:tcPr>
            <w:tcW w:w="1560" w:type="dxa"/>
            <w:vAlign w:val="bottom"/>
            <w:gridSpan w:val="2"/>
          </w:tcPr>
          <w:p>
            <w:pPr>
              <w:ind w:left="46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16,725,000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11,290,400</w:t>
            </w:r>
            <w:r>
              <w:rPr>
                <w:rFonts w:ascii="Arial" w:cs="Arial" w:eastAsia="Arial" w:hAnsi="Arial"/>
                <w:sz w:val="11"/>
                <w:szCs w:val="11"/>
                <w:color w:val="auto"/>
              </w:rPr>
              <w:t>(3)</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11,290,400</w:t>
            </w:r>
            <w:r>
              <w:rPr>
                <w:rFonts w:ascii="Arial" w:cs="Arial" w:eastAsia="Arial" w:hAnsi="Arial"/>
                <w:sz w:val="11"/>
                <w:szCs w:val="11"/>
                <w:color w:val="auto"/>
              </w:rPr>
              <w:t>(3)</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13,856,400</w:t>
            </w:r>
            <w:r>
              <w:rPr>
                <w:rFonts w:ascii="Arial" w:cs="Arial" w:eastAsia="Arial" w:hAnsi="Arial"/>
                <w:sz w:val="11"/>
                <w:szCs w:val="11"/>
                <w:color w:val="auto"/>
              </w:rPr>
              <w:t>(4)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13,856,400</w:t>
            </w:r>
            <w:r>
              <w:rPr>
                <w:rFonts w:ascii="Arial" w:cs="Arial" w:eastAsia="Arial" w:hAnsi="Arial"/>
                <w:sz w:val="11"/>
                <w:szCs w:val="11"/>
                <w:color w:val="auto"/>
              </w:rPr>
              <w:t>(4)</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13,856,400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Health Benefits</w:t>
            </w:r>
          </w:p>
        </w:tc>
        <w:tc>
          <w:tcPr>
            <w:tcW w:w="15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30,624</w:t>
            </w:r>
            <w:r>
              <w:rPr>
                <w:rFonts w:ascii="Arial" w:cs="Arial" w:eastAsia="Arial" w:hAnsi="Arial"/>
                <w:sz w:val="11"/>
                <w:szCs w:val="11"/>
                <w:color w:val="auto"/>
              </w:rPr>
              <w:t>(6)</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30,624</w:t>
            </w:r>
            <w:r>
              <w:rPr>
                <w:rFonts w:ascii="Arial" w:cs="Arial" w:eastAsia="Arial" w:hAnsi="Arial"/>
                <w:sz w:val="11"/>
                <w:szCs w:val="11"/>
                <w:color w:val="auto"/>
              </w:rPr>
              <w:t>(6)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30,624</w:t>
            </w:r>
            <w:r>
              <w:rPr>
                <w:rFonts w:ascii="Arial" w:cs="Arial" w:eastAsia="Arial" w:hAnsi="Arial"/>
                <w:sz w:val="11"/>
                <w:szCs w:val="11"/>
                <w:color w:val="auto"/>
              </w:rPr>
              <w:t>(6)</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30,624</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Gross-up</w:t>
            </w: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987,337</w:t>
            </w:r>
            <w:r>
              <w:rPr>
                <w:rFonts w:ascii="Arial" w:cs="Arial" w:eastAsia="Arial" w:hAnsi="Arial"/>
                <w:sz w:val="11"/>
                <w:szCs w:val="11"/>
                <w:color w:val="auto"/>
              </w:rPr>
              <w:t>(7)</w:t>
            </w:r>
          </w:p>
        </w:tc>
        <w:tc>
          <w:tcPr>
            <w:tcW w:w="0" w:type="dxa"/>
            <w:vAlign w:val="bottom"/>
          </w:tcPr>
          <w:p>
            <w:pPr>
              <w:spacing w:after="0"/>
              <w:rPr>
                <w:sz w:val="1"/>
                <w:szCs w:val="1"/>
                <w:color w:val="auto"/>
              </w:rPr>
            </w:pPr>
          </w:p>
        </w:tc>
      </w:tr>
    </w:tbl>
    <w:p>
      <w:pPr>
        <w:sectPr>
          <w:pgSz w:w="11900" w:h="16870" w:orient="portrait"/>
          <w:cols w:equalWidth="0" w:num="1">
            <w:col w:w="11420"/>
          </w:cols>
          <w:pgMar w:left="240" w:top="368" w:right="239" w:bottom="0" w:gutter="0" w:footer="0" w:header="0"/>
          <w:type w:val="continuous"/>
        </w:sectPr>
      </w:pPr>
    </w:p>
    <w:bookmarkStart w:id="89" w:name="page90"/>
    <w:bookmarkEnd w:id="89"/>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4"/>
                <w:szCs w:val="24"/>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61,920,823</w:t>
            </w:r>
            <w:r>
              <w:rPr>
                <w:rFonts w:ascii="Arial" w:cs="Arial" w:eastAsia="Arial" w:hAnsi="Arial"/>
                <w:sz w:val="23"/>
                <w:szCs w:val="23"/>
                <w:color w:val="auto"/>
                <w:vertAlign w:val="superscript"/>
              </w:rPr>
              <w:t>(8)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61,920,823</w:t>
            </w:r>
            <w:r>
              <w:rPr>
                <w:rFonts w:ascii="Arial" w:cs="Arial" w:eastAsia="Arial" w:hAnsi="Arial"/>
                <w:sz w:val="23"/>
                <w:szCs w:val="23"/>
                <w:color w:val="auto"/>
                <w:vertAlign w:val="superscript"/>
              </w:rPr>
              <w:t>(8)</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61,920,823</w:t>
            </w:r>
            <w:r>
              <w:rPr>
                <w:rFonts w:ascii="Arial" w:cs="Arial" w:eastAsia="Arial" w:hAnsi="Arial"/>
                <w:sz w:val="23"/>
                <w:szCs w:val="23"/>
                <w:color w:val="auto"/>
                <w:vertAlign w:val="superscript"/>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22,440,400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22,471,024</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86,957,847</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86,957,847</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93,520,184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Harry N. Pefanis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Salary and Bonus</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15,900,000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8,724,400</w:t>
            </w:r>
            <w:r>
              <w:rPr>
                <w:rFonts w:ascii="Arial" w:cs="Arial" w:eastAsia="Arial" w:hAnsi="Arial"/>
                <w:sz w:val="11"/>
                <w:szCs w:val="11"/>
                <w:color w:val="auto"/>
              </w:rPr>
              <w:t>(3)</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8,724,400</w:t>
            </w:r>
            <w:r>
              <w:rPr>
                <w:rFonts w:ascii="Arial" w:cs="Arial" w:eastAsia="Arial" w:hAnsi="Arial"/>
                <w:sz w:val="11"/>
                <w:szCs w:val="11"/>
                <w:color w:val="auto"/>
              </w:rPr>
              <w:t>(3)</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11,033,800</w:t>
            </w:r>
            <w:r>
              <w:rPr>
                <w:rFonts w:ascii="Arial" w:cs="Arial" w:eastAsia="Arial" w:hAnsi="Arial"/>
                <w:sz w:val="11"/>
                <w:szCs w:val="11"/>
                <w:color w:val="auto"/>
              </w:rPr>
              <w:t>(4)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11,033,800</w:t>
            </w:r>
            <w:r>
              <w:rPr>
                <w:rFonts w:ascii="Arial" w:cs="Arial" w:eastAsia="Arial" w:hAnsi="Arial"/>
                <w:sz w:val="11"/>
                <w:szCs w:val="11"/>
                <w:color w:val="auto"/>
              </w:rPr>
              <w:t>(4)</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11,033,800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Health Benefits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47,620</w:t>
            </w:r>
            <w:r>
              <w:rPr>
                <w:rFonts w:ascii="Arial" w:cs="Arial" w:eastAsia="Arial" w:hAnsi="Arial"/>
                <w:sz w:val="11"/>
                <w:szCs w:val="11"/>
                <w:color w:val="auto"/>
              </w:rPr>
              <w:t>(6)</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47,620</w:t>
            </w:r>
            <w:r>
              <w:rPr>
                <w:rFonts w:ascii="Arial" w:cs="Arial" w:eastAsia="Arial" w:hAnsi="Arial"/>
                <w:sz w:val="11"/>
                <w:szCs w:val="11"/>
                <w:color w:val="auto"/>
              </w:rPr>
              <w:t>(6)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47,620</w:t>
            </w:r>
            <w:r>
              <w:rPr>
                <w:rFonts w:ascii="Arial" w:cs="Arial" w:eastAsia="Arial" w:hAnsi="Arial"/>
                <w:sz w:val="11"/>
                <w:szCs w:val="11"/>
                <w:color w:val="auto"/>
              </w:rPr>
              <w:t>(6)</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47,620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1,370,724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46,440,624</w:t>
            </w:r>
            <w:r>
              <w:rPr>
                <w:rFonts w:ascii="Arial" w:cs="Arial" w:eastAsia="Arial" w:hAnsi="Arial"/>
                <w:sz w:val="11"/>
                <w:szCs w:val="11"/>
                <w:color w:val="auto"/>
              </w:rPr>
              <w:t>(8)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46,440,624</w:t>
            </w:r>
            <w:r>
              <w:rPr>
                <w:rFonts w:ascii="Arial" w:cs="Arial" w:eastAsia="Arial" w:hAnsi="Arial"/>
                <w:sz w:val="11"/>
                <w:szCs w:val="11"/>
                <w:color w:val="auto"/>
              </w:rPr>
              <w:t>(8)</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46,440,624</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19,324,400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19,372,020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68,122,044</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68,122,044</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74,792,768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3"/>
                <w:szCs w:val="23"/>
                <w:color w:val="auto"/>
                <w:vertAlign w:val="superscript"/>
              </w:rPr>
              <w:t>(10)</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5,474,150</w:t>
            </w:r>
            <w:r>
              <w:rPr>
                <w:rFonts w:ascii="Arial" w:cs="Arial" w:eastAsia="Arial" w:hAnsi="Arial"/>
                <w:sz w:val="11"/>
                <w:szCs w:val="11"/>
                <w:color w:val="auto"/>
              </w:rPr>
              <w:t>(3)</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5,474,150</w:t>
            </w:r>
            <w:r>
              <w:rPr>
                <w:rFonts w:ascii="Arial" w:cs="Arial" w:eastAsia="Arial" w:hAnsi="Arial"/>
                <w:sz w:val="11"/>
                <w:szCs w:val="11"/>
                <w:color w:val="auto"/>
              </w:rPr>
              <w:t>(3)</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5,474,150</w:t>
            </w:r>
            <w:r>
              <w:rPr>
                <w:rFonts w:ascii="Arial" w:cs="Arial" w:eastAsia="Arial" w:hAnsi="Arial"/>
                <w:sz w:val="11"/>
                <w:szCs w:val="11"/>
                <w:color w:val="auto"/>
              </w:rPr>
              <w:t>(4)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7,184,800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15,480,206</w:t>
            </w:r>
            <w:r>
              <w:rPr>
                <w:rFonts w:ascii="Arial" w:cs="Arial" w:eastAsia="Arial" w:hAnsi="Arial"/>
                <w:sz w:val="11"/>
                <w:szCs w:val="11"/>
                <w:color w:val="auto"/>
              </w:rPr>
              <w:t>(8)</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15,480,206</w:t>
            </w:r>
            <w:r>
              <w:rPr>
                <w:rFonts w:ascii="Arial" w:cs="Arial" w:eastAsia="Arial" w:hAnsi="Arial"/>
                <w:sz w:val="11"/>
                <w:szCs w:val="11"/>
                <w:color w:val="auto"/>
              </w:rPr>
              <w:t>(8)</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15,480,206</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5,474,150</w:t>
            </w:r>
          </w:p>
        </w:tc>
        <w:tc>
          <w:tcPr>
            <w:tcW w:w="3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5,474,150</w:t>
            </w:r>
          </w:p>
        </w:tc>
        <w:tc>
          <w:tcPr>
            <w:tcW w:w="3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20,954,356</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15,480,206</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22,665,006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W. David Duckett </w:t>
            </w:r>
            <w:r>
              <w:rPr>
                <w:rFonts w:ascii="Arial" w:cs="Arial" w:eastAsia="Arial" w:hAnsi="Arial"/>
                <w:sz w:val="23"/>
                <w:szCs w:val="23"/>
                <w:color w:val="auto"/>
                <w:vertAlign w:val="superscript"/>
              </w:rPr>
              <w:t>(10)</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5,987,350</w:t>
            </w:r>
            <w:r>
              <w:rPr>
                <w:rFonts w:ascii="Arial" w:cs="Arial" w:eastAsia="Arial" w:hAnsi="Arial"/>
                <w:sz w:val="11"/>
                <w:szCs w:val="11"/>
                <w:color w:val="auto"/>
              </w:rPr>
              <w:t>(3)</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5,987,350</w:t>
            </w:r>
            <w:r>
              <w:rPr>
                <w:rFonts w:ascii="Arial" w:cs="Arial" w:eastAsia="Arial" w:hAnsi="Arial"/>
                <w:sz w:val="11"/>
                <w:szCs w:val="11"/>
                <w:color w:val="auto"/>
              </w:rPr>
              <w:t>(3)</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5,987,350</w:t>
            </w:r>
            <w:r>
              <w:rPr>
                <w:rFonts w:ascii="Arial" w:cs="Arial" w:eastAsia="Arial" w:hAnsi="Arial"/>
                <w:sz w:val="11"/>
                <w:szCs w:val="11"/>
                <w:color w:val="auto"/>
              </w:rPr>
              <w:t>(4)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7,698,000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26,316,350</w:t>
            </w:r>
            <w:r>
              <w:rPr>
                <w:rFonts w:ascii="Arial" w:cs="Arial" w:eastAsia="Arial" w:hAnsi="Arial"/>
                <w:sz w:val="11"/>
                <w:szCs w:val="11"/>
                <w:color w:val="auto"/>
              </w:rPr>
              <w:t>(8)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26,316,350</w:t>
            </w:r>
            <w:r>
              <w:rPr>
                <w:rFonts w:ascii="Arial" w:cs="Arial" w:eastAsia="Arial" w:hAnsi="Arial"/>
                <w:sz w:val="11"/>
                <w:szCs w:val="11"/>
                <w:color w:val="auto"/>
              </w:rPr>
              <w:t>(8)</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26,316,350</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5,987,350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5,987,350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32,303,700</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26,316,350</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34,014,350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John P. vonBerg </w:t>
            </w:r>
            <w:r>
              <w:rPr>
                <w:rFonts w:ascii="Arial" w:cs="Arial" w:eastAsia="Arial" w:hAnsi="Arial"/>
                <w:sz w:val="23"/>
                <w:szCs w:val="23"/>
                <w:color w:val="auto"/>
                <w:vertAlign w:val="superscript"/>
              </w:rPr>
              <w:t>(10)</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4,413,520</w:t>
            </w:r>
            <w:r>
              <w:rPr>
                <w:rFonts w:ascii="Arial" w:cs="Arial" w:eastAsia="Arial" w:hAnsi="Arial"/>
                <w:sz w:val="11"/>
                <w:szCs w:val="11"/>
                <w:color w:val="auto"/>
              </w:rPr>
              <w:t>(3)</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4,413,520</w:t>
            </w:r>
            <w:r>
              <w:rPr>
                <w:rFonts w:ascii="Arial" w:cs="Arial" w:eastAsia="Arial" w:hAnsi="Arial"/>
                <w:sz w:val="11"/>
                <w:szCs w:val="11"/>
                <w:color w:val="auto"/>
              </w:rPr>
              <w:t>(3)</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4,413,520</w:t>
            </w:r>
            <w:r>
              <w:rPr>
                <w:rFonts w:ascii="Arial" w:cs="Arial" w:eastAsia="Arial" w:hAnsi="Arial"/>
                <w:sz w:val="11"/>
                <w:szCs w:val="11"/>
                <w:color w:val="auto"/>
              </w:rPr>
              <w:t>(4)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5,696,520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21,672,289</w:t>
            </w:r>
            <w:r>
              <w:rPr>
                <w:rFonts w:ascii="Arial" w:cs="Arial" w:eastAsia="Arial" w:hAnsi="Arial"/>
                <w:sz w:val="11"/>
                <w:szCs w:val="11"/>
                <w:color w:val="auto"/>
              </w:rPr>
              <w:t>(8)</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21,672,289</w:t>
            </w:r>
            <w:r>
              <w:rPr>
                <w:rFonts w:ascii="Arial" w:cs="Arial" w:eastAsia="Arial" w:hAnsi="Arial"/>
                <w:sz w:val="11"/>
                <w:szCs w:val="11"/>
                <w:color w:val="auto"/>
              </w:rPr>
              <w:t>(8)</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21,672,289</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4,413,520</w:t>
            </w:r>
          </w:p>
        </w:tc>
        <w:tc>
          <w:tcPr>
            <w:tcW w:w="3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4,413,520</w:t>
            </w:r>
          </w:p>
        </w:tc>
        <w:tc>
          <w:tcPr>
            <w:tcW w:w="3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26,085,809</w:t>
            </w:r>
          </w:p>
        </w:tc>
        <w:tc>
          <w:tcPr>
            <w:tcW w:w="2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21,672,289</w:t>
            </w:r>
          </w:p>
        </w:tc>
        <w:tc>
          <w:tcPr>
            <w:tcW w:w="2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27,368,809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jc w:val="both"/>
        <w:ind w:left="660" w:right="200" w:hanging="652"/>
        <w:spacing w:after="0" w:line="251" w:lineRule="auto"/>
        <w:tabs>
          <w:tab w:leader="none" w:pos="648"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w:t>
      </w:r>
    </w:p>
    <w:p>
      <w:pPr>
        <w:spacing w:after="0" w:line="1" w:lineRule="exact"/>
        <w:rPr>
          <w:rFonts w:ascii="Arial" w:cs="Arial" w:eastAsia="Arial" w:hAnsi="Arial"/>
          <w:sz w:val="21"/>
          <w:szCs w:val="21"/>
          <w:color w:val="auto"/>
          <w:vertAlign w:val="superscript"/>
        </w:rPr>
      </w:pPr>
    </w:p>
    <w:p>
      <w:pPr>
        <w:jc w:val="both"/>
        <w:ind w:left="660" w:right="160"/>
        <w:spacing w:after="0" w:line="273" w:lineRule="auto"/>
        <w:rPr>
          <w:rFonts w:ascii="Arial" w:cs="Arial" w:eastAsia="Arial" w:hAnsi="Arial"/>
          <w:sz w:val="21"/>
          <w:szCs w:val="21"/>
          <w:color w:val="auto"/>
          <w:vertAlign w:val="superscript"/>
        </w:rPr>
      </w:pPr>
      <w:r>
        <w:rPr>
          <w:rFonts w:ascii="Arial" w:cs="Arial" w:eastAsia="Arial" w:hAnsi="Arial"/>
          <w:sz w:val="17"/>
          <w:szCs w:val="17"/>
          <w:color w:val="auto"/>
        </w:rPr>
        <w:t>(b)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each executive a termination date of December 31, 2014, and also assumes a highest annual base salary of $375,000 and highest annual bonus of $5,200,000 for Mr. Armstrong, and a highest annual base salary of $300,000 and highest annual bonus of $5,000,000 for Mr. Pefanis.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employment agreements between GP LLC and Messrs. Armstrong and Pefanis define “cause” as (i) willfully engaging in gross misconduct, or</w:t>
      </w:r>
    </w:p>
    <w:p>
      <w:pPr>
        <w:spacing w:after="0" w:line="46" w:lineRule="exact"/>
        <w:rPr>
          <w:sz w:val="20"/>
          <w:szCs w:val="20"/>
          <w:color w:val="auto"/>
        </w:rPr>
      </w:pPr>
    </w:p>
    <w:p>
      <w:pPr>
        <w:ind w:left="660" w:right="60" w:hanging="4"/>
        <w:spacing w:after="0" w:line="288" w:lineRule="auto"/>
        <w:tabs>
          <w:tab w:leader="none" w:pos="9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of directors of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69"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Plains All American GP LLC.</w:t>
      </w:r>
    </w:p>
    <w:p>
      <w:pPr>
        <w:spacing w:after="0" w:line="178" w:lineRule="exact"/>
        <w:rPr>
          <w:sz w:val="20"/>
          <w:szCs w:val="20"/>
          <w:color w:val="auto"/>
        </w:rPr>
      </w:pPr>
    </w:p>
    <w:p>
      <w:pPr>
        <w:ind w:left="660" w:right="160" w:hanging="652"/>
        <w:spacing w:after="0" w:line="251" w:lineRule="auto"/>
        <w:tabs>
          <w:tab w:leader="none" w:pos="648" w:val="left"/>
        </w:tabs>
        <w:numPr>
          <w:ilvl w:val="0"/>
          <w:numId w:val="85"/>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w:t>
      </w:r>
    </w:p>
    <w:p>
      <w:pPr>
        <w:spacing w:after="0" w:line="1" w:lineRule="exact"/>
        <w:rPr>
          <w:rFonts w:ascii="Arial" w:cs="Arial" w:eastAsia="Arial" w:hAnsi="Arial"/>
          <w:sz w:val="21"/>
          <w:szCs w:val="21"/>
          <w:color w:val="auto"/>
          <w:vertAlign w:val="superscript"/>
        </w:rPr>
      </w:pPr>
    </w:p>
    <w:p>
      <w:pPr>
        <w:ind w:left="660" w:right="160"/>
        <w:spacing w:after="0" w:line="254" w:lineRule="auto"/>
        <w:rPr>
          <w:rFonts w:ascii="Arial" w:cs="Arial" w:eastAsia="Arial" w:hAnsi="Arial"/>
          <w:sz w:val="21"/>
          <w:szCs w:val="21"/>
          <w:color w:val="auto"/>
          <w:vertAlign w:val="superscript"/>
        </w:rPr>
      </w:pPr>
      <w:r>
        <w:rPr>
          <w:rFonts w:ascii="Arial" w:cs="Arial" w:eastAsia="Arial" w:hAnsi="Arial"/>
          <w:sz w:val="18"/>
          <w:szCs w:val="18"/>
          <w:color w:val="auto"/>
        </w:rPr>
        <w:t>(a) their highest annual base salary previously paid to them and (b) their highest annual bonus paid or payable for any of the three years prior to the date of such termination. The amount provided in the table assumes a change in control and termination date of December 31, 2014, and also assumes a highest annual base salary of $375,000 and highest annual bonus of $5,200,000 for Mr. Armstrong, and a highest annual base salary of $300,000 and highest annual bonus of $5,000,000 for Mr. Pefanis.</w:t>
      </w:r>
    </w:p>
    <w:p>
      <w:pPr>
        <w:spacing w:after="0" w:line="190"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“Change in control” was originally defined in their employment agreements to mean (i) the acquisition by a person or group (other than Vulcan Energy or a wholly owned subsidiary thereof) of beneficial ownership, directly or indirectly, of 50% or more of the membership interest of GP LLC or (ii) the owners of the membership interests of GP LLC on June 30, 2001 ceasing to beneficially own, directly or indirectly, more than 50% of the membership interests of GP LLC.</w:t>
      </w:r>
    </w:p>
    <w:p>
      <w:pPr>
        <w:spacing w:after="0" w:line="187"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color w:val="auto"/>
        </w:rPr>
        <w:t>In August 2005, Vulcan Energy increased its interest in GP LLC from approximately 44% to greater than 50%. The consummation of the transaction constituted a change in control under the employment agreements with Messrs. Armstrong and Pefanis. However, Messrs. Armstrong and Pefanis</w:t>
      </w:r>
    </w:p>
    <w:p>
      <w:pPr>
        <w:sectPr>
          <w:pgSz w:w="11900" w:h="16989" w:orient="portrait"/>
          <w:cols w:equalWidth="0" w:num="1">
            <w:col w:w="11420"/>
          </w:cols>
          <w:pgMar w:left="240" w:top="80" w:right="239" w:bottom="0" w:gutter="0" w:footer="0" w:header="0"/>
        </w:sectPr>
      </w:pPr>
    </w:p>
    <w:bookmarkStart w:id="90" w:name="page91"/>
    <w:bookmarkEnd w:id="90"/>
    <w:p>
      <w:pPr>
        <w:ind w:left="660" w:right="20"/>
        <w:spacing w:after="0" w:line="259" w:lineRule="auto"/>
        <w:rPr>
          <w:sz w:val="20"/>
          <w:szCs w:val="20"/>
          <w:color w:val="auto"/>
        </w:rPr>
      </w:pPr>
      <w:r>
        <w:rPr>
          <w:rFonts w:ascii="Arial" w:cs="Arial" w:eastAsia="Arial" w:hAnsi="Arial"/>
          <w:sz w:val="18"/>
          <w:szCs w:val="18"/>
          <w:color w:val="auto"/>
        </w:rPr>
        <w:t>entered into agreements with GP LLC waiving their rights to payments under their employment agreements in connection with the change in control, contingent on the execution and performance by Vulcan Energy of a voting agreement with GP LLC that restricted certain of Vulcan’s voting rights. The December 2010 sale by Vulcan Energy of its interest in our general partner also constituted a change in control under the employment agreements and resulted in the termination of the voting agreement. Messrs. Armstrong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right="760"/>
        <w:spacing w:after="0" w:line="277" w:lineRule="auto"/>
        <w:rPr>
          <w:sz w:val="20"/>
          <w:szCs w:val="20"/>
          <w:color w:val="auto"/>
        </w:rPr>
      </w:pPr>
      <w:r>
        <w:rPr>
          <w:rFonts w:ascii="Arial" w:cs="Arial" w:eastAsia="Arial" w:hAnsi="Arial"/>
          <w:sz w:val="18"/>
          <w:szCs w:val="18"/>
          <w:color w:val="auto"/>
        </w:rPr>
        <w:t>Pefanis executed new agreements waiving their rights to payments under their employment agreements with respect to the December 2010 transaction and voting agreement termination.</w:t>
      </w:r>
    </w:p>
    <w:p>
      <w:pPr>
        <w:spacing w:after="0" w:line="170" w:lineRule="exact"/>
        <w:rPr>
          <w:sz w:val="20"/>
          <w:szCs w:val="20"/>
          <w:color w:val="auto"/>
        </w:rPr>
      </w:pPr>
    </w:p>
    <w:p>
      <w:pPr>
        <w:ind w:left="20"/>
        <w:spacing w:after="0" w:line="285" w:lineRule="auto"/>
        <w:rPr>
          <w:sz w:val="20"/>
          <w:szCs w:val="20"/>
          <w:color w:val="auto"/>
        </w:rPr>
      </w:pPr>
      <w:r>
        <w:rPr>
          <w:rFonts w:ascii="Arial" w:cs="Arial" w:eastAsia="Arial" w:hAnsi="Arial"/>
          <w:sz w:val="16"/>
          <w:szCs w:val="16"/>
          <w:color w:val="auto"/>
        </w:rPr>
        <w:t>The initial public offering of PAGP and certain related transactions also would have constituted a change in control under the employment agreements, which would have allowed Messrs. Armstrong and Pefanis to terminate their employment and become entitled to certain separation benefits. Messrs. Armstrong and Pefanis executed agreements waiving their rights to terminate employment and receive such benefits. In connection with such waiver,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LLC or 50% or more of the outstanding limited partnership interests of PAGP; (ii)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(iii) PAGP ceases to beneficially own, directly or indirectly, more than 50% of the membership interest in GP LLC; (iv) KAFU Holdings, L.P. and its affiliates, Lynx Holdings I, LLC and its affiliates, Oxy Holding Company (Pipeline), Inc. and its affiliates, Mark Strome and his affiliates, Windy, LLC and its affiliates, PAA Management, L.P. and its affiliates, PAGP and its affiliates, and various individual investors (collectively, the “Owner Affiliates”),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Plains All American Pipeline, L.P.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391" w:lineRule="exact"/>
        <w:rPr>
          <w:sz w:val="20"/>
          <w:szCs w:val="20"/>
          <w:color w:val="auto"/>
        </w:rPr>
      </w:pPr>
    </w:p>
    <w:p>
      <w:pPr>
        <w:ind w:left="20" w:right="60" w:hanging="11"/>
        <w:spacing w:after="0" w:line="273" w:lineRule="auto"/>
        <w:rPr>
          <w:sz w:val="20"/>
          <w:szCs w:val="20"/>
          <w:color w:val="auto"/>
        </w:rPr>
      </w:pPr>
      <w:r>
        <w:rPr>
          <w:rFonts w:ascii="Arial" w:cs="Arial" w:eastAsia="Arial" w:hAnsi="Arial"/>
          <w:sz w:val="17"/>
          <w:szCs w:val="17"/>
          <w:color w:val="auto"/>
        </w:rPr>
        <w:t>The letters evidencing phantom unit grants to our Named Executive Officers in 2010 and 2013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spacing w:after="0" w:line="178" w:lineRule="exact"/>
        <w:rPr>
          <w:sz w:val="20"/>
          <w:szCs w:val="20"/>
          <w:color w:val="auto"/>
        </w:rPr>
      </w:pPr>
    </w:p>
    <w:p>
      <w:pPr>
        <w:ind w:left="20" w:right="80"/>
        <w:spacing w:after="0" w:line="257" w:lineRule="auto"/>
        <w:rPr>
          <w:sz w:val="20"/>
          <w:szCs w:val="20"/>
          <w:color w:val="auto"/>
        </w:rPr>
      </w:pPr>
      <w:r>
        <w:rPr>
          <w:rFonts w:ascii="Arial" w:cs="Arial" w:eastAsia="Arial" w:hAnsi="Arial"/>
          <w:sz w:val="18"/>
          <w:szCs w:val="18"/>
          <w:color w:val="auto"/>
        </w:rPr>
        <w:t>Assuming death or disability occurred on December 31, 2014, all of the 2010 phantom unit grants and associated DERs and two-thirds of the 2013 phantom unit grants and associated DERs of our Named Executive Officers would have become nonforfeitable effective as of December 31, 2014, and would vest on the February 2015 distribution date. For the 2013 grants, any units not vested by August 2019 would expire. That portion of the dollar value given that is attributable to PAA phantom units is based on the market value of PAA’s common units on December 31, 2014 ($51.32 per unit) without discount for service period.</w:t>
      </w:r>
    </w:p>
    <w:p>
      <w:pPr>
        <w:spacing w:after="0" w:line="188"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Pursuant to the phantom unit grants to our Named Executive Officers in 2010 and 2013,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The dollar value amount provided assumes that our Named Executive Officers were terminated without cause on December 31, 2014. As a result, all of the 2010 phantom unit grants and two-thirds of the 2013 phantom unit grants held</w:t>
      </w:r>
    </w:p>
    <w:p>
      <w:pPr>
        <w:spacing w:after="0" w:line="19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by Messrs. Armstrong, Pefanis, Swanson, Duckett and vonBerg would be deemed nonforfeitable and would vest on the February 2015 distribution date. That portion of the dollar value given that is attributable to PAA phantom units is based on the market value of PAA’s common units on December 31, 2014 ($51.32 per unit), without discount for service period. In addition to the foregoing, under Canadian law, Mr. Duckett could have a claim for additional payment if inadequate notice were given for a termination without cause.</w:t>
      </w:r>
    </w:p>
    <w:p>
      <w:pPr>
        <w:spacing w:after="0" w:line="187"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the 2005 Long-Term Incentive Plan would immediately vest.</w:t>
      </w:r>
    </w:p>
    <w:p>
      <w:pPr>
        <w:spacing w:after="0" w:line="181" w:lineRule="exact"/>
        <w:rPr>
          <w:sz w:val="20"/>
          <w:szCs w:val="20"/>
          <w:color w:val="auto"/>
        </w:rPr>
      </w:pPr>
    </w:p>
    <w:p>
      <w:pPr>
        <w:ind w:left="660" w:right="140" w:hanging="652"/>
        <w:spacing w:after="0" w:line="260" w:lineRule="auto"/>
        <w:tabs>
          <w:tab w:leader="none" w:pos="648" w:val="left"/>
        </w:tabs>
        <w:numPr>
          <w:ilvl w:val="0"/>
          <w:numId w:val="86"/>
        </w:numPr>
        <w:rPr>
          <w:rFonts w:ascii="Arial" w:cs="Arial" w:eastAsia="Arial" w:hAnsi="Arial"/>
          <w:sz w:val="21"/>
          <w:szCs w:val="21"/>
          <w:color w:val="auto"/>
          <w:vertAlign w:val="superscript"/>
        </w:rPr>
      </w:pPr>
      <w:r>
        <w:rPr>
          <w:rFonts w:ascii="Arial" w:cs="Arial" w:eastAsia="Arial" w:hAnsi="Arial"/>
          <w:sz w:val="16"/>
          <w:szCs w:val="16"/>
          <w:color w:val="auto"/>
        </w:rPr>
        <w:t>The letters evidencing the phantom unit grants to our Named Executive Officers in 2010 and 2013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w:t>
      </w:r>
    </w:p>
    <w:p>
      <w:pPr>
        <w:spacing w:after="0" w:line="2" w:lineRule="exact"/>
        <w:rPr>
          <w:rFonts w:ascii="Arial" w:cs="Arial" w:eastAsia="Arial" w:hAnsi="Arial"/>
          <w:sz w:val="21"/>
          <w:szCs w:val="21"/>
          <w:color w:val="auto"/>
          <w:vertAlign w:val="superscript"/>
        </w:rPr>
      </w:pPr>
    </w:p>
    <w:p>
      <w:pPr>
        <w:ind w:left="660" w:right="120"/>
        <w:spacing w:after="0" w:line="254" w:lineRule="auto"/>
        <w:rPr>
          <w:rFonts w:ascii="Arial" w:cs="Arial" w:eastAsia="Arial" w:hAnsi="Arial"/>
          <w:sz w:val="21"/>
          <w:szCs w:val="21"/>
          <w:color w:val="auto"/>
          <w:vertAlign w:val="superscript"/>
        </w:rPr>
      </w:pPr>
      <w:r>
        <w:rPr>
          <w:rFonts w:ascii="Arial" w:cs="Arial" w:eastAsia="Arial" w:hAnsi="Arial"/>
          <w:sz w:val="18"/>
          <w:szCs w:val="18"/>
          <w:color w:val="auto"/>
        </w:rPr>
        <w:t>Assuming the change in status occurred on December 31, 2014, all outstanding phantom units and the associated DERs would have become nonforfeitable as of December 31, 2014, and such phantom units would vest on the February 2015 distribution date. That portion of the dollar value given that is attributable to PAA phantom units is based on the market value of PAA’s common units on December 31, 2014 ($51.32 per unit), without discount for service period.</w:t>
      </w:r>
    </w:p>
    <w:p>
      <w:pPr>
        <w:sectPr>
          <w:pgSz w:w="11900" w:h="16838" w:orient="portrait"/>
          <w:cols w:equalWidth="0" w:num="1">
            <w:col w:w="11420"/>
          </w:cols>
          <w:pgMar w:left="240" w:top="125" w:right="239" w:bottom="0" w:gutter="0" w:footer="0" w:header="0"/>
          <w:type w:val="continuous"/>
        </w:sectPr>
      </w:pPr>
    </w:p>
    <w:bookmarkStart w:id="91" w:name="page92"/>
    <w:bookmarkEnd w:id="91"/>
    <w:p>
      <w:pPr>
        <w:ind w:left="660" w:right="60"/>
        <w:spacing w:after="0" w:line="291" w:lineRule="auto"/>
        <w:rPr>
          <w:sz w:val="20"/>
          <w:szCs w:val="20"/>
          <w:color w:val="auto"/>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w:t>
      </w:r>
    </w:p>
    <w:p>
      <w:pPr>
        <w:ind w:left="660"/>
        <w:spacing w:after="0" w:line="254" w:lineRule="auto"/>
        <w:rPr>
          <w:sz w:val="20"/>
          <w:szCs w:val="20"/>
          <w:color w:val="auto"/>
        </w:rPr>
      </w:pPr>
      <w:r>
        <w:rPr>
          <w:rFonts w:ascii="Arial" w:cs="Arial" w:eastAsia="Arial" w:hAnsi="Arial"/>
          <w:sz w:val="18"/>
          <w:szCs w:val="18"/>
          <w:color w:val="auto"/>
        </w:rPr>
        <w:t>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190" w:lineRule="exact"/>
        <w:rPr>
          <w:sz w:val="20"/>
          <w:szCs w:val="20"/>
          <w:color w:val="auto"/>
        </w:rPr>
      </w:pPr>
    </w:p>
    <w:p>
      <w:pPr>
        <w:ind w:left="660" w:right="60"/>
        <w:spacing w:after="0" w:line="268" w:lineRule="auto"/>
        <w:rPr>
          <w:sz w:val="20"/>
          <w:szCs w:val="20"/>
          <w:color w:val="auto"/>
        </w:rPr>
      </w:pPr>
      <w:r>
        <w:rPr>
          <w:rFonts w:ascii="Arial" w:cs="Arial" w:eastAsia="Arial" w:hAnsi="Arial"/>
          <w:sz w:val="17"/>
          <w:szCs w:val="17"/>
          <w:color w:val="auto"/>
        </w:rPr>
        <w:t>The phrase “change of control” means, and is deemed to have occurred upon the occurrence of, one or more of the following events: (i) GP LLC ceasing to be the general partner of our general partner; (ii) any sale, lease, exchange or other transfer (in one transaction or a series of related transactions) of all or substantially all of the assets of our partnership or GP LLC to any person and/or its affiliates, other than to us or GP LLC, including any employee benefit plan thereof; (iii) the consolidation, reorganization, merger, or any other similar transaction involving (A) a person other than us or GP LLC and (B) us,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The initial public offering of PAGP did not constitute a change of control under the phantom unit grant letters. The term “cause” means (i) the failure to perform the duties and responsibilities of a position at an acceptable level as reasonably determined in good faith by the CEO of GP LLC (or by the board in the case of the CEO), or (ii) the violation of GP LLC’s Code of Business Conduct (unless waived in accordance with the terms thereof), in each case, with the specific failure or violation described in writing.</w:t>
      </w:r>
    </w:p>
    <w:p>
      <w:pPr>
        <w:spacing w:after="0" w:line="183" w:lineRule="exact"/>
        <w:rPr>
          <w:sz w:val="20"/>
          <w:szCs w:val="20"/>
          <w:color w:val="auto"/>
        </w:rPr>
      </w:pPr>
    </w:p>
    <w:p>
      <w:pPr>
        <w:ind w:left="660" w:right="200" w:hanging="652"/>
        <w:spacing w:after="0" w:line="249" w:lineRule="auto"/>
        <w:tabs>
          <w:tab w:leader="none" w:pos="648" w:val="left"/>
        </w:tabs>
        <w:numPr>
          <w:ilvl w:val="0"/>
          <w:numId w:val="87"/>
        </w:numPr>
        <w:rPr>
          <w:rFonts w:ascii="Arial" w:cs="Arial" w:eastAsia="Arial" w:hAnsi="Arial"/>
          <w:sz w:val="22"/>
          <w:szCs w:val="22"/>
          <w:color w:val="auto"/>
          <w:vertAlign w:val="superscript"/>
        </w:rPr>
      </w:pPr>
      <w:r>
        <w:rPr>
          <w:rFonts w:ascii="Arial" w:cs="Arial" w:eastAsia="Arial" w:hAnsi="Arial"/>
          <w:sz w:val="17"/>
          <w:szCs w:val="17"/>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color w:val="auto"/>
        </w:rPr>
        <w:t>termination or the remaining term of the employment agreement, in such health and accident plans or arrangements as are made available by GP LLC to its executive officers generally. The amounts provided in the table assume a termination date of December 31, 2014.</w:t>
      </w:r>
    </w:p>
    <w:p>
      <w:pPr>
        <w:spacing w:after="0" w:line="124" w:lineRule="exact"/>
        <w:rPr>
          <w:sz w:val="20"/>
          <w:szCs w:val="20"/>
          <w:color w:val="auto"/>
        </w:rPr>
      </w:pPr>
    </w:p>
    <w:p>
      <w:pPr>
        <w:jc w:val="both"/>
        <w:ind w:left="660" w:right="80" w:hanging="634"/>
        <w:spacing w:after="0" w:line="269" w:lineRule="auto"/>
        <w:tabs>
          <w:tab w:leader="none" w:pos="652" w:val="left"/>
        </w:tabs>
        <w:numPr>
          <w:ilvl w:val="1"/>
          <w:numId w:val="88"/>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2014.</w:t>
      </w:r>
    </w:p>
    <w:p>
      <w:pPr>
        <w:spacing w:after="0" w:line="181" w:lineRule="exact"/>
        <w:rPr>
          <w:rFonts w:ascii="Arial" w:cs="Arial" w:eastAsia="Arial" w:hAnsi="Arial"/>
          <w:sz w:val="21"/>
          <w:szCs w:val="21"/>
          <w:color w:val="auto"/>
          <w:vertAlign w:val="superscript"/>
        </w:rPr>
      </w:pPr>
    </w:p>
    <w:p>
      <w:pPr>
        <w:ind w:left="660" w:right="20" w:hanging="652"/>
        <w:spacing w:after="0" w:line="280" w:lineRule="auto"/>
        <w:tabs>
          <w:tab w:leader="none" w:pos="648" w:val="left"/>
        </w:tabs>
        <w:numPr>
          <w:ilvl w:val="0"/>
          <w:numId w:val="89"/>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of each of our Named Executive Officers, to encourage retention following the achievement of applicable performance benchmarks, AAP retained a call right to purchase any earned AAP Management Units for an amount equal to 75% of fair market value (which is referred to in the AAP Management Unit grant agreements as the “Call Value” as defined below) of such AAP Management Units, which call right is exercisable upon the termination of such Named Executive Officer’s employment with GP LLC and its affiliates prior to January 1, 2016; provided, however, that such call right is not applicable in the case of the termination of such Named Executive Officer’s employment without cause (defined below) or in the event of a resignation by such Named Executive Officer with good reason (defined below). In either such event, or if such Named Executive Officer remains employed past December 31, 2015, any earned AAP Management Units are no longer subject to the call right and are deemed to have “vested.” As of December 31, 2014, 100% of the AAP Management Units held by Messrs. Armstrong, Pefanis, Swanson, Duckett and vonBerg had been earned, but all of such AAP Management Units remained subject to AAP’s call right. Assuming a termination of employment without cause or for good reason on December 31, 2014, all of the AAP Management Units held by Messrs. Armstrong, Pefanis, Swanson, Duckett and vonBerg would become vested and would no longer be subject to the call right. Because the call right provides for a discounted purchase price equal to 75% of fair market value, in such event the applicable Named Executive Officer would “benefit” by virtue of the fact that such officer’s AAP Management Units could no longer be purchased by AAP at a 25% discount. The value reflected in the table above represents the implied value of such “benefit” to the applicable Named Executive Officer, calculated as of December 31, 2014 by (i) assuming that such officer’s AAP Management Units are converted into AAP units based on the December 31, 2014 conversion factor of approximately 0.925 AAP units and PAGP Class B shares for each AAP Management Unit, (ii) assuming the exchange of the resulting AAP units and PAGP Class B shares for PAGP Class A shares on a one-for-one basis, and (iii) multiplying such resulting number of PAGP Class A shares by an amount equal to 25% of the closing market price ($25.68) of PAGP’s Class A shares at December 31, 2014 (the last trading day of the fiscal year). The entire economic burden of the AAP Management Units is borne solely by AAP.</w:t>
      </w:r>
    </w:p>
    <w:p>
      <w:pPr>
        <w:spacing w:after="0" w:line="176" w:lineRule="exact"/>
        <w:rPr>
          <w:rFonts w:ascii="Arial" w:cs="Arial" w:eastAsia="Arial" w:hAnsi="Arial"/>
          <w:sz w:val="21"/>
          <w:szCs w:val="21"/>
          <w:color w:val="auto"/>
          <w:vertAlign w:val="superscript"/>
        </w:rPr>
      </w:pPr>
    </w:p>
    <w:p>
      <w:pPr>
        <w:ind w:left="660" w:right="20"/>
        <w:spacing w:after="0" w:line="273" w:lineRule="auto"/>
        <w:rPr>
          <w:rFonts w:ascii="Arial" w:cs="Arial" w:eastAsia="Arial" w:hAnsi="Arial"/>
          <w:sz w:val="21"/>
          <w:szCs w:val="21"/>
          <w:color w:val="auto"/>
          <w:vertAlign w:val="superscript"/>
        </w:rPr>
      </w:pPr>
      <w:r>
        <w:rPr>
          <w:rFonts w:ascii="Arial" w:cs="Arial" w:eastAsia="Arial" w:hAnsi="Arial"/>
          <w:sz w:val="17"/>
          <w:szCs w:val="17"/>
          <w:color w:val="auto"/>
        </w:rPr>
        <w:t>“Cause” is defined in the AAP Management Unit grant agreements as (i) a finding by the board of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GP LLC or its affiliates.</w:t>
      </w:r>
    </w:p>
    <w:p>
      <w:pPr>
        <w:spacing w:after="0" w:line="178" w:lineRule="exact"/>
        <w:rPr>
          <w:rFonts w:ascii="Arial" w:cs="Arial" w:eastAsia="Arial" w:hAnsi="Arial"/>
          <w:sz w:val="21"/>
          <w:szCs w:val="21"/>
          <w:color w:val="auto"/>
          <w:vertAlign w:val="superscript"/>
        </w:rPr>
      </w:pPr>
    </w:p>
    <w:p>
      <w:pPr>
        <w:jc w:val="both"/>
        <w:ind w:left="660" w:right="60"/>
        <w:spacing w:after="0" w:line="264" w:lineRule="auto"/>
        <w:rPr>
          <w:rFonts w:ascii="Arial" w:cs="Arial" w:eastAsia="Arial" w:hAnsi="Arial"/>
          <w:sz w:val="21"/>
          <w:szCs w:val="21"/>
          <w:color w:val="auto"/>
          <w:vertAlign w:val="superscript"/>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181" w:lineRule="exact"/>
        <w:rPr>
          <w:rFonts w:ascii="Arial" w:cs="Arial" w:eastAsia="Arial" w:hAnsi="Arial"/>
          <w:sz w:val="21"/>
          <w:szCs w:val="21"/>
          <w:color w:val="auto"/>
          <w:vertAlign w:val="superscript"/>
        </w:rPr>
      </w:pPr>
    </w:p>
    <w:p>
      <w:pPr>
        <w:ind w:left="660" w:right="80"/>
        <w:spacing w:after="0" w:line="277" w:lineRule="auto"/>
        <w:rPr>
          <w:rFonts w:ascii="Arial" w:cs="Arial" w:eastAsia="Arial" w:hAnsi="Arial"/>
          <w:sz w:val="21"/>
          <w:szCs w:val="21"/>
          <w:color w:val="auto"/>
          <w:vertAlign w:val="superscript"/>
        </w:rPr>
      </w:pPr>
      <w:r>
        <w:rPr>
          <w:rFonts w:ascii="Arial" w:cs="Arial" w:eastAsia="Arial" w:hAnsi="Arial"/>
          <w:sz w:val="18"/>
          <w:szCs w:val="18"/>
          <w:color w:val="auto"/>
        </w:rPr>
        <w:t>“Call Value” is defined in the AAP Management Unit grant agreements as the product of the applicable conversion factor and the closing sales price of the PAGP Class A shares on the applicable date.</w:t>
      </w:r>
    </w:p>
    <w:p>
      <w:pPr>
        <w:sectPr>
          <w:pgSz w:w="11900" w:h="16838" w:orient="portrait"/>
          <w:cols w:equalWidth="0" w:num="1">
            <w:col w:w="11420"/>
          </w:cols>
          <w:pgMar w:left="240" w:top="125" w:right="239" w:bottom="134"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34" w:gutter="0" w:footer="0" w:header="0"/>
          <w:type w:val="continuous"/>
        </w:sectPr>
      </w:pPr>
    </w:p>
    <w:bookmarkStart w:id="92" w:name="page93"/>
    <w:bookmarkEnd w:id="92"/>
    <w:p>
      <w:pPr>
        <w:spacing w:after="0" w:line="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652"/>
        <w:spacing w:after="0" w:line="279" w:lineRule="auto"/>
        <w:tabs>
          <w:tab w:leader="none" w:pos="648"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becomes vested. As of December 31, 2014, 100% of the AAP Management Units held by Messrs. Armstrong, Pefanis, Swanson, Duckett and vonBerg had been earned. Accordingly, assuming a Change in Control on December 31, 2014, all of the AAP Management Units held by Messrs. Armstrong, Pefanis, Swanson, Duckett and vonBerg would become vested and would no longer be subject to the call right. Because the call right provides for a discounted purchase price equal to 75% of fair market value as described above, the applicable Named Executive Officer would “benefit” from a Change in Control by virtue of the fact that such officer’s AAP Management Units could no longer be purchased by AAP at a 25% discount. The value reflected in the table above represents the implied value of such “benefit” to the applicable Named Executive Officer, calculated as of December 31, 2014 by (i) assuming that such officer’s AAP Management Units are converted into AAP units based on the December 31, 2014 conversion factor of approximately 0.925 AAP units and PAGP Class B shares for each AAP Management Unit, (ii) assuming the exchange of the resulting AAP units and PAGP Class B shares for PAGP Class A shares on a one-for-one basis, and (iii) multiplying such resulting number of PAGP Class A shares by an amount equal to 25% of the closing market price ($25.68) of PAGP’s Class A shares at December 31, 2014 (the last trading day of the fiscal year). The entire economic burden of the AAP Management Units is borne solely by AAP.</w:t>
      </w:r>
    </w:p>
    <w:p>
      <w:pPr>
        <w:spacing w:after="0" w:line="180" w:lineRule="exact"/>
        <w:rPr>
          <w:rFonts w:ascii="Arial" w:cs="Arial" w:eastAsia="Arial" w:hAnsi="Arial"/>
          <w:sz w:val="21"/>
          <w:szCs w:val="21"/>
          <w:color w:val="auto"/>
          <w:vertAlign w:val="superscript"/>
        </w:rPr>
      </w:pPr>
    </w:p>
    <w:p>
      <w:pPr>
        <w:ind w:left="660" w:right="60"/>
        <w:spacing w:after="0" w:line="270" w:lineRule="auto"/>
        <w:rPr>
          <w:rFonts w:ascii="Arial" w:cs="Arial" w:eastAsia="Arial" w:hAnsi="Arial"/>
          <w:sz w:val="21"/>
          <w:szCs w:val="21"/>
          <w:color w:val="auto"/>
          <w:vertAlign w:val="superscript"/>
        </w:rPr>
      </w:pPr>
      <w:r>
        <w:rPr>
          <w:rFonts w:ascii="Arial" w:cs="Arial" w:eastAsia="Arial" w:hAnsi="Arial"/>
          <w:sz w:val="17"/>
          <w:szCs w:val="17"/>
          <w:color w:val="auto"/>
        </w:rPr>
        <w:t xml:space="preserve">“Change in Control” means the determination by the board that one of the following events has occurred: (i) the Persons who own member interests in PAA GP Holdings LLC immediately following the closing of the GP IPO,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77" w:lineRule="exact"/>
        <w:rPr>
          <w:rFonts w:ascii="Arial" w:cs="Arial" w:eastAsia="Arial" w:hAnsi="Arial"/>
          <w:sz w:val="21"/>
          <w:szCs w:val="21"/>
          <w:color w:val="auto"/>
          <w:vertAlign w:val="superscript"/>
        </w:rPr>
      </w:pPr>
    </w:p>
    <w:p>
      <w:pPr>
        <w:ind w:left="660" w:right="160" w:hanging="634"/>
        <w:spacing w:after="0" w:line="227" w:lineRule="auto"/>
        <w:tabs>
          <w:tab w:leader="none" w:pos="643" w:val="left"/>
        </w:tabs>
        <w:numPr>
          <w:ilvl w:val="1"/>
          <w:numId w:val="90"/>
        </w:numPr>
        <w:rPr>
          <w:rFonts w:ascii="Arial" w:cs="Arial" w:eastAsia="Arial" w:hAnsi="Arial"/>
          <w:sz w:val="23"/>
          <w:szCs w:val="23"/>
          <w:color w:val="auto"/>
          <w:vertAlign w:val="superscript"/>
        </w:rPr>
      </w:pPr>
      <w:r>
        <w:rPr>
          <w:rFonts w:ascii="Arial" w:cs="Arial" w:eastAsia="Arial" w:hAnsi="Arial"/>
          <w:sz w:val="18"/>
          <w:szCs w:val="18"/>
          <w:color w:val="auto"/>
        </w:rPr>
        <w:t>If Messrs. Swanson, Duckett or vonBerg were terminated for cause, GP LLC would be obligated to pay base salary through the date of termination, with no other payment obligation triggered by the termination under any employment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jc w:val="both"/>
        <w:ind w:right="140"/>
        <w:spacing w:after="0" w:line="255" w:lineRule="auto"/>
        <w:rPr>
          <w:sz w:val="20"/>
          <w:szCs w:val="20"/>
          <w:color w:val="auto"/>
        </w:rPr>
      </w:pPr>
      <w:r>
        <w:rPr>
          <w:rFonts w:ascii="Arial" w:cs="Arial" w:eastAsia="Arial" w:hAnsi="Arial"/>
          <w:sz w:val="18"/>
          <w:szCs w:val="18"/>
          <w:color w:val="auto"/>
        </w:rPr>
        <w:t>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compensation paid to each person who served as a non-employee director of GP LLC in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Fees</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640" w:type="dxa"/>
            <w:vAlign w:val="bottom"/>
            <w:gridSpan w:val="2"/>
            <w:vMerge w:val="continue"/>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Cash ($)</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8"/>
                <w:szCs w:val="8"/>
                <w:b w:val="1"/>
                <w:bCs w:val="1"/>
                <w:color w:val="auto"/>
                <w:w w:val="95"/>
              </w:rPr>
              <w:t>(1)</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3"/>
              </w:rPr>
              <w:t>75,000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45,000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145,050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190,050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145,050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190,050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47,000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145,050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192,050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Vicky Sutil </w:t>
            </w:r>
            <w:r>
              <w:rPr>
                <w:rFonts w:ascii="Arial" w:cs="Arial" w:eastAsia="Arial" w:hAnsi="Arial"/>
                <w:sz w:val="23"/>
                <w:szCs w:val="23"/>
                <w:color w:val="auto"/>
                <w:vertAlign w:val="superscript"/>
              </w:rPr>
              <w:t>(2)</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62,000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290,100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352,100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290,100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44" w:lineRule="auto"/>
        <w:tabs>
          <w:tab w:leader="none" w:pos="648"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The dollar value of LTIPs granted during 2014 is based on the grant date fair value computed in accordance with FASB ASC Topic 718. See Note 16 to our Consolidated Financial Statements for additional discussion regarding the calculation of grant date fair values. In connection with the August 2014 vesting of director LTIP awards, Messrs. Goyanes, Symonds and Temple each were granted 5,000 units, and Messrs. Petersen, Raymond and Sinnott each were granted 2,500 units by virtue of the automatic re-grant feature of the vested awards. Upon vesting of the director LTIP awards in August 2014 (other than the incremental audit committee awards), a cash payment of $132,850 was made to Oxy as directed by Ms. Sutil. Such cash payment was based on the unit value of Mr. Sinnott’s award on the previous year’s vesting date. As of December 31, 2014, the number of outstanding LTIPs held by our directors was as follows: Goyanes - 20,000; Petersen - 10,000; Raymond - 10,000; Sinnott - 10,000; Symonds - 20,000; and Temple - 20,000.</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Ms. Sutil’s compensation was assigned to Oxy. Ms. Sutil departed the board in January 2015.</w:t>
      </w:r>
    </w:p>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Each director of GP LLC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however, the annual retainer fee for the director designated by Oxy is paid to Oxy.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w:t>
      </w:r>
    </w:p>
    <w:p>
      <w:pPr>
        <w:sectPr>
          <w:pgSz w:w="11900" w:h="16847" w:orient="portrait"/>
          <w:cols w:equalWidth="0" w:num="1">
            <w:col w:w="11420"/>
          </w:cols>
          <w:pgMar w:left="240" w:top="125" w:right="239" w:bottom="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committee receives $30,000 annually, and the other members of the audit committee receive $15,000 annually, in each case, in addition to the annual retainer.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2014, Messrs. Sinnott, Goyanes and Symonds served as chairmen of the compensation, audit and governance committees, respectively.</w:t>
      </w:r>
    </w:p>
    <w:p>
      <w:pPr>
        <w:spacing w:after="0" w:line="22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of any public company) or (ii) is removed from the board of directors or is not reelected to the board of directors, unless such removal or failure to reelect is for “good cause,” as defined in the letter granting the units.</w:t>
      </w:r>
    </w:p>
    <w:p>
      <w:pPr>
        <w:spacing w:after="0" w:line="170" w:lineRule="exact"/>
        <w:rPr>
          <w:sz w:val="20"/>
          <w:szCs w:val="20"/>
          <w:color w:val="auto"/>
        </w:rPr>
      </w:pPr>
    </w:p>
    <w:p>
      <w:pPr>
        <w:jc w:val="both"/>
        <w:ind w:right="560" w:firstLine="648"/>
        <w:spacing w:after="0" w:line="291" w:lineRule="auto"/>
        <w:rPr>
          <w:sz w:val="20"/>
          <w:szCs w:val="20"/>
          <w:color w:val="auto"/>
        </w:rPr>
      </w:pPr>
      <w:r>
        <w:rPr>
          <w:rFonts w:ascii="Arial" w:cs="Arial" w:eastAsia="Arial" w:hAnsi="Arial"/>
          <w:sz w:val="16"/>
          <w:szCs w:val="16"/>
          <w:color w:val="auto"/>
        </w:rPr>
        <w:t>Messrs. Figlock, Goyanes, Raymond and Sinnott also serve as directors of GP Holdings, and Mr. Goyanes also serves as chairman of the GP Holdings audit committee. Messrs. Figlock, Raymond and Sinnott do not receive additional compensation for their service on the GP Holdings board.</w:t>
      </w:r>
    </w:p>
    <w:p>
      <w:pPr>
        <w:ind w:right="140"/>
        <w:spacing w:after="0" w:line="271" w:lineRule="auto"/>
        <w:rPr>
          <w:sz w:val="20"/>
          <w:szCs w:val="20"/>
          <w:color w:val="auto"/>
        </w:rPr>
      </w:pPr>
      <w:r>
        <w:rPr>
          <w:rFonts w:ascii="Arial" w:cs="Arial" w:eastAsia="Arial" w:hAnsi="Arial"/>
          <w:sz w:val="17"/>
          <w:szCs w:val="17"/>
          <w:color w:val="auto"/>
        </w:rPr>
        <w:t>Mr. Goyanes does not receive additional cash compensation for his service as a director and chairman of the audit committee of the GP Holdings board, but he received initial equity compensation in the form of an LTIP award for 19,200 phantom Class A shares of PAGP that, subject to continued service as a GP Holdings director, vests in 25% increments over a four-year period and includes an automatic re-grant equal to 25% of the initial award. Mr. Goyanes’ LTIP award has associated distribution equivalent rights that are payable quarterly and entitle Mr. Goyanes to receive a cash payment for each phantom Class A share equal in amount to the distribution paid by PAGP on its Class A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do not pay our general partner a management fee, but we do reimburse our general partner for all direct and indirect costs of services provided to us, incurred on our behalf, including the costs of employee, officer and director compensation (other than expenses related to the AAP Management Units)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Limited Partner Interest</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common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17,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17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Common</w:t>
            </w: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8140" w:type="dxa"/>
            <w:vAlign w:val="bottom"/>
            <w:gridSpan w:val="4"/>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1"/>
        </w:trPr>
        <w:tc>
          <w:tcPr>
            <w:tcW w:w="8140" w:type="dxa"/>
            <w:vAlign w:val="bottom"/>
            <w:gridSpan w:val="4"/>
          </w:tcPr>
          <w:p>
            <w:pPr>
              <w:spacing w:after="0"/>
              <w:rPr>
                <w:sz w:val="20"/>
                <w:szCs w:val="20"/>
                <w:color w:val="auto"/>
              </w:rPr>
            </w:pPr>
            <w:r>
              <w:rPr>
                <w:rFonts w:ascii="Arial" w:cs="Arial" w:eastAsia="Arial" w:hAnsi="Arial"/>
                <w:sz w:val="14"/>
                <w:szCs w:val="14"/>
                <w:b w:val="1"/>
                <w:bCs w:val="1"/>
                <w:color w:val="auto"/>
              </w:rPr>
              <w:t>Owner</w:t>
            </w:r>
          </w:p>
        </w:tc>
        <w:tc>
          <w:tcPr>
            <w:tcW w:w="17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Units</w:t>
            </w:r>
          </w:p>
        </w:tc>
        <w:tc>
          <w:tcPr>
            <w:tcW w:w="15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95"/>
        </w:trPr>
        <w:tc>
          <w:tcPr>
            <w:tcW w:w="786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7"/>
                <w:szCs w:val="17"/>
                <w:color w:val="auto"/>
              </w:rPr>
              <w:t>Tortoise Capital Advisors, L.L.C.</w:t>
            </w:r>
            <w:r>
              <w:rPr>
                <w:rFonts w:ascii="Arial" w:cs="Arial" w:eastAsia="Arial" w:hAnsi="Arial"/>
                <w:sz w:val="22"/>
                <w:szCs w:val="22"/>
                <w:color w:val="auto"/>
                <w:vertAlign w:val="superscript"/>
              </w:rPr>
              <w:t>(1)</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24,086,246</w:t>
            </w:r>
          </w:p>
        </w:tc>
        <w:tc>
          <w:tcPr>
            <w:tcW w:w="4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6.4</w:t>
            </w:r>
          </w:p>
        </w:tc>
        <w:tc>
          <w:tcPr>
            <w:tcW w:w="16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11550 Ash Street, Suite 300</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8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Leawood, Kansas 66211</w:t>
            </w:r>
          </w:p>
        </w:tc>
        <w:tc>
          <w:tcPr>
            <w:tcW w:w="1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gridSpan w:val="4"/>
          </w:tcPr>
          <w:p>
            <w:pPr>
              <w:spacing w:after="0"/>
              <w:rPr>
                <w:sz w:val="20"/>
                <w:szCs w:val="20"/>
                <w:color w:val="auto"/>
              </w:rPr>
            </w:pPr>
            <w:r>
              <w:rPr>
                <w:rFonts w:ascii="Arial" w:cs="Arial" w:eastAsia="Arial" w:hAnsi="Arial"/>
                <w:sz w:val="18"/>
                <w:szCs w:val="18"/>
                <w:color w:val="auto"/>
              </w:rPr>
              <w:t>Richard Kayne/Kayne Anderson Capital Advisors, L.P.</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12,890,512</w:t>
            </w:r>
            <w:r>
              <w:rPr>
                <w:rFonts w:ascii="Arial" w:cs="Arial" w:eastAsia="Arial" w:hAnsi="Arial"/>
                <w:sz w:val="11"/>
                <w:szCs w:val="11"/>
                <w:color w:val="auto"/>
              </w:rPr>
              <w:t>(2)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1,197,690</w:t>
            </w:r>
            <w:r>
              <w:rPr>
                <w:rFonts w:ascii="Arial" w:cs="Arial" w:eastAsia="Arial" w:hAnsi="Arial"/>
                <w:sz w:val="11"/>
                <w:szCs w:val="11"/>
                <w:color w:val="auto"/>
              </w:rPr>
              <w:t>(3)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tcPr>
          <w:p>
            <w:pPr>
              <w:spacing w:after="0"/>
              <w:rPr>
                <w:sz w:val="20"/>
                <w:szCs w:val="20"/>
                <w:color w:val="auto"/>
              </w:rPr>
            </w:pPr>
            <w:r>
              <w:rPr>
                <w:rFonts w:ascii="Arial" w:cs="Arial" w:eastAsia="Arial" w:hAnsi="Arial"/>
                <w:sz w:val="18"/>
                <w:szCs w:val="18"/>
                <w:color w:val="auto"/>
              </w:rPr>
              <w:t>Harry N. Pefanis</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771,381</w:t>
            </w:r>
            <w:r>
              <w:rPr>
                <w:rFonts w:ascii="Arial" w:cs="Arial" w:eastAsia="Arial" w:hAnsi="Arial"/>
                <w:sz w:val="11"/>
                <w:szCs w:val="11"/>
                <w:color w:val="auto"/>
              </w:rPr>
              <w:t>(3)</w:t>
            </w:r>
          </w:p>
        </w:tc>
        <w:tc>
          <w:tcPr>
            <w:tcW w:w="152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tcPr>
          <w:p>
            <w:pPr>
              <w:spacing w:after="0"/>
              <w:rPr>
                <w:sz w:val="20"/>
                <w:szCs w:val="20"/>
                <w:color w:val="auto"/>
              </w:rPr>
            </w:pPr>
            <w:r>
              <w:rPr>
                <w:rFonts w:ascii="Arial" w:cs="Arial" w:eastAsia="Arial" w:hAnsi="Arial"/>
                <w:sz w:val="18"/>
                <w:szCs w:val="18"/>
                <w:color w:val="auto"/>
              </w:rPr>
              <w:t>John P. vonBerg</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122,359</w:t>
            </w:r>
            <w:r>
              <w:rPr>
                <w:rFonts w:ascii="Arial" w:cs="Arial" w:eastAsia="Arial" w:hAnsi="Arial"/>
                <w:sz w:val="11"/>
                <w:szCs w:val="11"/>
                <w:color w:val="auto"/>
              </w:rPr>
              <w:t>(3)</w:t>
            </w:r>
          </w:p>
        </w:tc>
        <w:tc>
          <w:tcPr>
            <w:tcW w:w="152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 Swanson</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123,429</w:t>
            </w:r>
            <w:r>
              <w:rPr>
                <w:rFonts w:ascii="Arial" w:cs="Arial" w:eastAsia="Arial" w:hAnsi="Arial"/>
                <w:sz w:val="11"/>
                <w:szCs w:val="11"/>
                <w:color w:val="auto"/>
              </w:rPr>
              <w:t>(3)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tcPr>
          <w:p>
            <w:pPr>
              <w:spacing w:after="0"/>
              <w:rPr>
                <w:sz w:val="20"/>
                <w:szCs w:val="20"/>
                <w:color w:val="auto"/>
              </w:rPr>
            </w:pPr>
            <w:r>
              <w:rPr>
                <w:rFonts w:ascii="Arial" w:cs="Arial" w:eastAsia="Arial" w:hAnsi="Arial"/>
                <w:sz w:val="18"/>
                <w:szCs w:val="18"/>
                <w:color w:val="auto"/>
              </w:rPr>
              <w:t>Ben Figlock</w:t>
            </w: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78,400</w:t>
            </w:r>
            <w:r>
              <w:rPr>
                <w:rFonts w:ascii="Arial" w:cs="Arial" w:eastAsia="Arial" w:hAnsi="Arial"/>
                <w:sz w:val="11"/>
                <w:szCs w:val="11"/>
                <w:color w:val="auto"/>
              </w:rPr>
              <w:t>(3)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tcPr>
          <w:p>
            <w:pPr>
              <w:spacing w:after="0"/>
              <w:rPr>
                <w:sz w:val="20"/>
                <w:szCs w:val="20"/>
                <w:color w:val="auto"/>
              </w:rPr>
            </w:pPr>
            <w:r>
              <w:rPr>
                <w:rFonts w:ascii="Arial" w:cs="Arial" w:eastAsia="Arial" w:hAnsi="Arial"/>
                <w:sz w:val="18"/>
                <w:szCs w:val="18"/>
                <w:color w:val="auto"/>
              </w:rPr>
              <w:t>Gary R. Petersen</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34,450</w:t>
            </w:r>
            <w:r>
              <w:rPr>
                <w:rFonts w:ascii="Arial" w:cs="Arial" w:eastAsia="Arial" w:hAnsi="Arial"/>
                <w:sz w:val="11"/>
                <w:szCs w:val="11"/>
                <w:color w:val="auto"/>
              </w:rPr>
              <w:t>(3)</w:t>
            </w:r>
          </w:p>
        </w:tc>
        <w:tc>
          <w:tcPr>
            <w:tcW w:w="152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1,426,933</w:t>
            </w:r>
            <w:r>
              <w:rPr>
                <w:rFonts w:ascii="Arial" w:cs="Arial" w:eastAsia="Arial" w:hAnsi="Arial"/>
                <w:sz w:val="11"/>
                <w:szCs w:val="11"/>
                <w:color w:val="auto"/>
              </w:rPr>
              <w:t>(3)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tcPr>
          <w:p>
            <w:pPr>
              <w:spacing w:after="0"/>
              <w:rPr>
                <w:sz w:val="20"/>
                <w:szCs w:val="20"/>
                <w:color w:val="auto"/>
              </w:rPr>
            </w:pPr>
            <w:r>
              <w:rPr>
                <w:rFonts w:ascii="Arial" w:cs="Arial" w:eastAsia="Arial" w:hAnsi="Arial"/>
                <w:sz w:val="18"/>
                <w:szCs w:val="18"/>
                <w:color w:val="auto"/>
              </w:rPr>
              <w:t>Robert V. Sinnott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341,393</w:t>
            </w:r>
            <w:r>
              <w:rPr>
                <w:rFonts w:ascii="Arial" w:cs="Arial" w:eastAsia="Arial" w:hAnsi="Arial"/>
                <w:sz w:val="11"/>
                <w:szCs w:val="11"/>
                <w:color w:val="auto"/>
              </w:rPr>
              <w:t>(3)(4)</w:t>
            </w:r>
          </w:p>
        </w:tc>
        <w:tc>
          <w:tcPr>
            <w:tcW w:w="152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 Taft Symonds</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94,050</w:t>
            </w:r>
            <w:r>
              <w:rPr>
                <w:rFonts w:ascii="Arial" w:cs="Arial" w:eastAsia="Arial" w:hAnsi="Arial"/>
                <w:sz w:val="11"/>
                <w:szCs w:val="11"/>
                <w:color w:val="auto"/>
              </w:rPr>
              <w:t>(3)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tcPr>
          <w:p>
            <w:pPr>
              <w:spacing w:after="0"/>
              <w:rPr>
                <w:sz w:val="20"/>
                <w:szCs w:val="20"/>
                <w:color w:val="auto"/>
              </w:rPr>
            </w:pPr>
            <w:r>
              <w:rPr>
                <w:rFonts w:ascii="Arial" w:cs="Arial" w:eastAsia="Arial" w:hAnsi="Arial"/>
                <w:sz w:val="18"/>
                <w:szCs w:val="18"/>
                <w:color w:val="auto"/>
              </w:rPr>
              <w:t>Christopher M. Temple</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21,250</w:t>
            </w:r>
            <w:r>
              <w:rPr>
                <w:rFonts w:ascii="Arial" w:cs="Arial" w:eastAsia="Arial" w:hAnsi="Arial"/>
                <w:sz w:val="11"/>
                <w:szCs w:val="11"/>
                <w:color w:val="auto"/>
              </w:rPr>
              <w:t>(3)</w:t>
            </w:r>
          </w:p>
        </w:tc>
        <w:tc>
          <w:tcPr>
            <w:tcW w:w="152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4,836,772</w:t>
            </w:r>
            <w:r>
              <w:rPr>
                <w:rFonts w:ascii="Arial" w:cs="Arial" w:eastAsia="Arial" w:hAnsi="Arial"/>
                <w:sz w:val="11"/>
                <w:szCs w:val="11"/>
                <w:color w:val="auto"/>
              </w:rPr>
              <w:t>(3)(5)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26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0" w:type="dxa"/>
            <w:vAlign w:val="bottom"/>
            <w:gridSpan w:val="3"/>
          </w:tcPr>
          <w:p>
            <w:pPr>
              <w:ind w:left="520"/>
              <w:spacing w:after="0"/>
              <w:rPr>
                <w:sz w:val="20"/>
                <w:szCs w:val="20"/>
                <w:color w:val="auto"/>
              </w:rPr>
            </w:pPr>
            <w:r>
              <w:rPr>
                <w:rFonts w:ascii="Arial" w:cs="Arial" w:eastAsia="Arial" w:hAnsi="Arial"/>
                <w:sz w:val="18"/>
                <w:szCs w:val="18"/>
                <w:color w:val="auto"/>
              </w:rPr>
              <w:t>Less than 1%.</w:t>
            </w: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94" w:name="page95"/>
    <w:bookmarkEnd w:id="94"/>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This information has been derived from a Schedule 13G filed with the SEC on February 10, 2015.</w:t>
      </w:r>
    </w:p>
    <w:p>
      <w:pPr>
        <w:spacing w:after="0" w:line="225" w:lineRule="exact"/>
        <w:rPr>
          <w:sz w:val="20"/>
          <w:szCs w:val="20"/>
          <w:color w:val="auto"/>
        </w:rPr>
      </w:pPr>
    </w:p>
    <w:p>
      <w:pPr>
        <w:ind w:left="20" w:hanging="11"/>
        <w:spacing w:after="0" w:line="255" w:lineRule="auto"/>
        <w:rPr>
          <w:sz w:val="20"/>
          <w:szCs w:val="20"/>
          <w:color w:val="auto"/>
        </w:rPr>
      </w:pPr>
      <w:r>
        <w:rPr>
          <w:rFonts w:ascii="Arial" w:cs="Arial" w:eastAsia="Arial" w:hAnsi="Arial"/>
          <w:sz w:val="18"/>
          <w:szCs w:val="18"/>
          <w:color w:val="auto"/>
        </w:rPr>
        <w:t>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12,290,598 common units. Mr. Kayne may be deemed to beneficially own such units. In addition, Mr. Kayne directly owns or has sole voting and dispositive power over 599,914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spacing w:after="0" w:line="189" w:lineRule="exact"/>
        <w:rPr>
          <w:sz w:val="20"/>
          <w:szCs w:val="20"/>
          <w:color w:val="auto"/>
        </w:rPr>
      </w:pPr>
    </w:p>
    <w:p>
      <w:pPr>
        <w:ind w:left="20" w:right="220" w:hanging="11"/>
        <w:spacing w:after="0" w:line="308" w:lineRule="auto"/>
        <w:rPr>
          <w:sz w:val="20"/>
          <w:szCs w:val="20"/>
          <w:color w:val="auto"/>
        </w:rPr>
      </w:pPr>
      <w:r>
        <w:rPr>
          <w:rFonts w:ascii="Arial" w:cs="Arial" w:eastAsia="Arial" w:hAnsi="Arial"/>
          <w:sz w:val="17"/>
          <w:szCs w:val="17"/>
          <w:color w:val="auto"/>
        </w:rPr>
        <w:t>Does not include unvested phantom units granted under our Long-Term Incentive Plans, none of which will vest within 60 days of the date hereof. See Item 11. “Executive Compensation—Outstanding Equity Awards at Fiscal Year-End” and “— Director Compensation.”</w:t>
      </w:r>
    </w:p>
    <w:p>
      <w:pPr>
        <w:spacing w:after="0" w:line="147" w:lineRule="exact"/>
        <w:rPr>
          <w:sz w:val="20"/>
          <w:szCs w:val="20"/>
          <w:color w:val="auto"/>
        </w:rPr>
      </w:pPr>
    </w:p>
    <w:p>
      <w:pPr>
        <w:ind w:left="20" w:right="20" w:hanging="11"/>
        <w:spacing w:after="0" w:line="255" w:lineRule="auto"/>
        <w:rPr>
          <w:sz w:val="20"/>
          <w:szCs w:val="20"/>
          <w:color w:val="auto"/>
        </w:rPr>
      </w:pPr>
      <w:r>
        <w:rPr>
          <w:rFonts w:ascii="Arial" w:cs="Arial" w:eastAsia="Arial" w:hAnsi="Arial"/>
          <w:sz w:val="18"/>
          <w:szCs w:val="18"/>
          <w:color w:val="auto"/>
        </w:rPr>
        <w:t>Pursuant to the GP LLC Agreement, Mr. Sinnott is one of our directors by virtue of his designation as a member of the board of directors of GP Holdings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w:t>
      </w:r>
    </w:p>
    <w:p>
      <w:pPr>
        <w:spacing w:after="0" w:line="193" w:lineRule="exact"/>
        <w:rPr>
          <w:sz w:val="20"/>
          <w:szCs w:val="20"/>
          <w:color w:val="auto"/>
        </w:rPr>
      </w:pPr>
    </w:p>
    <w:p>
      <w:pPr>
        <w:ind w:left="20" w:right="260" w:hanging="11"/>
        <w:spacing w:after="0" w:line="277" w:lineRule="auto"/>
        <w:rPr>
          <w:sz w:val="20"/>
          <w:szCs w:val="20"/>
          <w:color w:val="auto"/>
        </w:rPr>
      </w:pPr>
      <w:r>
        <w:rPr>
          <w:rFonts w:ascii="Arial" w:cs="Arial" w:eastAsia="Arial" w:hAnsi="Arial"/>
          <w:sz w:val="18"/>
          <w:szCs w:val="18"/>
          <w:color w:val="auto"/>
        </w:rPr>
        <w:t>As of February 17, 2015, no units were pledged by directors or Named Executive Officers. Certain of the directors and Named Executive Officers hold units in marginable broker’s accounts, but none of the units were margined as of February 17, 2015.</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AAP owns all of our incentive distribution rights and, through its 100% member interest in PAA GP LLC, our 2% general partner interest. GP LLC owns a non-economic general partner interest in AAP. Thus, GP LLC has responsibility for conducting our business and managing our operations and the Class A limited partners of AAP, together with the holders of the AAP Management Units, collectively own 100% of the economic interests in AAP. The following table sets forth the percentage ownership of each of the Class A limited partners of AAP and the resulting economic interest of each such limited partner and the holders of the AAP Management Units as a group, in each case as of February 17,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Percentage</w:t>
            </w: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Ownership of</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Class A LP</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Plains</w:t>
            </w:r>
          </w:p>
        </w:tc>
        <w:tc>
          <w:tcPr>
            <w:tcW w:w="0" w:type="dxa"/>
            <w:vAlign w:val="bottom"/>
          </w:tcPr>
          <w:p>
            <w:pPr>
              <w:spacing w:after="0"/>
              <w:rPr>
                <w:sz w:val="1"/>
                <w:szCs w:val="1"/>
                <w:color w:val="auto"/>
              </w:rPr>
            </w:pPr>
          </w:p>
        </w:tc>
      </w:tr>
      <w:tr>
        <w:trPr>
          <w:trHeight w:val="171"/>
        </w:trPr>
        <w:tc>
          <w:tcPr>
            <w:tcW w:w="824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 xml:space="preserve">AAP, L.P.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195"/>
        </w:trPr>
        <w:tc>
          <w:tcPr>
            <w:tcW w:w="7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Plains GP Holdings, L.P.</w:t>
            </w: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333 Clay Street, Suite 1600</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02"/>
        </w:trPr>
        <w:tc>
          <w:tcPr>
            <w:tcW w:w="8240" w:type="dxa"/>
            <w:vAlign w:val="bottom"/>
            <w:gridSpan w:val="2"/>
          </w:tcPr>
          <w:p>
            <w:pPr>
              <w:spacing w:after="0" w:line="201" w:lineRule="exact"/>
              <w:rPr>
                <w:sz w:val="20"/>
                <w:szCs w:val="20"/>
                <w:color w:val="auto"/>
              </w:rPr>
            </w:pPr>
            <w:r>
              <w:rPr>
                <w:rFonts w:ascii="Arial" w:cs="Arial" w:eastAsia="Arial" w:hAnsi="Arial"/>
                <w:sz w:val="18"/>
                <w:szCs w:val="18"/>
                <w:color w:val="auto"/>
              </w:rPr>
              <w:t>EMG Investment, LLC</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811 Main, Suite 4200</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20.05%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02"/>
        </w:trPr>
        <w:tc>
          <w:tcPr>
            <w:tcW w:w="8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KAFU Holdings, L.P. and Affiliates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1800 Avenue of the Stars, 3rd Floor</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 Angeles, CA 90067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KA First Reserve XII, LLC</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2"/>
        </w:trPr>
        <w:tc>
          <w:tcPr>
            <w:tcW w:w="8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Oxy Holding Company (Pipeline), Inc.</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 Greenway Plaza</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77046</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PAA Management, L.P. </w:t>
            </w:r>
            <w:r>
              <w:rPr>
                <w:rFonts w:ascii="Arial" w:cs="Arial" w:eastAsia="Arial" w:hAnsi="Arial"/>
                <w:sz w:val="23"/>
                <w:szCs w:val="23"/>
                <w:color w:val="auto"/>
                <w:vertAlign w:val="superscript"/>
              </w:rPr>
              <w:t>(2)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Strome PAA, L.P. and Affiliate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Windy, L.L.C.</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Lynx Holdings I, LLC</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Various Individual Investors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AAP Management Unitholders</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180" w:hanging="11"/>
        <w:spacing w:after="0" w:line="279" w:lineRule="auto"/>
        <w:rPr>
          <w:sz w:val="20"/>
          <w:szCs w:val="20"/>
          <w:color w:val="auto"/>
        </w:rPr>
      </w:pPr>
      <w:r>
        <w:rPr>
          <w:rFonts w:ascii="Arial" w:cs="Arial" w:eastAsia="Arial" w:hAnsi="Arial"/>
          <w:sz w:val="17"/>
          <w:szCs w:val="17"/>
          <w:color w:val="auto"/>
        </w:rPr>
        <w:t>AAP owns a 100% member interest in PAA GP LLC, which owns our 2% general partner interest. AAP has pledged its member interest, as well as its interest in our incentive distribution rights, as security for its obligations under the Second Amended and Restated Credit Agreement dated as of September 26, 2013 among AAP, Citibank, N.A. and the lenders party thereto (the “Plains AAP Credit Agreement”). A default by AAP under the Plains AAP Credit Agreement could result in a change in control of our general partner.</w:t>
      </w:r>
    </w:p>
    <w:p>
      <w:pPr>
        <w:spacing w:after="0" w:line="171" w:lineRule="exact"/>
        <w:rPr>
          <w:sz w:val="20"/>
          <w:szCs w:val="20"/>
          <w:color w:val="auto"/>
        </w:rPr>
      </w:pPr>
    </w:p>
    <w:p>
      <w:pPr>
        <w:ind w:right="140" w:hanging="11"/>
        <w:spacing w:after="0" w:line="257" w:lineRule="auto"/>
        <w:rPr>
          <w:sz w:val="20"/>
          <w:szCs w:val="20"/>
          <w:color w:val="auto"/>
        </w:rPr>
      </w:pPr>
      <w:r>
        <w:rPr>
          <w:rFonts w:ascii="Arial" w:cs="Arial" w:eastAsia="Arial" w:hAnsi="Arial"/>
          <w:sz w:val="18"/>
          <w:szCs w:val="18"/>
          <w:color w:val="auto"/>
        </w:rPr>
        <w:t>PAA Management, L.P. is owned entirely by certain current and former members of senior management, including Messrs. Armstrong (approximately 25%), Pefanis (approximately 14%), Duckett (approximately 6%), vonBerg (approximately 4%) and Swanson (approximately 5%). Other than Mr. Armstrong, none of our directors own any interest in PAA Management, L.P. Executive officers as a group own approximately 65% of PAA Management, L.P. Mr. Armstrong disclaims any beneficial ownership of the general partner interest owned by AAP, except to the extent of his ownership interest in PAA Management, L.P.</w:t>
      </w:r>
    </w:p>
    <w:p>
      <w:pPr>
        <w:spacing w:after="0" w:line="188" w:lineRule="exact"/>
        <w:rPr>
          <w:sz w:val="20"/>
          <w:szCs w:val="20"/>
          <w:color w:val="auto"/>
        </w:rPr>
      </w:pPr>
    </w:p>
    <w:p>
      <w:pPr>
        <w:ind w:right="240" w:hanging="11"/>
        <w:spacing w:after="0" w:line="291" w:lineRule="auto"/>
        <w:rPr>
          <w:sz w:val="20"/>
          <w:szCs w:val="20"/>
          <w:color w:val="auto"/>
        </w:rPr>
      </w:pPr>
      <w:r>
        <w:rPr>
          <w:rFonts w:ascii="Arial" w:cs="Arial" w:eastAsia="Arial" w:hAnsi="Arial"/>
          <w:sz w:val="16"/>
          <w:szCs w:val="16"/>
          <w:color w:val="auto"/>
        </w:rPr>
        <w:t>Represents profits interest in AAP in the form of AAP Management Units owned by certain members of management. Named Executive Officers and executive officers as a group own the following AAP Management Units: Mr. Armstrong — 10,425,791; Mr. Pefanis — 7,819,344;</w:t>
      </w:r>
    </w:p>
    <w:p>
      <w:pPr>
        <w:ind w:right="320"/>
        <w:spacing w:after="0" w:line="261" w:lineRule="auto"/>
        <w:rPr>
          <w:sz w:val="20"/>
          <w:szCs w:val="20"/>
          <w:color w:val="auto"/>
        </w:rPr>
      </w:pPr>
      <w:r>
        <w:rPr>
          <w:rFonts w:ascii="Arial" w:cs="Arial" w:eastAsia="Arial" w:hAnsi="Arial"/>
          <w:sz w:val="18"/>
          <w:szCs w:val="18"/>
          <w:color w:val="auto"/>
        </w:rPr>
        <w:t>Mr. Swanson — 2,606,448; Mr. Duckett — 4,430,961; Mr. vonBerg — 3,649,027, and executive officers as a group — 37,793,493. None of our directors own any AAP Management Units.</w:t>
      </w:r>
    </w:p>
    <w:p>
      <w:pPr>
        <w:sectPr>
          <w:pgSz w:w="11900" w:h="16838" w:orient="portrait"/>
          <w:cols w:equalWidth="0" w:num="2">
            <w:col w:w="140" w:space="520"/>
            <w:col w:w="10760"/>
          </w:cols>
          <w:pgMar w:left="240" w:top="125" w:right="239"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following table sets forth certain information with respect to our equity compensation plans as of December 31, 2014. For a description of these plans, see Item 13. “Certain Relationships and Related Transactions, and Director Independence—Equity-Based Long-Term Incentive Plans.”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180" w:type="dxa"/>
            <w:vAlign w:val="bottom"/>
          </w:tcPr>
          <w:p>
            <w:pPr>
              <w:jc w:val="center"/>
              <w:ind w:left="2328"/>
              <w:spacing w:after="0"/>
              <w:rPr>
                <w:sz w:val="20"/>
                <w:szCs w:val="20"/>
                <w:color w:val="auto"/>
              </w:rPr>
            </w:pPr>
            <w:r>
              <w:rPr>
                <w:rFonts w:ascii="Arial" w:cs="Arial" w:eastAsia="Arial" w:hAnsi="Arial"/>
                <w:sz w:val="14"/>
                <w:szCs w:val="14"/>
                <w:b w:val="1"/>
                <w:bCs w:val="1"/>
                <w:color w:val="auto"/>
                <w:w w:val="93"/>
              </w:rPr>
              <w:t>Number of Units</w:t>
            </w:r>
          </w:p>
        </w:tc>
        <w:tc>
          <w:tcPr>
            <w:tcW w:w="1860" w:type="dxa"/>
            <w:vAlign w:val="bottom"/>
          </w:tcPr>
          <w:p>
            <w:pPr>
              <w:spacing w:after="0"/>
              <w:rPr>
                <w:sz w:val="14"/>
                <w:szCs w:val="14"/>
                <w:color w:val="auto"/>
              </w:rPr>
            </w:pPr>
          </w:p>
        </w:tc>
        <w:tc>
          <w:tcPr>
            <w:tcW w:w="14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3"/>
              </w:rPr>
              <w:t>Number of Units</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180" w:type="dxa"/>
            <w:vAlign w:val="bottom"/>
          </w:tcPr>
          <w:p>
            <w:pPr>
              <w:jc w:val="center"/>
              <w:ind w:left="2348"/>
              <w:spacing w:after="0" w:line="149" w:lineRule="exact"/>
              <w:rPr>
                <w:sz w:val="20"/>
                <w:szCs w:val="20"/>
                <w:color w:val="auto"/>
              </w:rPr>
            </w:pPr>
            <w:r>
              <w:rPr>
                <w:rFonts w:ascii="Arial" w:cs="Arial" w:eastAsia="Arial" w:hAnsi="Arial"/>
                <w:sz w:val="14"/>
                <w:szCs w:val="14"/>
                <w:b w:val="1"/>
                <w:bCs w:val="1"/>
                <w:color w:val="auto"/>
                <w:w w:val="90"/>
              </w:rPr>
              <w:t>to</w:t>
            </w:r>
          </w:p>
        </w:tc>
        <w:tc>
          <w:tcPr>
            <w:tcW w:w="18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180" w:type="dxa"/>
            <w:vAlign w:val="bottom"/>
          </w:tcPr>
          <w:p>
            <w:pPr>
              <w:jc w:val="center"/>
              <w:ind w:left="2348"/>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4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18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0"/>
              </w:rPr>
              <w:t>Exercise/Vesting</w:t>
            </w:r>
          </w:p>
        </w:tc>
        <w:tc>
          <w:tcPr>
            <w:tcW w:w="1860" w:type="dxa"/>
            <w:vAlign w:val="bottom"/>
            <w:vMerge w:val="continue"/>
          </w:tcPr>
          <w:p>
            <w:pPr>
              <w:spacing w:after="0"/>
              <w:rPr>
                <w:sz w:val="12"/>
                <w:szCs w:val="12"/>
                <w:color w:val="auto"/>
              </w:rPr>
            </w:pPr>
          </w:p>
        </w:tc>
        <w:tc>
          <w:tcPr>
            <w:tcW w:w="14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180" w:type="dxa"/>
            <w:vAlign w:val="bottom"/>
          </w:tcPr>
          <w:p>
            <w:pPr>
              <w:jc w:val="center"/>
              <w:ind w:left="2348"/>
              <w:spacing w:after="0" w:line="149" w:lineRule="exact"/>
              <w:rPr>
                <w:sz w:val="20"/>
                <w:szCs w:val="20"/>
                <w:color w:val="auto"/>
              </w:rPr>
            </w:pPr>
            <w:r>
              <w:rPr>
                <w:rFonts w:ascii="Arial" w:cs="Arial" w:eastAsia="Arial" w:hAnsi="Arial"/>
                <w:sz w:val="14"/>
                <w:szCs w:val="14"/>
                <w:b w:val="1"/>
                <w:bCs w:val="1"/>
                <w:color w:val="auto"/>
                <w:w w:val="90"/>
              </w:rPr>
              <w:t>of</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4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18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180" w:type="dxa"/>
            <w:vAlign w:val="bottom"/>
          </w:tcPr>
          <w:p>
            <w:pPr>
              <w:jc w:val="center"/>
              <w:ind w:left="2348"/>
              <w:spacing w:after="0" w:line="149" w:lineRule="exact"/>
              <w:rPr>
                <w:sz w:val="20"/>
                <w:szCs w:val="20"/>
                <w:color w:val="auto"/>
              </w:rPr>
            </w:pPr>
            <w:r>
              <w:rPr>
                <w:rFonts w:ascii="Arial" w:cs="Arial" w:eastAsia="Arial" w:hAnsi="Arial"/>
                <w:sz w:val="14"/>
                <w:szCs w:val="14"/>
                <w:b w:val="1"/>
                <w:bCs w:val="1"/>
                <w:color w:val="auto"/>
                <w:w w:val="91"/>
              </w:rPr>
              <w:t>Options,</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4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Plan</w:t>
            </w:r>
          </w:p>
        </w:tc>
        <w:tc>
          <w:tcPr>
            <w:tcW w:w="418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3360" w:type="dxa"/>
            <w:vAlign w:val="bottom"/>
            <w:vMerge w:val="continue"/>
          </w:tcPr>
          <w:p>
            <w:pPr>
              <w:spacing w:after="0"/>
              <w:rPr>
                <w:sz w:val="12"/>
                <w:szCs w:val="12"/>
                <w:color w:val="auto"/>
              </w:rPr>
            </w:pPr>
          </w:p>
        </w:tc>
        <w:tc>
          <w:tcPr>
            <w:tcW w:w="4180" w:type="dxa"/>
            <w:vAlign w:val="bottom"/>
          </w:tcPr>
          <w:p>
            <w:pPr>
              <w:jc w:val="center"/>
              <w:ind w:left="2348"/>
              <w:spacing w:after="0" w:line="149" w:lineRule="exact"/>
              <w:rPr>
                <w:sz w:val="20"/>
                <w:szCs w:val="20"/>
                <w:color w:val="auto"/>
              </w:rPr>
            </w:pPr>
            <w:r>
              <w:rPr>
                <w:rFonts w:ascii="Arial" w:cs="Arial" w:eastAsia="Arial" w:hAnsi="Arial"/>
                <w:sz w:val="14"/>
                <w:szCs w:val="14"/>
                <w:b w:val="1"/>
                <w:bCs w:val="1"/>
                <w:color w:val="auto"/>
                <w:w w:val="91"/>
              </w:rPr>
              <w:t>Rights</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4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4180" w:type="dxa"/>
            <w:vAlign w:val="bottom"/>
          </w:tcPr>
          <w:p>
            <w:pPr>
              <w:jc w:val="center"/>
              <w:ind w:left="2328"/>
              <w:spacing w:after="0"/>
              <w:rPr>
                <w:sz w:val="20"/>
                <w:szCs w:val="20"/>
                <w:color w:val="auto"/>
              </w:rPr>
            </w:pPr>
            <w:r>
              <w:rPr>
                <w:rFonts w:ascii="Arial" w:cs="Arial" w:eastAsia="Arial" w:hAnsi="Arial"/>
                <w:sz w:val="14"/>
                <w:szCs w:val="14"/>
                <w:b w:val="1"/>
                <w:bCs w:val="1"/>
                <w:color w:val="auto"/>
              </w:rPr>
              <w:t>(a)</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40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 unitholders:</w:t>
            </w:r>
          </w:p>
        </w:tc>
        <w:tc>
          <w:tcPr>
            <w:tcW w:w="2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2013 Long Term Incentive Plan</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3,299,354</w:t>
            </w:r>
            <w:r>
              <w:rPr>
                <w:rFonts w:ascii="Arial" w:cs="Arial" w:eastAsia="Arial" w:hAnsi="Arial"/>
                <w:sz w:val="11"/>
                <w:szCs w:val="11"/>
                <w:color w:val="auto"/>
              </w:rPr>
              <w:t>(1)</w:t>
            </w:r>
          </w:p>
        </w:tc>
        <w:tc>
          <w:tcPr>
            <w:tcW w:w="18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9,294,381</w:t>
            </w: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 unitholders:</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PNG Successor LTIP</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224,690</w:t>
            </w:r>
            <w:r>
              <w:rPr>
                <w:rFonts w:ascii="Arial" w:cs="Arial" w:eastAsia="Arial" w:hAnsi="Arial"/>
                <w:sz w:val="11"/>
                <w:szCs w:val="11"/>
                <w:color w:val="auto"/>
              </w:rPr>
              <w:t>(4)</w:t>
            </w:r>
          </w:p>
        </w:tc>
        <w:tc>
          <w:tcPr>
            <w:tcW w:w="18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977,461</w:t>
            </w:r>
            <w:r>
              <w:rPr>
                <w:rFonts w:ascii="Arial" w:cs="Arial" w:eastAsia="Arial" w:hAnsi="Arial"/>
                <w:sz w:val="11"/>
                <w:szCs w:val="1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44" w:lineRule="auto"/>
        <w:tabs>
          <w:tab w:leader="none" w:pos="648" w:val="left"/>
        </w:tabs>
        <w:numPr>
          <w:ilvl w:val="0"/>
          <w:numId w:val="92"/>
        </w:numPr>
        <w:rPr>
          <w:rFonts w:ascii="Arial" w:cs="Arial" w:eastAsia="Arial" w:hAnsi="Arial"/>
          <w:sz w:val="23"/>
          <w:szCs w:val="23"/>
          <w:color w:val="auto"/>
          <w:vertAlign w:val="superscript"/>
        </w:rPr>
      </w:pPr>
      <w:r>
        <w:rPr>
          <w:rFonts w:ascii="Arial" w:cs="Arial" w:eastAsia="Arial" w:hAnsi="Arial"/>
          <w:sz w:val="18"/>
          <w:szCs w:val="18"/>
          <w:color w:val="auto"/>
        </w:rPr>
        <w:t>The 2013 Long-Term Incentive Plan (the “2013 Plan”), which was approved by our unitholders in November 2013, consolidated three prior plans (the Plains All American GP LLC 1998 Long-Term Incentive Plan (the “1998 Plan”), the Plains All American GP LLC 2005 Long-Term Incentive Plan (the “2005 Plan”), and the PPX Successor Long-Term Incentive Plan (the “PPX Successor Plan”)). The 2013 Plan contemplates the issuance or delivery of up to 13,074,686 common units to satisfy awards under the plan, which amount is net of 4,774,932 common units previously issued under the prior plans.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ectPr>
          <w:pgSz w:w="11900" w:h="16838" w:orient="portrait"/>
          <w:cols w:equalWidth="0" w:num="1">
            <w:col w:w="11420"/>
          </w:cols>
          <w:pgMar w:left="240" w:top="34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Phantom unit awards under the 2013 Plan and PNG Successor Plan vest without payment by recipients.</w:t>
      </w:r>
    </w:p>
    <w:p>
      <w:pPr>
        <w:spacing w:after="0" w:line="225" w:lineRule="exact"/>
        <w:rPr>
          <w:sz w:val="20"/>
          <w:szCs w:val="20"/>
          <w:color w:val="auto"/>
        </w:rPr>
      </w:pPr>
    </w:p>
    <w:p>
      <w:pPr>
        <w:ind w:left="20" w:right="260" w:hanging="11"/>
        <w:spacing w:after="0" w:line="342" w:lineRule="auto"/>
        <w:rPr>
          <w:sz w:val="20"/>
          <w:szCs w:val="20"/>
          <w:color w:val="auto"/>
        </w:rPr>
      </w:pPr>
      <w:r>
        <w:rPr>
          <w:rFonts w:ascii="Arial" w:cs="Arial" w:eastAsia="Arial" w:hAnsi="Arial"/>
          <w:sz w:val="16"/>
          <w:szCs w:val="16"/>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124" w:lineRule="exact"/>
        <w:rPr>
          <w:sz w:val="20"/>
          <w:szCs w:val="20"/>
          <w:color w:val="auto"/>
        </w:rPr>
      </w:pPr>
    </w:p>
    <w:p>
      <w:pPr>
        <w:sectPr>
          <w:pgSz w:w="11900" w:h="16838" w:orient="portrait"/>
          <w:cols w:equalWidth="0" w:num="2">
            <w:col w:w="140" w:space="500"/>
            <w:col w:w="10780"/>
          </w:cols>
          <w:pgMar w:left="240" w:top="341" w:right="239" w:bottom="0" w:gutter="0" w:footer="0" w:header="0"/>
          <w:type w:val="continuous"/>
        </w:sectPr>
      </w:pPr>
    </w:p>
    <w:p>
      <w:pPr>
        <w:ind w:left="660" w:right="20" w:hanging="598"/>
        <w:spacing w:after="0" w:line="261" w:lineRule="auto"/>
        <w:tabs>
          <w:tab w:leader="none" w:pos="648" w:val="left"/>
        </w:tabs>
        <w:numPr>
          <w:ilvl w:val="0"/>
          <w:numId w:val="93"/>
        </w:numPr>
        <w:rPr>
          <w:rFonts w:ascii="Arial" w:cs="Arial" w:eastAsia="Arial" w:hAnsi="Arial"/>
          <w:sz w:val="22"/>
          <w:szCs w:val="22"/>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discussion of director independence, see Item 10. “Directors and Executive Officers of Our General Partner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AAP Management Units). Total costs reimbursed by us to our general partner for the year ended December 31, 2014 were approximately $598 million.</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general partner owns the 2% general partner interest and all of the incentive distribution rights. In addition to distributions on its 2% general partner interest, our general partner is entitled to receive incentive distributions if the amount we distribute with respect to any quarter exceeds levels specified in our partnership agreement. Under the quarterly distribution provisions, generally our general partner is entitled, without duplication and except for the agreed upon adjustments discussed below, to 2% of amounts we distribute up to $0.2250 ($0.90 annualized) per unit, 15% of amounts we distribute in excess of $0.2250 ($0.90 annualized) per unit, 25% of the amounts we distribute in excess of $0.2475 ($0.99 annualized) per unit and 50% of amounts we distribute in excess of $0.3375 ($1.35 annualized) per unit. Our general partner’s incentive distributions were reduced by approximately $11 million, $15 million and $23 million in 2012, 2013 and 2014, respectively. These reductions were agreed to in connection with the BP NGL Acquisition and the PNG Merger. In addition, our general partner has agreed to reduce the amount of its incentive distributions by $5.5 million per quarter during 2015, $5 million per quarter in 2016 and $3.75 million per quarter thereafter.</w:t>
      </w:r>
    </w:p>
    <w:p>
      <w:pPr>
        <w:sectPr>
          <w:pgSz w:w="11900" w:h="16838" w:orient="portrait"/>
          <w:cols w:equalWidth="0" w:num="1">
            <w:col w:w="11420"/>
          </w:cols>
          <w:pgMar w:left="240" w:top="341" w:right="239" w:bottom="0" w:gutter="0" w:footer="0" w:header="0"/>
          <w:type w:val="continuous"/>
        </w:sectPr>
      </w:pPr>
    </w:p>
    <w:bookmarkStart w:id="96" w:name="page97"/>
    <w:bookmarkEnd w:id="96"/>
    <w:p>
      <w:pPr>
        <w:ind w:right="220" w:firstLine="648"/>
        <w:spacing w:after="0" w:line="277" w:lineRule="auto"/>
        <w:rPr>
          <w:sz w:val="20"/>
          <w:szCs w:val="20"/>
          <w:color w:val="auto"/>
        </w:rPr>
      </w:pPr>
      <w:r>
        <w:rPr>
          <w:rFonts w:ascii="Arial" w:cs="Arial" w:eastAsia="Arial" w:hAnsi="Arial"/>
          <w:sz w:val="18"/>
          <w:szCs w:val="18"/>
          <w:color w:val="auto"/>
        </w:rPr>
        <w:t>The following table illustrates the allocation of aggregate distributions at different per-unit levels, excluding the effect of the incentive distribution reductions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Annual LP Distribution Per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Distribution</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Distribution</w:t>
            </w:r>
          </w:p>
        </w:tc>
        <w:tc>
          <w:tcPr>
            <w:tcW w:w="280" w:type="dxa"/>
            <w:vAlign w:val="bottom"/>
          </w:tcPr>
          <w:p>
            <w:pPr>
              <w:spacing w:after="0"/>
              <w:rPr>
                <w:sz w:val="14"/>
                <w:szCs w:val="14"/>
                <w:color w:val="auto"/>
              </w:rPr>
            </w:pPr>
          </w:p>
        </w:tc>
        <w:tc>
          <w:tcPr>
            <w:tcW w:w="188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rPr>
              <w:t>Total</w:t>
            </w:r>
          </w:p>
        </w:tc>
        <w:tc>
          <w:tcPr>
            <w:tcW w:w="2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GP %</w:t>
            </w:r>
          </w:p>
        </w:tc>
        <w:tc>
          <w:tcPr>
            <w:tcW w:w="0" w:type="dxa"/>
            <w:vAlign w:val="bottom"/>
          </w:tcPr>
          <w:p>
            <w:pPr>
              <w:spacing w:after="0"/>
              <w:rPr>
                <w:sz w:val="1"/>
                <w:szCs w:val="1"/>
                <w:color w:val="auto"/>
              </w:rPr>
            </w:pPr>
          </w:p>
        </w:tc>
      </w:tr>
      <w:tr>
        <w:trPr>
          <w:trHeight w:val="149"/>
        </w:trPr>
        <w:tc>
          <w:tcPr>
            <w:tcW w:w="22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to LP</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Unit</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8"/>
                <w:szCs w:val="8"/>
                <w:b w:val="1"/>
                <w:bCs w:val="1"/>
                <w:color w:val="auto"/>
                <w:w w:val="93"/>
              </w:rPr>
              <w:t>(1)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to GP</w:t>
            </w:r>
            <w:r>
              <w:rPr>
                <w:rFonts w:ascii="Arial" w:cs="Arial" w:eastAsia="Arial" w:hAnsi="Arial"/>
                <w:sz w:val="8"/>
                <w:szCs w:val="8"/>
                <w:b w:val="1"/>
                <w:bCs w:val="1"/>
                <w:color w:val="auto"/>
              </w:rPr>
              <w:t>(1)(2)</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Distribution</w:t>
            </w:r>
            <w:r>
              <w:rPr>
                <w:rFonts w:ascii="Arial" w:cs="Arial" w:eastAsia="Arial" w:hAnsi="Arial"/>
                <w:sz w:val="8"/>
                <w:szCs w:val="8"/>
                <w:b w:val="1"/>
                <w:bCs w:val="1"/>
                <w:color w:val="auto"/>
              </w:rPr>
              <w:t>(1)(2)</w:t>
            </w:r>
          </w:p>
        </w:tc>
        <w:tc>
          <w:tcPr>
            <w:tcW w:w="28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jc w:val="right"/>
              <w:ind w:right="201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344,388</w:t>
            </w:r>
          </w:p>
        </w:tc>
        <w:tc>
          <w:tcPr>
            <w:tcW w:w="2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200" w:type="dxa"/>
            <w:vAlign w:val="bottom"/>
          </w:tcPr>
          <w:p>
            <w:pPr>
              <w:jc w:val="right"/>
              <w:ind w:right="201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0.99</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371,250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12,844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384,094</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right"/>
              <w:ind w:right="201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1.35</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506,250</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564,094</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200" w:type="dxa"/>
            <w:vAlign w:val="bottom"/>
          </w:tcPr>
          <w:p>
            <w:pPr>
              <w:jc w:val="right"/>
              <w:ind w:right="201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2.65</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993,750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545,344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1,539,094</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right"/>
              <w:ind w:right="201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2.85</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1,068,750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620,344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1,689,094</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200" w:type="dxa"/>
            <w:vAlign w:val="bottom"/>
          </w:tcPr>
          <w:p>
            <w:pPr>
              <w:jc w:val="right"/>
              <w:ind w:right="201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3.00</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1,125,000</w:t>
            </w:r>
          </w:p>
        </w:tc>
        <w:tc>
          <w:tcPr>
            <w:tcW w:w="140" w:type="dxa"/>
            <w:vAlign w:val="bottom"/>
          </w:tcPr>
          <w:p>
            <w:pPr>
              <w:spacing w:after="0"/>
              <w:rPr>
                <w:sz w:val="18"/>
                <w:szCs w:val="18"/>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676,594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1,801,594</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right"/>
              <w:ind w:right="201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3.10</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1,162,500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714,094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1,876,594</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80" w:hanging="634"/>
        <w:spacing w:after="0" w:line="234" w:lineRule="auto"/>
        <w:tabs>
          <w:tab w:leader="none" w:pos="652"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Assumes 375,000,000 units outstanding. The actual number of units outstanding as of December 31, 2014 was 375,107,793. An increase in the number of units outstanding would increase both the distribution to unitholders and the distribution to the general partner for any given level of distribution per unit.</w:t>
      </w:r>
    </w:p>
    <w:p>
      <w:pPr>
        <w:spacing w:after="0" w:line="168" w:lineRule="exact"/>
        <w:rPr>
          <w:rFonts w:ascii="Arial" w:cs="Arial" w:eastAsia="Arial" w:hAnsi="Arial"/>
          <w:sz w:val="23"/>
          <w:szCs w:val="23"/>
          <w:color w:val="auto"/>
          <w:vertAlign w:val="superscript"/>
        </w:rPr>
      </w:pPr>
    </w:p>
    <w:p>
      <w:pPr>
        <w:ind w:left="640" w:hanging="614"/>
        <w:spacing w:after="0"/>
        <w:tabs>
          <w:tab w:leader="none" w:pos="640"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attributable to the 2% general partner interest and the incentive distribution rights.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Long-Term Incentive Plans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November 2013, our unitholders approved the adoption of the 2013 Plan, which consolidated three prior plans (the 1998 LTIP, the 2005 LTIP, and the PPX Successor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Plan (together with the 2013 Plan, the “Plans”). The provisions of the PNG Successor Plan are substantially the same as the 2013 Plan, except that new awards under the PNG Successor Plan may only be made to employees hired after the date of the PNG Merger. Awards contemplated by the Plans include phantom units, distribution equivalent rights (DERs), unit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appreciation rights, restricted units, and unit options. The 2013 Plan authorizes the grant of awards covering an aggregate of 13,074,686 common units deliverable upon vesting or exercise (as applicable) of such awards. The PNG Successor Plan authorizes the grant of awards covering an aggregate of 1,319,983 common units deliverable upon vesting or 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9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Common units to be delivered upon the vesting of rights may be common units acquired in the open market or, common units acquired from us, any of our affiliates or any other person, or any combination of the foregoing. Our general partner will be entitled to reimbursement by us for the cost incurred in acquiring common units. In addition, over the term of the Plans we may issue new common units to satisfy delivery obligations under the grants. When we issue new common units upon vesting of grants, the total number of common units outstanding increases.</w:t>
      </w:r>
    </w:p>
    <w:p>
      <w:pPr>
        <w:spacing w:after="0" w:line="17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Phantom Units. </w:t>
      </w:r>
      <w:r>
        <w:rPr>
          <w:rFonts w:ascii="Arial" w:cs="Arial" w:eastAsia="Arial" w:hAnsi="Arial"/>
          <w:sz w:val="17"/>
          <w:szCs w:val="17"/>
          <w:color w:val="auto"/>
        </w:rPr>
        <w:t>A phantom unit entitles the grantee to receive, upon the vesting of the phantom unit, a common unit (or cash equivalent, depending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of December 31, 2014, grants of approximately 4,097,655 and 269,645 unvested phantom units were outstanding under the 2013 Plan and PNG Successor Plan, respectively, and approximately 9,294,381 and 977,461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 xml:space="preserve">Unit Appreciation Rights. </w:t>
      </w:r>
      <w:r>
        <w:rPr>
          <w:rFonts w:ascii="Arial" w:cs="Arial" w:eastAsia="Arial" w:hAnsi="Arial"/>
          <w:sz w:val="17"/>
          <w:szCs w:val="17"/>
          <w:color w:val="auto"/>
        </w:rPr>
        <w:t>A unit appreciation right is an award that, upon exercise, entitles the holder to receive the excess, if any, of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a common unit on the exercise date over the grant price of the unit appreciation right. The excess may be paid in cash and/or common units as determined by the plan administrator in its discretion. No unit appreciation rights have been granted under the Plans to date.</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Restricted Unit Awards. </w:t>
      </w:r>
      <w:r>
        <w:rPr>
          <w:rFonts w:ascii="Arial" w:cs="Arial" w:eastAsia="Arial" w:hAnsi="Arial"/>
          <w:sz w:val="16"/>
          <w:szCs w:val="16"/>
          <w:color w:val="auto"/>
        </w:rPr>
        <w:t>A restricted unit is a common unit granted under the Plan that is subject to a risk of forfeiture, restrictions on transferability,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other restrictions that may be imposed by the plan administrator in its discretion. No restricted unit awards have been granted under the Plans to date.</w:t>
      </w:r>
    </w:p>
    <w:p>
      <w:pPr>
        <w:spacing w:after="0" w:line="124"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i w:val="1"/>
          <w:iCs w:val="1"/>
          <w:color w:val="auto"/>
        </w:rPr>
        <w:t xml:space="preserve">Unit Options. </w:t>
      </w:r>
      <w:r>
        <w:rPr>
          <w:rFonts w:ascii="Arial" w:cs="Arial" w:eastAsia="Arial" w:hAnsi="Arial"/>
          <w:sz w:val="16"/>
          <w:szCs w:val="16"/>
          <w:color w:val="auto"/>
        </w:rPr>
        <w:t>Options may be granted under the Plan to purchase a specific number of common units at a set exercise price. The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option granted under the Plan will be determined by the plan administrator at the time the option is granted, provided that each option may not have an exercise price that is less than the fair market value of the common units on the date of grant. No options have been granted under the Plans to date.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2007, the owners of AAP authorized the creation and issuance of AAP Management Units and authorized the compensation committee of GP LLC to issue grants of AAP Management Units to create long-term incentives for our management. The entire economic burden of the AAP Management Units, which are equity classified, is borne solely by AAP and does not impact our cash or units outstanding. We are not obligated to reimburse AAP for any costs attributable to the AAP Management Units, and any distributions made on the AAP Management Units will not reduce the amount of cash available for distribution to our unitholders. Each AAP Management Unit represents a “profits interest” in AAP, which entitles the holder to participate in future profits and</w:t>
      </w:r>
    </w:p>
    <w:p>
      <w:pPr>
        <w:sectPr>
          <w:pgSz w:w="11900" w:h="16838" w:orient="portrait"/>
          <w:cols w:equalWidth="0" w:num="1">
            <w:col w:w="11420"/>
          </w:cols>
          <w:pgMar w:left="240" w:top="125" w:right="239" w:bottom="0" w:gutter="0" w:footer="0" w:header="0"/>
        </w:sectPr>
      </w:pPr>
    </w:p>
    <w:bookmarkStart w:id="97" w:name="page98"/>
    <w:bookmarkEnd w:id="97"/>
    <w:p>
      <w:pPr>
        <w:spacing w:after="0" w:line="13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losses from operations, current distributions from operations, and an interest in future appreciation or depreciation in AAP’s asset values. Up to 52,125,935 AAP Management Units are authorized for issuance. As of December 31, 2014, 49,172,830 AAP Management Units were issued and outstanding.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a portion of the distributions that would otherwise be paid to holders of AAP units) in percentage increments when the annualized quarterly distributions on our common units equal or exceed certain thresholds. Upon achievement of these performance thresholds (or, in some cases, within six months thereafter), the AAP Management Units will be entitled to their proportionate share of all quarterly cash distributions made by AAP in excess of $11 million per quarter (as adjusted for debt service costs and excluding special distributions funded by debt). Assuming all authorized AAP Management Units are issued, the maximum participation would be approximately 8% of the amount in excess of $11 million per quarter, as adjusted. As of February 17, 2015, approximately 98% of the outstanding AAP Management Units had been earned or will be earned within 180 days. The remaining AAP Management Units will be earned in 25% increments 180 days after payment of annualized quarterly distributions of $2.85, $3.00 and $3.10 per unit, respectively.</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 holder of an AAP Management Unit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range from January 1, 2016 for AAP Management Units granted in 2007 to January 1, 2022 for AAP Management Units granted in 2014. If the call right of AAP becomes exercisable, in order to encourage retention, the size of the discount to fair market value reflected in the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at any time after December 31, 2015 the PAGP Class A shares are publicly traded, each vested AAP Management Unit may be converted into AAP units and a like number of PAGP Class B shares based on a conversion ratio calculated in accordance with the AAP limited partnership agreement (which conversion ratio will not be more than one-to-one and was approximately 0.930 AAP units and PAGP Class B shares for each AAP Management Unit as of February 17, 2015). Following any such conversion, the resulting AAP units and PAGP Class B shares are exchangeable for PAGP Class A shares on a one-for-one basis as provided in the PAGP limited partnership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Administrative Agreement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the closing of the initial public offering of PAGP, PAA entered into an administrative agreement (the “Administrative Agreement”) with PAGP, GP Holdings, AAP, PAA GP LLC and GP LLC to address, among other things, potential conflicts with respect to business opportunities that may arise among PAGP, GP Holdings, AAP, PAA, PAA GP LLC and GP LLC. The agreement provides that if any business opportunity is presented to PAGP, GP Holdings, AAP, PAA, PAA GP LLC or GP LLC, then PAA will have the first right to pursue such business opportunity. PAGP will have the right to pursue and/or participate in such business opportunity if invited to do so by PAA, or if PAA abandons the business opportunity and GP LLC so notifies GP Holdings.</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Pursuant to the Administrative Agreement, all of PAGP’s officers and other personnel necessary for its business to function (to the extent not out-sourced) are employed by GP LLC, and AAP pays GP LLC an annual fee for general and administrative services performed on behalf of PAGP. The initial fee of $1.5 million per year is subject to adjustment on an annual basis based on the Consumer Price Index. The fee is also subject to adjustment if a material event occurs that impacts the general and administrative services provided to PAGP, such as acquisitions, entering into new lines of business or changes in laws, regulations, listing requirements or accounting rules.</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the Administrative Agreement provides that any direct expenses incurred by PAGP, GP Holdings and AAP (other than income taxes payable by PAGP) are borne by AAP. These direct expenses include costs related to (i) compensation for new directors, (ii) incremental director and officer liability insurance, (iii) listing on the NYSE, (iv) investor relations, (v) legal, (vi) tax and (vii) accounting.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to the fee and expenses described above, the Administrative Agreement requires AAP to reimburse GP LLC for any additional expenses incurred by GP LLC and certain of its affiliates (i) on PAGP’s behalf, (ii) on behalf of GP Holdings, or (iii) for any other purpose related to PAGP’s business and activities or those of GP Holdings. AAP is also required to reimburse GP Holdings for any additional expenses incurred by it on PAGP’s behalf or to maintain PAGP’s legal existence and good standing. There is no limit on the amount of fees and expenses AAP may be required to pay to affiliates of GP Holdings on PAGP’s behalf pursuant to the Administrative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Administrative Agreement, PAA has also granted PAGP a license to use the names “PAA” and “Plains” and any associated or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14, 2014, we acquired a 50% interest in BridgeTex Pipeline Company, LLC (“BridgeTex”) from Occidental for $1.088 billion, including working capital adjustments of $13 million. BridgeTex owns a 300,000 barrel-per-day crude oil pipeline that extends from Colorado City in West Texas to a crude oil terminal in East Houston and is complementary to our existing West Texas assets. Occidental is the primary shipper on the BridgeTex pipeline.</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During 2014, we recognized sales and transportation and storage revenues of approximately $1.2 billion from companies affiliated with Occidental. During 2014, we also purchased approximately $0.9 billion of petroleum products from companies affiliated with Occidental. These transactions were</w:t>
      </w:r>
    </w:p>
    <w:p>
      <w:pPr>
        <w:sectPr>
          <w:pgSz w:w="11900" w:h="16975" w:orient="portrait"/>
          <w:cols w:equalWidth="0" w:num="1">
            <w:col w:w="11360"/>
          </w:cols>
          <w:pgMar w:left="240" w:top="125" w:right="299" w:bottom="0" w:gutter="0" w:footer="0" w:header="0"/>
        </w:sectPr>
      </w:pPr>
    </w:p>
    <w:bookmarkStart w:id="98" w:name="page99"/>
    <w:bookmarkEnd w:id="98"/>
    <w:p>
      <w:pPr>
        <w:ind w:right="940"/>
        <w:spacing w:after="0" w:line="277" w:lineRule="auto"/>
        <w:rPr>
          <w:sz w:val="20"/>
          <w:szCs w:val="20"/>
          <w:color w:val="auto"/>
        </w:rPr>
      </w:pPr>
      <w:r>
        <w:rPr>
          <w:rFonts w:ascii="Arial" w:cs="Arial" w:eastAsia="Arial" w:hAnsi="Arial"/>
          <w:sz w:val="18"/>
          <w:szCs w:val="18"/>
          <w:color w:val="auto"/>
        </w:rPr>
        <w:t>conducted at posted tariff rates or prices that we believe approximate market. These amounts do not include revenues from unconsolidated equity investments.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2014, we purchased approximately $6.2 million of oil from companies owned and controlled by funds managed by KACALP. We pay the same amount per barrel to these companies that we pay to other producers in the area.</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An employee in our marketing department is the son of Phil Kramer, one of our executive officers. His total compensation for 2014 (which amount includes the grant date fair value of LTIPs awarded to him on terms consistent with all eligible employees) was approximately $318,000.</w:t>
      </w:r>
    </w:p>
    <w:p>
      <w:pPr>
        <w:spacing w:after="0" w:line="14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An employee with our Canadian operations is the son of W. David Duckett, one of our executive officers. His total compensation for 2014 (which amount includes the grant date fair value of LTIPs awarded to him on terms consistent with all eligible employees) was approximately $312,000.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Pursuant to our Governance Guidelines, a director is expected to bring to the attention of the CEO or the board any conflict or potential conflict of interest that may arise between the director or any affiliate of the director, on the one hand, and the Partnership or GP LLC on the other. The resolution of any such conflict or potential conflict should, at the discretion of the board in light of the circumstances, be determined by a majority of the disinterested directors.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of directors of our general partner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is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consolidated subsidiaries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(2)</w:t>
            </w:r>
          </w:p>
        </w:tc>
        <w:tc>
          <w:tcPr>
            <w:tcW w:w="100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r>
      <w:tr>
        <w:trPr>
          <w:trHeight w:val="216"/>
        </w:trPr>
        <w:tc>
          <w:tcPr>
            <w:tcW w:w="7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7520" w:type="dxa"/>
            <w:vAlign w:val="bottom"/>
          </w:tcPr>
          <w:p>
            <w:pPr>
              <w:spacing w:after="0" w:line="21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(4)</w:t>
            </w:r>
          </w:p>
        </w:tc>
        <w:tc>
          <w:tcPr>
            <w:tcW w:w="10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r>
      <w:tr>
        <w:trPr>
          <w:trHeight w:val="210"/>
        </w:trPr>
        <w:tc>
          <w:tcPr>
            <w:tcW w:w="75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00" w:hanging="11"/>
        <w:spacing w:after="0" w:line="342" w:lineRule="auto"/>
        <w:rPr>
          <w:sz w:val="20"/>
          <w:szCs w:val="20"/>
          <w:color w:val="auto"/>
        </w:rPr>
      </w:pPr>
      <w:r>
        <w:rPr>
          <w:rFonts w:ascii="Arial" w:cs="Arial" w:eastAsia="Arial" w:hAnsi="Arial"/>
          <w:sz w:val="16"/>
          <w:szCs w:val="16"/>
          <w:color w:val="auto"/>
        </w:rPr>
        <w:t>Audit fees include those related to (a) our annual audit (including internal control evaluation and reporting); (b) the annual audit of PNG; (c) the audit of certain joint ventures of which we are the operator, and (d) work performed on our registration of publicly held debt and equity.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are for an audit of our benefit plan.</w:t>
      </w:r>
    </w:p>
    <w:p>
      <w:pPr>
        <w:spacing w:after="0" w:line="225"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Tax fees are related to tax processing as well as the preparation of Forms K-1 for our unitholders and international tax planning work associated with the structure of our Canadian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primarily consist of those associated with due diligence performed on our behalf and evaluating potential acquisitions.</w:t>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discussed above, we have an audit committee that reviews our external financial reporting, engages our independent auditors and reviews the adequacy of our internal accounting controls. Prior to the PNG Merger on December 31, 2013, our consolidated subsidiary, PNG, also had an audit committee that performed similar functions on PNG’s behalf. All services provided by our independent auditor are subject to pre-approval by our audit committee (or the audit committee of PNG (for services provided to PNG)). 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All services provided by our independent auditor during the years ended December 31, 2014 and 2013 were approved in advance by the applicable audit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99" w:name="page100"/>
    <w:bookmarkEnd w:id="9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“Index to the Consolidated Financial Statements” set forth on Page F-1.</w:t>
      </w:r>
    </w:p>
    <w:p>
      <w:pPr>
        <w:spacing w:after="0" w:line="225" w:lineRule="exact"/>
        <w:rPr>
          <w:sz w:val="20"/>
          <w:szCs w:val="20"/>
          <w:color w:val="auto"/>
        </w:rPr>
      </w:pPr>
    </w:p>
    <w:p>
      <w:pPr>
        <w:ind w:left="1200" w:hanging="544"/>
        <w:spacing w:after="0"/>
        <w:tabs>
          <w:tab w:leader="none" w:pos="1200" w:val="left"/>
        </w:tabs>
        <w:numPr>
          <w:ilvl w:val="0"/>
          <w:numId w:val="96"/>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200" w:hanging="544"/>
        <w:spacing w:after="0"/>
        <w:tabs>
          <w:tab w:leader="none" w:pos="1200" w:val="left"/>
        </w:tabs>
        <w:numPr>
          <w:ilvl w:val="0"/>
          <w:numId w:val="97"/>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its sole member</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Greg L. Armstrong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7"/>
          <w:szCs w:val="17"/>
          <w:b w:val="1"/>
          <w:bCs w:val="1"/>
          <w:i w:val="1"/>
          <w:iCs w:val="1"/>
          <w:color w:val="auto"/>
        </w:rPr>
        <w:t>Chairman of the Board, Chief Executive Officer and Director of</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Al Swanson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i w:val="1"/>
          <w:iCs w:val="1"/>
          <w:color w:val="auto"/>
        </w:rPr>
        <w:t>American GP LLC</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Chris Herbold</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6"/>
          <w:szCs w:val="16"/>
          <w:b w:val="1"/>
          <w:bCs w:val="1"/>
          <w:i w:val="1"/>
          <w:iCs w:val="1"/>
          <w:color w:val="auto"/>
        </w:rPr>
        <w:t>Vice President —Accounting and Chief Accounting Officer of Plains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i w:val="1"/>
          <w:iCs w:val="1"/>
          <w:color w:val="auto"/>
        </w:rPr>
        <w:t>All American GP LLC</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4"/>
                <w:szCs w:val="14"/>
                <w:color w:val="auto"/>
              </w:rPr>
            </w:pPr>
          </w:p>
        </w:tc>
        <w:tc>
          <w:tcPr>
            <w:tcW w:w="628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L. Armstrong</w:t>
            </w:r>
          </w:p>
        </w:tc>
        <w:tc>
          <w:tcPr>
            <w:tcW w:w="6760" w:type="dxa"/>
            <w:vAlign w:val="bottom"/>
            <w:gridSpan w:val="3"/>
          </w:tcPr>
          <w:p>
            <w:pPr>
              <w:ind w:left="240"/>
              <w:spacing w:after="0"/>
              <w:rPr>
                <w:sz w:val="20"/>
                <w:szCs w:val="20"/>
                <w:color w:val="auto"/>
              </w:rPr>
            </w:pPr>
            <w:r>
              <w:rPr>
                <w:rFonts w:ascii="Arial" w:cs="Arial" w:eastAsia="Arial" w:hAnsi="Arial"/>
                <w:sz w:val="18"/>
                <w:szCs w:val="18"/>
                <w:color w:val="auto"/>
              </w:rPr>
              <w:t>Chairman of the Board, Chief Executive Officer and Director of Plains All</w:t>
            </w:r>
          </w:p>
        </w:tc>
        <w:tc>
          <w:tcPr>
            <w:tcW w:w="1760" w:type="dxa"/>
            <w:vAlign w:val="bottom"/>
          </w:tcPr>
          <w:p>
            <w:pPr>
              <w:spacing w:after="0"/>
              <w:rPr>
                <w:sz w:val="20"/>
                <w:szCs w:val="20"/>
                <w:color w:val="auto"/>
              </w:rPr>
            </w:pPr>
            <w:r>
              <w:rPr>
                <w:rFonts w:ascii="Arial" w:cs="Arial" w:eastAsia="Arial" w:hAnsi="Arial"/>
                <w:sz w:val="18"/>
                <w:szCs w:val="18"/>
                <w:color w:val="auto"/>
              </w:rPr>
              <w:t>February 25, 2015</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3"/>
              </w:rPr>
              <w:t>Greg L. Armstrong</w:t>
            </w:r>
          </w:p>
        </w:tc>
        <w:tc>
          <w:tcPr>
            <w:tcW w:w="6760" w:type="dxa"/>
            <w:vAlign w:val="bottom"/>
            <w:gridSpan w:val="3"/>
          </w:tcPr>
          <w:p>
            <w:pPr>
              <w:ind w:left="240"/>
              <w:spacing w:after="0"/>
              <w:rPr>
                <w:sz w:val="20"/>
                <w:szCs w:val="20"/>
                <w:color w:val="auto"/>
              </w:rPr>
            </w:pPr>
            <w:r>
              <w:rPr>
                <w:rFonts w:ascii="Arial" w:cs="Arial" w:eastAsia="Arial" w:hAnsi="Arial"/>
                <w:sz w:val="18"/>
                <w:szCs w:val="18"/>
                <w:color w:val="auto"/>
              </w:rPr>
              <w:t>American GP LLC (Principal Executive Officer)</w:t>
            </w:r>
          </w:p>
        </w:tc>
        <w:tc>
          <w:tcPr>
            <w:tcW w:w="1760" w:type="dxa"/>
            <w:vAlign w:val="bottom"/>
          </w:tcPr>
          <w:p>
            <w:pPr>
              <w:spacing w:after="0"/>
              <w:rPr>
                <w:sz w:val="19"/>
                <w:szCs w:val="19"/>
                <w:color w:val="auto"/>
              </w:rPr>
            </w:pPr>
          </w:p>
        </w:tc>
      </w:tr>
      <w:tr>
        <w:trPr>
          <w:trHeight w:val="418"/>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Harry N. Pefanis</w:t>
            </w:r>
          </w:p>
        </w:tc>
        <w:tc>
          <w:tcPr>
            <w:tcW w:w="6760" w:type="dxa"/>
            <w:vAlign w:val="bottom"/>
            <w:gridSpan w:val="3"/>
          </w:tcPr>
          <w:p>
            <w:pPr>
              <w:ind w:left="240"/>
              <w:spacing w:after="0"/>
              <w:rPr>
                <w:sz w:val="20"/>
                <w:szCs w:val="20"/>
                <w:color w:val="auto"/>
              </w:rPr>
            </w:pPr>
            <w:r>
              <w:rPr>
                <w:rFonts w:ascii="Arial" w:cs="Arial" w:eastAsia="Arial" w:hAnsi="Arial"/>
                <w:sz w:val="18"/>
                <w:szCs w:val="18"/>
                <w:color w:val="auto"/>
              </w:rPr>
              <w:t>President and Chief Operating Officer of Plains All American GP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25, 2015</w:t>
            </w:r>
          </w:p>
        </w:tc>
      </w:tr>
    </w:tbl>
    <w:p>
      <w:pPr>
        <w:sectPr>
          <w:pgSz w:w="11900" w:h="16900" w:orient="portrait"/>
          <w:cols w:equalWidth="0" w:num="1">
            <w:col w:w="11420"/>
          </w:cols>
          <w:pgMar w:left="240" w:top="121" w:right="239" w:bottom="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15"/>
          </w:tcPr>
          <w:p>
            <w:pPr>
              <w:jc w:val="center"/>
              <w:ind w:right="1020"/>
              <w:spacing w:after="0"/>
              <w:rPr>
                <w:sz w:val="20"/>
                <w:szCs w:val="20"/>
                <w:color w:val="auto"/>
              </w:rPr>
            </w:pPr>
            <w:r>
              <w:rPr>
                <w:rFonts w:ascii="Arial" w:cs="Arial" w:eastAsia="Arial" w:hAnsi="Arial"/>
                <w:sz w:val="18"/>
                <w:szCs w:val="18"/>
                <w:color w:val="auto"/>
                <w:w w:val="92"/>
              </w:rPr>
              <w:t>Harry N. Pefanis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15"/>
          </w:tcPr>
          <w:p>
            <w:pPr>
              <w:jc w:val="center"/>
              <w:ind w:right="1020"/>
              <w:spacing w:after="0"/>
              <w:rPr>
                <w:sz w:val="20"/>
                <w:szCs w:val="20"/>
                <w:color w:val="auto"/>
              </w:rPr>
            </w:pPr>
            <w:r>
              <w:rPr>
                <w:rFonts w:ascii="Arial" w:cs="Arial" w:eastAsia="Arial" w:hAnsi="Arial"/>
                <w:sz w:val="18"/>
                <w:szCs w:val="18"/>
                <w:color w:val="auto"/>
                <w:w w:val="92"/>
              </w:rPr>
              <w:t>/s/ Al Swanson</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w w:val="96"/>
              </w:rPr>
              <w:t>Executive Vice President and Chief Financial Officer of Plains All American GP LLC</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11"/>
          </w:tcPr>
          <w:p>
            <w:pPr>
              <w:jc w:val="center"/>
              <w:ind w:right="780"/>
              <w:spacing w:after="0"/>
              <w:rPr>
                <w:sz w:val="20"/>
                <w:szCs w:val="20"/>
                <w:color w:val="auto"/>
              </w:rPr>
            </w:pPr>
            <w:r>
              <w:rPr>
                <w:rFonts w:ascii="Arial" w:cs="Arial" w:eastAsia="Arial" w:hAnsi="Arial"/>
                <w:sz w:val="18"/>
                <w:szCs w:val="18"/>
                <w:color w:val="auto"/>
                <w:w w:val="92"/>
              </w:rPr>
              <w:t>Al Swanson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(Principal Financial Officer)</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15"/>
          </w:tcPr>
          <w:p>
            <w:pPr>
              <w:jc w:val="center"/>
              <w:ind w:right="1000"/>
              <w:spacing w:after="0"/>
              <w:rPr>
                <w:sz w:val="20"/>
                <w:szCs w:val="20"/>
                <w:color w:val="auto"/>
              </w:rPr>
            </w:pPr>
            <w:r>
              <w:rPr>
                <w:rFonts w:ascii="Arial" w:cs="Arial" w:eastAsia="Arial" w:hAnsi="Arial"/>
                <w:sz w:val="18"/>
                <w:szCs w:val="18"/>
                <w:color w:val="auto"/>
                <w:w w:val="92"/>
              </w:rPr>
              <w:t>/s/ Chris Herbold</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Vice President—Accounting and Chief Accounting Officer of Plains All</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11"/>
          </w:tcPr>
          <w:p>
            <w:pPr>
              <w:jc w:val="center"/>
              <w:ind w:right="800"/>
              <w:spacing w:after="0"/>
              <w:rPr>
                <w:sz w:val="20"/>
                <w:szCs w:val="20"/>
                <w:color w:val="auto"/>
              </w:rPr>
            </w:pPr>
            <w:r>
              <w:rPr>
                <w:rFonts w:ascii="Arial" w:cs="Arial" w:eastAsia="Arial" w:hAnsi="Arial"/>
                <w:sz w:val="18"/>
                <w:szCs w:val="18"/>
                <w:color w:val="auto"/>
                <w:w w:val="92"/>
              </w:rPr>
              <w:t>Chris Herbold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American GP LLC (Principal Accounting Officer)</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16"/>
          </w:tcPr>
          <w:p>
            <w:pPr>
              <w:jc w:val="center"/>
              <w:ind w:right="760"/>
              <w:spacing w:after="0"/>
              <w:rPr>
                <w:sz w:val="20"/>
                <w:szCs w:val="20"/>
                <w:color w:val="auto"/>
              </w:rPr>
            </w:pPr>
            <w:r>
              <w:rPr>
                <w:rFonts w:ascii="Arial" w:cs="Arial" w:eastAsia="Arial" w:hAnsi="Arial"/>
                <w:sz w:val="18"/>
                <w:szCs w:val="18"/>
                <w:color w:val="auto"/>
                <w:w w:val="91"/>
              </w:rPr>
              <w:t>/s/ Bernard Figlock</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Director of Plains All American GP LLC</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11"/>
          </w:tcPr>
          <w:p>
            <w:pPr>
              <w:jc w:val="center"/>
              <w:ind w:right="800"/>
              <w:spacing w:after="0"/>
              <w:rPr>
                <w:sz w:val="20"/>
                <w:szCs w:val="20"/>
                <w:color w:val="auto"/>
              </w:rPr>
            </w:pPr>
            <w:r>
              <w:rPr>
                <w:rFonts w:ascii="Arial" w:cs="Arial" w:eastAsia="Arial" w:hAnsi="Arial"/>
                <w:sz w:val="18"/>
                <w:szCs w:val="18"/>
                <w:color w:val="auto"/>
                <w:w w:val="93"/>
              </w:rPr>
              <w:t>Bernard Figlock</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16"/>
          </w:tcPr>
          <w:p>
            <w:pPr>
              <w:jc w:val="center"/>
              <w:ind w:right="760"/>
              <w:spacing w:after="0"/>
              <w:rPr>
                <w:sz w:val="20"/>
                <w:szCs w:val="20"/>
                <w:color w:val="auto"/>
              </w:rPr>
            </w:pPr>
            <w:r>
              <w:rPr>
                <w:rFonts w:ascii="Arial" w:cs="Arial" w:eastAsia="Arial" w:hAnsi="Arial"/>
                <w:sz w:val="18"/>
                <w:szCs w:val="18"/>
                <w:color w:val="auto"/>
                <w:w w:val="88"/>
              </w:rPr>
              <w:t>/s/ Everardo Goyanes</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Director of Plains All American GP LLC</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12"/>
          </w:tcPr>
          <w:p>
            <w:pPr>
              <w:jc w:val="center"/>
              <w:ind w:right="540"/>
              <w:spacing w:after="0"/>
              <w:rPr>
                <w:sz w:val="20"/>
                <w:szCs w:val="20"/>
                <w:color w:val="auto"/>
              </w:rPr>
            </w:pPr>
            <w:r>
              <w:rPr>
                <w:rFonts w:ascii="Arial" w:cs="Arial" w:eastAsia="Arial" w:hAnsi="Arial"/>
                <w:sz w:val="18"/>
                <w:szCs w:val="18"/>
                <w:color w:val="auto"/>
                <w:w w:val="89"/>
              </w:rPr>
              <w:t>Everardo Goyanes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16"/>
          </w:tcPr>
          <w:p>
            <w:pPr>
              <w:jc w:val="center"/>
              <w:ind w:right="740"/>
              <w:spacing w:after="0"/>
              <w:rPr>
                <w:sz w:val="20"/>
                <w:szCs w:val="20"/>
                <w:color w:val="auto"/>
              </w:rPr>
            </w:pPr>
            <w:r>
              <w:rPr>
                <w:rFonts w:ascii="Arial" w:cs="Arial" w:eastAsia="Arial" w:hAnsi="Arial"/>
                <w:sz w:val="18"/>
                <w:szCs w:val="18"/>
                <w:color w:val="auto"/>
                <w:w w:val="88"/>
              </w:rPr>
              <w:t>/s/ Gary R. Petersen</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Director of Plains All American GP LLC</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11"/>
          </w:tcPr>
          <w:p>
            <w:pPr>
              <w:jc w:val="center"/>
              <w:ind w:right="800"/>
              <w:spacing w:after="0"/>
              <w:rPr>
                <w:sz w:val="20"/>
                <w:szCs w:val="20"/>
                <w:color w:val="auto"/>
              </w:rPr>
            </w:pPr>
            <w:r>
              <w:rPr>
                <w:rFonts w:ascii="Arial" w:cs="Arial" w:eastAsia="Arial" w:hAnsi="Arial"/>
                <w:sz w:val="18"/>
                <w:szCs w:val="18"/>
                <w:color w:val="auto"/>
                <w:w w:val="87"/>
              </w:rPr>
              <w:t>Gary R. Petersen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16"/>
          </w:tcPr>
          <w:p>
            <w:pPr>
              <w:jc w:val="center"/>
              <w:ind w:right="760"/>
              <w:spacing w:after="0"/>
              <w:rPr>
                <w:sz w:val="20"/>
                <w:szCs w:val="20"/>
                <w:color w:val="auto"/>
              </w:rPr>
            </w:pPr>
            <w:r>
              <w:rPr>
                <w:rFonts w:ascii="Arial" w:cs="Arial" w:eastAsia="Arial" w:hAnsi="Arial"/>
                <w:sz w:val="18"/>
                <w:szCs w:val="18"/>
                <w:color w:val="auto"/>
                <w:w w:val="90"/>
              </w:rPr>
              <w:t>/s/ John T. Raymond</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Director of Plains All American GP LLC</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11"/>
          </w:tcPr>
          <w:p>
            <w:pPr>
              <w:jc w:val="center"/>
              <w:ind w:right="800"/>
              <w:spacing w:after="0"/>
              <w:rPr>
                <w:sz w:val="20"/>
                <w:szCs w:val="20"/>
                <w:color w:val="auto"/>
              </w:rPr>
            </w:pPr>
            <w:r>
              <w:rPr>
                <w:rFonts w:ascii="Arial" w:cs="Arial" w:eastAsia="Arial" w:hAnsi="Arial"/>
                <w:sz w:val="18"/>
                <w:szCs w:val="18"/>
                <w:color w:val="auto"/>
                <w:w w:val="88"/>
              </w:rPr>
              <w:t>John T. Raymond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16"/>
          </w:tcPr>
          <w:p>
            <w:pPr>
              <w:jc w:val="center"/>
              <w:ind w:right="760"/>
              <w:spacing w:after="0"/>
              <w:rPr>
                <w:sz w:val="20"/>
                <w:szCs w:val="20"/>
                <w:color w:val="auto"/>
              </w:rPr>
            </w:pPr>
            <w:r>
              <w:rPr>
                <w:rFonts w:ascii="Arial" w:cs="Arial" w:eastAsia="Arial" w:hAnsi="Arial"/>
                <w:sz w:val="18"/>
                <w:szCs w:val="18"/>
                <w:color w:val="auto"/>
                <w:w w:val="90"/>
              </w:rPr>
              <w:t>/s/ Robert V. Sinnott</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Director of Plains All American GP LLC</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11"/>
          </w:tcPr>
          <w:p>
            <w:pPr>
              <w:jc w:val="center"/>
              <w:ind w:right="800"/>
              <w:spacing w:after="0"/>
              <w:rPr>
                <w:sz w:val="20"/>
                <w:szCs w:val="20"/>
                <w:color w:val="auto"/>
              </w:rPr>
            </w:pPr>
            <w:r>
              <w:rPr>
                <w:rFonts w:ascii="Arial" w:cs="Arial" w:eastAsia="Arial" w:hAnsi="Arial"/>
                <w:sz w:val="18"/>
                <w:szCs w:val="18"/>
                <w:color w:val="auto"/>
                <w:w w:val="91"/>
              </w:rPr>
              <w:t>Robert V. Sinnott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16"/>
          </w:tcPr>
          <w:p>
            <w:pPr>
              <w:jc w:val="center"/>
              <w:ind w:right="760"/>
              <w:spacing w:after="0"/>
              <w:rPr>
                <w:sz w:val="20"/>
                <w:szCs w:val="20"/>
                <w:color w:val="auto"/>
              </w:rPr>
            </w:pPr>
            <w:r>
              <w:rPr>
                <w:rFonts w:ascii="Arial" w:cs="Arial" w:eastAsia="Arial" w:hAnsi="Arial"/>
                <w:sz w:val="18"/>
                <w:szCs w:val="18"/>
                <w:color w:val="auto"/>
                <w:w w:val="89"/>
              </w:rPr>
              <w:t>/s/ J. Taft Symonds</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Director of Plains All American GP LLC</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11"/>
          </w:tcPr>
          <w:p>
            <w:pPr>
              <w:jc w:val="center"/>
              <w:ind w:right="780"/>
              <w:spacing w:after="0"/>
              <w:rPr>
                <w:sz w:val="20"/>
                <w:szCs w:val="20"/>
                <w:color w:val="auto"/>
              </w:rPr>
            </w:pPr>
            <w:r>
              <w:rPr>
                <w:rFonts w:ascii="Arial" w:cs="Arial" w:eastAsia="Arial" w:hAnsi="Arial"/>
                <w:sz w:val="18"/>
                <w:szCs w:val="18"/>
                <w:color w:val="auto"/>
                <w:w w:val="89"/>
              </w:rPr>
              <w:t>J. Taft Symonds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2940" w:type="dxa"/>
            <w:vAlign w:val="bottom"/>
            <w:gridSpan w:val="17"/>
          </w:tcPr>
          <w:p>
            <w:pPr>
              <w:jc w:val="center"/>
              <w:ind w:right="400"/>
              <w:spacing w:after="0"/>
              <w:rPr>
                <w:sz w:val="20"/>
                <w:szCs w:val="20"/>
                <w:color w:val="auto"/>
              </w:rPr>
            </w:pPr>
            <w:r>
              <w:rPr>
                <w:rFonts w:ascii="Arial" w:cs="Arial" w:eastAsia="Arial" w:hAnsi="Arial"/>
                <w:sz w:val="18"/>
                <w:szCs w:val="18"/>
                <w:color w:val="auto"/>
                <w:w w:val="91"/>
              </w:rPr>
              <w:t>/s/ Christopher M. Temple</w:t>
            </w:r>
          </w:p>
        </w:tc>
        <w:tc>
          <w:tcPr>
            <w:tcW w:w="6480" w:type="dxa"/>
            <w:vAlign w:val="bottom"/>
            <w:gridSpan w:val="16"/>
          </w:tcPr>
          <w:p>
            <w:pPr>
              <w:ind w:left="20"/>
              <w:spacing w:after="0"/>
              <w:rPr>
                <w:sz w:val="20"/>
                <w:szCs w:val="20"/>
                <w:color w:val="auto"/>
              </w:rPr>
            </w:pPr>
            <w:r>
              <w:rPr>
                <w:rFonts w:ascii="Arial" w:cs="Arial" w:eastAsia="Arial" w:hAnsi="Arial"/>
                <w:sz w:val="18"/>
                <w:szCs w:val="18"/>
                <w:color w:val="auto"/>
              </w:rPr>
              <w:t>Director of Plains All American GP LLC</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224"/>
        </w:trPr>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12"/>
          </w:tcPr>
          <w:p>
            <w:pPr>
              <w:jc w:val="center"/>
              <w:ind w:right="520"/>
              <w:spacing w:after="0"/>
              <w:rPr>
                <w:sz w:val="20"/>
                <w:szCs w:val="20"/>
                <w:color w:val="auto"/>
              </w:rPr>
            </w:pPr>
            <w:r>
              <w:rPr>
                <w:rFonts w:ascii="Arial" w:cs="Arial" w:eastAsia="Arial" w:hAnsi="Arial"/>
                <w:sz w:val="18"/>
                <w:szCs w:val="18"/>
                <w:color w:val="auto"/>
                <w:w w:val="91"/>
              </w:rPr>
              <w:t>Christopher M. Temple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12"/>
          </w:tcPr>
          <w:p>
            <w:pPr>
              <w:ind w:left="246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12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6"/>
          </w:tcPr>
          <w:p>
            <w:pPr>
              <w:spacing w:after="0"/>
              <w:rPr>
                <w:sz w:val="20"/>
                <w:szCs w:val="20"/>
                <w:color w:val="auto"/>
              </w:rPr>
            </w:pPr>
            <w:r>
              <w:rPr>
                <w:rFonts w:ascii="Arial" w:cs="Arial" w:eastAsia="Arial" w:hAnsi="Arial"/>
                <w:sz w:val="18"/>
                <w:szCs w:val="18"/>
                <w:b w:val="1"/>
                <w:bCs w:val="1"/>
                <w:color w:val="auto"/>
              </w:rPr>
              <w:t>PLAINS ALL AMERICAN PIPELINE, L.P. AND SUBSIDIARIES</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16"/>
          </w:tcPr>
          <w:p>
            <w:pPr>
              <w:ind w:left="4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gridSpan w:val="18"/>
            <w:vMerge w:val="restart"/>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Consolidated Financial Statements</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3120" w:type="dxa"/>
            <w:vAlign w:val="bottom"/>
            <w:gridSpan w:val="18"/>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Management’s Report on Internal Control Over Financial Reporting</w:t>
              </w:r>
            </w:hyperlink>
          </w:p>
        </w:tc>
        <w:tc>
          <w:tcPr>
            <w:tcW w:w="46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9600" w:type="dxa"/>
            <w:vAlign w:val="bottom"/>
            <w:gridSpan w:val="3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Report of Independent Registered Public Accounting Firm</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Consolidated Balance Sheets as of December 31, 2014 and 2013</w:t>
              </w:r>
            </w:hyperlink>
          </w:p>
        </w:tc>
        <w:tc>
          <w:tcPr>
            <w:tcW w:w="49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9600" w:type="dxa"/>
            <w:vAlign w:val="bottom"/>
            <w:gridSpan w:val="3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Statements of Operations for the years ended December 31, 2014, 2013 and 2012</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0" w:type="dxa"/>
            <w:vAlign w:val="bottom"/>
            <w:gridSpan w:val="3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Statements of Comprehensive Income for the years ended December 31, 2014, 2013 and 2012</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60" w:type="dxa"/>
            <w:vAlign w:val="bottom"/>
            <w:gridSpan w:val="38"/>
          </w:tcPr>
          <w:p>
            <w:pPr>
              <w:spacing w:after="0" w:line="196" w:lineRule="exact"/>
              <w:rPr>
                <w:rFonts w:ascii="Arial" w:cs="Arial" w:eastAsia="Arial" w:hAnsi="Arial"/>
                <w:sz w:val="18"/>
                <w:szCs w:val="18"/>
                <w:color w:val="0000EE"/>
                <w:w w:val="99"/>
              </w:rPr>
            </w:pPr>
            <w:hyperlink w:anchor="page104">
              <w:r>
                <w:rPr>
                  <w:rFonts w:ascii="Arial" w:cs="Arial" w:eastAsia="Arial" w:hAnsi="Arial"/>
                  <w:sz w:val="18"/>
                  <w:szCs w:val="18"/>
                  <w:color w:val="0000EE"/>
                  <w:w w:val="99"/>
                </w:rPr>
                <w:t>Consolidated Statements of Changes in Accumulated Other Comprehensive Income / (Loss) for the years ended December 31, 2014, 2013 and</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4">
              <w:r>
                <w:rPr>
                  <w:rFonts w:ascii="Arial" w:cs="Arial" w:eastAsia="Arial" w:hAnsi="Arial"/>
                  <w:sz w:val="18"/>
                  <w:szCs w:val="18"/>
                  <w:color w:val="0000EE"/>
                  <w:w w:val="84"/>
                </w:rPr>
                <w:t>2012</w:t>
              </w:r>
            </w:hyperlink>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Consolidated Statements of Cash Flows for the years ended December 31, 2014, 2013 and 2012</w:t>
              </w:r>
            </w:hyperlink>
          </w:p>
        </w:tc>
        <w:tc>
          <w:tcPr>
            <w:tcW w:w="26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Consolidated Statements of Changes in Partners’ Capital for the years ended December 31, 2014, 2013 and 2012</w:t>
              </w:r>
            </w:hyperlink>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Notes to the Consolidated Financial Statements:</w:t>
              </w:r>
            </w:hyperlink>
          </w:p>
        </w:tc>
        <w:tc>
          <w:tcPr>
            <w:tcW w:w="61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0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1. Organization and Basis of Presentation</w:t>
              </w:r>
            </w:hyperlink>
          </w:p>
        </w:tc>
        <w:tc>
          <w:tcPr>
            <w:tcW w:w="642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gridSpan w:val="3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2. Summary of Significant Accounting Policies</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3. Acquisitions and Dispositions</w:t>
              </w:r>
            </w:hyperlink>
          </w:p>
        </w:tc>
        <w:tc>
          <w:tcPr>
            <w:tcW w:w="600" w:type="dxa"/>
            <w:vAlign w:val="bottom"/>
            <w:tcBorders>
              <w:top w:val="single" w:sz="8" w:color="0000EE"/>
            </w:tcBorders>
            <w:gridSpan w:val="6"/>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gridSpan w:val="17"/>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4. Net Income Per Limited Partner Unit</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gridSpan w:val="3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5. Inventory, Linefill and Base Gas and Long-term Inventory</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6. Property and Equipment</w:t>
              </w:r>
            </w:hyperlink>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7. Goodwill</w:t>
              </w:r>
            </w:hyperlink>
          </w:p>
        </w:tc>
        <w:tc>
          <w:tcPr>
            <w:tcW w:w="100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gridSpan w:val="33"/>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8. Investments in Unconsolidated Entities</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9. Other Assets, Net</w:t>
              </w:r>
            </w:hyperlink>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10. Debt</w:t>
              </w:r>
            </w:hyperlink>
          </w:p>
        </w:tc>
        <w:tc>
          <w:tcPr>
            <w:tcW w:w="148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19">
              <w:r>
                <w:rPr>
                  <w:rFonts w:ascii="Arial" w:cs="Arial" w:eastAsia="Arial" w:hAnsi="Arial"/>
                  <w:sz w:val="18"/>
                  <w:szCs w:val="18"/>
                  <w:color w:val="0000EE"/>
                  <w:w w:val="91"/>
                </w:rPr>
                <w:t>11. Partners’ Capital and Distributions</w:t>
              </w:r>
            </w:hyperlink>
          </w:p>
        </w:tc>
        <w:tc>
          <w:tcPr>
            <w:tcW w:w="1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gridSpan w:val="33"/>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12. Derivatives and Risk Management Activities</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13. Income Taxes</w:t>
              </w:r>
            </w:hyperlink>
          </w:p>
        </w:tc>
        <w:tc>
          <w:tcPr>
            <w:tcW w:w="1660" w:type="dxa"/>
            <w:vAlign w:val="bottom"/>
            <w:tcBorders>
              <w:top w:val="single" w:sz="8" w:color="0000EE"/>
            </w:tcBorders>
            <w:gridSpan w:val="1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gridSpan w:val="33"/>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14. Major Customers and Concentration of Credit Risk</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15. Related Party Transactions</w:t>
              </w:r>
            </w:hyperlink>
          </w:p>
        </w:tc>
        <w:tc>
          <w:tcPr>
            <w:tcW w:w="720" w:type="dxa"/>
            <w:vAlign w:val="bottom"/>
            <w:tcBorders>
              <w:top w:val="single" w:sz="8" w:color="0000EE"/>
            </w:tcBorders>
            <w:gridSpan w:val="8"/>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16. Equity-Indexed Compensation Plans</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17. Commitments and Contingencies</w:t>
              </w:r>
            </w:hyperlink>
          </w:p>
        </w:tc>
        <w:tc>
          <w:tcPr>
            <w:tcW w:w="2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gridSpan w:val="33"/>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18. Quarterly Financial Data (Unaudited)</w:t>
              </w:r>
            </w:hyperlink>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19. Operating Segments</w:t>
              </w:r>
            </w:hyperlink>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F-45</w:t>
            </w: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5"/>
          </w:tcPr>
          <w:p>
            <w:pPr>
              <w:ind w:left="660"/>
              <w:spacing w:after="0"/>
              <w:rPr>
                <w:sz w:val="20"/>
                <w:szCs w:val="20"/>
                <w:color w:val="auto"/>
              </w:rPr>
            </w:pPr>
            <w:r>
              <w:rPr>
                <w:rFonts w:ascii="Arial" w:cs="Arial" w:eastAsia="Arial" w:hAnsi="Arial"/>
                <w:sz w:val="18"/>
                <w:szCs w:val="18"/>
                <w:color w:val="auto"/>
              </w:rPr>
              <w:t>F-1</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-5517515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-5517515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 w:lineRule="exact"/>
        <w:rPr>
          <w:sz w:val="20"/>
          <w:szCs w:val="20"/>
          <w:color w:val="auto"/>
        </w:rPr>
      </w:pPr>
    </w:p>
    <w:p>
      <w:pPr>
        <w:sectPr>
          <w:pgSz w:w="11900" w:h="16838" w:orient="portrait"/>
          <w:cols w:equalWidth="0" w:num="1">
            <w:col w:w="11460"/>
          </w:cols>
          <w:pgMar w:left="240" w:top="125" w:right="199" w:bottom="0" w:gutter="0" w:footer="0" w:header="0"/>
        </w:sectPr>
      </w:pPr>
    </w:p>
    <w:bookmarkStart w:id="101" w:name="page102"/>
    <w:bookmarkEnd w:id="101"/>
    <w:p>
      <w:pPr>
        <w:ind w:right="140"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2014.</w:t>
      </w:r>
    </w:p>
    <w:p>
      <w:pPr>
        <w:spacing w:after="0" w:line="147" w:lineRule="exact"/>
        <w:rPr>
          <w:sz w:val="20"/>
          <w:szCs w:val="20"/>
          <w:color w:val="auto"/>
        </w:rPr>
      </w:pPr>
    </w:p>
    <w:p>
      <w:pPr>
        <w:jc w:val="both"/>
        <w:ind w:right="180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2014 has been audited by PricewaterhouseCoopers LLP, an independent registered public accounting firm, as stated in their report which appears on Page F-3.</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Chief Executive Officer and Director of Plains All</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American GP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American GP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accumulated other comprehensive income / (loss), of changes in partners’ capital, and of cash flows present fairly, in all material respects, the financial position of Plains All American Pipeline, L.P. and its subsidiaries at December 31, 2014 and 2013, and the results of their operations and their cash flows for each of the three years in the period ended December 31, 2014 in conformity with accounting principles generally accepted in the United States of America. Also in our opinion, the Partnership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ectPr>
          <w:pgSz w:w="11900" w:h="16838" w:orient="portrait"/>
          <w:cols w:equalWidth="0" w:num="1">
            <w:col w:w="11380"/>
          </w:cols>
          <w:pgMar w:left="240" w:top="341" w:right="279" w:bottom="0" w:gutter="0" w:footer="0" w:header="0"/>
        </w:sectPr>
      </w:pPr>
    </w:p>
    <w:bookmarkStart w:id="102" w:name="page103"/>
    <w:bookmarkEnd w:id="102"/>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Inventory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891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14,178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1,735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Long-term inventory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Short-term debt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$18 and $15, respectively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long-term debt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(375,107,793 and 359,133,200 units outstanding, respectively)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42,114</w:t>
            </w:r>
          </w:p>
        </w:tc>
        <w:tc>
          <w:tcPr>
            <w:tcW w:w="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40,692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36,438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r>
      <w:tr>
        <w:trPr>
          <w:trHeight w:val="210"/>
        </w:trPr>
        <w:tc>
          <w:tcPr>
            <w:tcW w:w="6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43,464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70" w:orient="portrait"/>
          <w:cols w:equalWidth="0" w:num="1">
            <w:col w:w="11420"/>
          </w:cols>
          <w:pgMar w:left="240" w:top="125" w:right="239" w:bottom="0" w:gutter="0" w:footer="0" w:header="0"/>
        </w:sectPr>
      </w:pPr>
    </w:p>
    <w:bookmarkStart w:id="103" w:name="page104"/>
    <w:bookmarkEnd w:id="103"/>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4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39,500</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38,465</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1,456</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41,673</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40,521</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1,791</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1,728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 (net of capitalized interest of $48, $38 and $36, respectively)</w:t>
            </w:r>
          </w:p>
        </w:tc>
        <w:tc>
          <w:tcPr>
            <w:tcW w:w="4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1,386</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4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LIMITED PARTNERS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884</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967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GENERAL PARTNER</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4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4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4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OUTSTANDING</w:t>
            </w:r>
          </w:p>
        </w:tc>
        <w:tc>
          <w:tcPr>
            <w:tcW w:w="4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4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4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4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OUTSTANDING</w:t>
            </w:r>
          </w:p>
        </w:tc>
        <w:tc>
          <w:tcPr>
            <w:tcW w:w="4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PAA</w:t>
            </w: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Instruments</w:t>
            </w:r>
          </w:p>
        </w:tc>
        <w:tc>
          <w:tcPr>
            <w:tcW w:w="1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2012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25" w:right="239" w:bottom="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2013 Activity</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5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5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5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2014 Activity</w:t>
            </w:r>
          </w:p>
        </w:tc>
        <w:tc>
          <w:tcPr>
            <w:tcW w:w="5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Inventory valuation adjustments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(benefit)/expense</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Gain on sales of linefill and base gas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(Gain)/loss on foreign currency revaluation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Settlement of terminated interest rate hedging instruments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earnings in unconsolidated entities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Distributions from unconsolidated entities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 and other</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 (Note 3)</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(1,613)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 (Note 8)</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upon formation of equity-method investment</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line="201" w:lineRule="exact"/>
              <w:rPr>
                <w:sz w:val="20"/>
                <w:szCs w:val="20"/>
                <w:color w:val="auto"/>
              </w:rPr>
            </w:pPr>
            <w:r>
              <w:rPr>
                <w:rFonts w:ascii="Arial" w:cs="Arial" w:eastAsia="Arial" w:hAnsi="Arial"/>
                <w:sz w:val="18"/>
                <w:szCs w:val="18"/>
                <w:color w:val="auto"/>
              </w:rPr>
              <w:t>Net borrowings/(repayments) under PAA senior secured hedged inventory facility</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(Note 10)</w:t>
            </w:r>
          </w:p>
        </w:tc>
        <w:tc>
          <w:tcPr>
            <w:tcW w:w="8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borrowings/(repayments) under PAA senior unsecured revolving credit facility</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10)</w:t>
            </w:r>
          </w:p>
        </w:tc>
        <w:tc>
          <w:tcPr>
            <w:tcW w:w="8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borrowings/(repayments) under PNG credit agreement</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under PAA commercial paper program (Note 10)</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the issuance of PAA senior notes (Note 10)</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2,595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699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PAA senior notes (Note 10)</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proceeds from the issuance of common units (Note 11)</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general partner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proceeds from the issuance of PNG common units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11)</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Distributions paid to general partner (Note 11)</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noncontrolling interests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by/(used in) financing activities</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24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334</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2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Partners’ Capital</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2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General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Excluding</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Units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2"/>
                <w:szCs w:val="12"/>
                <w:color w:val="auto"/>
              </w:rPr>
            </w:pPr>
          </w:p>
        </w:tc>
        <w:tc>
          <w:tcPr>
            <w:tcW w:w="12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units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2"/>
        </w:trPr>
        <w:tc>
          <w:tcPr>
            <w:tcW w:w="400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 units under LTIP, net of</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units tendered by employees to satisfy tax</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withholding obligations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6,637</w:t>
            </w: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Issuance of common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units under LTIP, net of</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 tendered by employees to satisfy tax</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withholding obligations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PNG common units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PNG Merger (Note 11)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units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2"/>
        </w:trPr>
        <w:tc>
          <w:tcPr>
            <w:tcW w:w="400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 units under LTIP, net of</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units tendered by employees to satisfy tax</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withholding obligations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ectPr>
          <w:pgSz w:w="11900" w:h="16838" w:orient="portrait"/>
          <w:cols w:equalWidth="0" w:num="1">
            <w:col w:w="11420"/>
          </w:cols>
          <w:pgMar w:left="240" w:top="356" w:right="239" w:bottom="0" w:gutter="0" w:footer="0" w:header="0"/>
        </w:sectPr>
      </w:pPr>
    </w:p>
    <w:bookmarkStart w:id="106" w:name="page107"/>
    <w:bookmarkEnd w:id="106"/>
    <w:p>
      <w:pPr>
        <w:ind w:right="40" w:firstLine="648"/>
        <w:spacing w:after="0" w:line="255" w:lineRule="auto"/>
        <w:rPr>
          <w:sz w:val="20"/>
          <w:szCs w:val="20"/>
          <w:color w:val="auto"/>
        </w:rPr>
      </w:pPr>
      <w:r>
        <w:rPr>
          <w:rFonts w:ascii="Arial" w:cs="Arial" w:eastAsia="Arial" w:hAnsi="Arial"/>
          <w:sz w:val="18"/>
          <w:szCs w:val="18"/>
          <w:color w:val="auto"/>
        </w:rPr>
        <w:t>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 When used in this Form 10-K, NGL refers to all NGL products including LPG.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19 for further discussion of our operating segments.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(“IDRs”). Plains All American GP LLC (“GP LLC”), a Delaware limited liability company, is AAP’s general partner. Plains GP Holdings, L.P. (“PAGP”) is the sole member of GP LLC, and at December 31, 2014, owned an approximate 34.1% limited partner interest in AAP.</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AOCI</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 (loss)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Bcf</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Billion cubic feet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Btu</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British thermal unit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CAD</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Canadian dollar</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CERCLA</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Federal Comprehensive Environmental Response, Compensation and Liability Act, as amended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DERs</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EBITDA</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FASB</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GAAP</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ICE</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Intercontinental Exchange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IPO</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Initial public offering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LIBOR</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LTIP</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Long-term incentive plan</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Mcf</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Thousand cubic feet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MLP</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MQD</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Minimum quarterly distribution</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NYMEX</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NYSE</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New York Stock Exchange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Oxy</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PLA</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Pipeline loss allowance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PNG</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RCRA</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Federal Resource Conservation and Recovery Act, as amended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USD</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United States dollar</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WTI</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West Texas Intermediate</w:t>
            </w:r>
          </w:p>
        </w:tc>
      </w:tr>
      <w:tr>
        <w:trPr>
          <w:trHeight w:val="432"/>
        </w:trPr>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20" w:type="dxa"/>
            <w:vAlign w:val="bottom"/>
          </w:tcPr>
          <w:p>
            <w:pPr>
              <w:ind w:left="3640"/>
              <w:spacing w:after="0"/>
              <w:rPr>
                <w:sz w:val="20"/>
                <w:szCs w:val="20"/>
                <w:color w:val="auto"/>
              </w:rPr>
            </w:pPr>
            <w:r>
              <w:rPr>
                <w:rFonts w:ascii="Arial" w:cs="Arial" w:eastAsia="Arial" w:hAnsi="Arial"/>
                <w:sz w:val="18"/>
                <w:szCs w:val="18"/>
                <w:color w:val="auto"/>
              </w:rPr>
              <w:t>F-9</w:t>
            </w:r>
          </w:p>
        </w:tc>
      </w:tr>
      <w:tr>
        <w:trPr>
          <w:trHeight w:val="132"/>
        </w:trPr>
        <w:tc>
          <w:tcPr>
            <w:tcW w:w="11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95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accompanying financial statements and related notes present and discuss our consolidated financial position as of December 31, 2014 and 2013, and the consolidated results of our operations, cash flows, changes in partners’ capital, comprehensive income and changes in accumulated other comprehensive income / (loss) for the years ended December 31, 2014, 2013 and 2012. All significant intercompany transactions have been eliminated in consolidation, and certain reclassifications have been made to information from previous years to conform to the current presentation. These reclassifications do not affect net income attributable to PAA. The accompanying consolidated financial statements include PAA and all of its wholly owned subsidiaries.</w:t>
      </w:r>
    </w:p>
    <w:p>
      <w:pPr>
        <w:spacing w:after="0" w:line="15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PNG Merger</w:t>
      </w:r>
    </w:p>
    <w:p>
      <w:pPr>
        <w:spacing w:after="0" w:line="229"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On December 31, 2013, with the approval of PNG’s common unitholders, PNG became our wholly-owned subsidiary through a unit-for-unit exchange (referred to herein as the “PNG Merger”). See Note 11 for further discussion. Since we historically consolidated PNG for financial reporting purposes, the PNG Merger did not change the basis of consolidation of our historical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Two-for-One Unit Split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 two-for-one split of our common units was completed on October 1, 2012. The effect of the two-for-one split has been retroactively applied to all unit and per-unit data presented in this Form 10-K. In addition, our partnership agreement was amended to modify certain definitions related to target distribution amounts and minimum distribution amounts to reflect the unit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ectPr>
          <w:pgSz w:w="11900" w:h="16838" w:orient="portrait"/>
          <w:cols w:equalWidth="0" w:num="1">
            <w:col w:w="11460"/>
          </w:cols>
          <w:pgMar w:left="240" w:top="125" w:right="19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ectPr>
          <w:pgSz w:w="11900" w:h="16838" w:orient="portrait"/>
          <w:cols w:equalWidth="0" w:num="1">
            <w:col w:w="11460"/>
          </w:cols>
          <w:pgMar w:left="240" w:top="125" w:right="199" w:bottom="0" w:gutter="0" w:footer="0" w:header="0"/>
          <w:type w:val="continuous"/>
        </w:sectPr>
      </w:pPr>
    </w:p>
    <w:bookmarkStart w:id="107" w:name="page108"/>
    <w:bookmarkEnd w:id="107"/>
    <w:p>
      <w:pPr>
        <w:spacing w:after="0" w:line="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equity-indexed compensation plan accruals,</w:t>
      </w:r>
    </w:p>
    <w:p>
      <w:pPr>
        <w:spacing w:after="0" w:line="2" w:lineRule="exact"/>
        <w:rPr>
          <w:sz w:val="20"/>
          <w:szCs w:val="20"/>
          <w:color w:val="auto"/>
        </w:rPr>
      </w:pPr>
    </w:p>
    <w:p>
      <w:pPr>
        <w:ind w:right="540" w:firstLine="8"/>
        <w:spacing w:after="0" w:line="261" w:lineRule="auto"/>
        <w:tabs>
          <w:tab w:leader="none" w:pos="3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property and equipment and depreciation expense, (vii) allowance for doubtful accounts and (viii) inventory valuations. Although we believe these estimates are reasonable,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NGL and natural gas are recognized at the time title to the product sold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i w:val="1"/>
          <w:iCs w:val="1"/>
          <w:color w:val="auto"/>
        </w:rPr>
        <w:t xml:space="preserve">Transportation Segment Revenues. </w:t>
      </w:r>
      <w:r>
        <w:rPr>
          <w:rFonts w:ascii="Arial" w:cs="Arial" w:eastAsia="Arial" w:hAnsi="Arial"/>
          <w:sz w:val="17"/>
          <w:szCs w:val="17"/>
          <w:color w:val="auto"/>
        </w:rPr>
        <w:t>Our Transportation segment operations generally consist of fee-based activities associated with transporting</w:t>
      </w:r>
      <w:r>
        <w:rPr>
          <w:rFonts w:ascii="Arial" w:cs="Arial" w:eastAsia="Arial" w:hAnsi="Arial"/>
          <w:sz w:val="17"/>
          <w:szCs w:val="17"/>
          <w:i w:val="1"/>
          <w:iCs w:val="1"/>
          <w:color w:val="auto"/>
        </w:rPr>
        <w:t xml:space="preserve"> </w:t>
      </w:r>
      <w:r>
        <w:rPr>
          <w:rFonts w:ascii="Arial" w:cs="Arial" w:eastAsia="Arial" w:hAnsi="Arial"/>
          <w:sz w:val="17"/>
          <w:szCs w:val="17"/>
          <w:color w:val="auto"/>
        </w:rPr>
        <w:t>crude oil and NGL on pipelines, gathering systems, trucks and barges. Revenues from pipeline tariffs and fees are associated with the transportation of crude oil and NGL at a published tariff, as well as revenues associated with agreements for committed space on various assets. Tariff revenues are recognized either at the point of delivery or at the point of receipt pursuant to specifications outlined in the regulated and non-regulated tariffs. Revenues associated with fees are recognized in the month to which the fee applies. The majority of our pipeline tariff and fee revenues are based on actual volumes and rates.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w:t>
      </w:r>
    </w:p>
    <w:p>
      <w:pPr>
        <w:spacing w:after="0" w:line="183" w:lineRule="exact"/>
        <w:rPr>
          <w:sz w:val="20"/>
          <w:szCs w:val="20"/>
          <w:color w:val="auto"/>
        </w:rPr>
      </w:pPr>
    </w:p>
    <w:p>
      <w:pPr>
        <w:ind w:firstLine="693"/>
        <w:spacing w:after="0" w:line="255" w:lineRule="auto"/>
        <w:rPr>
          <w:sz w:val="20"/>
          <w:szCs w:val="20"/>
          <w:color w:val="auto"/>
        </w:rPr>
      </w:pPr>
      <w:r>
        <w:rPr>
          <w:rFonts w:ascii="Arial" w:cs="Arial" w:eastAsia="Arial" w:hAnsi="Arial"/>
          <w:sz w:val="18"/>
          <w:szCs w:val="18"/>
          <w:i w:val="1"/>
          <w:iCs w:val="1"/>
          <w:color w:val="auto"/>
        </w:rPr>
        <w:t xml:space="preserve">Facilities Segment Revenues. </w:t>
      </w:r>
      <w:r>
        <w:rPr>
          <w:rFonts w:ascii="Arial" w:cs="Arial" w:eastAsia="Arial" w:hAnsi="Arial"/>
          <w:sz w:val="18"/>
          <w:szCs w:val="18"/>
          <w:color w:val="auto"/>
        </w:rPr>
        <w:t>Our Facilities segment operations generally consist of fee-based activities associated with providing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terminalling and throughput services for crude oil, refined products,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w:t>
      </w:r>
    </w:p>
    <w:p>
      <w:pPr>
        <w:spacing w:after="0" w:line="189" w:lineRule="exact"/>
        <w:rPr>
          <w:sz w:val="20"/>
          <w:szCs w:val="20"/>
          <w:color w:val="auto"/>
        </w:rPr>
      </w:pPr>
    </w:p>
    <w:p>
      <w:pPr>
        <w:ind w:right="60" w:firstLine="693"/>
        <w:spacing w:after="0" w:line="291"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 In addition, we have certain agreements that require counterparties to throughput a minimum volume over an agreed upon period. Revenue is recognized at the latter of when the volume exits the terminal or when the counterparty’s ability to make up the minimum volume has expired.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Purchases and related costs include (i) the cost of crude oil, NGL and natural gas obtained in outright purchases, (ii) fees incurred for third-party storage and transportation, whether by pipeline, truck, rail, ship or barge, (iii) interest cost attributable to borrowings for inventory stored in a contango market and (iv) performance-related bonus costs. These costs are recognized when incurred except in the case of products purchased, which are recognized at the time title transfers to us. Purchases that are part of exchanges under buy/sell transactions are netted with the related sales, with any margin presented in “Purchases and related costs” in our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Field operating costs consist of various field operating expenses, including fuel and power costs, telecommunications, payroll and benefit costs (including equity-indexed compensation expense) for truck drivers and field and other operations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equity-indexed compensation expense), certain information systems and legal costs, office rent, contract and consultant costs and audit and tax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w:t>
      </w:r>
    </w:p>
    <w:p>
      <w:pPr>
        <w:sectPr>
          <w:pgSz w:w="11900" w:h="16845" w:orient="portrait"/>
          <w:cols w:equalWidth="0" w:num="1">
            <w:col w:w="11420"/>
          </w:cols>
          <w:pgMar w:left="240" w:top="341" w:right="239" w:bottom="0" w:gutter="0" w:footer="0" w:header="0"/>
        </w:sectPr>
      </w:pPr>
    </w:p>
    <w:bookmarkStart w:id="108" w:name="page109"/>
    <w:bookmarkEnd w:id="108"/>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loss of $13 million for the year ended December 31, 2014, a gain of $1 million for the year ended December 31, 2013 and a loss of $2 million for the year ended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We used the cash on hand at December 31, 2014 to repay $400 million of commercial paper borrowings during the first week of January 2015.</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accordance with our policy, outstanding checks are classified as accounts payable rather than negative cash. As of December 31, 2014 and 2013, accounts payable included $94 million and $70 million, respectively, of outstanding checks that were reclassified from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During late 2014 and early 2015, commodity prices dropped significantly. This volatility has caused liquidity issues impacting many energy companies, which in turn has increased the potential credit risks associated with certain counterparties with which we do business. To mitigate credit risk related to our accounts receivable, we have in place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December 31, 2014 and 2013, we had received $180 million and $117 million, respectively, of advance cash payments from third parties to mitigate credit risk. Furthermore, as of December 31, 2014 and 2013, we had received $198 million and $426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6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2014 and 2013, substantially all of our accounts receivable (net of allowance for doubtful accounts) were less than 30 days past their scheduled invoice date. Our allowance for doubtful accounts receivable totaled $4 million and $5 million at December 31, 2014 and 2013, respectively. Although we consider our allowance for doubtful accounts receivable to be adequate, actual amounts could vary significantly from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account for noncontrolling interests in subsidiaries in accordance with FASB guidance, which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11 for additional discussion regarding our noncontrolling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$36 million and $34 million, respectively, at December 31, 2014 and 2013.</w:t>
      </w:r>
    </w:p>
    <w:p>
      <w:pPr>
        <w:sectPr>
          <w:pgSz w:w="11900" w:h="16952" w:orient="portrait"/>
          <w:cols w:equalWidth="0" w:num="1">
            <w:col w:w="11420"/>
          </w:cols>
          <w:pgMar w:left="240" w:top="341" w:right="239" w:bottom="0" w:gutter="0" w:footer="0" w:header="0"/>
        </w:sectPr>
      </w:pPr>
    </w:p>
    <w:bookmarkStart w:id="109" w:name="page110"/>
    <w:bookmarkEnd w:id="109"/>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See the respective footnotes for our accounting policies regarding (i) acquisitions, (ii) net income per limited partner unit, (iii) inventory, linefill and base gas and long-term inventory, (iv) property and equipment, (v) goodwill, (vi) investments in unconsolidated entities, (vii) other assets, net,</w:t>
      </w:r>
    </w:p>
    <w:p>
      <w:pPr>
        <w:spacing w:after="0"/>
        <w:rPr>
          <w:sz w:val="20"/>
          <w:szCs w:val="20"/>
          <w:color w:val="auto"/>
        </w:rPr>
      </w:pPr>
      <w:r>
        <w:rPr>
          <w:rFonts w:ascii="Arial" w:cs="Arial" w:eastAsia="Arial" w:hAnsi="Arial"/>
          <w:sz w:val="18"/>
          <w:szCs w:val="18"/>
          <w:color w:val="auto"/>
        </w:rPr>
        <w:t>(viii) derivatives and risk management activities, (ix) income taxes, (x) equity-indexed compensation and (xi) legal and environmental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January 2015, as part of its initiative to reduce complexity in accounting standards, the FASB issued guidance to eliminate the concept of extraordinary items from GAAP. This guidance will become effective for interim and annual periods beginning after December 15, 2015. We expect to adopt this guidance on January 1, 2016. We do not believe our adoption will have a material impact on our financial position, results of operations or cash flows.</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becomes effective for interim and annual periods beginning after December 15, 2016 and can be adopted either with a full retrospective approach or a modified retrospective approach with a cumulative-effect adjustment as of the date of adoption. We are currently evaluating which transition approach to apply and the effect that adopting this guidance will have on our financial position, results of operations and cash flows.</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Early adoption is permitted but only for disposals (or classifications as held for sale) that have not been reported in financial statements previously issued or available for issue. We adopted this guidance on January 1, 2015. Our adoption did not have a material impact on our financial position, results of operations or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became effective beginning after December 15, 2013. We adopted this guidance on January 1, 2014. Our adoption did not have a material impact on our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Acquisition of Interest in BridgeTex Pipeline Company, LLC</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November 14, 2014, we acquired a 50% interest in BridgeTex Pipeline Company, LLC (“BridgeTex”) from Oxy. We account for this investment under the equity method of accounting. See Note 8 for additional discussion.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2014 Acquisitions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year ended December 31, 2014, we completed two additional acquisitions for aggregate consideration of $11 million. The assets acquired primarily included a crude oil terminal and a propane terminal included in our Facilities segment. We recognized goodwill of $1 million related to these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During the year ended December 31, 2013, we completed an acquisition for aggregate consideration of $19 million. The assets acquired included a trucking business included in our Transportation segment. We recognized goodwill of $6 million related to this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Acquisitions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BP NGL Acquisition</w:t>
      </w:r>
    </w:p>
    <w:p>
      <w:pPr>
        <w:spacing w:after="0" w:line="229"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On April 1, 2012, we acquired all of the outstanding shares of BP Canada Energy Company, a wholly owned subsidiary of BP Corporation North America Inc. from Amoco Canada International Holdings B.V. Total consideration for this acquisition (referred to herein as the “BP NGL Acquisition”), which was based on an October 1, 2011 effective date, was approximately $1.68 billion in cash, including $17 million of imputed interest.</w:t>
      </w:r>
    </w:p>
    <w:p>
      <w:pPr>
        <w:sectPr>
          <w:pgSz w:w="11900" w:h="16885" w:orient="portrait"/>
          <w:cols w:equalWidth="0" w:num="1">
            <w:col w:w="11420"/>
          </w:cols>
          <w:pgMar w:left="240" w:top="341" w:right="239" w:bottom="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The determination of the fair value of the assets and liabilities acquired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Depreciable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1,081</w:t>
            </w:r>
          </w:p>
        </w:tc>
        <w:tc>
          <w:tcPr>
            <w:tcW w:w="1380" w:type="dxa"/>
            <w:vAlign w:val="bottom"/>
          </w:tcPr>
          <w:p>
            <w:pPr>
              <w:jc w:val="right"/>
              <w:ind w:right="394"/>
              <w:spacing w:after="0"/>
              <w:rPr>
                <w:sz w:val="20"/>
                <w:szCs w:val="20"/>
                <w:color w:val="auto"/>
              </w:rPr>
            </w:pPr>
            <w:r>
              <w:rPr>
                <w:rFonts w:ascii="Arial" w:cs="Arial" w:eastAsia="Arial" w:hAnsi="Arial"/>
                <w:sz w:val="18"/>
                <w:szCs w:val="18"/>
                <w:color w:val="auto"/>
              </w:rPr>
              <w:t>5 - 70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Linefill</w:t>
            </w: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Long-term inventory</w:t>
            </w: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(contract)</w:t>
            </w: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38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Goodwill</w:t>
            </w: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Environmental liability</w:t>
            </w: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8"/>
                <w:szCs w:val="18"/>
                <w:color w:val="auto"/>
              </w:rPr>
              <w:t>Total</w:t>
            </w: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4820" w:type="dxa"/>
            <w:vAlign w:val="bottom"/>
            <w:gridSpan w:val="3"/>
          </w:tcPr>
          <w:p>
            <w:pPr>
              <w:jc w:val="right"/>
              <w:ind w:right="2590"/>
              <w:spacing w:after="0"/>
              <w:rPr>
                <w:sz w:val="20"/>
                <w:szCs w:val="20"/>
                <w:color w:val="auto"/>
              </w:rPr>
            </w:pPr>
            <w:r>
              <w:rPr>
                <w:rFonts w:ascii="Arial" w:cs="Arial" w:eastAsia="Arial" w:hAnsi="Arial"/>
                <w:sz w:val="18"/>
                <w:szCs w:val="18"/>
                <w:color w:val="auto"/>
              </w:rPr>
              <w:t>F-14</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40" w:type="dxa"/>
            <w:vAlign w:val="bottom"/>
            <w:tcBorders>
              <w:bottom w:val="single" w:sz="8" w:color="010101"/>
            </w:tcBorders>
          </w:tcPr>
          <w:p>
            <w:pPr>
              <w:spacing w:after="0"/>
              <w:rPr>
                <w:sz w:val="11"/>
                <w:szCs w:val="11"/>
                <w:color w:val="auto"/>
              </w:rPr>
            </w:pPr>
          </w:p>
        </w:tc>
        <w:tc>
          <w:tcPr>
            <w:tcW w:w="4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w:t>
      </w:r>
    </w:p>
    <w:p>
      <w:pPr>
        <w:spacing w:after="0" w:line="166"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BP NGL Acquisition was pre-funded through various means, including the issuance of common units and senior notes in March 2012 for net proceeds of approximately $1.69 billion. During the year ended December 31, 2012, we incurred $13 million of acquisition-related costs associated with the BP NGL Acquisition. Such costs are reflected as a component of “General and administrative expenses” in our Consolidated Statement of Operations.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USD Rail Terminal Acquisition</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December 12, 2012, we completed a transaction with U.S. Development Group (referred to herein as the “USD Rail Terminal Acquisition”) for an aggregate consideration of $503 million, paid in cash. Through the USD Rail Terminal Acquisition, we acquired four operating crude oil rail terminals and one terminal under development. The determination of the fair value of the assets and liabilities acquired was $1 million of working capital, $76 million of property and equipment and $426 million of goodwill. The goodwill arising from the USD Rail Terminal Acquisition represents anticipated opportunities to generate future cash flows from the rail facilities by utilizing them to reduce capacity constraints in certain geographic market areas.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2012 Acquisitions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During the year ended December 31, 2012, we completed several additional acquisitions for an aggregate consideration of $150 million. The assets acquired primarily included crude oil and condensate gathering pipelines, a truck unloading terminal and trailers that are utilized in our Transportation segment, and terminal facilities included in our Facilities segment. We recognized goodwill of $10 million related to these acquisitions.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 Forma Results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Disclosure of the revenues and earnings from the BP NGL Acquisition, USD Rail Terminal Acquisition and our other 2012 acquisitions in our results for the year ended December 31, 2012 is not practicable as they were not operated as standalone subsidiaries. Selected unaudited pro forma results of operations for the year ended December 31, 2012, assuming our 2012 acquisitions had occurred on January 1, 2012, are presented below (in millions, except per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7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2012</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2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 interest in net income attributable to PAA</w:t>
            </w:r>
          </w:p>
        </w:tc>
        <w:tc>
          <w:tcPr>
            <w:tcW w:w="2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income per limited partner unit:</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2014, 2013 and 2012, we sold various property and equipment for proceeds totaling $28 million, $200 million and $22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Gains of $1 million, less than $1 million and $6 million were recognized in 2014, 2013 and 2012, respectively, related to these sales.</w:t>
      </w:r>
    </w:p>
    <w:p>
      <w:pPr>
        <w:spacing w:after="0" w:line="21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2013 dispositions primarily included the sale of certain refined products pipeline systems and related assets included in our Transportation segment. We closed a portion of the transaction in July 2013 and the balance in November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Limited Partner Unit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Basic and diluted net income per limited partner unit is determined pursuant to the two-class method for MLPs as prescribed in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calculate basic and diluted net income per limited partner unit by dividing net income attributable to PAA (after deducting the amount allocated to the general partner’s interest,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w:t>
      </w:r>
    </w:p>
    <w:p>
      <w:pPr>
        <w:ind w:right="480" w:firstLine="8"/>
        <w:spacing w:after="0" w:line="302" w:lineRule="auto"/>
        <w:tabs>
          <w:tab w:leader="none" w:pos="215" w:val="left"/>
        </w:tabs>
        <w:numPr>
          <w:ilvl w:val="0"/>
          <w:numId w:val="99"/>
        </w:numPr>
        <w:rPr>
          <w:rFonts w:ascii="Arial" w:cs="Arial" w:eastAsia="Arial" w:hAnsi="Arial"/>
          <w:sz w:val="16"/>
          <w:szCs w:val="16"/>
          <w:color w:val="auto"/>
        </w:rPr>
      </w:pPr>
      <w:r>
        <w:rPr>
          <w:rFonts w:ascii="Arial" w:cs="Arial" w:eastAsia="Arial" w:hAnsi="Arial"/>
          <w:sz w:val="16"/>
          <w:szCs w:val="16"/>
          <w:color w:val="auto"/>
        </w:rPr>
        <w:t>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16 for a complete discussion of our LTIP awards including specific discussion regarding DERs.</w:t>
      </w:r>
    </w:p>
    <w:p>
      <w:pPr>
        <w:spacing w:after="0" w:line="15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limited partner unit for the years ended December 31, 2014, 2013 and 2012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 attributable to PAA</w:t>
            </w:r>
          </w:p>
        </w:tc>
        <w:tc>
          <w:tcPr>
            <w:tcW w:w="900" w:type="dxa"/>
            <w:vAlign w:val="bottom"/>
          </w:tcPr>
          <w:p>
            <w:pPr>
              <w:jc w:val="right"/>
              <w:ind w:right="745"/>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limited partners</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340"/>
              <w:spacing w:after="0" w:line="162" w:lineRule="exact"/>
              <w:rPr>
                <w:sz w:val="20"/>
                <w:szCs w:val="20"/>
                <w:color w:val="auto"/>
              </w:rPr>
            </w:pPr>
            <w:r>
              <w:rPr>
                <w:rFonts w:ascii="Arial" w:cs="Arial" w:eastAsia="Arial" w:hAnsi="Arial"/>
                <w:sz w:val="18"/>
                <w:szCs w:val="18"/>
                <w:color w:val="auto"/>
                <w:w w:val="97"/>
              </w:rPr>
              <w:t>Less: Undistributed earnings allocated and distributions to participating securities</w:t>
            </w:r>
          </w:p>
        </w:tc>
        <w:tc>
          <w:tcPr>
            <w:tcW w:w="900" w:type="dxa"/>
            <w:vAlign w:val="bottom"/>
          </w:tcPr>
          <w:p>
            <w:pPr>
              <w:spacing w:after="0"/>
              <w:rPr>
                <w:sz w:val="14"/>
                <w:szCs w:val="14"/>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tcPr>
          <w:p>
            <w:pPr>
              <w:ind w:left="520"/>
              <w:spacing w:after="0"/>
              <w:rPr>
                <w:sz w:val="20"/>
                <w:szCs w:val="20"/>
                <w:color w:val="auto"/>
              </w:rPr>
            </w:pPr>
            <w:r>
              <w:rPr>
                <w:rFonts w:ascii="Arial" w:cs="Arial" w:eastAsia="Arial" w:hAnsi="Arial"/>
                <w:sz w:val="12"/>
                <w:szCs w:val="12"/>
                <w:color w:val="auto"/>
              </w:rPr>
              <w:t>(1)</w:t>
            </w:r>
          </w:p>
        </w:tc>
        <w:tc>
          <w:tcPr>
            <w:tcW w:w="9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Net income available to limited partners in accordance with application of the two-</w:t>
            </w: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vMerge w:val="continue"/>
            <w:shd w:val="clear" w:color="auto" w:fill="CCEEFF"/>
          </w:tcPr>
          <w:p>
            <w:pPr>
              <w:spacing w:after="0"/>
              <w:rPr>
                <w:sz w:val="15"/>
                <w:szCs w:val="15"/>
                <w:color w:val="auto"/>
              </w:rPr>
            </w:pPr>
          </w:p>
        </w:tc>
        <w:tc>
          <w:tcPr>
            <w:tcW w:w="900" w:type="dxa"/>
            <w:vAlign w:val="bottom"/>
            <w:vMerge w:val="restart"/>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vMerge w:val="restart"/>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method for MLPs</w:t>
            </w:r>
          </w:p>
        </w:tc>
        <w:tc>
          <w:tcPr>
            <w:tcW w:w="9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limited partner units outstanding</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900" w:type="dxa"/>
            <w:vAlign w:val="bottom"/>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 attributable to PAA</w:t>
            </w:r>
          </w:p>
        </w:tc>
        <w:tc>
          <w:tcPr>
            <w:tcW w:w="900" w:type="dxa"/>
            <w:vAlign w:val="bottom"/>
          </w:tcPr>
          <w:p>
            <w:pPr>
              <w:jc w:val="right"/>
              <w:ind w:right="745"/>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limited partners</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ind w:left="340"/>
              <w:spacing w:after="0" w:line="162" w:lineRule="exact"/>
              <w:rPr>
                <w:sz w:val="20"/>
                <w:szCs w:val="20"/>
                <w:color w:val="auto"/>
              </w:rPr>
            </w:pPr>
            <w:r>
              <w:rPr>
                <w:rFonts w:ascii="Arial" w:cs="Arial" w:eastAsia="Arial" w:hAnsi="Arial"/>
                <w:sz w:val="18"/>
                <w:szCs w:val="18"/>
                <w:color w:val="auto"/>
                <w:w w:val="97"/>
              </w:rPr>
              <w:t>Less: Undistributed earnings allocated and distributions to participating securities</w:t>
            </w:r>
          </w:p>
        </w:tc>
        <w:tc>
          <w:tcPr>
            <w:tcW w:w="900" w:type="dxa"/>
            <w:vAlign w:val="bottom"/>
          </w:tcPr>
          <w:p>
            <w:pPr>
              <w:spacing w:after="0"/>
              <w:rPr>
                <w:sz w:val="14"/>
                <w:szCs w:val="14"/>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tcPr>
          <w:p>
            <w:pPr>
              <w:ind w:left="520"/>
              <w:spacing w:after="0"/>
              <w:rPr>
                <w:sz w:val="20"/>
                <w:szCs w:val="20"/>
                <w:color w:val="auto"/>
              </w:rPr>
            </w:pPr>
            <w:r>
              <w:rPr>
                <w:rFonts w:ascii="Arial" w:cs="Arial" w:eastAsia="Arial" w:hAnsi="Arial"/>
                <w:sz w:val="12"/>
                <w:szCs w:val="12"/>
                <w:color w:val="auto"/>
              </w:rPr>
              <w:t>(1)</w:t>
            </w:r>
          </w:p>
        </w:tc>
        <w:tc>
          <w:tcPr>
            <w:tcW w:w="9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Net income available to limited partners in accordance with application of the two-</w:t>
            </w: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vMerge w:val="continue"/>
            <w:shd w:val="clear" w:color="auto" w:fill="CCEEFF"/>
          </w:tcPr>
          <w:p>
            <w:pPr>
              <w:spacing w:after="0"/>
              <w:rPr>
                <w:sz w:val="15"/>
                <w:szCs w:val="15"/>
                <w:color w:val="auto"/>
              </w:rPr>
            </w:pPr>
          </w:p>
        </w:tc>
        <w:tc>
          <w:tcPr>
            <w:tcW w:w="900" w:type="dxa"/>
            <w:vAlign w:val="bottom"/>
            <w:vMerge w:val="restart"/>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vMerge w:val="restart"/>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961</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method for MLPs</w:t>
            </w:r>
          </w:p>
        </w:tc>
        <w:tc>
          <w:tcPr>
            <w:tcW w:w="9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limited partner units outstanding</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Effect of dilutive securities: Weighted average LTIP units</w:t>
            </w:r>
          </w:p>
        </w:tc>
        <w:tc>
          <w:tcPr>
            <w:tcW w:w="9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limited partner units outstanding</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income per limited partner unit</w:t>
            </w:r>
          </w:p>
        </w:tc>
        <w:tc>
          <w:tcPr>
            <w:tcW w:w="900" w:type="dxa"/>
            <w:vAlign w:val="bottom"/>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38" w:lineRule="auto"/>
        <w:tabs>
          <w:tab w:leader="none" w:pos="648"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Pursuant to the terms of our partnership agreement, the general partner’s incentive distribution is limited to a percentage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the partnership agreement, basic and diluted net income per limited partner unit as reflected in the table above would be impacted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 impact</w:t>
            </w:r>
          </w:p>
        </w:tc>
        <w:tc>
          <w:tcPr>
            <w:tcW w:w="102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6"/>
              </w:rPr>
              <w:t>(0.20)</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6"/>
              </w:rPr>
              <w:t>(0.11)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 impact</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(0.11)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368" w:right="239" w:bottom="0" w:gutter="0" w:footer="0" w:header="0"/>
        </w:sectPr>
      </w:pPr>
    </w:p>
    <w:p>
      <w:pPr>
        <w:spacing w:after="0"/>
        <w:rPr>
          <w:sz w:val="20"/>
          <w:szCs w:val="20"/>
          <w:color w:val="auto"/>
        </w:rPr>
      </w:pPr>
      <w:r>
        <w:rPr>
          <w:rFonts w:ascii="Arial" w:cs="Arial" w:eastAsia="Arial" w:hAnsi="Arial"/>
          <w:sz w:val="16"/>
          <w:szCs w:val="16"/>
          <w:b w:val="1"/>
          <w:bCs w:val="1"/>
          <w:color w:val="auto"/>
        </w:rPr>
        <w:t>Note 5—Inventory, Linefill and Base Gas and Long-term Inventory</w:t>
      </w:r>
    </w:p>
    <w:p>
      <w:pPr>
        <w:sectPr>
          <w:pgSz w:w="11900" w:h="16838" w:orient="portrait"/>
          <w:cols w:equalWidth="0" w:num="1">
            <w:col w:w="11420"/>
          </w:cols>
          <w:pgMar w:left="240" w:top="368" w:right="239" w:bottom="0" w:gutter="0" w:footer="0" w:header="0"/>
          <w:type w:val="continuous"/>
        </w:sectPr>
      </w:pPr>
    </w:p>
    <w:bookmarkStart w:id="112" w:name="page113"/>
    <w:bookmarkEnd w:id="112"/>
    <w:p>
      <w:pPr>
        <w:spacing w:after="0" w:line="49"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2014, 2013 and 2012, we recorded charges of $289 million, $7 million and $128 million, respectively, related to the writedown of our crude oil, NGL and natural gas inventory due to declines in prices. The year ended December 31, 2014 included the writedown of our natural gas inventory that was purchased in conjunction with managing natural gas storage deliverability requirements during the extended period of severe cold weather in the first quarter of 2014. A portion of these adjustments were offset by the recognition of gains on derivative instruments being utilized to hedge the future sales of our crude oil and NGL inventory. Substantially all of such gains were recorded to “Supply and Logistics segment revenues” in our accompanying Consolidated Statement of Operations. In 2014, we recognized $160 million of such gains. A majority of the inventory subject to writedown in the 2013 and 2012 periods had been liquidated and the applicable derivative instruments had been settled by the end of each year. See Note 12 for discussion of our derivative and risk management activities.</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Linefill and base gas and minimum working inventory requirements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 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2014, 2013 and 2012, we did not recognize any impairments of linefill and base gas, but we did recognize gains of $8 million, $7 million and $19 million, respectively, on the sale of linefill and base gas for proceeds of $24 million, $40 million and $65 million, respectively.</w:t>
      </w:r>
    </w:p>
    <w:p>
      <w:pPr>
        <w:spacing w:after="0" w:line="197"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Unit of</w:t>
            </w:r>
          </w:p>
        </w:tc>
        <w:tc>
          <w:tcPr>
            <w:tcW w:w="140" w:type="dxa"/>
            <w:vAlign w:val="bottom"/>
          </w:tcPr>
          <w:p>
            <w:pPr>
              <w:spacing w:after="0"/>
              <w:rPr>
                <w:sz w:val="10"/>
                <w:szCs w:val="10"/>
                <w:color w:val="auto"/>
              </w:rPr>
            </w:pPr>
          </w:p>
        </w:tc>
        <w:tc>
          <w:tcPr>
            <w:tcW w:w="10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74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rPr>
              <w:t>Price/</w:t>
            </w:r>
          </w:p>
        </w:tc>
        <w:tc>
          <w:tcPr>
            <w:tcW w:w="24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Unit of</w:t>
            </w:r>
          </w:p>
        </w:tc>
        <w:tc>
          <w:tcPr>
            <w:tcW w:w="120" w:type="dxa"/>
            <w:vAlign w:val="bottom"/>
          </w:tcPr>
          <w:p>
            <w:pPr>
              <w:spacing w:after="0"/>
              <w:rPr>
                <w:sz w:val="10"/>
                <w:szCs w:val="10"/>
                <w:color w:val="auto"/>
              </w:rPr>
            </w:pPr>
          </w:p>
        </w:tc>
        <w:tc>
          <w:tcPr>
            <w:tcW w:w="9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140" w:type="dxa"/>
            <w:vAlign w:val="bottom"/>
            <w:gridSpan w:val="2"/>
            <w:vMerge w:val="continue"/>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Crude oil</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6,465</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47.02</w:t>
            </w:r>
          </w:p>
        </w:tc>
        <w:tc>
          <w:tcPr>
            <w:tcW w:w="920" w:type="dxa"/>
            <w:vAlign w:val="bottom"/>
          </w:tcPr>
          <w:p>
            <w:pPr>
              <w:jc w:val="right"/>
              <w:spacing w:after="0"/>
              <w:rPr>
                <w:sz w:val="20"/>
                <w:szCs w:val="20"/>
                <w:color w:val="auto"/>
              </w:rPr>
            </w:pPr>
            <w:r>
              <w:rPr>
                <w:rFonts w:ascii="Arial" w:cs="Arial" w:eastAsia="Arial" w:hAnsi="Arial"/>
                <w:sz w:val="18"/>
                <w:szCs w:val="18"/>
                <w:color w:val="auto"/>
              </w:rPr>
              <w:t>6,951</w:t>
            </w:r>
          </w:p>
        </w:tc>
        <w:tc>
          <w:tcPr>
            <w:tcW w:w="2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13,553</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Natural gas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32,317</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40,505</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11,810</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10,966</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NGL</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42.90</w:t>
            </w:r>
          </w:p>
        </w:tc>
        <w:tc>
          <w:tcPr>
            <w:tcW w:w="920" w:type="dxa"/>
            <w:vAlign w:val="bottom"/>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28,612</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Mcf</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16,615</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Mcf</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ind w:left="160"/>
              <w:spacing w:after="0" w:line="182" w:lineRule="exact"/>
              <w:rPr>
                <w:sz w:val="20"/>
                <w:szCs w:val="20"/>
                <w:color w:val="auto"/>
              </w:rPr>
            </w:pPr>
            <w:r>
              <w:rPr>
                <w:rFonts w:ascii="Arial" w:cs="Arial" w:eastAsia="Arial" w:hAnsi="Arial"/>
                <w:sz w:val="18"/>
                <w:szCs w:val="18"/>
                <w:color w:val="auto"/>
              </w:rPr>
              <w:t>Linefill and base gas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2,582</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NGL</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1,681</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29.74</w:t>
            </w:r>
          </w:p>
        </w:tc>
        <w:tc>
          <w:tcPr>
            <w:tcW w:w="920" w:type="dxa"/>
            <w:vAlign w:val="bottom"/>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Long-term inventory</w:t>
            </w: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2014, 2013 and 2012, capitalized interest was $48 million, $38 million and $36 million, respectively. We also capitalize expenditures for the replacement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as of the dates indicated (in millions):</w:t>
      </w:r>
    </w:p>
    <w:p>
      <w:pPr>
        <w:spacing w:after="0" w:line="217" w:lineRule="exact"/>
        <w:rPr>
          <w:sz w:val="20"/>
          <w:szCs w:val="20"/>
          <w:color w:val="auto"/>
        </w:rPr>
      </w:pPr>
    </w:p>
    <w:p>
      <w:pPr>
        <w:ind w:left="6660"/>
        <w:spacing w:after="0"/>
        <w:tabs>
          <w:tab w:leader="none" w:pos="9220" w:val="left"/>
        </w:tabs>
        <w:rPr>
          <w:sz w:val="20"/>
          <w:szCs w:val="20"/>
          <w:color w:val="auto"/>
        </w:rPr>
      </w:pPr>
      <w:r>
        <w:rPr>
          <w:rFonts w:ascii="Arial" w:cs="Arial" w:eastAsia="Arial" w:hAnsi="Arial"/>
          <w:sz w:val="14"/>
          <w:szCs w:val="14"/>
          <w:b w:val="1"/>
          <w:bCs w:val="1"/>
          <w:color w:val="auto"/>
        </w:rPr>
        <w:t>Estimated Useful</w:t>
      </w:r>
      <w:r>
        <w:rPr>
          <w:sz w:val="20"/>
          <w:szCs w:val="20"/>
          <w:color w:val="auto"/>
        </w:rPr>
        <w:tab/>
      </w:r>
      <w:r>
        <w:rPr>
          <w:rFonts w:ascii="Arial" w:cs="Arial" w:eastAsia="Arial" w:hAnsi="Arial"/>
          <w:sz w:val="12"/>
          <w:szCs w:val="12"/>
          <w:b w:val="1"/>
          <w:bCs w:val="1"/>
          <w:color w:val="auto"/>
        </w:rPr>
        <w:t>December 31,</w:t>
      </w:r>
    </w:p>
    <w:p>
      <w:pPr>
        <w:spacing w:after="0" w:line="20" w:lineRule="exact"/>
        <w:rPr>
          <w:sz w:val="20"/>
          <w:szCs w:val="20"/>
          <w:color w:val="auto"/>
        </w:rPr>
      </w:pPr>
    </w:p>
    <w:p>
      <w:pPr>
        <w:sectPr>
          <w:pgSz w:w="11900" w:h="16887" w:orient="portrait"/>
          <w:cols w:equalWidth="0" w:num="1">
            <w:col w:w="11420"/>
          </w:cols>
          <w:pgMar w:left="240" w:top="341" w:right="239" w:bottom="0" w:gutter="0" w:footer="0" w:header="0"/>
        </w:sectPr>
      </w:pPr>
    </w:p>
    <w:bookmarkStart w:id="113" w:name="page114"/>
    <w:bookmarkEnd w:id="113"/>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Lives (Years)</w:t>
            </w: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Pipelines and related facilities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Storage, terminal and rail facilities</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30 - 70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4,853</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4,704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1,545</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1,008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Office property and equipment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Land and other</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373</w:t>
            </w:r>
          </w:p>
        </w:tc>
      </w:tr>
      <w:tr>
        <w:trPr>
          <w:trHeight w:val="210"/>
        </w:trPr>
        <w:tc>
          <w:tcPr>
            <w:tcW w:w="65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12,473</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(1,906)</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(1,654)</w:t>
            </w:r>
          </w:p>
        </w:tc>
      </w:tr>
      <w:tr>
        <w:trPr>
          <w:trHeight w:val="210"/>
        </w:trPr>
        <w:tc>
          <w:tcPr>
            <w:tcW w:w="6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2014, 2013 and 2012 was $319 million, $259 million and $222 million, respectively. We also classify gains and losses on sales of assets and asset impairments as a component of “Depreciation and amortization” in our Consolidated Statements of Operations. See Note 3 for additional information regarding dispositions. See “Impairment of Long-Lived Assets” below for a discussion of our policy for the recognition of asset impairments.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181" w:lineRule="exact"/>
        <w:rPr>
          <w:sz w:val="20"/>
          <w:szCs w:val="20"/>
          <w:color w:val="auto"/>
        </w:rPr>
      </w:pPr>
    </w:p>
    <w:p>
      <w:pPr>
        <w:ind w:left="940" w:hanging="284"/>
        <w:spacing w:after="0"/>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years ended December 31, 2014 and 2013 we recognized impairments of $10 million and $20 million, respectively, related predominantly to assets taken out of service.</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During the year ended December 31, 2012, we recognized losses on impairments of long-lived assets of $168 million, primarily related to our Pier 400 terminal project, which is reflected in “Depreciation and amortization” on our Consolidated Statement of Operations. This project, which we acquired in late 2006 by virtue of our merger with Pacific Energy Partners, L.P., was to develop a deepwater petroleum import terminal at Pier 400 and Terminal Island in the Port of Los Angeles to handle marine receipts of crude oil and refinery feedstock. During the third quarter of 2012, we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our Facilities segment.</w:t>
      </w:r>
    </w:p>
    <w:p>
      <w:pPr>
        <w:spacing w:after="0" w:line="195"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Also in 2012, we recognized a loss on impairment as a result of our decision to sell certain refined products pipeline systems and related assets included in the Transportation segment. In accordance with GAAP, we wrote their book value down to their expected sales price. In 2013, we sold these systems and related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accordance with FASB guidance, we test goodwill at least annually (as of June 30) and on an interim basis if a triggering event occurs, such as an adverse change in business climate, to determine whether impairment has occurred. Goodwill is tested for impairment at a level of reporting referred to as a reporting unit. A reporting unit is an operating segment or one level below an operating segment for which discrete financial information is available and</w:t>
      </w:r>
    </w:p>
    <w:p>
      <w:pPr>
        <w:spacing w:after="0" w:line="20" w:lineRule="exact"/>
        <w:rPr>
          <w:sz w:val="20"/>
          <w:szCs w:val="20"/>
          <w:color w:val="auto"/>
        </w:rPr>
      </w:pPr>
    </w:p>
    <w:p>
      <w:pPr>
        <w:sectPr>
          <w:pgSz w:w="11900" w:h="16966" w:orient="portrait"/>
          <w:cols w:equalWidth="0" w:num="1">
            <w:col w:w="11420"/>
          </w:cols>
          <w:pgMar w:left="240" w:top="118" w:right="239" w:bottom="0" w:gutter="0" w:footer="0" w:header="0"/>
        </w:sectPr>
      </w:pPr>
    </w:p>
    <w:bookmarkStart w:id="114" w:name="page115"/>
    <w:bookmarkEnd w:id="114"/>
    <w:p>
      <w:pPr>
        <w:spacing w:after="0" w:line="288" w:lineRule="auto"/>
        <w:rPr>
          <w:sz w:val="20"/>
          <w:szCs w:val="20"/>
          <w:color w:val="auto"/>
        </w:rPr>
      </w:pPr>
      <w:r>
        <w:rPr>
          <w:rFonts w:ascii="Arial" w:cs="Arial" w:eastAsia="Arial" w:hAnsi="Arial"/>
          <w:sz w:val="16"/>
          <w:szCs w:val="16"/>
          <w:color w:val="auto"/>
        </w:rPr>
        <w:t>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2014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w:t>
      </w:r>
    </w:p>
    <w:p>
      <w:pPr>
        <w:spacing w:after="0" w:line="16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We will continue to monitor various potential indicators (including the financial markets) to determine if a triggering event occurs and will perform another goodwill impairment analysis if necessary. We did not recognize any material impairments of goodwill during the last three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our goodwill by segment and changes in goodwill during the years ended December 31, 2014 and 2013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Supply and Logistics</w:t>
            </w:r>
          </w:p>
        </w:tc>
        <w:tc>
          <w:tcPr>
            <w:tcW w:w="3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Acquisitions</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Purchase price accounting adjustments and 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line="23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4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80" w:hanging="652"/>
        <w:spacing w:after="0" w:line="227" w:lineRule="auto"/>
        <w:tabs>
          <w:tab w:leader="none" w:pos="648" w:val="left"/>
        </w:tabs>
        <w:numPr>
          <w:ilvl w:val="0"/>
          <w:numId w:val="103"/>
        </w:numPr>
        <w:rPr>
          <w:rFonts w:ascii="Arial" w:cs="Arial" w:eastAsia="Arial" w:hAnsi="Arial"/>
          <w:sz w:val="23"/>
          <w:szCs w:val="23"/>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 See Note 3 for additional discussion of our acquisitions.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8—Investments in Unconsolidated Entities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Investments in entities over which we have significant influence but not control are accounted for by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the balance sheet. In addition, as applicable, we include a proportionate share of our equity method investees’ unrealized gains and losses in other comprehensive income on our Consolidated Balance Sheet. We also adjust our investment balances in these investees by the like amount.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consider distributions received from unconsolidated entities as returns on investment in those entities to the extent of cumulative net operating cash flows, and therefore classify these distributions as cash flows from operating activities in our Consolidated Statement of Cash Flows. We define cumulative net operating cash flows as cumulative net income adjusted for certain non-cash items such as depreciation and amortization expense. Other distributions received from unconsolidated entities would be considered a return of the investment and classified as cash flows from investing activities on the Consolidated Statement of Cash Flows. Our contributions to these entities will increase the carrying value of our investments and are reflected in our Consolidated Statements of Cash Flows in investing activities. During the years ended December 31, 2014, 2013 and 2012, we made cash contributions to Eagle Ford Pipeline LLC and White Cliffs Pipeline, LLC to support construction and expansion activities of such entities.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the following entities are accounted for under the equity method of accounting: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80" w:type="dxa"/>
            <w:vAlign w:val="bottom"/>
            <w:vMerge w:val="restart"/>
          </w:tcPr>
          <w:p>
            <w:pPr>
              <w:spacing w:after="0"/>
              <w:rPr>
                <w:sz w:val="14"/>
                <w:szCs w:val="14"/>
                <w:color w:val="auto"/>
              </w:rPr>
            </w:pPr>
          </w:p>
        </w:tc>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280" w:type="dxa"/>
            <w:vAlign w:val="bottom"/>
            <w:vMerge w:val="restart"/>
          </w:tcPr>
          <w:p>
            <w:pPr>
              <w:spacing w:after="0"/>
              <w:rPr>
                <w:sz w:val="14"/>
                <w:szCs w:val="14"/>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Our Ownership</w:t>
            </w:r>
          </w:p>
        </w:tc>
        <w:tc>
          <w:tcPr>
            <w:tcW w:w="0" w:type="dxa"/>
            <w:vAlign w:val="bottom"/>
          </w:tcPr>
          <w:p>
            <w:pPr>
              <w:spacing w:after="0"/>
              <w:rPr>
                <w:sz w:val="1"/>
                <w:szCs w:val="1"/>
                <w:color w:val="auto"/>
              </w:rPr>
            </w:pPr>
          </w:p>
        </w:tc>
      </w:tr>
      <w:tr>
        <w:trPr>
          <w:trHeight w:val="171"/>
        </w:trPr>
        <w:tc>
          <w:tcPr>
            <w:tcW w:w="5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4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8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BridgeTex Pipeline Company, LLC</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Crude Oil Pipeline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37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Crude Oil Pipeline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White Cliffs Pipeline, LLC</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Crude Oil Pipeline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7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Crude Oil Pipeline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Crude Oil Pipeline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August 2012, we formed Eagle Ford Pipeline LLC with Enterprise Products Partners L.P. (“Enterprise”) for the purpose of developing a crude oil pipeline system in the Eagle Ford Area of South Texas. In conjunction with the formation, we and Enterprise contributed fixed assets with estimated book values of $134 million and $15 million, respectively. In addition, Enterprise contributed cash of $59 million, which we received from Eagle Ford Pipeline LLC.</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November 14, 2014, we acquired a 50% interest in BridgeTex from Oxy. BridgeTex owns a 300,000 barrel-per-day crude oil pipeline that extends from Colorado City in West Texas to a crude oil terminal in East Houston, which we believe is complementary to our existing West Texas assets. We paid cash of $1.088 billion, including working capital adjustments of $13 million, for our interest in BridgeTex.</w:t>
      </w:r>
    </w:p>
    <w:p>
      <w:pPr>
        <w:sectPr>
          <w:pgSz w:w="11900" w:h="16838" w:orient="portrait"/>
          <w:cols w:equalWidth="0" w:num="1">
            <w:col w:w="11420"/>
          </w:cols>
          <w:pgMar w:left="240" w:top="125" w:right="239" w:bottom="0" w:gutter="0" w:footer="0" w:header="0"/>
        </w:sectPr>
      </w:pPr>
    </w:p>
    <w:bookmarkStart w:id="115" w:name="page116"/>
    <w:bookmarkEnd w:id="115"/>
    <w:p>
      <w:pPr>
        <w:ind w:right="120" w:firstLine="648"/>
        <w:spacing w:after="0" w:line="255"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$763 million and $78 million at December 31, 2014 and 2013,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increase in basis differences in 2014 was primarily due to our acquisition of an interest in BridgeTex.</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8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2,303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1,067</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9—Other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 net of accumulated amortization,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Debt issue costs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instruments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10"/>
        </w:trPr>
        <w:tc>
          <w:tcPr>
            <w:tcW w:w="544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$24 million and $9 million in 2014 and 2013, respectively. Gross debt issue costs of $2 million and $8 million were removed from our Consolidated Balance Sheet during 2014 and 2013, respectively.</w:t>
      </w:r>
    </w:p>
    <w:p>
      <w:pPr>
        <w:spacing w:after="0" w:line="173"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Amortization expense related to other assets (including finite-lived intangible assets) for the three years ended December 31, 2014, 2013 and 2012 was $64 million, $96 million and $99 million, respectively. Amortization expense for finite-lived intangible assets for the years ended December 31, 2014, 2013 and 2012 was $57 million, $85 million and $90 million, respectively.</w:t>
      </w:r>
    </w:p>
    <w:p>
      <w:pPr>
        <w:spacing w:after="0" w:line="181" w:lineRule="exact"/>
        <w:rPr>
          <w:sz w:val="20"/>
          <w:szCs w:val="20"/>
          <w:color w:val="auto"/>
        </w:rPr>
      </w:pPr>
    </w:p>
    <w:p>
      <w:pPr>
        <w:ind w:right="88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Our intangible assets that have finite lives consisted of the following as of the dates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Estimated Useful</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6"/>
              </w:rPr>
              <w:t>December 31, 2013</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6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Lives (Years)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Customer contracts and</w:t>
            </w:r>
          </w:p>
        </w:tc>
        <w:tc>
          <w:tcPr>
            <w:tcW w:w="1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1 - 20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Property tax abatement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7 - 13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agreements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25 - 70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680" w:type="dxa"/>
            <w:vAlign w:val="bottom"/>
          </w:tcPr>
          <w:p>
            <w:pPr>
              <w:spacing w:after="0" w:line="216"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3"/>
                <w:szCs w:val="23"/>
                <w:color w:val="auto"/>
                <w:vertAlign w:val="superscript"/>
              </w:rPr>
              <w:t>(1)</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3500" w:hanging="5532"/>
        <w:spacing w:after="0" w:line="461" w:lineRule="auto"/>
        <w:tabs>
          <w:tab w:leader="none" w:pos="640" w:val="left"/>
        </w:tabs>
        <w:numPr>
          <w:ilvl w:val="0"/>
          <w:numId w:val="104"/>
        </w:numPr>
        <w:rPr>
          <w:rFonts w:ascii="Arial" w:cs="Arial" w:eastAsia="Arial" w:hAnsi="Arial"/>
          <w:sz w:val="23"/>
          <w:szCs w:val="23"/>
          <w:color w:val="auto"/>
          <w:vertAlign w:val="superscript"/>
        </w:rPr>
      </w:pPr>
      <w:r>
        <w:rPr>
          <w:rFonts w:ascii="Arial" w:cs="Arial" w:eastAsia="Arial" w:hAnsi="Arial"/>
          <w:sz w:val="18"/>
          <w:szCs w:val="18"/>
          <w:color w:val="auto"/>
        </w:rPr>
        <w:t>Emission reduction credits, once surrendered in exchange for environmental permits, are finite-lived. 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that our amortization expense related to finite-lived intangible assets for the next five years will be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958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9588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Note 10—Debt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Debt consisted of the following as of the dates indicated (in millions):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24"/>
                <w:szCs w:val="2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line="216" w:lineRule="exact"/>
              <w:rPr>
                <w:sz w:val="20"/>
                <w:szCs w:val="20"/>
                <w:color w:val="auto"/>
              </w:rPr>
            </w:pPr>
            <w:r>
              <w:rPr>
                <w:rFonts w:ascii="Arial" w:cs="Arial" w:eastAsia="Arial" w:hAnsi="Arial"/>
                <w:sz w:val="18"/>
                <w:szCs w:val="18"/>
                <w:color w:val="auto"/>
                <w:w w:val="92"/>
              </w:rPr>
              <w:t xml:space="preserve">PAA commercial paper notes, bearing a weighted-average interest rate of 0.46% and 0.33%, respectively </w:t>
            </w:r>
            <w:r>
              <w:rPr>
                <w:rFonts w:ascii="Arial" w:cs="Arial" w:eastAsia="Arial" w:hAnsi="Arial"/>
                <w:sz w:val="23"/>
                <w:szCs w:val="23"/>
                <w:color w:val="auto"/>
                <w:w w:val="92"/>
                <w:vertAlign w:val="superscript"/>
              </w:rPr>
              <w:t>(1)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80"/>
              <w:spacing w:after="0"/>
              <w:rPr>
                <w:sz w:val="20"/>
                <w:szCs w:val="20"/>
                <w:color w:val="auto"/>
              </w:rPr>
            </w:pPr>
            <w:r>
              <w:rPr>
                <w:rFonts w:ascii="Arial" w:cs="Arial" w:eastAsia="Arial" w:hAnsi="Arial"/>
                <w:sz w:val="18"/>
                <w:szCs w:val="18"/>
                <w:color w:val="auto"/>
              </w:rPr>
              <w:t>5.25% senior notes due June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3.95% senior notes due September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PAA senior notes: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5.25% senior notes due June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3.95% senior notes due September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5.88% senior notes due August 2016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6.13% senior notes due January 2017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 senior notes due May 2018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8.75% senior notes due May 2019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2.60% senior notes due December 2019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5.75% senior notes due January 2020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 senior notes due February 2021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3.65% senior notes due June 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2.85% senior notes due January 2023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3.85% senior notes due October 2023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3.60% senior notes due November 2024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6.70% senior notes due May 2036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6.65% senior notes due January 2037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5.15% senior notes due June 2042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4.30% senior notes due January 2043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4.70% senior notes due June 2044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4.90% senior notes due February 2045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Unamortized discounts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PAA senior notes, net of unamortized discounts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52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127"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64" w:lineRule="auto"/>
        <w:rPr>
          <w:sz w:val="20"/>
          <w:szCs w:val="20"/>
          <w:color w:val="auto"/>
        </w:rPr>
      </w:pPr>
      <w:r>
        <w:rPr>
          <w:rFonts w:ascii="Arial" w:cs="Arial" w:eastAsia="Arial" w:hAnsi="Arial"/>
          <w:sz w:val="18"/>
          <w:szCs w:val="18"/>
          <w:color w:val="auto"/>
        </w:rPr>
        <w:t>At December 31, 2014 and 2013, we classified all of the borrowings under our commercial paper program as short-term as these borrowings are primarily designated as working capital borrowings, must be repaid within one year and are primarily for hedged NGL and crude oil inventory and NYMEX and ICE margin deposits.</w:t>
      </w:r>
    </w:p>
    <w:p>
      <w:pPr>
        <w:spacing w:after="0" w:line="181" w:lineRule="exact"/>
        <w:rPr>
          <w:sz w:val="20"/>
          <w:szCs w:val="20"/>
          <w:color w:val="auto"/>
        </w:rPr>
      </w:pPr>
    </w:p>
    <w:p>
      <w:pPr>
        <w:ind w:left="20" w:right="100" w:hanging="7"/>
        <w:spacing w:after="0" w:line="264" w:lineRule="auto"/>
        <w:rPr>
          <w:sz w:val="20"/>
          <w:szCs w:val="20"/>
          <w:color w:val="auto"/>
        </w:rPr>
      </w:pPr>
      <w:r>
        <w:rPr>
          <w:rFonts w:ascii="Arial" w:cs="Arial" w:eastAsia="Arial" w:hAnsi="Arial"/>
          <w:sz w:val="18"/>
          <w:szCs w:val="18"/>
          <w:color w:val="auto"/>
        </w:rPr>
        <w:t>Our fixed-rate senior notes (including current maturities) had a face value of approximately $9.3 billion and $6.7 billion as of December 31, 2014 and 2013, respectively. We estimated the aggregate fair value of these notes as of December 31, 2014 and 2013 to be approximately $9.9 billion and $7.2 billion, respectively. Our fixed-rate senior notes are traded among</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480"/>
            <w:col w:w="10780"/>
          </w:cols>
          <w:pgMar w:left="240" w:top="140" w:right="239" w:bottom="127"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color w:val="auto"/>
        </w:rPr>
        <w:t>institutions, and these trades are routinely published by a reporting service. Our determination of fair value is based on reported trading activity near year end.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within Level 2 of the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August 2013, we established a commercial paper program under which we may issue, from time to time, privately placed, unsecured commercial paper notes. Such notes are backstopped by the PAA senior unsecured revolving credit facility and the PAA senior secured hedged inventory facility; as such, any borrowings under our commercial paper program reduce the available capacity under these facilities. In October 2014, the maximum aggregate borrowing capacity was increased from $1.5 billion to $3.0 billion.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ectPr>
          <w:pgSz w:w="11900" w:h="16838" w:orient="portrait"/>
          <w:cols w:equalWidth="0" w:num="1">
            <w:col w:w="11420"/>
          </w:cols>
          <w:pgMar w:left="240" w:top="140" w:right="239" w:bottom="127" w:gutter="0" w:footer="0" w:header="0"/>
          <w:type w:val="continuous"/>
        </w:sectPr>
      </w:pPr>
    </w:p>
    <w:bookmarkStart w:id="117" w:name="page118"/>
    <w:bookmarkEnd w:id="117"/>
    <w:p>
      <w:pPr>
        <w:ind w:right="20" w:firstLine="648"/>
        <w:spacing w:after="0" w:line="271" w:lineRule="auto"/>
        <w:rPr>
          <w:sz w:val="20"/>
          <w:szCs w:val="20"/>
          <w:color w:val="auto"/>
        </w:rPr>
      </w:pPr>
      <w:r>
        <w:rPr>
          <w:rFonts w:ascii="Arial" w:cs="Arial" w:eastAsia="Arial" w:hAnsi="Arial"/>
          <w:sz w:val="17"/>
          <w:szCs w:val="17"/>
          <w:i w:val="1"/>
          <w:iCs w:val="1"/>
          <w:color w:val="auto"/>
        </w:rPr>
        <w:t>PAA senior secured hedged inventory facility</w:t>
      </w:r>
      <w:r>
        <w:rPr>
          <w:rFonts w:ascii="Arial" w:cs="Arial" w:eastAsia="Arial" w:hAnsi="Arial"/>
          <w:sz w:val="17"/>
          <w:szCs w:val="17"/>
          <w:color w:val="auto"/>
        </w:rPr>
        <w:t>. The PAA senior secured hedged inventory facility has a committed borrowing capacity of $1.4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$400 million is available for the issuance of letters of credit. Subject to obtaining additional or increased lender commitments, the committed amount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either the Eurocurrency Rate or the Base Rate, in each case plus a margin based on our credit rating at the applicable time. The agreement also provides for one or more one-year extensions, subject to applicable approval. In August 2014, we extended the maturity date of the facility by one year to August 2017 through the exercise of the option included in the current credit agreement.</w:t>
      </w:r>
    </w:p>
    <w:p>
      <w:pPr>
        <w:spacing w:after="0" w:line="1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PAA senior unsecured revolving credit facility. </w:t>
      </w:r>
      <w:r>
        <w:rPr>
          <w:rFonts w:ascii="Arial" w:cs="Arial" w:eastAsia="Arial" w:hAnsi="Arial"/>
          <w:sz w:val="17"/>
          <w:szCs w:val="17"/>
          <w:color w:val="auto"/>
        </w:rPr>
        <w:t>The PAA senior unsecured revolving credit facility has a committed borrowing capacity of $1.6</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contains an accordion feature that enables us to increase the committed capacity to $2.1 billion, subject to obtaining additional or increased lender commitments. The credit agreement also provides for the issuance of letters of credit. Borrowings accrue interest based, at our election, on the Eurocurrency Rate, the Base Rate or the Canadian Prime Rate, in each case plus a margin based on our credit rating at the applicable time. The agreement also provides for one or more one-year extensions, subject to applicable approval. In August 2014, we extended the maturity date of the facility by one year to August 2019 through the exercise of the option included in the current credit agreement.</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PAA senior unsecured 364-day revolving credit facility. </w:t>
      </w:r>
      <w:r>
        <w:rPr>
          <w:rFonts w:ascii="Arial" w:cs="Arial" w:eastAsia="Arial" w:hAnsi="Arial"/>
          <w:sz w:val="17"/>
          <w:szCs w:val="17"/>
          <w:color w:val="auto"/>
        </w:rPr>
        <w:t>In January 2015, we entered into a 364-day senior unsecured credit agreement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 capacity of $1.0 billion. Borrowings will accrue interest based, at our election, on either the Eurocurrency Rate or the Base Rate, in each case plus a margin based on our credit rating at the applicable time. The covenants, restrictions and events of default in the credit agreement are substantially the same as those in the PAA senior unsecured revolving credit facility agreement. See “-Covenants and Compliance”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issuances of senior unsecured notes during 2014, 2013 and 2012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860" w:type="dxa"/>
            <w:vAlign w:val="bottom"/>
            <w:gridSpan w:val="2"/>
          </w:tcPr>
          <w:p>
            <w:pPr>
              <w:ind w:left="1920"/>
              <w:spacing w:after="0"/>
              <w:rPr>
                <w:sz w:val="20"/>
                <w:szCs w:val="20"/>
                <w:color w:val="auto"/>
              </w:rPr>
            </w:pPr>
            <w:r>
              <w:rPr>
                <w:rFonts w:ascii="Arial" w:cs="Arial" w:eastAsia="Arial" w:hAnsi="Arial"/>
                <w:sz w:val="14"/>
                <w:szCs w:val="14"/>
                <w:b w:val="1"/>
                <w:bCs w:val="1"/>
                <w:color w:val="auto"/>
              </w:rPr>
              <w:t>Description</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Face Value</w:t>
            </w:r>
          </w:p>
        </w:tc>
        <w:tc>
          <w:tcPr>
            <w:tcW w:w="1940" w:type="dxa"/>
            <w:vAlign w:val="bottom"/>
          </w:tcPr>
          <w:p>
            <w:pPr>
              <w:jc w:val="center"/>
              <w:ind w:left="372"/>
              <w:spacing w:after="0"/>
              <w:rPr>
                <w:sz w:val="20"/>
                <w:szCs w:val="20"/>
                <w:color w:val="auto"/>
              </w:rPr>
            </w:pPr>
            <w:r>
              <w:rPr>
                <w:rFonts w:ascii="Arial" w:cs="Arial" w:eastAsia="Arial" w:hAnsi="Arial"/>
                <w:sz w:val="14"/>
                <w:szCs w:val="14"/>
                <w:b w:val="1"/>
                <w:bCs w:val="1"/>
                <w:color w:val="auto"/>
                <w:w w:val="92"/>
              </w:rPr>
              <w:t>Interest Payment Dates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2.60% Senior Notes issued at 99.813% of face value</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15 and December</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4.90% Senior Notes issued at 99.876% of face value</w:t>
            </w: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February 2045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25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February 15 and August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3.60% Senior Notes issued at 99.842% of face value</w:t>
            </w:r>
          </w:p>
        </w:tc>
        <w:tc>
          <w:tcPr>
            <w:tcW w:w="1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November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5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1 and November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4.70% Senior Notes issued at 99.734% of face value</w:t>
            </w: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2044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940" w:type="dxa"/>
            <w:vAlign w:val="bottom"/>
          </w:tcPr>
          <w:p>
            <w:pPr>
              <w:jc w:val="right"/>
              <w:spacing w:after="0"/>
              <w:rPr>
                <w:sz w:val="20"/>
                <w:szCs w:val="20"/>
                <w:color w:val="auto"/>
              </w:rPr>
            </w:pPr>
            <w:r>
              <w:rPr>
                <w:rFonts w:ascii="Arial" w:cs="Arial" w:eastAsia="Arial" w:hAnsi="Arial"/>
                <w:sz w:val="18"/>
                <w:szCs w:val="18"/>
                <w:color w:val="auto"/>
              </w:rPr>
              <w:t>June 15 and December</w:t>
            </w:r>
          </w:p>
        </w:tc>
        <w:tc>
          <w:tcPr>
            <w:tcW w:w="460" w:type="dxa"/>
            <w:vAlign w:val="bottom"/>
          </w:tcPr>
          <w:p>
            <w:pPr>
              <w:ind w:lef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3.85% Senior Notes issued at 99.792% of face value</w:t>
            </w: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October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5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April 15 and October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2.85% Senior Notes issued at 99.752% of face value</w:t>
            </w: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January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250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January 31 and July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4.30% Senior Notes issued at 99.925% of face value</w:t>
            </w:r>
          </w:p>
        </w:tc>
        <w:tc>
          <w:tcPr>
            <w:tcW w:w="17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January 2043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5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31 and July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3.65% Senior Notes issued at 99.823% of face value</w:t>
            </w: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2022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1940" w:type="dxa"/>
            <w:vAlign w:val="bottom"/>
          </w:tcPr>
          <w:p>
            <w:pPr>
              <w:jc w:val="right"/>
              <w:spacing w:after="0"/>
              <w:rPr>
                <w:sz w:val="20"/>
                <w:szCs w:val="20"/>
                <w:color w:val="auto"/>
              </w:rPr>
            </w:pPr>
            <w:r>
              <w:rPr>
                <w:rFonts w:ascii="Arial" w:cs="Arial" w:eastAsia="Arial" w:hAnsi="Arial"/>
                <w:sz w:val="18"/>
                <w:szCs w:val="18"/>
                <w:color w:val="auto"/>
              </w:rPr>
              <w:t>June 1 and December</w:t>
            </w:r>
          </w:p>
        </w:tc>
        <w:tc>
          <w:tcPr>
            <w:tcW w:w="460" w:type="dxa"/>
            <w:vAlign w:val="bottom"/>
          </w:tcPr>
          <w:p>
            <w:pPr>
              <w:ind w:lef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5.15% Senior Notes issued at 99.755% of face value</w:t>
            </w:r>
          </w:p>
        </w:tc>
        <w:tc>
          <w:tcPr>
            <w:tcW w:w="1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June 2042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and December</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 Repayments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December 13, 2013, we repaid our $250 million, 5.63% senior notes. We utilized cash on hand and available capacity under our commercial paper program to repay these notes.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September 4, 2012, we repaid our $500 million, 4.25% senior notes. We utilized cash on hand and available capacity under our credit facilities to repay these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weighted average life of our senior notes outstanding at December 31, 2014 was approximately 13 years and the aggregate maturities for the next five years and thereafter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20"/>
                <w:szCs w:val="20"/>
                <w:color w:val="auto"/>
              </w:rPr>
            </w:pPr>
            <w:r>
              <w:rPr>
                <w:rFonts w:ascii="Arial" w:cs="Arial" w:eastAsia="Arial" w:hAnsi="Arial"/>
                <w:sz w:val="14"/>
                <w:szCs w:val="14"/>
                <w:b w:val="1"/>
                <w:bCs w:val="1"/>
                <w:color w:val="auto"/>
              </w:rPr>
              <w:t>Calendar Year</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Payment</w:t>
            </w:r>
          </w:p>
        </w:tc>
      </w:tr>
      <w:tr>
        <w:trPr>
          <w:trHeight w:val="210"/>
        </w:trPr>
        <w:tc>
          <w:tcPr>
            <w:tcW w:w="9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r>
      <w:tr>
        <w:trPr>
          <w:trHeight w:val="216"/>
        </w:trPr>
        <w:tc>
          <w:tcPr>
            <w:tcW w:w="9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Borders>
              <w:bottom w:val="single" w:sz="8" w:color="CCEEFF"/>
            </w:tcBorders>
          </w:tcPr>
          <w:p>
            <w:pPr>
              <w:spacing w:after="0"/>
              <w:rPr>
                <w:sz w:val="18"/>
                <w:szCs w:val="18"/>
                <w:color w:val="auto"/>
              </w:rPr>
            </w:pPr>
          </w:p>
        </w:tc>
      </w:tr>
      <w:tr>
        <w:trPr>
          <w:trHeight w:val="210"/>
        </w:trPr>
        <w:tc>
          <w:tcPr>
            <w:tcW w:w="9020" w:type="dxa"/>
            <w:vAlign w:val="bottom"/>
            <w:tcBorders>
              <w:bottom w:val="single" w:sz="8" w:color="CCEEFF"/>
            </w:tcBorders>
            <w:shd w:val="clear" w:color="auto" w:fill="CCEEFF"/>
          </w:tcPr>
          <w:p>
            <w:pPr>
              <w:ind w:left="18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Excludes aggregate unamortized net discount of $18 million.</w:t>
      </w:r>
    </w:p>
    <w:p>
      <w:pPr>
        <w:sectPr>
          <w:pgSz w:w="11900" w:h="16838" w:orient="portrait"/>
          <w:cols w:equalWidth="0" w:num="1">
            <w:col w:w="11420"/>
          </w:cols>
          <w:pgMar w:left="240" w:top="125" w:right="239" w:bottom="0" w:gutter="0" w:footer="0" w:header="0"/>
        </w:sectPr>
      </w:pPr>
    </w:p>
    <w:bookmarkStart w:id="118" w:name="page119"/>
    <w:bookmarkEnd w:id="118"/>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credit agreements (which impact our ability to access our commercial paper program because they provide the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87" w:lineRule="exact"/>
        <w:rPr>
          <w:sz w:val="20"/>
          <w:szCs w:val="20"/>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60" w:hanging="287"/>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The PAA senior unsecured revolving credit facility and the PAA senior secured hedged inventory facility treat a change of control as an event of default and also require us to maintain a debt-to-EBITDA coverage ratio that will not be greater than 5.00 to 1.00 (or 5.50 to 1.00 on all outstanding debt during an acquisition period (generally, the period consisting of three fiscal quarters following an acquisition greater than $150 million)).</w:t>
      </w:r>
    </w:p>
    <w:p>
      <w:pPr>
        <w:spacing w:after="0" w:line="14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For covenant compliance purposes, letters of credit and borrowings to fund hedged inventory and margin requirements are excluded when calculating the debt coverage ratio.</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default under our credit facilities would permit the lenders to accelerate the maturity of the outstanding debt. As long as we are in compliance with our credit agreements, our ability to make distributions of available cash is not restricted. As of December 31, 2014, we were in compliance with the covenants contained in our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our credit agreements and commercial paper program for the years ended December 31, 2014, 2013 and 2012 were approximately $70.9 billion, $31.0 billion and $12.9 billion, respectively. Total repayments under our credit agreements and commercial paper program were approximately $71.3 billion, $31.0 billion and $12.2 billion for the years ended December 31, 2014, 2013 and 2012,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and construction activities. At December 31, 2014 and 2013, we had outstanding letters of credit of $87 million and $41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Partners’ capital at December 31, 2014 consisted of 375,107,793 common units outstanding, representing a 98% effective aggregate ownership interest in the Partnership and its subsidiaries after giving effect to the 2% general partner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distribute 100% of our available cash within 45 days following the end of each quarter to unitholders of record and to our general partner. Available cash is generally defined as all of our cash and cash equivalents on hand at the end of each quarter, less reserves established in the discretion of our general partner for future requirements.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General Partner Distributions</w:t>
      </w:r>
      <w:r>
        <w:rPr>
          <w:rFonts w:ascii="Arial" w:cs="Arial" w:eastAsia="Arial" w:hAnsi="Arial"/>
          <w:sz w:val="18"/>
          <w:szCs w:val="18"/>
          <w:color w:val="auto"/>
        </w:rPr>
        <w:t>. Our general partner is entitled to receive (i) distributions representing its 2% general partner interest and (ii)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if the amount we distribute with respect to any quarter exceeds levels specified in our partnership agreement. Under the quarterly distribution provisions, the general partner is entitled, without duplication, to 2% of amounts we distribute up to $0.2250 per unit, referred to as our MQD, 15% of amounts we distribute in excess of $0.2250 per unit, 25% of the amounts we distribute in excess of $0.2475 per unit and 50% of amounts we distribute in excess of $0.3375 per unit.</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Per unit cash distributions on our outstanding limited partner units and the portion of the distributions representing an excess over the MQD were as follows for the periods indicated: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85"/>
              </w:rPr>
              <w:t>Year</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65"/>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89"/>
              </w:rPr>
              <w:t>Excess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(1)</w:t>
            </w:r>
          </w:p>
        </w:tc>
        <w:tc>
          <w:tcPr>
            <w:tcW w:w="180" w:type="dxa"/>
            <w:vAlign w:val="bottom"/>
          </w:tcPr>
          <w:p>
            <w:pPr>
              <w:spacing w:after="0"/>
              <w:rPr>
                <w:sz w:val="10"/>
                <w:szCs w:val="10"/>
                <w:color w:val="auto"/>
              </w:rPr>
            </w:pPr>
          </w:p>
        </w:tc>
        <w:tc>
          <w:tcPr>
            <w:tcW w:w="9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89"/>
              </w:rPr>
              <w:t>Excess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(1)</w:t>
            </w:r>
          </w:p>
        </w:tc>
        <w:tc>
          <w:tcPr>
            <w:tcW w:w="160" w:type="dxa"/>
            <w:vAlign w:val="bottom"/>
          </w:tcPr>
          <w:p>
            <w:pPr>
              <w:spacing w:after="0"/>
              <w:rPr>
                <w:sz w:val="10"/>
                <w:szCs w:val="10"/>
                <w:color w:val="auto"/>
              </w:rPr>
            </w:pPr>
          </w:p>
        </w:tc>
        <w:tc>
          <w:tcPr>
            <w:tcW w:w="96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3"/>
              </w:rPr>
              <w:t>Excess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over MQD</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over MQD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over MQD</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0.5625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0.4050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0.5750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0.5225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0.2975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0.3075</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0.6600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0.4350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0.5425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23"/>
          <w:szCs w:val="23"/>
          <w:color w:val="auto"/>
          <w:vertAlign w:val="superscript"/>
        </w:rPr>
      </w:pPr>
      <w:r>
        <w:rPr>
          <w:rFonts w:ascii="Arial" w:cs="Arial" w:eastAsia="Arial" w:hAnsi="Arial"/>
          <w:sz w:val="18"/>
          <w:szCs w:val="18"/>
          <w:color w:val="auto"/>
        </w:rPr>
        <w:t>Distributions represent those declared and paid in the applicable period shown.</w:t>
      </w:r>
    </w:p>
    <w:p>
      <w:pPr>
        <w:spacing w:after="0" w:line="20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During the years ended December 31, 2014, 2013 and 2012, our general partner’s incentive distributions were reduced by approximately $23 million, $15 million and $11 million, respectively. These reductions were agreed to in connection with the BP NGL Acquisition and the PNG Merger. In addition, our general partner has agreed to reduce the amount of its incentive distribution by $5.5 million per quarter during 2015, $5.0 million per quarter in 2016 and $3.75 million per quarter thereafter. See Note 3 for further discussion of the BP NGL Acquisition.</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Total cash distributions, net of reductions in our general partner’s incentive distributions, paid during the years ended December 31, 2014, 2013 and 2012 were as follows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Distributions Paid</w:t>
            </w: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Distributions</w:t>
            </w:r>
          </w:p>
        </w:tc>
      </w:tr>
      <w:tr>
        <w:trPr>
          <w:trHeight w:val="142"/>
        </w:trPr>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center"/>
              <w:ind w:right="600"/>
              <w:spacing w:after="0" w:line="142" w:lineRule="exact"/>
              <w:rPr>
                <w:sz w:val="20"/>
                <w:szCs w:val="20"/>
                <w:color w:val="auto"/>
              </w:rPr>
            </w:pPr>
            <w:r>
              <w:rPr>
                <w:rFonts w:ascii="Arial" w:cs="Arial" w:eastAsia="Arial" w:hAnsi="Arial"/>
                <w:sz w:val="14"/>
                <w:szCs w:val="14"/>
                <w:b w:val="1"/>
                <w:bCs w:val="1"/>
                <w:color w:val="auto"/>
                <w:w w:val="92"/>
              </w:rPr>
              <w:t>Common</w:t>
            </w: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General Partner</w:t>
            </w:r>
          </w:p>
        </w:tc>
        <w:tc>
          <w:tcPr>
            <w:tcW w:w="11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5"/>
              </w:rPr>
              <w:t>per limited</w:t>
            </w:r>
          </w:p>
        </w:tc>
      </w:tr>
      <w:tr>
        <w:trPr>
          <w:trHeight w:val="142"/>
        </w:trPr>
        <w:tc>
          <w:tcPr>
            <w:tcW w:w="2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1600" w:type="dxa"/>
            <w:vAlign w:val="bottom"/>
            <w:gridSpan w:val="2"/>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Units</w:t>
            </w:r>
          </w:p>
        </w:tc>
        <w:tc>
          <w:tcPr>
            <w:tcW w:w="400" w:type="dxa"/>
            <w:vAlign w:val="bottom"/>
          </w:tcPr>
          <w:p>
            <w:pPr>
              <w:spacing w:after="0"/>
              <w:rPr>
                <w:sz w:val="12"/>
                <w:szCs w:val="12"/>
                <w:color w:val="auto"/>
              </w:rPr>
            </w:pPr>
          </w:p>
        </w:tc>
        <w:tc>
          <w:tcPr>
            <w:tcW w:w="1220" w:type="dxa"/>
            <w:vAlign w:val="bottom"/>
          </w:tcPr>
          <w:p>
            <w:pPr>
              <w:jc w:val="right"/>
              <w:ind w:right="619"/>
              <w:spacing w:after="0" w:line="142"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Incentive</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7"/>
              </w:rPr>
              <w:t>partner unit</w:t>
            </w: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79"/>
              </w:rPr>
              <w:t>934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rPr>
              <w:t>791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1,160</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684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January 8, 2015, we declared a cash distribution of $0.6750 per unit on our outstanding common units. The distribution was paid on February 13, 2015 to unitholders of record on January 30, 2015, for the period October 1, 2014 through December 31, 2014. The total distribution paid was $390 million, with $254 million paid to our common unitholders and $5 million and $131 million paid to our general partner for its 2% general partner and incentive distribution interests,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Equity Offerings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2014, 2013 and 2012, we entered into several equity distribution agreements under our Continuous Offering Program, pursuant to which we may offer and sell, through sales agents, common units representing limited partner interests having aggregate offering prices ranging from $300 million to up to $900 million. Sales of such common units are made by means of ordinary brokers’ transactions on the NYSE at market prices, in block transactions or as otherwise agreed upon by our sales agent and us. In addition to our Continuous Offering Program, we may sell common units through overnight or marketed offerings.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our issuance of common units in connection with marketed offerings and our Continuous Offering Program during the three years ended December 31, 2014 (net proceeds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3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Type of Offering</w:t>
            </w:r>
          </w:p>
        </w:tc>
        <w:tc>
          <w:tcPr>
            <w:tcW w:w="2580" w:type="dxa"/>
            <w:vAlign w:val="bottom"/>
            <w:gridSpan w:val="2"/>
          </w:tcPr>
          <w:p>
            <w:pPr>
              <w:ind w:left="780"/>
              <w:spacing w:after="0"/>
              <w:rPr>
                <w:sz w:val="20"/>
                <w:szCs w:val="20"/>
                <w:color w:val="auto"/>
              </w:rPr>
            </w:pPr>
            <w:r>
              <w:rPr>
                <w:rFonts w:ascii="Arial" w:cs="Arial" w:eastAsia="Arial" w:hAnsi="Arial"/>
                <w:sz w:val="14"/>
                <w:szCs w:val="14"/>
                <w:b w:val="1"/>
                <w:bCs w:val="1"/>
                <w:color w:val="auto"/>
              </w:rPr>
              <w:t>Units Issued</w:t>
            </w:r>
          </w:p>
        </w:tc>
        <w:tc>
          <w:tcPr>
            <w:tcW w:w="340" w:type="dxa"/>
            <w:vAlign w:val="bottom"/>
          </w:tcPr>
          <w:p>
            <w:pPr>
              <w:spacing w:after="0"/>
              <w:rPr>
                <w:sz w:val="14"/>
                <w:szCs w:val="14"/>
                <w:color w:val="auto"/>
              </w:rPr>
            </w:pPr>
          </w:p>
        </w:tc>
        <w:tc>
          <w:tcPr>
            <w:tcW w:w="2140" w:type="dxa"/>
            <w:vAlign w:val="bottom"/>
            <w:gridSpan w:val="2"/>
          </w:tcPr>
          <w:p>
            <w:pPr>
              <w:ind w:left="260"/>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 (2)</w:t>
            </w:r>
          </w:p>
        </w:tc>
      </w:tr>
      <w:tr>
        <w:trPr>
          <w:trHeight w:val="210"/>
        </w:trPr>
        <w:tc>
          <w:tcPr>
            <w:tcW w:w="2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2014 Total</w:t>
            </w:r>
          </w:p>
        </w:tc>
        <w:tc>
          <w:tcPr>
            <w:tcW w:w="34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Continuous Offering Program</w:t>
            </w: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15,375,810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21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866</w:t>
            </w:r>
            <w:r>
              <w:rPr>
                <w:rFonts w:ascii="Arial" w:cs="Arial" w:eastAsia="Arial" w:hAnsi="Arial"/>
                <w:sz w:val="11"/>
                <w:szCs w:val="11"/>
                <w:color w:val="auto"/>
              </w:rPr>
              <w:t>(3)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8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2013 Total</w:t>
            </w:r>
          </w:p>
        </w:tc>
        <w:tc>
          <w:tcPr>
            <w:tcW w:w="34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Continuous Offering Program</w:t>
            </w: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8,644,807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2140" w:type="dxa"/>
            <w:vAlign w:val="bottom"/>
            <w:gridSpan w:val="2"/>
            <w:shd w:val="clear" w:color="auto" w:fill="CCEEFF"/>
          </w:tcPr>
          <w:p>
            <w:pPr>
              <w:ind w:left="1660"/>
              <w:spacing w:after="0" w:line="216" w:lineRule="exact"/>
              <w:rPr>
                <w:sz w:val="20"/>
                <w:szCs w:val="20"/>
                <w:color w:val="auto"/>
              </w:rPr>
            </w:pPr>
            <w:r>
              <w:rPr>
                <w:rFonts w:ascii="Arial" w:cs="Arial" w:eastAsia="Arial" w:hAnsi="Arial"/>
                <w:sz w:val="18"/>
                <w:szCs w:val="18"/>
                <w:color w:val="auto"/>
                <w:w w:val="94"/>
              </w:rPr>
              <w:t>477</w:t>
            </w:r>
            <w:r>
              <w:rPr>
                <w:rFonts w:ascii="Arial" w:cs="Arial" w:eastAsia="Arial" w:hAnsi="Arial"/>
                <w:sz w:val="23"/>
                <w:szCs w:val="23"/>
                <w:color w:val="auto"/>
                <w:w w:val="94"/>
                <w:vertAlign w:val="superscript"/>
              </w:rPr>
              <w:t>(3)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Continuous Offering Program</w:t>
            </w: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12,063,707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21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524</w:t>
            </w:r>
            <w:r>
              <w:rPr>
                <w:rFonts w:ascii="Arial" w:cs="Arial" w:eastAsia="Arial" w:hAnsi="Arial"/>
                <w:sz w:val="11"/>
                <w:szCs w:val="11"/>
                <w:color w:val="auto"/>
              </w:rPr>
              <w:t>(3)</w:t>
            </w: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00" w:type="dxa"/>
            <w:vAlign w:val="bottom"/>
          </w:tcPr>
          <w:p>
            <w:pPr>
              <w:spacing w:after="0"/>
              <w:rPr>
                <w:sz w:val="18"/>
                <w:szCs w:val="18"/>
                <w:color w:val="auto"/>
              </w:rPr>
            </w:pPr>
          </w:p>
        </w:tc>
        <w:tc>
          <w:tcPr>
            <w:tcW w:w="34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Marketed Offering</w:t>
            </w:r>
          </w:p>
        </w:tc>
        <w:tc>
          <w:tcPr>
            <w:tcW w:w="2580" w:type="dxa"/>
            <w:vAlign w:val="bottom"/>
            <w:gridSpan w:val="2"/>
          </w:tcPr>
          <w:p>
            <w:pPr>
              <w:jc w:val="right"/>
              <w:ind w:right="280"/>
              <w:spacing w:after="0"/>
              <w:rPr>
                <w:sz w:val="20"/>
                <w:szCs w:val="20"/>
                <w:color w:val="auto"/>
              </w:rPr>
            </w:pPr>
            <w:r>
              <w:rPr>
                <w:rFonts w:ascii="Arial" w:cs="Arial" w:eastAsia="Arial" w:hAnsi="Arial"/>
                <w:sz w:val="18"/>
                <w:szCs w:val="18"/>
                <w:color w:val="auto"/>
              </w:rPr>
              <w:t>11,500,000</w:t>
            </w:r>
          </w:p>
        </w:tc>
        <w:tc>
          <w:tcPr>
            <w:tcW w:w="340" w:type="dxa"/>
            <w:vAlign w:val="bottom"/>
          </w:tcPr>
          <w:p>
            <w:pPr>
              <w:spacing w:after="0"/>
              <w:rPr>
                <w:sz w:val="18"/>
                <w:szCs w:val="18"/>
                <w:color w:val="auto"/>
              </w:rPr>
            </w:pPr>
          </w:p>
        </w:tc>
        <w:tc>
          <w:tcPr>
            <w:tcW w:w="2140" w:type="dxa"/>
            <w:vAlign w:val="bottom"/>
            <w:gridSpan w:val="2"/>
          </w:tcPr>
          <w:p>
            <w:pPr>
              <w:ind w:left="1660"/>
              <w:spacing w:after="0"/>
              <w:rPr>
                <w:sz w:val="20"/>
                <w:szCs w:val="20"/>
                <w:color w:val="auto"/>
              </w:rPr>
            </w:pPr>
            <w:r>
              <w:rPr>
                <w:rFonts w:ascii="Arial" w:cs="Arial" w:eastAsia="Arial" w:hAnsi="Arial"/>
                <w:sz w:val="18"/>
                <w:szCs w:val="18"/>
                <w:color w:val="auto"/>
              </w:rPr>
              <w:t>455</w:t>
            </w:r>
            <w:r>
              <w:rPr>
                <w:rFonts w:ascii="Arial" w:cs="Arial" w:eastAsia="Arial" w:hAnsi="Arial"/>
                <w:sz w:val="11"/>
                <w:szCs w:val="11"/>
                <w:color w:val="auto"/>
              </w:rPr>
              <w:t>(4)</w:t>
            </w:r>
          </w:p>
        </w:tc>
      </w:tr>
      <w:tr>
        <w:trPr>
          <w:trHeight w:val="210"/>
        </w:trPr>
        <w:tc>
          <w:tcPr>
            <w:tcW w:w="2880" w:type="dxa"/>
            <w:vAlign w:val="bottom"/>
            <w:tcBorders>
              <w:top w:val="single" w:sz="8" w:color="CCEEFF"/>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2012 Total</w:t>
            </w:r>
          </w:p>
        </w:tc>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23,563,707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w w:val="79"/>
              </w:rPr>
              <w:t>979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Amounts are net of costs associated with the offerings.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33"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40" w:hanging="11"/>
        <w:spacing w:after="0" w:line="277" w:lineRule="auto"/>
        <w:rPr>
          <w:sz w:val="20"/>
          <w:szCs w:val="20"/>
          <w:color w:val="auto"/>
        </w:rPr>
      </w:pPr>
      <w:r>
        <w:rPr>
          <w:rFonts w:ascii="Arial" w:cs="Arial" w:eastAsia="Arial" w:hAnsi="Arial"/>
          <w:sz w:val="18"/>
          <w:szCs w:val="18"/>
          <w:color w:val="auto"/>
        </w:rPr>
        <w:t>Amounts include our general partner’s proportionate capital contributions of $18 million, $9 million and $20 million during 2014, 2013 and 2012, respectively.</w:t>
      </w:r>
    </w:p>
    <w:p>
      <w:pPr>
        <w:spacing w:after="0" w:line="170"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We pay commissions to our sales agents in connection with common unit issuances under our Continuous Offering Program. We paid $9 million, $5 million and $6 million of such commissions during 2014, 2013 and 2012, respectively.</w:t>
      </w:r>
    </w:p>
    <w:p>
      <w:pPr>
        <w:spacing w:after="0" w:line="170" w:lineRule="exact"/>
        <w:rPr>
          <w:sz w:val="20"/>
          <w:szCs w:val="20"/>
          <w:color w:val="auto"/>
        </w:rPr>
      </w:pPr>
    </w:p>
    <w:p>
      <w:pPr>
        <w:ind w:right="180" w:hanging="11"/>
        <w:spacing w:after="0" w:line="277" w:lineRule="auto"/>
        <w:rPr>
          <w:sz w:val="20"/>
          <w:szCs w:val="20"/>
          <w:color w:val="auto"/>
        </w:rPr>
      </w:pPr>
      <w:r>
        <w:rPr>
          <w:rFonts w:ascii="Arial" w:cs="Arial" w:eastAsia="Arial" w:hAnsi="Arial"/>
          <w:sz w:val="18"/>
          <w:szCs w:val="18"/>
          <w:color w:val="auto"/>
        </w:rPr>
        <w:t>Offering was an underwritten transaction that required us to pay a gross spread. The net proceeds from such offering were used to fund a portion of the BP NGL Acquisition.</w:t>
      </w:r>
    </w:p>
    <w:p>
      <w:pPr>
        <w:spacing w:after="0" w:line="170" w:lineRule="exact"/>
        <w:rPr>
          <w:sz w:val="20"/>
          <w:szCs w:val="20"/>
          <w:color w:val="auto"/>
        </w:rPr>
      </w:pPr>
    </w:p>
    <w:p>
      <w:pPr>
        <w:sectPr>
          <w:pgSz w:w="11900" w:h="16838" w:orient="portrait"/>
          <w:cols w:equalWidth="0" w:num="2">
            <w:col w:w="140" w:space="520"/>
            <w:col w:w="10760"/>
          </w:cols>
          <w:pgMar w:left="240" w:top="333"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2014, noncontrolling interests in our subsidiaries consisted of a 25% interest in SLC Pipeline LLC.</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PNG Merger</w:t>
      </w:r>
    </w:p>
    <w:p>
      <w:pPr>
        <w:sectPr>
          <w:pgSz w:w="11900" w:h="16838" w:orient="portrait"/>
          <w:cols w:equalWidth="0" w:num="1">
            <w:col w:w="11420"/>
          </w:cols>
          <w:pgMar w:left="240" w:top="333" w:right="239" w:bottom="0" w:gutter="0" w:footer="0" w:header="0"/>
          <w:type w:val="continuous"/>
        </w:sectPr>
      </w:pPr>
    </w:p>
    <w:bookmarkStart w:id="120" w:name="page121"/>
    <w:bookmarkEnd w:id="120"/>
    <w:p>
      <w:pPr>
        <w:ind w:right="220" w:firstLine="648"/>
        <w:spacing w:after="0" w:line="257" w:lineRule="auto"/>
        <w:rPr>
          <w:sz w:val="20"/>
          <w:szCs w:val="20"/>
          <w:color w:val="auto"/>
        </w:rPr>
      </w:pPr>
      <w:r>
        <w:rPr>
          <w:rFonts w:ascii="Arial" w:cs="Arial" w:eastAsia="Arial" w:hAnsi="Arial"/>
          <w:sz w:val="18"/>
          <w:szCs w:val="18"/>
          <w:color w:val="auto"/>
        </w:rPr>
        <w:t xml:space="preserve">Prior to the PNG Merger, which was completed on December 31, 2013, we owned 100% of the outstanding subordinated units of PNG and approximately 46% of the 61.2 million outstanding common units of PNG. Under the terms of the PNG Merger Agreement, we issued 0.445 PAA common units for each outstanding PNG common unit (the “Merger Exchange Ratio”) held by unitholders other than us, plus cash in lieu of any fractional PAA common units otherwise issuable in the PNG Merger. Also in conjunction with the PNG Merger, our general partner agreed to reduce the amount of its incentive distributions. See the subsection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Distributions</w:t>
      </w:r>
      <w:r>
        <w:rPr>
          <w:rFonts w:ascii="Arial" w:cs="Arial" w:eastAsia="Arial" w:hAnsi="Arial"/>
          <w:sz w:val="18"/>
          <w:szCs w:val="18"/>
          <w:b w:val="1"/>
          <w:bCs w:val="1"/>
          <w:color w:val="auto"/>
        </w:rPr>
        <w:t>”</w:t>
      </w:r>
      <w:r>
        <w:rPr>
          <w:rFonts w:ascii="Arial" w:cs="Arial" w:eastAsia="Arial" w:hAnsi="Arial"/>
          <w:sz w:val="18"/>
          <w:szCs w:val="18"/>
          <w:color w:val="auto"/>
        </w:rPr>
        <w:t xml:space="preserve"> above.</w:t>
      </w:r>
    </w:p>
    <w:p>
      <w:pPr>
        <w:spacing w:after="0" w:line="18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a result of the PNG Merger, we purchased the noncontrolling interests in PNG for consideration of approximately 14.7 million PAA common units valued at $760 million. Such purchase resulted in an equity-classified loss of $290 million, which we recorded as a decrease to our partners’ capital. In addition, in conjunction with the PNG Merger, our general partner made a proportional contribution of $16 million associated with our issuance of PAA common units and we incurred transaction costs of $4 million resulting in a net increase in partners’ capital associated with the PNG Merger of $12 million.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Issuance of PNG Common Units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PNG issued approximately 1.9 million common units during the year ended December 31, 2013. As a result of PNG’s common unit issuances, we recorded an increase in noncontrolling interest of $32 million and an increase to our partners’ capital of $8 million in 2013. These increases represent the portion of the proceeds attributable to the respective ownership interests in PNG, adjusted for the impact of the dilution of our ownership interest. PNG did not issue any common units during the year ended December 31, 2012.</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as required by GAAP sets forth the impact on net income attributable to PAA giving effect to the changes in our ownership interest in PNG during 2013 discussed above, which was recognized in partners’ capital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9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9040" w:type="dxa"/>
            <w:vAlign w:val="bottom"/>
          </w:tcPr>
          <w:p>
            <w:pPr>
              <w:spacing w:after="0" w:line="196" w:lineRule="exact"/>
              <w:rPr>
                <w:sz w:val="20"/>
                <w:szCs w:val="20"/>
                <w:color w:val="auto"/>
              </w:rPr>
            </w:pPr>
            <w:r>
              <w:rPr>
                <w:rFonts w:ascii="Arial" w:cs="Arial" w:eastAsia="Arial" w:hAnsi="Arial"/>
                <w:sz w:val="18"/>
                <w:szCs w:val="18"/>
                <w:color w:val="auto"/>
              </w:rPr>
              <w:t>Transfers to/from noncontrolling interests: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capital from sale of PNG common units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16"/>
        </w:trPr>
        <w:tc>
          <w:tcPr>
            <w:tcW w:w="9040" w:type="dxa"/>
            <w:vAlign w:val="bottom"/>
          </w:tcPr>
          <w:p>
            <w:pPr>
              <w:ind w:left="180"/>
              <w:spacing w:after="0"/>
              <w:rPr>
                <w:sz w:val="20"/>
                <w:szCs w:val="20"/>
                <w:color w:val="auto"/>
              </w:rPr>
            </w:pPr>
            <w:r>
              <w:rPr>
                <w:rFonts w:ascii="Arial" w:cs="Arial" w:eastAsia="Arial" w:hAnsi="Arial"/>
                <w:sz w:val="18"/>
                <w:szCs w:val="18"/>
                <w:color w:val="auto"/>
              </w:rPr>
              <w:t>Decrease in capital from purchase of PNG common units in conjunction with the PNG Merger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3"/>
          </w:tcPr>
          <w:p>
            <w:pPr>
              <w:jc w:val="right"/>
              <w:ind w:right="40"/>
              <w:spacing w:after="0"/>
              <w:rPr>
                <w:sz w:val="20"/>
                <w:szCs w:val="20"/>
                <w:color w:val="auto"/>
              </w:rPr>
            </w:pPr>
            <w:r>
              <w:rPr>
                <w:rFonts w:ascii="Arial" w:cs="Arial" w:eastAsia="Arial" w:hAnsi="Arial"/>
                <w:sz w:val="18"/>
                <w:szCs w:val="18"/>
                <w:color w:val="auto"/>
              </w:rPr>
              <w:t>(290)</w:t>
            </w:r>
          </w:p>
        </w:tc>
      </w:tr>
      <w:tr>
        <w:trPr>
          <w:trHeight w:val="210"/>
        </w:trPr>
        <w:tc>
          <w:tcPr>
            <w:tcW w:w="9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transfers to/from noncontrolling interests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9040" w:type="dxa"/>
            <w:vAlign w:val="bottom"/>
          </w:tcPr>
          <w:p>
            <w:pPr>
              <w:spacing w:after="0"/>
              <w:rPr>
                <w:sz w:val="20"/>
                <w:szCs w:val="20"/>
                <w:color w:val="auto"/>
              </w:rPr>
            </w:pPr>
            <w:r>
              <w:rPr>
                <w:rFonts w:ascii="Arial" w:cs="Arial" w:eastAsia="Arial" w:hAnsi="Arial"/>
                <w:sz w:val="18"/>
                <w:szCs w:val="18"/>
                <w:color w:val="auto"/>
              </w:rPr>
              <w:t>Change from net income attributable to PAA and transfers to/from noncontrolling interests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 and Risk Management Activities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2014, net derivative positions related to these activities included:</w:t>
      </w:r>
    </w:p>
    <w:p>
      <w:pPr>
        <w:spacing w:after="0" w:line="147" w:lineRule="exact"/>
        <w:rPr>
          <w:sz w:val="20"/>
          <w:szCs w:val="20"/>
          <w:color w:val="auto"/>
        </w:rPr>
      </w:pPr>
    </w:p>
    <w:p>
      <w:pPr>
        <w:ind w:left="980" w:right="680" w:hanging="324"/>
        <w:spacing w:after="0" w:line="277" w:lineRule="auto"/>
        <w:tabs>
          <w:tab w:leader="none" w:pos="9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average of 269,400 barrels per day net long position (total of 8.4 million barrels) associated with our crude oil purchases, which was unwound ratably during January 2015 to match monthly average pricing.</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net short time spread position averaging approximately 20,500 barrels per day (total of 10.0 million barrels), which hedges a portion of our anticipated crude oil lease gathering purchases through June 2016.</w:t>
      </w:r>
    </w:p>
    <w:p>
      <w:pPr>
        <w:spacing w:after="0" w:line="170" w:lineRule="exact"/>
        <w:rPr>
          <w:rFonts w:ascii="Arial" w:cs="Arial" w:eastAsia="Arial" w:hAnsi="Arial"/>
          <w:sz w:val="18"/>
          <w:szCs w:val="18"/>
          <w:color w:val="auto"/>
        </w:rPr>
      </w:pPr>
    </w:p>
    <w:p>
      <w:pPr>
        <w:ind w:left="980" w:right="800" w:hanging="324"/>
        <w:spacing w:after="0" w:line="277" w:lineRule="auto"/>
        <w:tabs>
          <w:tab w:leader="none" w:pos="97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average of 33,600 barrels per day (total of 11.2 million barrels) of crude oil grade spread positions through December 2015. These derivatives allow us to lock in grade basis differentials.</w:t>
      </w:r>
    </w:p>
    <w:p>
      <w:pPr>
        <w:spacing w:after="0" w:line="170" w:lineRule="exact"/>
        <w:rPr>
          <w:rFonts w:ascii="Arial" w:cs="Arial" w:eastAsia="Arial" w:hAnsi="Arial"/>
          <w:sz w:val="18"/>
          <w:szCs w:val="18"/>
          <w:color w:val="auto"/>
        </w:rPr>
      </w:pPr>
    </w:p>
    <w:p>
      <w:pPr>
        <w:ind w:left="980" w:right="1000" w:hanging="324"/>
        <w:spacing w:after="0" w:line="277" w:lineRule="auto"/>
        <w:tabs>
          <w:tab w:leader="none" w:pos="9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net short position of approximately 28.1 Bcf through April 2016 related to anticipated sales of natural gas inventory and base gas requirements.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net short position of approximately 9.3 million barrels through March 2017 related to the anticipated sales of our crude oil, NGL and refined products inventory.</w:t>
      </w:r>
    </w:p>
    <w:p>
      <w:pPr>
        <w:sectPr>
          <w:pgSz w:w="11900" w:h="16838" w:orient="portrait"/>
          <w:cols w:equalWidth="0" w:num="1">
            <w:col w:w="11420"/>
          </w:cols>
          <w:pgMar w:left="240" w:top="125" w:right="239" w:bottom="0" w:gutter="0" w:footer="0" w:header="0"/>
        </w:sectPr>
      </w:pPr>
    </w:p>
    <w:bookmarkStart w:id="121" w:name="page122"/>
    <w:bookmarkEnd w:id="121"/>
    <w:p>
      <w:pPr>
        <w:ind w:left="980" w:right="960" w:hanging="324"/>
        <w:spacing w:after="0" w:line="277" w:lineRule="auto"/>
        <w:tabs>
          <w:tab w:leader="none" w:pos="97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long position of 32,400 barrels per day (total of 1.0 million barrels) through February 2015 related to anticipated crude oil linefill requirements.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offset losses due to evaporation, measurement and other losses in transit. We utilize derivative instruments to hedge a portion of the anticipated sales of the allowance oil that is to be collected under our tariffs. As of December 31, 2014, our PLA hedges included a net short position for an average of approximately 1,300 barrels per day (total of 0.4 million barrels) through December 2015 and a long call position of approximately 0.8 million barrels through December 2016.</w:t>
      </w:r>
    </w:p>
    <w:p>
      <w:pPr>
        <w:spacing w:after="0" w:line="18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 mix</w:t>
      </w:r>
      <w:r>
        <w:rPr>
          <w:rFonts w:ascii="Arial" w:cs="Arial" w:eastAsia="Arial" w:hAnsi="Arial"/>
          <w:sz w:val="17"/>
          <w:szCs w:val="17"/>
          <w:i w:val="1"/>
          <w:iCs w:val="1"/>
          <w:color w:val="auto"/>
        </w:rPr>
        <w:t xml:space="preserve"> </w:t>
      </w:r>
      <w:r>
        <w:rPr>
          <w:rFonts w:ascii="Arial" w:cs="Arial" w:eastAsia="Arial" w:hAnsi="Arial"/>
          <w:sz w:val="17"/>
          <w:szCs w:val="17"/>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2014, we had a long natural gas position of approximately 26.1 Bcf through December 2016, a short propane position of approximately 4.1 million barrels through December 2016, a short butane position of approximately 1.2 million barrels through December 2016 and a short WTI position of approximately 0.4 million barrels through December 2016. In addition, we had a long power position of 0.4 million megawatt hours which hedges a portion of our power supply requirements at our natural gas processing and fractionation plants through December 2016.</w:t>
      </w:r>
    </w:p>
    <w:p>
      <w:pPr>
        <w:spacing w:after="0" w:line="17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To the extent they qualify and we decide to make the election, all of our commodity derivatives for which we elect hedge accounting are designated as cash flow hedges. Physical commodity contracts that meet the definition of a derivative but are ineligible, or not designated, for the normal purchases and normal sales scope exception are recorded on the balance sheet at fair value, with changes in fair value recognized in earnings.We have determined that substantially all of our physical purchase and sale agreements qualify for the normal purchases and normal sales scope exception.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December 31, 2014, AOCI includes deferred losses of $161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debt issuances through 2018. The following table summarizes the terms of our forward starting interest rate swaps as of December 31, 2014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Number and Types of</w:t>
            </w:r>
          </w:p>
        </w:tc>
        <w:tc>
          <w:tcPr>
            <w:tcW w:w="16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Notional</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Expected</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Average Rate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Accounting</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Derivatives Employed</w:t>
            </w:r>
          </w:p>
        </w:tc>
        <w:tc>
          <w:tcPr>
            <w:tcW w:w="16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Termination Date</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Locked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30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10 forward starting swaps</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6/15/2015</w:t>
            </w: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3.60%</w:t>
            </w: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gridSpan w:val="2"/>
          </w:tcPr>
          <w:p>
            <w:pPr>
              <w:spacing w:after="0" w:line="201" w:lineRule="exact"/>
              <w:rPr>
                <w:sz w:val="20"/>
                <w:szCs w:val="20"/>
                <w:color w:val="auto"/>
              </w:rPr>
            </w:pPr>
            <w:r>
              <w:rPr>
                <w:rFonts w:ascii="Arial" w:cs="Arial" w:eastAsia="Arial" w:hAnsi="Arial"/>
                <w:sz w:val="18"/>
                <w:szCs w:val="18"/>
                <w:color w:val="auto"/>
              </w:rPr>
              <w:t>Anticipated debt offering</w:t>
            </w:r>
          </w:p>
        </w:tc>
        <w:tc>
          <w:tcPr>
            <w:tcW w:w="24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8 forward starting swaps (30-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6/15/2016</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3.06%</w:t>
            </w:r>
          </w:p>
        </w:tc>
        <w:tc>
          <w:tcPr>
            <w:tcW w:w="300" w:type="dxa"/>
            <w:vAlign w:val="bottom"/>
          </w:tcPr>
          <w:p>
            <w:pPr>
              <w:spacing w:after="0"/>
              <w:rPr>
                <w:sz w:val="17"/>
                <w:szCs w:val="17"/>
                <w:color w:val="auto"/>
              </w:rPr>
            </w:pP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year)</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debt offering</w:t>
            </w:r>
          </w:p>
        </w:tc>
        <w:tc>
          <w:tcPr>
            <w:tcW w:w="24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1"/>
              </w:rPr>
              <w:t>8 forward starting swaps (30-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6/15/2017</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3.14%</w:t>
            </w:r>
          </w:p>
        </w:tc>
        <w:tc>
          <w:tcPr>
            <w:tcW w:w="3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year)</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gridSpan w:val="2"/>
          </w:tcPr>
          <w:p>
            <w:pPr>
              <w:spacing w:after="0" w:line="201" w:lineRule="exact"/>
              <w:rPr>
                <w:sz w:val="20"/>
                <w:szCs w:val="20"/>
                <w:color w:val="auto"/>
              </w:rPr>
            </w:pPr>
            <w:r>
              <w:rPr>
                <w:rFonts w:ascii="Arial" w:cs="Arial" w:eastAsia="Arial" w:hAnsi="Arial"/>
                <w:sz w:val="18"/>
                <w:szCs w:val="18"/>
                <w:color w:val="auto"/>
              </w:rPr>
              <w:t>Anticipated debt offering</w:t>
            </w:r>
          </w:p>
        </w:tc>
        <w:tc>
          <w:tcPr>
            <w:tcW w:w="24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8 forward starting swaps (30-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6/15/2018</w:t>
            </w:r>
          </w:p>
        </w:tc>
        <w:tc>
          <w:tcPr>
            <w:tcW w:w="3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3.20%</w:t>
            </w:r>
          </w:p>
        </w:tc>
        <w:tc>
          <w:tcPr>
            <w:tcW w:w="300" w:type="dxa"/>
            <w:vAlign w:val="bottom"/>
          </w:tcPr>
          <w:p>
            <w:pPr>
              <w:spacing w:after="0"/>
              <w:rPr>
                <w:sz w:val="17"/>
                <w:szCs w:val="17"/>
                <w:color w:val="auto"/>
              </w:rPr>
            </w:pP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year)</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Additionally, we entered into eight forward starting interest rate swaps in January 2015 with an aggregate notional amount of $200 million, locking in a weighted average interest rate of 2.83% for an anticipated debt offering. The expected termination date on these swaps is June 14, 2019.</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activity related to terminated interest rate derivatives (all of which were designated as cash flow hedges) for the years ended December 31, 2014, 2013 and 2012 (notional amounts and cash received/(paid)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3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and Types of Derivatives</w:t>
            </w:r>
          </w:p>
        </w:tc>
        <w:tc>
          <w:tcPr>
            <w:tcW w:w="2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Cash Received/(Paid)</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Average Rate</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3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Terminated</w:t>
            </w:r>
          </w:p>
        </w:tc>
        <w:tc>
          <w:tcPr>
            <w:tcW w:w="2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Locked</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2014 senior note issuance</w:t>
            </w:r>
          </w:p>
        </w:tc>
        <w:tc>
          <w:tcPr>
            <w:tcW w:w="3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 treasury lock agreements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August 2013 senior note issuance </w:t>
            </w:r>
            <w:r>
              <w:rPr>
                <w:rFonts w:ascii="Arial" w:cs="Arial" w:eastAsia="Arial" w:hAnsi="Arial"/>
                <w:sz w:val="23"/>
                <w:szCs w:val="23"/>
                <w:color w:val="auto"/>
                <w:vertAlign w:val="superscript"/>
              </w:rPr>
              <w:t>(1)</w:t>
            </w:r>
          </w:p>
        </w:tc>
        <w:tc>
          <w:tcPr>
            <w:tcW w:w="3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5 forward starting swaps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125</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11</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3"/>
              </w:rPr>
              <w:t>3.39%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(30-year)</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2012 senior note issuance</w:t>
            </w:r>
          </w:p>
        </w:tc>
        <w:tc>
          <w:tcPr>
            <w:tcW w:w="304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1"/>
              </w:rPr>
              <w:t>6 forward starting swaps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(89)</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4.24%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(30-year)</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March 2012 senior note issuance </w:t>
            </w:r>
            <w:r>
              <w:rPr>
                <w:rFonts w:ascii="Arial" w:cs="Arial" w:eastAsia="Arial" w:hAnsi="Arial"/>
                <w:sz w:val="23"/>
                <w:szCs w:val="23"/>
                <w:color w:val="auto"/>
                <w:vertAlign w:val="superscript"/>
              </w:rPr>
              <w:t>(2)</w:t>
            </w:r>
          </w:p>
        </w:tc>
        <w:tc>
          <w:tcPr>
            <w:tcW w:w="3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4 forward starting swaps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200</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3"/>
              </w:rPr>
              <w:t>3.46%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(10-year)</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540" w:hanging="11"/>
        <w:spacing w:after="0" w:line="277" w:lineRule="auto"/>
        <w:rPr>
          <w:sz w:val="20"/>
          <w:szCs w:val="20"/>
          <w:color w:val="auto"/>
        </w:rPr>
      </w:pPr>
      <w:r>
        <w:rPr>
          <w:rFonts w:ascii="Arial" w:cs="Arial" w:eastAsia="Arial" w:hAnsi="Arial"/>
          <w:sz w:val="18"/>
          <w:szCs w:val="18"/>
          <w:color w:val="auto"/>
        </w:rPr>
        <w:t>A gain of approximately $3 million was immediately recognized in interest expense attributable to the ineffective portion of these swaps upon termination.</w:t>
      </w:r>
    </w:p>
    <w:p>
      <w:pPr>
        <w:spacing w:after="0" w:line="170" w:lineRule="exact"/>
        <w:rPr>
          <w:sz w:val="20"/>
          <w:szCs w:val="20"/>
          <w:color w:val="auto"/>
        </w:rPr>
      </w:pPr>
    </w:p>
    <w:p>
      <w:pPr>
        <w:ind w:right="580" w:hanging="11"/>
        <w:spacing w:after="0" w:line="277" w:lineRule="auto"/>
        <w:rPr>
          <w:sz w:val="20"/>
          <w:szCs w:val="20"/>
          <w:color w:val="auto"/>
        </w:rPr>
      </w:pPr>
      <w:r>
        <w:rPr>
          <w:rFonts w:ascii="Arial" w:cs="Arial" w:eastAsia="Arial" w:hAnsi="Arial"/>
          <w:sz w:val="18"/>
          <w:szCs w:val="18"/>
          <w:color w:val="auto"/>
        </w:rPr>
        <w:t>A loss of approximately $1 million was immediately recognized in interest expense attributable to the ineffective portion of these swaps upon termination.</w:t>
      </w:r>
    </w:p>
    <w:p>
      <w:pPr>
        <w:spacing w:after="0" w:line="170"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ectPr>
          <w:pgSz w:w="11900" w:h="16838" w:orient="portrait"/>
          <w:cols w:equalWidth="0" w:num="1">
            <w:col w:w="11420"/>
          </w:cols>
          <w:pgMar w:left="240" w:top="125" w:right="239" w:bottom="0" w:gutter="0" w:footer="0" w:header="0"/>
          <w:type w:val="continuous"/>
        </w:sectPr>
      </w:pPr>
    </w:p>
    <w:bookmarkStart w:id="122" w:name="page123"/>
    <w:bookmarkEnd w:id="122"/>
    <w:p>
      <w:pPr>
        <w:spacing w:after="0" w:line="6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December 31, 2014,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2014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USD</w:t>
            </w:r>
          </w:p>
        </w:tc>
        <w:tc>
          <w:tcPr>
            <w:tcW w:w="20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jc w:val="right"/>
              <w:ind w:right="233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535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$1.00 - $1.16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jc w:val="right"/>
              <w:ind w:right="23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Consolidated Statements of Cash Flows.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years ended December 31, 2014, 2013 and 2012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 Ended December 31, 2014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tcPr>
          <w:p>
            <w:pPr>
              <w:jc w:val="right"/>
              <w:ind w:right="318"/>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Gain/(loss)</w:t>
            </w:r>
          </w:p>
        </w:tc>
        <w:tc>
          <w:tcPr>
            <w:tcW w:w="140" w:type="dxa"/>
            <w:vAlign w:val="bottom"/>
          </w:tcPr>
          <w:p>
            <w:pPr>
              <w:spacing w:after="0"/>
              <w:rPr>
                <w:sz w:val="10"/>
                <w:szCs w:val="10"/>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Other gain/(loss)</w:t>
            </w:r>
          </w:p>
        </w:tc>
        <w:tc>
          <w:tcPr>
            <w:tcW w:w="80" w:type="dxa"/>
            <w:vAlign w:val="bottom"/>
          </w:tcPr>
          <w:p>
            <w:pPr>
              <w:spacing w:after="0"/>
              <w:rPr>
                <w:sz w:val="10"/>
                <w:szCs w:val="10"/>
                <w:color w:val="auto"/>
              </w:rPr>
            </w:pPr>
          </w:p>
        </w:tc>
        <w:tc>
          <w:tcPr>
            <w:tcW w:w="14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Derivatives</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from AOCI</w:t>
            </w: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80" w:type="dxa"/>
            <w:vAlign w:val="bottom"/>
          </w:tcPr>
          <w:p>
            <w:pPr>
              <w:spacing w:after="0"/>
              <w:rPr>
                <w:sz w:val="12"/>
                <w:szCs w:val="12"/>
                <w:color w:val="auto"/>
              </w:rPr>
            </w:pPr>
          </w:p>
        </w:tc>
        <w:tc>
          <w:tcPr>
            <w:tcW w:w="14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 xml:space="preserve">into income </w:t>
            </w:r>
            <w:r>
              <w:rPr>
                <w:rFonts w:ascii="Arial" w:cs="Arial" w:eastAsia="Arial" w:hAnsi="Arial"/>
                <w:sz w:val="8"/>
                <w:szCs w:val="8"/>
                <w:b w:val="1"/>
                <w:bCs w:val="1"/>
                <w:color w:val="auto"/>
                <w:w w:val="93"/>
              </w:rPr>
              <w:t>(1) (2)</w:t>
            </w:r>
          </w:p>
        </w:tc>
        <w:tc>
          <w:tcPr>
            <w:tcW w:w="14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as a Hedge</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Gain/(Loss) on Derivatives Recognized in Net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right"/>
              <w:ind w:right="1300"/>
              <w:spacing w:after="0"/>
              <w:rPr>
                <w:sz w:val="20"/>
                <w:szCs w:val="20"/>
                <w:color w:val="auto"/>
              </w:rPr>
            </w:pPr>
            <w:r>
              <w:rPr>
                <w:rFonts w:ascii="Arial" w:cs="Arial" w:eastAsia="Arial" w:hAnsi="Arial"/>
                <w:sz w:val="18"/>
                <w:szCs w:val="18"/>
                <w:color w:val="auto"/>
                <w:w w:val="97"/>
              </w:rPr>
              <w:t>F-31</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9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2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 Ended December 31, 2013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Gain/(loss)</w:t>
            </w: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40" w:type="dxa"/>
            <w:vAlign w:val="bottom"/>
          </w:tcPr>
          <w:p>
            <w:pPr>
              <w:spacing w:after="0"/>
              <w:rPr>
                <w:sz w:val="12"/>
                <w:szCs w:val="12"/>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Other gain/(loss)</w:t>
            </w:r>
          </w:p>
        </w:tc>
        <w:tc>
          <w:tcPr>
            <w:tcW w:w="80" w:type="dxa"/>
            <w:vAlign w:val="bottom"/>
          </w:tcPr>
          <w:p>
            <w:pPr>
              <w:spacing w:after="0"/>
              <w:rPr>
                <w:sz w:val="12"/>
                <w:szCs w:val="12"/>
                <w:color w:val="auto"/>
              </w:rPr>
            </w:pPr>
          </w:p>
        </w:tc>
        <w:tc>
          <w:tcPr>
            <w:tcW w:w="14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Derivatives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AOCI into</w:t>
            </w: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2"/>
                <w:szCs w:val="12"/>
                <w:color w:val="auto"/>
              </w:rPr>
            </w:pPr>
          </w:p>
        </w:tc>
        <w:tc>
          <w:tcPr>
            <w:tcW w:w="14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in income</w:t>
            </w:r>
          </w:p>
        </w:tc>
        <w:tc>
          <w:tcPr>
            <w:tcW w:w="80" w:type="dxa"/>
            <w:vAlign w:val="bottom"/>
          </w:tcPr>
          <w:p>
            <w:pPr>
              <w:spacing w:after="0"/>
              <w:rPr>
                <w:sz w:val="14"/>
                <w:szCs w:val="14"/>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as a Hedge</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-2850515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-2850515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Gain/(Loss) on Derivatives Recognized in Net Income</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4"/>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 Ended December 31, 2012</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60" w:type="dxa"/>
            <w:vAlign w:val="bottom"/>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top w:val="single" w:sz="8" w:color="auto"/>
            </w:tcBorders>
          </w:tcPr>
          <w:p>
            <w:pPr>
              <w:jc w:val="center"/>
              <w:ind w:left="184"/>
              <w:spacing w:after="0" w:line="119" w:lineRule="exact"/>
              <w:rPr>
                <w:sz w:val="20"/>
                <w:szCs w:val="20"/>
                <w:color w:val="auto"/>
              </w:rPr>
            </w:pPr>
            <w:r>
              <w:rPr>
                <w:rFonts w:ascii="Arial" w:cs="Arial" w:eastAsia="Arial" w:hAnsi="Arial"/>
                <w:sz w:val="13"/>
                <w:szCs w:val="13"/>
                <w:b w:val="1"/>
                <w:bCs w:val="1"/>
                <w:color w:val="auto"/>
                <w:w w:val="98"/>
              </w:rPr>
              <w:t>Gain/(loss)</w:t>
            </w:r>
          </w:p>
        </w:tc>
        <w:tc>
          <w:tcPr>
            <w:tcW w:w="2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Other gain/(loss)</w:t>
            </w:r>
          </w:p>
        </w:tc>
        <w:tc>
          <w:tcPr>
            <w:tcW w:w="80" w:type="dxa"/>
            <w:vAlign w:val="bottom"/>
          </w:tcPr>
          <w:p>
            <w:pPr>
              <w:spacing w:after="0"/>
              <w:rPr>
                <w:sz w:val="12"/>
                <w:szCs w:val="12"/>
                <w:color w:val="auto"/>
              </w:rPr>
            </w:pPr>
          </w:p>
        </w:tc>
        <w:tc>
          <w:tcPr>
            <w:tcW w:w="14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Derivatives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6"/>
              </w:rPr>
              <w:t>from</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rPr>
              <w:t>AOCI into</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2"/>
                <w:szCs w:val="12"/>
                <w:color w:val="auto"/>
              </w:rPr>
            </w:pPr>
          </w:p>
        </w:tc>
        <w:tc>
          <w:tcPr>
            <w:tcW w:w="14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 xml:space="preserve">income </w:t>
            </w:r>
            <w:r>
              <w:rPr>
                <w:rFonts w:ascii="Arial" w:cs="Arial" w:eastAsia="Arial" w:hAnsi="Arial"/>
                <w:sz w:val="8"/>
                <w:szCs w:val="8"/>
                <w:b w:val="1"/>
                <w:bCs w:val="1"/>
                <w:color w:val="auto"/>
                <w:w w:val="92"/>
              </w:rPr>
              <w:t>(1)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in income</w:t>
            </w:r>
          </w:p>
        </w:tc>
        <w:tc>
          <w:tcPr>
            <w:tcW w:w="80" w:type="dxa"/>
            <w:vAlign w:val="bottom"/>
          </w:tcPr>
          <w:p>
            <w:pPr>
              <w:spacing w:after="0"/>
              <w:rPr>
                <w:sz w:val="14"/>
                <w:szCs w:val="14"/>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as a Hedge</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420" w:type="dxa"/>
            <w:vAlign w:val="bottom"/>
            <w:gridSpan w:val="2"/>
            <w:shd w:val="clear" w:color="auto" w:fill="CCEEFF"/>
          </w:tcPr>
          <w:p>
            <w:pPr>
              <w:jc w:val="right"/>
              <w:ind w:right="94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Gain/(Loss) on Derivatives Recognized in Net Income</w:t>
            </w:r>
          </w:p>
        </w:tc>
        <w:tc>
          <w:tcPr>
            <w:tcW w:w="1420" w:type="dxa"/>
            <w:vAlign w:val="bottom"/>
            <w:gridSpan w:val="2"/>
            <w:shd w:val="clear" w:color="auto" w:fill="CCEEFF"/>
          </w:tcPr>
          <w:p>
            <w:pPr>
              <w:jc w:val="right"/>
              <w:ind w:right="94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664"/>
              <w:spacing w:after="0"/>
              <w:rPr>
                <w:sz w:val="20"/>
                <w:szCs w:val="20"/>
                <w:color w:val="auto"/>
              </w:rPr>
            </w:pPr>
            <w:r>
              <w:rPr>
                <w:rFonts w:ascii="Arial" w:cs="Arial" w:eastAsia="Arial" w:hAnsi="Arial"/>
                <w:sz w:val="18"/>
                <w:szCs w:val="18"/>
                <w:color w:val="auto"/>
                <w:w w:val="97"/>
              </w:rPr>
              <w:t>F-32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40" w:hanging="593"/>
        <w:spacing w:after="0"/>
        <w:tabs>
          <w:tab w:leader="none" w:pos="640" w:val="left"/>
        </w:tabs>
        <w:numPr>
          <w:ilvl w:val="0"/>
          <w:numId w:val="112"/>
        </w:numPr>
        <w:rPr>
          <w:rFonts w:ascii="Arial" w:cs="Arial" w:eastAsia="Arial" w:hAnsi="Arial"/>
          <w:sz w:val="22"/>
          <w:szCs w:val="22"/>
          <w:color w:val="auto"/>
          <w:vertAlign w:val="superscript"/>
        </w:rPr>
      </w:pPr>
      <w:r>
        <w:rPr>
          <w:rFonts w:ascii="Arial" w:cs="Arial" w:eastAsia="Arial" w:hAnsi="Arial"/>
          <w:sz w:val="17"/>
          <w:szCs w:val="17"/>
          <w:color w:val="auto"/>
        </w:rPr>
        <w:t>During the years ended December 31, 2014 and 2012, all of our hedged transactions were probable of occurring. During the year ended</w:t>
      </w:r>
    </w:p>
    <w:p>
      <w:pPr>
        <w:spacing w:after="0" w:line="1" w:lineRule="exact"/>
        <w:rPr>
          <w:rFonts w:ascii="Arial" w:cs="Arial" w:eastAsia="Arial" w:hAnsi="Arial"/>
          <w:sz w:val="22"/>
          <w:szCs w:val="22"/>
          <w:color w:val="auto"/>
          <w:vertAlign w:val="superscript"/>
        </w:rPr>
      </w:pPr>
    </w:p>
    <w:p>
      <w:pPr>
        <w:ind w:left="660" w:right="80"/>
        <w:spacing w:after="0" w:line="259" w:lineRule="auto"/>
        <w:rPr>
          <w:rFonts w:ascii="Arial" w:cs="Arial" w:eastAsia="Arial" w:hAnsi="Arial"/>
          <w:sz w:val="22"/>
          <w:szCs w:val="22"/>
          <w:color w:val="auto"/>
          <w:vertAlign w:val="superscript"/>
        </w:rPr>
      </w:pPr>
      <w:r>
        <w:rPr>
          <w:rFonts w:ascii="Arial" w:cs="Arial" w:eastAsia="Arial" w:hAnsi="Arial"/>
          <w:sz w:val="18"/>
          <w:szCs w:val="18"/>
          <w:color w:val="auto"/>
        </w:rPr>
        <w:t>December 31, 2013, we reclassified gains of $3 million and losses of $1 million from AOCI to Supply and Logistics segment revenues and Facilities segment revenues, respectively, as a result of anticipated hedged transactions that were probable of not occurring.</w:t>
      </w:r>
    </w:p>
    <w:p>
      <w:pPr>
        <w:spacing w:after="0" w:line="185" w:lineRule="exact"/>
        <w:rPr>
          <w:rFonts w:ascii="Arial" w:cs="Arial" w:eastAsia="Arial" w:hAnsi="Arial"/>
          <w:sz w:val="22"/>
          <w:szCs w:val="22"/>
          <w:color w:val="auto"/>
          <w:vertAlign w:val="superscript"/>
        </w:rPr>
      </w:pPr>
    </w:p>
    <w:p>
      <w:pPr>
        <w:ind w:left="660" w:right="120" w:hanging="613"/>
        <w:spacing w:after="0" w:line="227" w:lineRule="auto"/>
        <w:tabs>
          <w:tab w:leader="none" w:pos="646" w:val="left"/>
        </w:tabs>
        <w:numPr>
          <w:ilvl w:val="0"/>
          <w:numId w:val="112"/>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2014 we reclassified gains of $7 million from AOCI to Supply and Logistics segment revenues associated with inventory valuation adjustments on the related hedged inventory.</w:t>
      </w:r>
    </w:p>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8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w w:val="94"/>
              </w:rPr>
              <w:t>Asset Derivatives</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080" w:type="dxa"/>
            <w:vAlign w:val="bottom"/>
          </w:tcPr>
          <w:p>
            <w:pPr>
              <w:ind w:left="600"/>
              <w:spacing w:after="0" w:line="119" w:lineRule="exact"/>
              <w:rPr>
                <w:sz w:val="20"/>
                <w:szCs w:val="20"/>
                <w:color w:val="auto"/>
              </w:rPr>
            </w:pPr>
            <w:r>
              <w:rPr>
                <w:rFonts w:ascii="Arial" w:cs="Arial" w:eastAsia="Arial" w:hAnsi="Arial"/>
                <w:sz w:val="13"/>
                <w:szCs w:val="13"/>
                <w:b w:val="1"/>
                <w:bCs w:val="1"/>
                <w:color w:val="auto"/>
              </w:rPr>
              <w:t>Balance Sheet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0"/>
                <w:szCs w:val="10"/>
                <w:color w:val="auto"/>
              </w:rPr>
            </w:pPr>
          </w:p>
        </w:tc>
        <w:tc>
          <w:tcPr>
            <w:tcW w:w="54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80" w:type="dxa"/>
            <w:vAlign w:val="bottom"/>
          </w:tcPr>
          <w:p>
            <w:pPr>
              <w:ind w:left="76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2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Derivatives designated as hedging instruments:</w:t>
            </w:r>
          </w:p>
        </w:tc>
        <w:tc>
          <w:tcPr>
            <w:tcW w:w="2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080" w:type="dxa"/>
            <w:vAlign w:val="bottom"/>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23</w:t>
            </w: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Total derivatives designated as hedging instruments</w:t>
            </w:r>
          </w:p>
        </w:tc>
        <w:tc>
          <w:tcPr>
            <w:tcW w:w="20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23</w:t>
            </w: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Total derivatives not designated as hedging instruments</w:t>
            </w:r>
          </w:p>
        </w:tc>
        <w:tc>
          <w:tcPr>
            <w:tcW w:w="20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Total derivatives</w:t>
            </w:r>
          </w:p>
        </w:tc>
        <w:tc>
          <w:tcPr>
            <w:tcW w:w="20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2013 (in millions):</w:t>
      </w:r>
    </w:p>
    <w:p>
      <w:pPr>
        <w:spacing w:after="0" w:line="162" w:lineRule="exact"/>
        <w:rPr>
          <w:sz w:val="20"/>
          <w:szCs w:val="20"/>
          <w:color w:val="auto"/>
        </w:rPr>
      </w:pPr>
    </w:p>
    <w:tbl>
      <w:tblPr>
        <w:tblLayout w:type="fixed"/>
        <w:tblInd w:w="4920" w:type="dxa"/>
        <w:tblCellMar>
          <w:top w:w="0" w:type="dxa"/>
          <w:left w:w="0" w:type="dxa"/>
          <w:bottom w:w="0" w:type="dxa"/>
          <w:right w:w="0" w:type="dxa"/>
        </w:tblCellMar>
      </w:tblPr>
      <w:tr>
        <w:trPr>
          <w:trHeight w:val="171"/>
        </w:trPr>
        <w:tc>
          <w:tcPr>
            <w:tcW w:w="22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Asset Derivatives</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Liability Derivatives</w:t>
            </w:r>
          </w:p>
        </w:tc>
        <w:tc>
          <w:tcPr>
            <w:tcW w:w="740" w:type="dxa"/>
            <w:vAlign w:val="bottom"/>
            <w:tcBorders>
              <w:bottom w:val="single" w:sz="8" w:color="auto"/>
            </w:tcBorders>
          </w:tcPr>
          <w:p>
            <w:pPr>
              <w:spacing w:after="0"/>
              <w:rPr>
                <w:sz w:val="14"/>
                <w:szCs w:val="14"/>
                <w:color w:val="auto"/>
              </w:rPr>
            </w:pPr>
          </w:p>
        </w:tc>
      </w:tr>
      <w:tr>
        <w:trPr>
          <w:trHeight w:val="119"/>
        </w:trPr>
        <w:tc>
          <w:tcPr>
            <w:tcW w:w="2240" w:type="dxa"/>
            <w:vAlign w:val="bottom"/>
          </w:tcPr>
          <w:p>
            <w:pPr>
              <w:jc w:val="center"/>
              <w:ind w:right="11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740" w:type="dxa"/>
            <w:vAlign w:val="bottom"/>
          </w:tcPr>
          <w:p>
            <w:pPr>
              <w:jc w:val="center"/>
              <w:ind w:left="11"/>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2420" w:type="dxa"/>
            <w:vAlign w:val="bottom"/>
          </w:tcPr>
          <w:p>
            <w:pPr>
              <w:jc w:val="center"/>
              <w:ind w:right="9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Fair</w:t>
            </w:r>
          </w:p>
        </w:tc>
      </w:tr>
      <w:tr>
        <w:trPr>
          <w:trHeight w:val="173"/>
        </w:trPr>
        <w:tc>
          <w:tcPr>
            <w:tcW w:w="2240" w:type="dxa"/>
            <w:vAlign w:val="bottom"/>
          </w:tcPr>
          <w:p>
            <w:pPr>
              <w:jc w:val="center"/>
              <w:ind w:right="110"/>
              <w:spacing w:after="0"/>
              <w:rPr>
                <w:sz w:val="20"/>
                <w:szCs w:val="20"/>
                <w:color w:val="auto"/>
              </w:rPr>
            </w:pPr>
            <w:r>
              <w:rPr>
                <w:rFonts w:ascii="Arial" w:cs="Arial" w:eastAsia="Arial" w:hAnsi="Arial"/>
                <w:sz w:val="14"/>
                <w:szCs w:val="14"/>
                <w:b w:val="1"/>
                <w:bCs w:val="1"/>
                <w:color w:val="auto"/>
                <w:w w:val="92"/>
              </w:rPr>
              <w:t>Location</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2420" w:type="dxa"/>
            <w:vAlign w:val="bottom"/>
          </w:tcPr>
          <w:p>
            <w:pPr>
              <w:jc w:val="center"/>
              <w:ind w:right="90"/>
              <w:spacing w:after="0"/>
              <w:rPr>
                <w:sz w:val="20"/>
                <w:szCs w:val="20"/>
                <w:color w:val="auto"/>
              </w:rPr>
            </w:pPr>
            <w:r>
              <w:rPr>
                <w:rFonts w:ascii="Arial" w:cs="Arial" w:eastAsia="Arial" w:hAnsi="Arial"/>
                <w:sz w:val="14"/>
                <w:szCs w:val="14"/>
                <w:b w:val="1"/>
                <w:bCs w:val="1"/>
                <w:color w:val="auto"/>
                <w:w w:val="92"/>
              </w:rPr>
              <w:t>Location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159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215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Derivatives designated as hedging instruments:</w:t>
      </w:r>
    </w:p>
    <w:p>
      <w:pPr>
        <w:spacing w:after="0" w:line="20" w:lineRule="exact"/>
        <w:rPr>
          <w:sz w:val="20"/>
          <w:szCs w:val="20"/>
          <w:color w:val="auto"/>
        </w:rPr>
      </w:pPr>
    </w:p>
    <w:p>
      <w:pPr>
        <w:sectPr>
          <w:pgSz w:w="11900" w:h="16838" w:orient="portrait"/>
          <w:cols w:equalWidth="0" w:num="1">
            <w:col w:w="11460"/>
          </w:cols>
          <w:pgMar w:left="240" w:top="140" w:right="199" w:bottom="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Commodity derivatives</w:t>
            </w:r>
          </w:p>
        </w:tc>
        <w:tc>
          <w:tcPr>
            <w:tcW w:w="23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36</w:t>
            </w:r>
          </w:p>
        </w:tc>
        <w:tc>
          <w:tcPr>
            <w:tcW w:w="260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360" w:type="dxa"/>
            <w:vAlign w:val="bottom"/>
          </w:tcPr>
          <w:p>
            <w:pPr>
              <w:ind w:left="360"/>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26</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derivatives designated as hedging instruments</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3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60</w:t>
            </w:r>
          </w:p>
        </w:tc>
        <w:tc>
          <w:tcPr>
            <w:tcW w:w="260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w:t>
            </w:r>
          </w:p>
        </w:tc>
        <w:tc>
          <w:tcPr>
            <w:tcW w:w="260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Total derivatives not designated as hedging instruments</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23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26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derivative transactions are governed through ISDA (International Swaps and Derivatives Association) master agreements and clearing brokerage agreements. These agreements include stipulations regarding the right of set off in the event that we or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counterparty default on our performance obligations. If a default were to occur, both parties have the right to net amounts payable and receivable into a single net settlement between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also offset derivative assets and liabilities with amounts associated with cash margin. Our exchange-traded derivatives are transacted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through clearing brokerage accounts and are subject to margin requirements as established by the respective exchange. On a daily basis, our account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(consisting of the sum of our cash balance and the fair value of our open derivatives) is compared to our initial margin requirement resulting in the payment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return of variation margin. As of December 31, 2014, we had a net broker payable of $133 million (consisting of initial margin of $126 million reduced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$259 million of variation margin that had been returned to us). As of December 31, 2013, we had a net broker receivable of $161 million (consisting of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margin of $85 million increased by $76 million of variation margin that had been posted by us).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294"/>
              <w:spacing w:after="0" w:line="119" w:lineRule="exact"/>
              <w:rPr>
                <w:sz w:val="20"/>
                <w:szCs w:val="20"/>
                <w:color w:val="auto"/>
              </w:rPr>
            </w:pPr>
            <w:r>
              <w:rPr>
                <w:rFonts w:ascii="Arial" w:cs="Arial" w:eastAsia="Arial" w:hAnsi="Arial"/>
                <w:sz w:val="13"/>
                <w:szCs w:val="13"/>
                <w:b w:val="1"/>
                <w:bCs w:val="1"/>
                <w:color w:val="auto"/>
              </w:rPr>
              <w:t>Derivative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Asset Positions</w:t>
            </w:r>
          </w:p>
        </w:tc>
        <w:tc>
          <w:tcPr>
            <w:tcW w:w="10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Asset Positions</w:t>
            </w:r>
          </w:p>
        </w:tc>
        <w:tc>
          <w:tcPr>
            <w:tcW w:w="1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6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current assets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As of December 31, 2014, there was a net loss of $159 million deferred in AOCI including tax effects. The deferred net loss recorded in AOCI is expected to be reclassified to future earnings contemporaneously with (i) the earnings recognition of the underlying hedged commodity transaction or</w:t>
      </w:r>
    </w:p>
    <w:p>
      <w:pPr>
        <w:ind w:right="20" w:firstLine="8"/>
        <w:spacing w:after="0" w:line="254" w:lineRule="auto"/>
        <w:tabs>
          <w:tab w:leader="none" w:pos="2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interest expense accruals associated with underlying debt instruments. Of the total net loss deferred in AOCI at December 31, 2014, we expect to reclassify a net gain of $14 million to earnings in the next twelve months. The remaining deferred loss of $173 million is expected to be reclassified to earnings through 2048. A portion of these amounts are based on market prices as of December 31, 2014; thus, actual amounts to be reclassified will differ and could vary materially as a result of changes in market conditions.</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years ended December 31, 2014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9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 net</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At December 31, 2014 and December 31, 2013,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December 31, 2014 and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2"/>
              </w:rPr>
              <w:t>Fair Value as of December 31, 2014</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Fair Value as of December 31, 2013</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380"/>
        <w:spacing w:after="0" w:line="302" w:lineRule="auto"/>
        <w:rPr>
          <w:sz w:val="20"/>
          <w:szCs w:val="20"/>
          <w:color w:val="auto"/>
        </w:rPr>
      </w:pPr>
      <w:r>
        <w:rPr>
          <w:rFonts w:ascii="Arial" w:cs="Arial" w:eastAsia="Arial" w:hAnsi="Arial"/>
          <w:sz w:val="16"/>
          <w:szCs w:val="16"/>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Total gains/(losses) for the period: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0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21"/>
                <w:szCs w:val="21"/>
                <w:color w:val="auto"/>
              </w:rPr>
            </w:pP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the periods</w:t>
            </w:r>
          </w:p>
        </w:tc>
        <w:tc>
          <w:tcPr>
            <w:tcW w:w="12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27" w:lineRule="auto"/>
        <w:tabs>
          <w:tab w:leader="none" w:pos="648"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Consolidated Statements of Operations as Supply and Logistics segment revenues.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ectPr>
          <w:pgSz w:w="11900" w:h="16838" w:orient="portrait"/>
          <w:cols w:equalWidth="0" w:num="1">
            <w:col w:w="11420"/>
          </w:cols>
          <w:pgMar w:left="240" w:top="368" w:right="239" w:bottom="108" w:gutter="0" w:footer="0" w:header="0"/>
        </w:sectPr>
      </w:pPr>
    </w:p>
    <w:bookmarkStart w:id="126" w:name="page127"/>
    <w:bookmarkEnd w:id="126"/>
    <w:p>
      <w:pPr>
        <w:ind w:right="20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2014 and 2013,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2014, 2013, and 2012 was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All of our Canadian operations are conducted within entities that are treated as corporations for Canadian tax purposes (flow through for U.S.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tax expense</w:t>
            </w: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Arial" w:cs="Arial" w:eastAsia="Arial" w:hAnsi="Arial"/>
                <w:sz w:val="18"/>
                <w:szCs w:val="18"/>
                <w:color w:val="auto"/>
              </w:rPr>
              <w:t>Total deferred tax (benefit)/expense</w:t>
            </w: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difference between tax expense based on the statutory federal income tax rate and our effective tax expense is summarized as follows (in millions):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Partnership earnings not subject to current Canadian tax</w:t>
            </w:r>
          </w:p>
        </w:tc>
        <w:tc>
          <w:tcPr>
            <w:tcW w:w="8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(1,187)</w:t>
            </w:r>
          </w:p>
        </w:tc>
        <w:tc>
          <w:tcPr>
            <w:tcW w:w="3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Canadian federal and provincial corporate tax rate</w:t>
            </w:r>
          </w:p>
        </w:tc>
        <w:tc>
          <w:tcPr>
            <w:tcW w:w="8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Canadian withholding tax</w:t>
            </w: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Canadian permanent differences and rate changes</w:t>
            </w:r>
          </w:p>
        </w:tc>
        <w:tc>
          <w:tcPr>
            <w:tcW w:w="8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income tax expense</w:t>
            </w:r>
          </w:p>
        </w:tc>
        <w:tc>
          <w:tcPr>
            <w:tcW w:w="88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Book accruals in excess of current tax deductions</w:t>
            </w:r>
          </w:p>
        </w:tc>
        <w:tc>
          <w:tcPr>
            <w:tcW w:w="282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losses</w:t>
            </w:r>
          </w:p>
        </w:tc>
        <w:tc>
          <w:tcPr>
            <w:tcW w:w="1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in excess of tax values</w:t>
            </w:r>
          </w:p>
        </w:tc>
        <w:tc>
          <w:tcPr>
            <w:tcW w:w="1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(442)</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deferred tax assets / (liabilities)</w:t>
            </w:r>
          </w:p>
        </w:tc>
        <w:tc>
          <w:tcPr>
            <w:tcW w:w="18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(411)</w:t>
            </w: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Balance sheet classification of deferred tax assets / (liabilities):</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82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 deferred credits</w:t>
            </w:r>
          </w:p>
        </w:tc>
        <w:tc>
          <w:tcPr>
            <w:tcW w:w="1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27" w:name="page128"/>
    <w:bookmarkEnd w:id="127"/>
    <w:p>
      <w:pPr>
        <w:ind w:left="660"/>
        <w:spacing w:after="0"/>
        <w:rPr>
          <w:sz w:val="20"/>
          <w:szCs w:val="20"/>
          <w:color w:val="auto"/>
        </w:rPr>
      </w:pPr>
      <w:r>
        <w:rPr>
          <w:rFonts w:ascii="Arial" w:cs="Arial" w:eastAsia="Arial" w:hAnsi="Arial"/>
          <w:sz w:val="18"/>
          <w:szCs w:val="18"/>
          <w:color w:val="auto"/>
        </w:rPr>
        <w:t>As of December 31, 2014, we had foreign net operating loss carryforwards of $8 million, which will expire in 2034.</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2008 through 2014. Our U.S. and state tax years are generally open to examination from 2011 to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14—Major Customers and Concentration of Credit Risk</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Marathon Petroleum Corporation and its subsidiaries accounted for approximately 17%, 15% and 16% of our revenues for the years ended December 31, 2014, 2013 and 2012, respectively. ExxonMobil Corporation and its subsidiaries accounted for approximately 15% of our revenues for the year ended December 31, 2014 and approximately 13% of our revenues for each of the years ended December 31, 2013 and 2012. Phillips 66 and its subsidiaries accounted for approximately 11% of our revenues for the year ended December 31, 2013. No other customers accounted for 10% or more of our revenues during any of the three years ended December 31, 2014.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storage.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Expenses of Our General Partner and its Affiliates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(other than expenses related to grants of AAP Management Units).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2014, 2013 and 2012 were $598 million, $567 million and $535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November 14, 2014, we purchased Oxy’s 50% interest in BridgeTex. See Note 8 for further discussion. Also on November 14, 2014, Oxy exchanged a portion of its interest in our general partner for Class A shares of PAGP and immediately sold such shares through a secondary public offering completed by PAGP. As of December 31, 2014, Oxy owned approximately 13.2% of the limited partner interests in our general partner and had a representative on the board of directors of GP LLC.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years ended December 31, 2014, we recognized sales and transportation revenues and purchased petroleum products from Oxy.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were conducted at posted tariff rates or prices that we believe approximate market. See detail below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489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also have transactions with companies in which we hold an investment accounted for under the equity method of accounting (see Note 8 for information related to these investments). We recorded revenues of $3 million, $33 million and $18 million during the years ended December 31, 2014, 2013 and 2012, respectively. The revenues for the years ended December 31, 2013 and 2012 were primarily associated with sales of crude oil to Eagle Ford Pipeline LLC for its linefill requirements. These sales did not result in any gain for us. During the three years ended December 31, 2014, we utilized transportation services and purchased petroleum products provided by these companies. Costs related to these services totaled $75 million, $79 million and $42 million for the years ended December 31, 2014, 2013 and 2012, respectively. These transactions were conducted at posted tariff rates or contracted rates or prices that we believe approximate market. Receivables from our equity method investees totaled less than $1 million at December 31, 2014 and $2 million at December 31, 2013. Accounts payable to our equity method investees were $6 million at both December 31, 2014 and December 31, 2013.</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2014, we sold land to Eagle Ford Pipeline LLC for proceeds of $25 million. Such proceeds are included in “Proceeds from sales of assets” on our Consolidated Statement of Cash Flows. We did not recognize any gain in connection with this transaction.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0" w:gutter="0" w:footer="0" w:header="0"/>
        </w:sectPr>
      </w:pPr>
    </w:p>
    <w:bookmarkStart w:id="128" w:name="page129"/>
    <w:bookmarkEnd w:id="12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Plains All American 2013 Long-Term Incentive Plan</w:t>
      </w:r>
      <w:r>
        <w:rPr>
          <w:rFonts w:ascii="Arial" w:cs="Arial" w:eastAsia="Arial" w:hAnsi="Arial"/>
          <w:sz w:val="16"/>
          <w:szCs w:val="16"/>
          <w:color w:val="auto"/>
        </w:rPr>
        <w:t>. In November 2013, our common unitholders approved the Plains All American 2013 Long-Term Incentive Plan (the “PAA 2013 LTIP”), which consolidated our three previous long-term incentive plans (the Plains All American GP LLC 1998 Long-Term Incentive Plan, as amended, the Plains All American 2005 Long-Term Incentive Plan, as amended, and the Plains All American PPX Successor Long-Term Incentive Plan, as amended) into a single plan. The PAA 2013 LTIP authorizes the issuance of an aggregate of approximately 13.1 million PAA common units deliverable upon vesting. Although other types of awards are contemplated under the PAA 2013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Plains All American PNG Successor Long-Term Incentive Plan</w:t>
      </w:r>
      <w:r>
        <w:rPr>
          <w:rFonts w:ascii="Arial" w:cs="Arial" w:eastAsia="Arial" w:hAnsi="Arial"/>
          <w:sz w:val="16"/>
          <w:szCs w:val="16"/>
          <w:color w:val="auto"/>
        </w:rPr>
        <w:t>. In conjunction with the PNG Merger on December 31, 2013, our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and assumed the PAA Natural Gas Storage, L.P. 2010 Long-Term Incentive Plan (the “PNG 2010 LTIP”) and changed the plan name to the Plains All American PNG Successor Long-Term Incentive Plan (the “PNG Successor LTIP”). Additionally, as a result of the PNG Merger, outstanding awards of PNG phantom units issued under the PNG 2010 LTIP were converted into comparable awards of phantom units representing the right to receive PAA common units by applying the Merger Exchange Ratio to each outstanding phantom unit and rounding down to the nearest PAA phantom unit for any fractions. See Note 10 for further discussion of the PNG Merger. The PNG Successor LTIP authorizes the issuance of an aggregate of 1.3 million PAA common units deliverable upon vesting. Although other types of awards are contemplated under the PNG Successor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Plains All American GP LLC 2006 Long-Term Incentive Tracking Unit Plan. </w:t>
      </w:r>
      <w:r>
        <w:rPr>
          <w:rFonts w:ascii="Arial" w:cs="Arial" w:eastAsia="Arial" w:hAnsi="Arial"/>
          <w:sz w:val="18"/>
          <w:szCs w:val="18"/>
          <w:color w:val="auto"/>
        </w:rPr>
        <w:t>Our general partner has adopted the Plains All American GP LLC 2006</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Tracking Unit Plan (the “2006 Plan”) for non-officer employees. The 2006 Plan authorizes the grant of approximately 4.2 million “tracking units” which, upon vesting, represent the right to receive a cash payment in an amount based upon the market value of a PAA common unit at the time of vesting.</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general partner is entitled to reimbursement by us for any costs incurred in settling obligations under the PAA 2013 LTIP, the PNG Successor LTIP or the 2006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2014, the following LTIP awards, denominated in PAA units, were outstanding (units in millions):</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500" w:type="dxa"/>
            <w:vAlign w:val="bottom"/>
          </w:tcPr>
          <w:p>
            <w:pPr>
              <w:jc w:val="center"/>
              <w:ind w:right="388"/>
              <w:spacing w:after="0"/>
              <w:rPr>
                <w:sz w:val="20"/>
                <w:szCs w:val="20"/>
                <w:color w:val="auto"/>
              </w:rPr>
            </w:pPr>
            <w:r>
              <w:rPr>
                <w:rFonts w:ascii="Arial" w:cs="Arial" w:eastAsia="Arial" w:hAnsi="Arial"/>
                <w:sz w:val="14"/>
                <w:szCs w:val="14"/>
                <w:b w:val="1"/>
                <w:bCs w:val="1"/>
                <w:color w:val="auto"/>
                <w:w w:val="94"/>
              </w:rPr>
              <w:t>PAA</w:t>
            </w:r>
          </w:p>
        </w:tc>
        <w:tc>
          <w:tcPr>
            <w:tcW w:w="1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PAA</w:t>
            </w: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Estimated Unit Vesting Date</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jc w:val="center"/>
              <w:ind w:right="388"/>
              <w:spacing w:after="0"/>
              <w:rPr>
                <w:sz w:val="20"/>
                <w:szCs w:val="20"/>
                <w:color w:val="auto"/>
              </w:rPr>
            </w:pPr>
            <w:r>
              <w:rPr>
                <w:rFonts w:ascii="Arial" w:cs="Arial" w:eastAsia="Arial" w:hAnsi="Arial"/>
                <w:sz w:val="14"/>
                <w:szCs w:val="14"/>
                <w:b w:val="1"/>
                <w:bCs w:val="1"/>
                <w:color w:val="auto"/>
                <w:w w:val="98"/>
              </w:rPr>
              <w:t>LTIP Units</w:t>
            </w:r>
          </w:p>
        </w:tc>
        <w:tc>
          <w:tcPr>
            <w:tcW w:w="190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Distribution</w:t>
            </w:r>
          </w:p>
        </w:tc>
        <w:tc>
          <w:tcPr>
            <w:tcW w:w="1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00" w:type="dxa"/>
            <w:vAlign w:val="bottom"/>
          </w:tcPr>
          <w:p>
            <w:pPr>
              <w:jc w:val="center"/>
              <w:ind w:right="388"/>
              <w:spacing w:after="0" w:line="157" w:lineRule="exact"/>
              <w:rPr>
                <w:sz w:val="20"/>
                <w:szCs w:val="20"/>
                <w:color w:val="auto"/>
              </w:rPr>
            </w:pPr>
            <w:r>
              <w:rPr>
                <w:rFonts w:ascii="Arial" w:cs="Arial" w:eastAsia="Arial" w:hAnsi="Arial"/>
                <w:sz w:val="14"/>
                <w:szCs w:val="14"/>
                <w:b w:val="1"/>
                <w:bCs w:val="1"/>
                <w:color w:val="auto"/>
                <w:w w:val="96"/>
              </w:rPr>
              <w:t xml:space="preserve">Outstanding </w:t>
            </w:r>
            <w:r>
              <w:rPr>
                <w:rFonts w:ascii="Arial" w:cs="Arial" w:eastAsia="Arial" w:hAnsi="Arial"/>
                <w:sz w:val="8"/>
                <w:szCs w:val="8"/>
                <w:b w:val="1"/>
                <w:bCs w:val="1"/>
                <w:color w:val="auto"/>
                <w:w w:val="96"/>
              </w:rPr>
              <w:t>(1) (2)</w:t>
            </w:r>
          </w:p>
        </w:tc>
        <w:tc>
          <w:tcPr>
            <w:tcW w:w="1900" w:type="dxa"/>
            <w:vAlign w:val="bottom"/>
          </w:tcPr>
          <w:p>
            <w:pPr>
              <w:jc w:val="center"/>
              <w:ind w:right="148"/>
              <w:spacing w:after="0" w:line="157" w:lineRule="exact"/>
              <w:rPr>
                <w:sz w:val="20"/>
                <w:szCs w:val="20"/>
                <w:color w:val="auto"/>
              </w:rPr>
            </w:pPr>
            <w:r>
              <w:rPr>
                <w:rFonts w:ascii="Arial" w:cs="Arial" w:eastAsia="Arial" w:hAnsi="Arial"/>
                <w:sz w:val="14"/>
                <w:szCs w:val="14"/>
                <w:b w:val="1"/>
                <w:bCs w:val="1"/>
                <w:color w:val="auto"/>
                <w:w w:val="96"/>
              </w:rPr>
              <w:t xml:space="preserve">Required </w:t>
            </w:r>
            <w:r>
              <w:rPr>
                <w:rFonts w:ascii="Arial" w:cs="Arial" w:eastAsia="Arial" w:hAnsi="Arial"/>
                <w:sz w:val="8"/>
                <w:szCs w:val="8"/>
                <w:b w:val="1"/>
                <w:bCs w:val="1"/>
                <w:color w:val="auto"/>
                <w:w w:val="96"/>
              </w:rPr>
              <w:t>(3)</w:t>
            </w:r>
          </w:p>
        </w:tc>
        <w:tc>
          <w:tcPr>
            <w:tcW w:w="1480" w:type="dxa"/>
            <w:vAlign w:val="bottom"/>
          </w:tcPr>
          <w:p>
            <w:pPr>
              <w:jc w:val="right"/>
              <w:ind w:right="588"/>
              <w:spacing w:after="0" w:line="157" w:lineRule="exact"/>
              <w:rPr>
                <w:sz w:val="20"/>
                <w:szCs w:val="20"/>
                <w:color w:val="auto"/>
              </w:rPr>
            </w:pPr>
            <w:r>
              <w:rPr>
                <w:rFonts w:ascii="Arial" w:cs="Arial" w:eastAsia="Arial" w:hAnsi="Arial"/>
                <w:sz w:val="14"/>
                <w:szCs w:val="14"/>
                <w:b w:val="1"/>
                <w:bCs w:val="1"/>
                <w:color w:val="auto"/>
              </w:rPr>
              <w:t>2015</w:t>
            </w:r>
          </w:p>
        </w:tc>
        <w:tc>
          <w:tcPr>
            <w:tcW w:w="1220" w:type="dxa"/>
            <w:vAlign w:val="bottom"/>
          </w:tcPr>
          <w:p>
            <w:pPr>
              <w:jc w:val="right"/>
              <w:ind w:right="208"/>
              <w:spacing w:after="0" w:line="157" w:lineRule="exact"/>
              <w:rPr>
                <w:sz w:val="20"/>
                <w:szCs w:val="20"/>
                <w:color w:val="auto"/>
              </w:rPr>
            </w:pPr>
            <w:r>
              <w:rPr>
                <w:rFonts w:ascii="Arial" w:cs="Arial" w:eastAsia="Arial" w:hAnsi="Arial"/>
                <w:sz w:val="14"/>
                <w:szCs w:val="14"/>
                <w:b w:val="1"/>
                <w:bCs w:val="1"/>
                <w:color w:val="auto"/>
              </w:rPr>
              <w:t>2016</w:t>
            </w:r>
          </w:p>
        </w:tc>
        <w:tc>
          <w:tcPr>
            <w:tcW w:w="2300" w:type="dxa"/>
            <w:vAlign w:val="bottom"/>
          </w:tcPr>
          <w:p>
            <w:pPr>
              <w:jc w:val="right"/>
              <w:ind w:right="928"/>
              <w:spacing w:after="0" w:line="157" w:lineRule="exact"/>
              <w:rPr>
                <w:sz w:val="20"/>
                <w:szCs w:val="20"/>
                <w:color w:val="auto"/>
              </w:rPr>
            </w:pPr>
            <w:r>
              <w:rPr>
                <w:rFonts w:ascii="Arial" w:cs="Arial" w:eastAsia="Arial" w:hAnsi="Arial"/>
                <w:sz w:val="14"/>
                <w:szCs w:val="14"/>
                <w:b w:val="1"/>
                <w:bCs w:val="1"/>
                <w:color w:val="auto"/>
              </w:rPr>
              <w:t>2017</w:t>
            </w:r>
          </w:p>
        </w:tc>
        <w:tc>
          <w:tcPr>
            <w:tcW w:w="1140" w:type="dxa"/>
            <w:vAlign w:val="bottom"/>
          </w:tcPr>
          <w:p>
            <w:pPr>
              <w:jc w:val="right"/>
              <w:ind w:right="488"/>
              <w:spacing w:after="0" w:line="157" w:lineRule="exact"/>
              <w:rPr>
                <w:sz w:val="20"/>
                <w:szCs w:val="20"/>
                <w:color w:val="auto"/>
              </w:rPr>
            </w:pPr>
            <w:r>
              <w:rPr>
                <w:rFonts w:ascii="Arial" w:cs="Arial" w:eastAsia="Arial" w:hAnsi="Arial"/>
                <w:sz w:val="14"/>
                <w:szCs w:val="14"/>
                <w:b w:val="1"/>
                <w:bCs w:val="1"/>
                <w:color w:val="auto"/>
              </w:rPr>
              <w:t>2018</w:t>
            </w:r>
          </w:p>
        </w:tc>
        <w:tc>
          <w:tcPr>
            <w:tcW w:w="1540" w:type="dxa"/>
            <w:vAlign w:val="bottom"/>
          </w:tcPr>
          <w:p>
            <w:pPr>
              <w:ind w:left="540"/>
              <w:spacing w:after="0" w:line="157"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517" w:right="239" w:bottom="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left="620"/>
        <w:spacing w:after="0"/>
        <w:tabs>
          <w:tab w:leader="none" w:pos="1360" w:val="left"/>
          <w:tab w:leader="none" w:pos="4080" w:val="left"/>
          <w:tab w:leader="none" w:pos="5680" w:val="left"/>
          <w:tab w:leader="none" w:pos="7260" w:val="left"/>
          <w:tab w:leader="none" w:pos="8840" w:val="left"/>
          <w:tab w:leader="none" w:pos="10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$2.075-$3.200</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21590</wp:posOffset>
            </wp:positionV>
            <wp:extent cx="71691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236220</wp:posOffset>
            </wp:positionV>
            <wp:extent cx="1826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Approximately 3.5 million of the 7.3 million outstanding PAA LTIP awards also include DERs, of which 3.2 million had vested as of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LTIP units outstanding do not include AAP Management Units.</w:t>
      </w:r>
    </w:p>
    <w:p>
      <w:pPr>
        <w:spacing w:after="0" w:line="225" w:lineRule="exact"/>
        <w:rPr>
          <w:sz w:val="20"/>
          <w:szCs w:val="20"/>
          <w:color w:val="auto"/>
        </w:rPr>
      </w:pPr>
    </w:p>
    <w:p>
      <w:pPr>
        <w:ind w:left="20" w:right="20" w:hanging="11"/>
        <w:spacing w:after="0" w:line="302" w:lineRule="auto"/>
        <w:rPr>
          <w:sz w:val="20"/>
          <w:szCs w:val="20"/>
          <w:color w:val="auto"/>
        </w:rPr>
      </w:pPr>
      <w:r>
        <w:rPr>
          <w:rFonts w:ascii="Arial" w:cs="Arial" w:eastAsia="Arial" w:hAnsi="Arial"/>
          <w:sz w:val="16"/>
          <w:szCs w:val="16"/>
          <w:color w:val="auto"/>
        </w:rPr>
        <w:t>These LTIP awards have performance conditions requiring the attainment of an annualized PAA distribution of between $2.075 and $3.20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w:t>
      </w:r>
    </w:p>
    <w:p>
      <w:pPr>
        <w:spacing w:after="0" w:line="154" w:lineRule="exact"/>
        <w:rPr>
          <w:sz w:val="20"/>
          <w:szCs w:val="20"/>
          <w:color w:val="auto"/>
        </w:rPr>
      </w:pPr>
    </w:p>
    <w:p>
      <w:pPr>
        <w:sectPr>
          <w:pgSz w:w="11900" w:h="16838" w:orient="portrait"/>
          <w:cols w:equalWidth="0" w:num="2">
            <w:col w:w="140" w:space="500"/>
            <w:col w:w="10780"/>
          </w:cols>
          <w:pgMar w:left="240" w:top="517" w:right="239" w:bottom="18" w:gutter="0" w:footer="0" w:header="0"/>
          <w:type w:val="continuous"/>
        </w:sectPr>
      </w:pPr>
    </w:p>
    <w:p>
      <w:pPr>
        <w:ind w:right="60" w:firstLine="648"/>
        <w:spacing w:after="0" w:line="257" w:lineRule="auto"/>
        <w:rPr>
          <w:sz w:val="20"/>
          <w:szCs w:val="20"/>
          <w:color w:val="auto"/>
        </w:rPr>
      </w:pPr>
      <w:r>
        <w:rPr>
          <w:rFonts w:ascii="Arial" w:cs="Arial" w:eastAsia="Arial" w:hAnsi="Arial"/>
          <w:sz w:val="18"/>
          <w:szCs w:val="18"/>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PAA unit on the respective grant dates and adjusted for the present value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any distributions that are estimated to occur on the underlying units over the vesting period that will not be received by the award recipient. This fair value is recognized as compensation expense over the service period.</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LTIP awards typically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 DER awards typically contain performance conditions based on the attainment of certain annualized distribution levels and become earned upon the attainment of such levels. The DERs terminate with the vesting or forfeiture of the underlying LTIP award. For liability-classified awards, we recognize DER payments in the period the payment is earned as compensation expense. For equity-classified awards, we recognize DER payments in the period it is paid as a reduction of partners’ capital.</w:t>
      </w:r>
    </w:p>
    <w:p>
      <w:pPr>
        <w:sectPr>
          <w:pgSz w:w="11900" w:h="16838" w:orient="portrait"/>
          <w:cols w:equalWidth="0" w:num="1">
            <w:col w:w="11420"/>
          </w:cols>
          <w:pgMar w:left="240" w:top="517" w:right="239" w:bottom="18" w:gutter="0" w:footer="0" w:header="0"/>
          <w:type w:val="continuous"/>
        </w:sectPr>
      </w:pPr>
    </w:p>
    <w:bookmarkStart w:id="129" w:name="page130"/>
    <w:bookmarkEnd w:id="129"/>
    <w:p>
      <w:pPr>
        <w:ind w:right="340" w:firstLine="648"/>
        <w:spacing w:after="0" w:line="297" w:lineRule="auto"/>
        <w:rPr>
          <w:sz w:val="20"/>
          <w:szCs w:val="20"/>
          <w:color w:val="auto"/>
        </w:rPr>
      </w:pPr>
      <w:r>
        <w:rPr>
          <w:rFonts w:ascii="Arial" w:cs="Arial" w:eastAsia="Arial" w:hAnsi="Arial"/>
          <w:sz w:val="16"/>
          <w:szCs w:val="16"/>
          <w:color w:val="auto"/>
        </w:rPr>
        <w:t>Our accrued liability at December 31, 2014 related to all outstanding liability-classified LTIP awards and DERs was $101 million, of which $57 million was classified as short-term and $44 million was classified as long-term. These short- and long-term accrued LTIP liabilities are reflected in “Accounts payable and accrued liabilities” and “Other long-term liabilities and deferred credits,” respectively, on our Consolidated Balance Sheet. These liabilities include accruals associated with our assessments that an annualized distribution of $2.90 was probable of occurring. At December 31, 2013, the accrued liability was $98 million, of which $43 million was classified as short-term and $55 million was classified as long-term.</w:t>
      </w:r>
    </w:p>
    <w:p>
      <w:pPr>
        <w:spacing w:after="0" w:line="1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and PNG units is summarized in the following table (units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3"/>
          </w:tcPr>
          <w:p>
            <w:pPr>
              <w:jc w:val="right"/>
              <w:ind w:right="673"/>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 (3)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gridSpan w:val="6"/>
          </w:tcPr>
          <w:p>
            <w:pPr>
              <w:ind w:left="1160"/>
              <w:spacing w:after="0"/>
              <w:rPr>
                <w:sz w:val="20"/>
                <w:szCs w:val="20"/>
                <w:color w:val="auto"/>
              </w:rPr>
            </w:pPr>
            <w:r>
              <w:rPr>
                <w:rFonts w:ascii="Arial" w:cs="Arial" w:eastAsia="Arial" w:hAnsi="Arial"/>
                <w:sz w:val="14"/>
                <w:szCs w:val="14"/>
                <w:b w:val="1"/>
                <w:bCs w:val="1"/>
                <w:color w:val="auto"/>
              </w:rPr>
              <w:t xml:space="preserve">PNG Units </w:t>
            </w:r>
            <w:r>
              <w:rPr>
                <w:rFonts w:ascii="Arial" w:cs="Arial" w:eastAsia="Arial" w:hAnsi="Arial"/>
                <w:sz w:val="8"/>
                <w:szCs w:val="8"/>
                <w:b w:val="1"/>
                <w:bCs w:val="1"/>
                <w:color w:val="auto"/>
              </w:rPr>
              <w:t>(2) (4)</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left="353"/>
              <w:spacing w:after="0" w:line="149" w:lineRule="exact"/>
              <w:rPr>
                <w:sz w:val="20"/>
                <w:szCs w:val="20"/>
                <w:color w:val="auto"/>
              </w:rPr>
            </w:pPr>
            <w:r>
              <w:rPr>
                <w:rFonts w:ascii="Arial" w:cs="Arial" w:eastAsia="Arial" w:hAnsi="Arial"/>
                <w:sz w:val="14"/>
                <w:szCs w:val="14"/>
                <w:b w:val="1"/>
                <w:bCs w:val="1"/>
                <w:color w:val="auto"/>
                <w:w w:val="97"/>
              </w:rPr>
              <w:t>Grant Date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Fair Value per Unit</w:t>
            </w:r>
          </w:p>
        </w:tc>
        <w:tc>
          <w:tcPr>
            <w:tcW w:w="2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ind w:left="91"/>
              <w:spacing w:after="0"/>
              <w:rPr>
                <w:sz w:val="20"/>
                <w:szCs w:val="20"/>
                <w:color w:val="auto"/>
              </w:rPr>
            </w:pPr>
            <w:r>
              <w:rPr>
                <w:rFonts w:ascii="Arial" w:cs="Arial" w:eastAsia="Arial" w:hAnsi="Arial"/>
                <w:sz w:val="18"/>
                <w:szCs w:val="18"/>
                <w:color w:val="auto"/>
                <w:w w:val="87"/>
              </w:rPr>
              <w:t>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87"/>
              </w:rPr>
              <w:t>1.5</w:t>
            </w:r>
          </w:p>
        </w:tc>
        <w:tc>
          <w:tcPr>
            <w:tcW w:w="300" w:type="dxa"/>
            <w:vAlign w:val="bottom"/>
          </w:tcPr>
          <w:p>
            <w:pPr>
              <w:spacing w:after="0"/>
              <w:rPr>
                <w:sz w:val="17"/>
                <w:szCs w:val="17"/>
                <w:color w:val="auto"/>
              </w:rPr>
            </w:pPr>
          </w:p>
        </w:tc>
        <w:tc>
          <w:tcPr>
            <w:tcW w:w="1180" w:type="dxa"/>
            <w:vAlign w:val="bottom"/>
          </w:tcPr>
          <w:p>
            <w:pPr>
              <w:jc w:val="right"/>
              <w:ind w:right="99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88"/>
              </w:rPr>
              <w:t>33.90</w:t>
            </w:r>
          </w:p>
        </w:tc>
        <w:tc>
          <w:tcPr>
            <w:tcW w:w="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15.33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(3.2)</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19.82</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(0.3)</w:t>
            </w:r>
          </w:p>
        </w:tc>
        <w:tc>
          <w:tcPr>
            <w:tcW w:w="1180" w:type="dxa"/>
            <w:vAlign w:val="bottom"/>
          </w:tcPr>
          <w:p>
            <w:pPr>
              <w:jc w:val="right"/>
              <w:ind w:right="99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29.36</w:t>
            </w: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ind w:left="91"/>
              <w:spacing w:after="0"/>
              <w:rPr>
                <w:sz w:val="20"/>
                <w:szCs w:val="20"/>
                <w:color w:val="auto"/>
              </w:rPr>
            </w:pPr>
            <w:r>
              <w:rPr>
                <w:rFonts w:ascii="Arial" w:cs="Arial" w:eastAsia="Arial" w:hAnsi="Arial"/>
                <w:sz w:val="18"/>
                <w:szCs w:val="18"/>
                <w:color w:val="auto"/>
                <w:w w:val="87"/>
              </w:rPr>
              <w:t>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17"/>
                <w:szCs w:val="17"/>
                <w:color w:val="auto"/>
              </w:rPr>
            </w:pPr>
          </w:p>
        </w:tc>
        <w:tc>
          <w:tcPr>
            <w:tcW w:w="1180" w:type="dxa"/>
            <w:vAlign w:val="bottom"/>
          </w:tcPr>
          <w:p>
            <w:pPr>
              <w:jc w:val="right"/>
              <w:ind w:right="99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88"/>
              </w:rPr>
              <w:t>47.60</w:t>
            </w:r>
          </w:p>
        </w:tc>
        <w:tc>
          <w:tcPr>
            <w:tcW w:w="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17.51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(1.8)</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24.79</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Cancelled or forfeited </w:t>
            </w:r>
            <w:r>
              <w:rPr>
                <w:rFonts w:ascii="Arial" w:cs="Arial" w:eastAsia="Arial" w:hAnsi="Arial"/>
                <w:sz w:val="23"/>
                <w:szCs w:val="23"/>
                <w:color w:val="auto"/>
                <w:vertAlign w:val="superscript"/>
              </w:rPr>
              <w:t>(5)</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(0.3)</w:t>
            </w:r>
          </w:p>
        </w:tc>
        <w:tc>
          <w:tcPr>
            <w:tcW w:w="1180" w:type="dxa"/>
            <w:vAlign w:val="bottom"/>
          </w:tcPr>
          <w:p>
            <w:pPr>
              <w:jc w:val="right"/>
              <w:ind w:right="99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36.70</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 PNG unit-denominated awards into PAA</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unit-denominated awards </w:t>
            </w:r>
            <w:r>
              <w:rPr>
                <w:rFonts w:ascii="Arial" w:cs="Arial" w:eastAsia="Arial" w:hAnsi="Arial"/>
                <w:sz w:val="23"/>
                <w:szCs w:val="23"/>
                <w:color w:val="auto"/>
                <w:vertAlign w:val="superscript"/>
              </w:rPr>
              <w:t>(6)</w:t>
            </w:r>
          </w:p>
        </w:tc>
        <w:tc>
          <w:tcPr>
            <w:tcW w:w="4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7"/>
              </w:rPr>
              <w:t>0.4</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40.54</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2013</w:t>
            </w:r>
          </w:p>
        </w:tc>
        <w:tc>
          <w:tcPr>
            <w:tcW w:w="9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center"/>
              <w:ind w:left="91"/>
              <w:spacing w:after="0"/>
              <w:rPr>
                <w:sz w:val="20"/>
                <w:szCs w:val="20"/>
                <w:color w:val="auto"/>
              </w:rPr>
            </w:pPr>
            <w:r>
              <w:rPr>
                <w:rFonts w:ascii="Arial" w:cs="Arial" w:eastAsia="Arial" w:hAnsi="Arial"/>
                <w:sz w:val="18"/>
                <w:szCs w:val="18"/>
                <w:color w:val="auto"/>
                <w:w w:val="87"/>
              </w:rPr>
              <w:t>8.4</w:t>
            </w:r>
          </w:p>
        </w:tc>
        <w:tc>
          <w:tcPr>
            <w:tcW w:w="30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36.97</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Granted</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center"/>
              <w:ind w:left="91"/>
              <w:spacing w:after="0" w:line="196" w:lineRule="exact"/>
              <w:rPr>
                <w:sz w:val="20"/>
                <w:szCs w:val="20"/>
                <w:color w:val="auto"/>
              </w:rPr>
            </w:pPr>
            <w:r>
              <w:rPr>
                <w:rFonts w:ascii="Arial" w:cs="Arial" w:eastAsia="Arial" w:hAnsi="Arial"/>
                <w:sz w:val="18"/>
                <w:szCs w:val="18"/>
                <w:color w:val="auto"/>
                <w:w w:val="87"/>
              </w:rPr>
              <w:t>1.2</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9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47.68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(1.9)</w:t>
            </w:r>
          </w:p>
        </w:tc>
        <w:tc>
          <w:tcPr>
            <w:tcW w:w="1180" w:type="dxa"/>
            <w:vAlign w:val="bottom"/>
          </w:tcPr>
          <w:p>
            <w:pPr>
              <w:jc w:val="right"/>
              <w:ind w:right="99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25.49</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(0.4)</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40.14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9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center"/>
              <w:ind w:left="91"/>
              <w:spacing w:after="0"/>
              <w:rPr>
                <w:sz w:val="20"/>
                <w:szCs w:val="20"/>
                <w:color w:val="auto"/>
              </w:rPr>
            </w:pPr>
            <w:r>
              <w:rPr>
                <w:rFonts w:ascii="Arial" w:cs="Arial" w:eastAsia="Arial" w:hAnsi="Arial"/>
                <w:sz w:val="18"/>
                <w:szCs w:val="18"/>
                <w:color w:val="auto"/>
                <w:w w:val="87"/>
              </w:rPr>
              <w:t>7.3</w:t>
            </w:r>
          </w:p>
        </w:tc>
        <w:tc>
          <w:tcPr>
            <w:tcW w:w="3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41.21</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PNG Transaction Grants, which are discussed further below.</w:t>
      </w:r>
    </w:p>
    <w:p>
      <w:pPr>
        <w:spacing w:after="0" w:line="225" w:lineRule="exact"/>
        <w:rPr>
          <w:sz w:val="20"/>
          <w:szCs w:val="20"/>
          <w:color w:val="auto"/>
        </w:rPr>
      </w:pPr>
    </w:p>
    <w:p>
      <w:pPr>
        <w:ind w:left="20" w:right="180" w:hanging="11"/>
        <w:spacing w:after="0" w:line="312" w:lineRule="auto"/>
        <w:rPr>
          <w:sz w:val="20"/>
          <w:szCs w:val="20"/>
          <w:color w:val="auto"/>
        </w:rPr>
      </w:pPr>
      <w:r>
        <w:rPr>
          <w:rFonts w:ascii="Arial" w:cs="Arial" w:eastAsia="Arial" w:hAnsi="Arial"/>
          <w:sz w:val="16"/>
          <w:szCs w:val="16"/>
          <w:color w:val="auto"/>
        </w:rPr>
        <w:t>Approximately 0.6 million, 0.5 million and 1.0 million PAA common units were issued net of tax withholding of approximately 0.3 million, 0.3 million and 0.5 million units in 2014, 2013 and 2012, respectively, in connection with the settlement of vested awards. The remaining PAA awards (approximately 1.0 million, 1.0 million and 1.7 million units) that vested during 2014, 2013 and 2012, respectively, were settled in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Less than 0.1 million PNG units vested during each of the years ended December 31, 2013 and 2012.</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As a result of the PNG Merger on December 31, 2013, approximately 0.3 million outstanding PNG Transaction Grants were cancelled.</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hanging="652"/>
        <w:spacing w:after="0" w:line="234" w:lineRule="auto"/>
        <w:tabs>
          <w:tab w:leader="none" w:pos="648"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As a result of the PNG Merger on December 31, 2013, outstanding awards of PNG phantom units were converted into comparable awards of PAA phantom units representing the right to receive PAA common units by applying the Merger Exchange Ratio to each outstanding PNG phantom unit and rounding down to the nearest PAA phantom unit for any fractions.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PNG Transaction Grants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connection with the IPO of PNG in 2010, we created a plan based on PNG equity. In September 2010, we entered into agreements with certain of our officers, pursuant to which these officers acquired, in equal proportion, phantom common units, phantom series A subordinated units, and phantom series B subordinated units representing a portion of the limited partner interest of PNG issued to us in connection with PNG’s IPO. The phantom common units vested in equal one-half increments in May 2011 and May 2012. The unvested portion of these grants were surrendered on December 31, 2013 in connection with the closing of the PNG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August 2007, the owners of our general partner authorized the issuance of AAP Management Units in order to provide additional performance incentives and encourage retention for certain members of our senior management. AAP Management Units become earned in various increments upon the achievement of annualized PAA distribution levels of between $1.75 and $3.10 (or in some cases, within 180 days thereafter). As of December 31, 2014, 1.3 million AAP Management Units had not yet become earned; however, these unearned AAP Management Units will become earned in various increments 180 days after the achievement of annualized PAA distribution levels of between $2.55 and $3.10. When earned, the AAP Management Units are entitled to participate in distributions paid by our general partner in excess of $11 million (as adjusted for debt service costs and excluding special distributions funded by debt) per quarter. Up to approximately 52.1 million AAP Management Units are authorized for issuance. Assuming all 52.1 million AAP Management Units were granted and earned, the maximum participation would be approximately 8% of our general partner’s distribution in excess of $11 million (as adjusted) each quarter.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activity of AAP Management Units for the periods indicated (in millions):</w:t>
      </w:r>
    </w:p>
    <w:p>
      <w:pPr>
        <w:spacing w:after="0" w:line="204" w:lineRule="exact"/>
        <w:rPr>
          <w:sz w:val="20"/>
          <w:szCs w:val="20"/>
          <w:color w:val="auto"/>
        </w:rPr>
      </w:pPr>
    </w:p>
    <w:tbl>
      <w:tblPr>
        <w:tblLayout w:type="fixed"/>
        <w:tblInd w:w="4440" w:type="dxa"/>
        <w:tblCellMar>
          <w:top w:w="0" w:type="dxa"/>
          <w:left w:w="0" w:type="dxa"/>
          <w:bottom w:w="0" w:type="dxa"/>
          <w:right w:w="0" w:type="dxa"/>
        </w:tblCellMar>
      </w:tblPr>
      <w:tr>
        <w:trPr>
          <w:trHeight w:val="161"/>
        </w:trPr>
        <w:tc>
          <w:tcPr>
            <w:tcW w:w="1320" w:type="dxa"/>
            <w:vAlign w:val="bottom"/>
            <w:vMerge w:val="restart"/>
          </w:tcPr>
          <w:p>
            <w:pPr>
              <w:jc w:val="center"/>
              <w:ind w:right="368"/>
              <w:spacing w:after="0"/>
              <w:rPr>
                <w:sz w:val="20"/>
                <w:szCs w:val="20"/>
                <w:color w:val="auto"/>
              </w:rPr>
            </w:pPr>
            <w:r>
              <w:rPr>
                <w:rFonts w:ascii="Arial" w:cs="Arial" w:eastAsia="Arial" w:hAnsi="Arial"/>
                <w:sz w:val="14"/>
                <w:szCs w:val="14"/>
                <w:b w:val="1"/>
                <w:bCs w:val="1"/>
                <w:color w:val="auto"/>
                <w:w w:val="93"/>
              </w:rPr>
              <w:t>Reserved for</w:t>
            </w:r>
          </w:p>
        </w:tc>
        <w:tc>
          <w:tcPr>
            <w:tcW w:w="162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040" w:type="dxa"/>
            <w:vAlign w:val="bottom"/>
          </w:tcPr>
          <w:p>
            <w:pPr>
              <w:jc w:val="center"/>
              <w:ind w:left="30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320" w:type="dxa"/>
            <w:vAlign w:val="bottom"/>
            <w:vMerge w:val="continue"/>
          </w:tcPr>
          <w:p>
            <w:pPr>
              <w:spacing w:after="0"/>
              <w:rPr>
                <w:sz w:val="12"/>
                <w:szCs w:val="12"/>
                <w:color w:val="auto"/>
              </w:rPr>
            </w:pPr>
          </w:p>
        </w:tc>
        <w:tc>
          <w:tcPr>
            <w:tcW w:w="16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Outstanding</w:t>
            </w:r>
          </w:p>
        </w:tc>
        <w:tc>
          <w:tcPr>
            <w:tcW w:w="1640" w:type="dxa"/>
            <w:vAlign w:val="bottom"/>
            <w:vMerge w:val="continue"/>
          </w:tcPr>
          <w:p>
            <w:pPr>
              <w:spacing w:after="0"/>
              <w:rPr>
                <w:sz w:val="12"/>
                <w:szCs w:val="12"/>
                <w:color w:val="auto"/>
              </w:rPr>
            </w:pPr>
          </w:p>
        </w:tc>
        <w:tc>
          <w:tcPr>
            <w:tcW w:w="204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3"/>
              </w:rPr>
              <w:t>Fair Value of Outstanding</w:t>
            </w:r>
          </w:p>
        </w:tc>
        <w:tc>
          <w:tcPr>
            <w:tcW w:w="0" w:type="dxa"/>
            <w:vAlign w:val="bottom"/>
          </w:tcPr>
          <w:p>
            <w:pPr>
              <w:spacing w:after="0"/>
              <w:rPr>
                <w:sz w:val="1"/>
                <w:szCs w:val="1"/>
                <w:color w:val="auto"/>
              </w:rPr>
            </w:pPr>
          </w:p>
        </w:tc>
      </w:tr>
      <w:tr>
        <w:trPr>
          <w:trHeight w:val="186"/>
        </w:trPr>
        <w:tc>
          <w:tcPr>
            <w:tcW w:w="1320" w:type="dxa"/>
            <w:vAlign w:val="bottom"/>
          </w:tcPr>
          <w:p>
            <w:pPr>
              <w:jc w:val="center"/>
              <w:ind w:right="368"/>
              <w:spacing w:after="0"/>
              <w:rPr>
                <w:sz w:val="20"/>
                <w:szCs w:val="20"/>
                <w:color w:val="auto"/>
              </w:rPr>
            </w:pPr>
            <w:r>
              <w:rPr>
                <w:rFonts w:ascii="Arial" w:cs="Arial" w:eastAsia="Arial" w:hAnsi="Arial"/>
                <w:sz w:val="14"/>
                <w:szCs w:val="14"/>
                <w:b w:val="1"/>
                <w:bCs w:val="1"/>
                <w:color w:val="auto"/>
                <w:w w:val="95"/>
              </w:rPr>
              <w:t>Future Grants</w:t>
            </w:r>
          </w:p>
        </w:tc>
        <w:tc>
          <w:tcPr>
            <w:tcW w:w="1620" w:type="dxa"/>
            <w:vAlign w:val="bottom"/>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Units Earned</w:t>
            </w:r>
          </w:p>
        </w:tc>
        <w:tc>
          <w:tcPr>
            <w:tcW w:w="2040" w:type="dxa"/>
            <w:vAlign w:val="bottom"/>
          </w:tcPr>
          <w:p>
            <w:pPr>
              <w:jc w:val="center"/>
              <w:ind w:left="328"/>
              <w:spacing w:after="0"/>
              <w:rPr>
                <w:sz w:val="20"/>
                <w:szCs w:val="20"/>
                <w:color w:val="auto"/>
              </w:rPr>
            </w:pPr>
            <w:r>
              <w:rPr>
                <w:rFonts w:ascii="Arial" w:cs="Arial" w:eastAsia="Arial" w:hAnsi="Arial"/>
                <w:sz w:val="14"/>
                <w:szCs w:val="14"/>
                <w:b w:val="1"/>
                <w:bCs w:val="1"/>
                <w:color w:val="auto"/>
                <w:w w:val="95"/>
              </w:rPr>
              <w:t xml:space="preserve">AAP Management Units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905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9050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tabs>
          <w:tab w:leader="none" w:pos="5320" w:val="left"/>
          <w:tab w:leader="none" w:pos="6920" w:val="left"/>
          <w:tab w:leader="none" w:pos="8560" w:val="left"/>
          <w:tab w:leader="none" w:pos="9140" w:val="left"/>
          <w:tab w:leader="none" w:pos="11120" w:val="left"/>
        </w:tabs>
        <w:rPr>
          <w:sz w:val="20"/>
          <w:szCs w:val="20"/>
          <w:color w:val="auto"/>
        </w:rPr>
      </w:pPr>
      <w:r>
        <w:rPr>
          <w:rFonts w:ascii="Arial" w:cs="Arial" w:eastAsia="Arial" w:hAnsi="Arial"/>
          <w:sz w:val="18"/>
          <w:szCs w:val="18"/>
          <w:color w:val="auto"/>
        </w:rPr>
        <w:t>Balance as of December 31, 2012</w:t>
      </w:r>
      <w:r>
        <w:rPr>
          <w:sz w:val="20"/>
          <w:szCs w:val="20"/>
          <w:color w:val="auto"/>
        </w:rPr>
        <w:tab/>
      </w: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47.4</w:t>
      </w:r>
      <w:r>
        <w:rPr>
          <w:sz w:val="20"/>
          <w:szCs w:val="20"/>
          <w:color w:val="auto"/>
        </w:rPr>
        <w:tab/>
      </w:r>
      <w:r>
        <w:rPr>
          <w:rFonts w:ascii="Arial" w:cs="Arial" w:eastAsia="Arial" w:hAnsi="Arial"/>
          <w:sz w:val="18"/>
          <w:szCs w:val="18"/>
          <w:color w:val="auto"/>
        </w:rPr>
        <w:t>34.0</w:t>
        <w:tab/>
        <w:t>$</w:t>
      </w:r>
      <w:r>
        <w:rPr>
          <w:sz w:val="20"/>
          <w:szCs w:val="20"/>
          <w:color w:val="auto"/>
        </w:rPr>
        <w:tab/>
      </w:r>
      <w:r>
        <w:rPr>
          <w:rFonts w:ascii="Arial" w:cs="Arial" w:eastAsia="Arial" w:hAnsi="Arial"/>
          <w:sz w:val="16"/>
          <w:szCs w:val="16"/>
          <w:color w:val="auto"/>
        </w:rPr>
        <w:t>44</w:t>
      </w:r>
    </w:p>
    <w:p>
      <w:pPr>
        <w:sectPr>
          <w:pgSz w:w="11900" w:h="16838" w:orient="portrait"/>
          <w:cols w:equalWidth="0" w:num="1">
            <w:col w:w="11420"/>
          </w:cols>
          <w:pgMar w:left="240" w:top="125" w:right="239" w:bottom="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r>
      <w:tr>
        <w:trPr>
          <w:trHeight w:val="250"/>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December 31, 2013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1"/>
                <w:szCs w:val="21"/>
                <w:color w:val="auto"/>
              </w:rPr>
            </w:pPr>
          </w:p>
        </w:tc>
      </w:tr>
      <w:tr>
        <w:trPr>
          <w:trHeight w:val="197"/>
        </w:trPr>
        <w:tc>
          <w:tcPr>
            <w:tcW w:w="42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Earned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N/A</w:t>
            </w:r>
          </w:p>
        </w:tc>
      </w:tr>
      <w:tr>
        <w:trPr>
          <w:trHeight w:val="21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360" w:hanging="692"/>
        <w:spacing w:after="0" w:line="267" w:lineRule="auto"/>
        <w:tabs>
          <w:tab w:leader="none" w:pos="689"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Of the $64 million grant date fair value, $55 million had been recognized through December 31, 2014 on a cumulative basis. Of this amount, $7 million, $5 million and $6 million was recognized as expense during the years ended December 31, 2014, 2013 and 2012, respectively.</w:t>
      </w:r>
    </w:p>
    <w:p>
      <w:pPr>
        <w:spacing w:after="0" w:line="17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entire economic burden of the AAP Management Units, which are equity classified, is borne solely by AAP and does not impact our cash or units outstanding. However, because the intent of the AAP Management Units is to provide a performance incentive and encourage retention for certain members of our senior management, we recognize the grant date fair value of the AAP Management Units as compensation expense over the service period. The expense is also reflected as a capital contribution and thus, results in a corresponding credit to partners’ capital on our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the “Equity-indexed compensation plans.” The table below summarizes the expense recognized and the value of vested LTIPs (settled both in common units and cash) under our equity-indexed compensation plans and includes both liability-classified and equity-classified awards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LTIP unit-settled vestings </w:t>
            </w:r>
            <w:r>
              <w:rPr>
                <w:rFonts w:ascii="Arial" w:cs="Arial" w:eastAsia="Arial" w:hAnsi="Arial"/>
                <w:sz w:val="23"/>
                <w:szCs w:val="23"/>
                <w:color w:val="auto"/>
                <w:vertAlign w:val="superscript"/>
              </w:rPr>
              <w:t>(1)</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DER cash payments</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700" w:right="140" w:hanging="692"/>
        <w:spacing w:after="0" w:line="227" w:lineRule="auto"/>
        <w:tabs>
          <w:tab w:leader="none" w:pos="683" w:val="left"/>
        </w:tabs>
        <w:numPr>
          <w:ilvl w:val="0"/>
          <w:numId w:val="118"/>
        </w:numPr>
        <w:rPr>
          <w:rFonts w:ascii="Arial" w:cs="Arial" w:eastAsia="Arial" w:hAnsi="Arial"/>
          <w:sz w:val="23"/>
          <w:szCs w:val="23"/>
          <w:color w:val="auto"/>
          <w:vertAlign w:val="superscript"/>
        </w:rPr>
      </w:pPr>
      <w:r>
        <w:rPr>
          <w:rFonts w:ascii="Arial" w:cs="Arial" w:eastAsia="Arial" w:hAnsi="Arial"/>
          <w:sz w:val="18"/>
          <w:szCs w:val="18"/>
          <w:color w:val="auto"/>
        </w:rPr>
        <w:t>For the years ended December 31, 2013 and 2012, less than $1 million and $1 million, respectively, relates to unit vestings which were settled with PNG common units.</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Based on the December 31, 2014 fair value measurement and probability assessment regarding future distributions, we expect to recognize $144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85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71"/>
        </w:trPr>
        <w:tc>
          <w:tcPr>
            <w:tcW w:w="8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 xml:space="preserve">Amortization </w:t>
            </w:r>
            <w:r>
              <w:rPr>
                <w:rFonts w:ascii="Arial" w:cs="Arial" w:eastAsia="Arial" w:hAnsi="Arial"/>
                <w:sz w:val="8"/>
                <w:szCs w:val="8"/>
                <w:b w:val="1"/>
                <w:bCs w:val="1"/>
                <w:color w:val="auto"/>
                <w:w w:val="97"/>
              </w:rPr>
              <w:t>(1) (2)</w:t>
            </w:r>
          </w:p>
        </w:tc>
        <w:tc>
          <w:tcPr>
            <w:tcW w:w="0" w:type="dxa"/>
            <w:vAlign w:val="bottom"/>
          </w:tcPr>
          <w:p>
            <w:pPr>
              <w:spacing w:after="0"/>
              <w:rPr>
                <w:sz w:val="1"/>
                <w:szCs w:val="1"/>
                <w:color w:val="auto"/>
              </w:rPr>
            </w:pPr>
          </w:p>
        </w:tc>
      </w:tr>
      <w:tr>
        <w:trPr>
          <w:trHeight w:val="210"/>
        </w:trPr>
        <w:tc>
          <w:tcPr>
            <w:tcW w:w="8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140" w:hanging="647"/>
        <w:spacing w:after="0" w:line="227" w:lineRule="auto"/>
        <w:tabs>
          <w:tab w:leader="none" w:pos="688" w:val="left"/>
        </w:tabs>
        <w:numPr>
          <w:ilvl w:val="0"/>
          <w:numId w:val="119"/>
        </w:numPr>
        <w:rPr>
          <w:rFonts w:ascii="Arial" w:cs="Arial" w:eastAsia="Arial" w:hAnsi="Arial"/>
          <w:sz w:val="23"/>
          <w:szCs w:val="23"/>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2014.</w:t>
      </w:r>
    </w:p>
    <w:p>
      <w:pPr>
        <w:spacing w:after="0" w:line="168" w:lineRule="exact"/>
        <w:rPr>
          <w:rFonts w:ascii="Arial" w:cs="Arial" w:eastAsia="Arial" w:hAnsi="Arial"/>
          <w:sz w:val="23"/>
          <w:szCs w:val="23"/>
          <w:color w:val="auto"/>
          <w:vertAlign w:val="superscript"/>
        </w:rPr>
      </w:pPr>
    </w:p>
    <w:p>
      <w:pPr>
        <w:ind w:left="680" w:hanging="627"/>
        <w:spacing w:after="0"/>
        <w:tabs>
          <w:tab w:leader="none" w:pos="680" w:val="left"/>
        </w:tabs>
        <w:numPr>
          <w:ilvl w:val="0"/>
          <w:numId w:val="119"/>
        </w:numPr>
        <w:rPr>
          <w:rFonts w:ascii="Arial" w:cs="Arial" w:eastAsia="Arial" w:hAnsi="Arial"/>
          <w:sz w:val="23"/>
          <w:szCs w:val="23"/>
          <w:color w:val="auto"/>
          <w:vertAlign w:val="superscript"/>
        </w:rPr>
      </w:pPr>
      <w:r>
        <w:rPr>
          <w:rFonts w:ascii="Arial" w:cs="Arial" w:eastAsia="Arial" w:hAnsi="Arial"/>
          <w:sz w:val="18"/>
          <w:szCs w:val="18"/>
          <w:color w:val="auto"/>
        </w:rPr>
        <w:t>Includes unamortized fair value associated with AAP Management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Lease expense for 2014, 2013 and 2012 was $145 million, $132 million and $102 million, respectively. We have commitments, some of which are leases, related to real property, equipment and operating facilities. We also incur costs associated with leased land, rights-of-way, permits and regulatory fees. Future non-cancelable commitments related to these items at December 31, 2014, are summarized below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1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tcPr>
          <w:p>
            <w:pPr>
              <w:spacing w:after="0" w:line="216"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10"/>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23"/>
          <w:szCs w:val="23"/>
          <w:color w:val="auto"/>
          <w:vertAlign w:val="superscript"/>
        </w:rPr>
      </w:pPr>
      <w:r>
        <w:rPr>
          <w:rFonts w:ascii="Arial" w:cs="Arial" w:eastAsia="Arial" w:hAnsi="Arial"/>
          <w:sz w:val="18"/>
          <w:szCs w:val="18"/>
          <w:color w:val="auto"/>
        </w:rPr>
        <w:t>Includes capital and operating leases as defined by FASB guidance.</w:t>
      </w:r>
    </w:p>
    <w:p>
      <w:pPr>
        <w:sectPr>
          <w:pgSz w:w="11900" w:h="16838" w:orient="portrait"/>
          <w:cols w:equalWidth="0" w:num="1">
            <w:col w:w="11420"/>
          </w:cols>
          <w:pgMar w:left="240" w:top="140" w:right="239" w:bottom="0" w:gutter="0" w:footer="0" w:header="0"/>
        </w:sectPr>
      </w:pPr>
    </w:p>
    <w:bookmarkStart w:id="131" w:name="page132"/>
    <w:bookmarkEnd w:id="131"/>
    <w:p>
      <w:pPr>
        <w:spacing w:after="0" w:line="32" w:lineRule="exact"/>
        <w:rPr>
          <w:sz w:val="20"/>
          <w:szCs w:val="20"/>
          <w:color w:val="auto"/>
        </w:rPr>
      </w:pPr>
    </w:p>
    <w:p>
      <w:pPr>
        <w:ind w:left="5540" w:right="3160" w:hanging="5532"/>
        <w:spacing w:after="0" w:line="461" w:lineRule="auto"/>
        <w:tabs>
          <w:tab w:leader="none" w:pos="640" w:val="left"/>
        </w:tabs>
        <w:numPr>
          <w:ilvl w:val="0"/>
          <w:numId w:val="121"/>
        </w:numPr>
        <w:rPr>
          <w:rFonts w:ascii="Arial" w:cs="Arial" w:eastAsia="Arial" w:hAnsi="Arial"/>
          <w:sz w:val="23"/>
          <w:szCs w:val="23"/>
          <w:color w:val="auto"/>
          <w:vertAlign w:val="superscript"/>
        </w:rPr>
      </w:pPr>
      <w:r>
        <w:rPr>
          <w:rFonts w:ascii="Arial" w:cs="Arial" w:eastAsia="Arial" w:hAnsi="Arial"/>
          <w:sz w:val="18"/>
          <w:szCs w:val="18"/>
          <w:color w:val="auto"/>
        </w:rPr>
        <w:t>Primarily includes third-party storage and transportation agreements and pipeline throughput agreements. 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At December 31, 2014, our estimated undiscounted reserve for environmental liabilities totaled $82 million, of which $13 million was classified as short-term and $69 million was classified as long-term. At December 31, 2013, our estimated undiscounted reserve for environmental liabilities totaled</w:t>
      </w:r>
    </w:p>
    <w:p>
      <w:pPr>
        <w:ind w:right="40"/>
        <w:spacing w:after="0" w:line="253" w:lineRule="auto"/>
        <w:rPr>
          <w:sz w:val="20"/>
          <w:szCs w:val="20"/>
          <w:color w:val="auto"/>
        </w:rPr>
      </w:pPr>
      <w:r>
        <w:rPr>
          <w:rFonts w:ascii="Arial" w:cs="Arial" w:eastAsia="Arial" w:hAnsi="Arial"/>
          <w:sz w:val="18"/>
          <w:szCs w:val="18"/>
          <w:color w:val="auto"/>
        </w:rPr>
        <w:t>$93 million, of which $11 million was classified as short-term and $82 million was classified as long-term. The short- and long-term environmental liabilities referenced above are reflected in “Accounts payable and accrued liabilities” and “Other long-term liabilities and deferred credits,” respectively, on our Consolidated Balance Sheets. At December 31, 2014 and 2013, we had recorded receivables totaling $8 million and $10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9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approximately $6 million.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Kemp River Pipeline Releases. </w:t>
      </w:r>
      <w:r>
        <w:rPr>
          <w:rFonts w:ascii="Arial" w:cs="Arial" w:eastAsia="Arial" w:hAnsi="Arial"/>
          <w:sz w:val="16"/>
          <w:szCs w:val="16"/>
          <w:color w:val="auto"/>
        </w:rPr>
        <w:t>During May and June 2013, two separate releases were discovered on our Kemp River pipeline in Northern Alberta,</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approximately $15 million. Through December 31, 2014, we spent approximately $9 million in connection with clean-up and remediation activities.</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ectPr>
          <w:pgSz w:w="11900" w:h="16870" w:orient="portrait"/>
          <w:cols w:equalWidth="0" w:num="1">
            <w:col w:w="11400"/>
          </w:cols>
          <w:pgMar w:left="240" w:top="125" w:right="259" w:bottom="0" w:gutter="0" w:footer="0" w:header="0"/>
        </w:sectPr>
      </w:pPr>
    </w:p>
    <w:bookmarkStart w:id="132" w:name="page133"/>
    <w:bookmarkEnd w:id="132"/>
    <w:p>
      <w:pPr>
        <w:spacing w:after="0" w:line="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assessment of the current availability of coverage and associated rates for hurricane insurance has led us to the decision to self-insure this risk. This decision does not affect our third-party liability insurance, which still covers hurricane-related liability claims and which we have maintained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 except per unit data)</w:t>
            </w:r>
          </w:p>
        </w:tc>
        <w:tc>
          <w:tcPr>
            <w:tcW w:w="10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2014</w:t>
            </w:r>
          </w:p>
        </w:tc>
        <w:tc>
          <w:tcPr>
            <w:tcW w:w="3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2"/>
              <w:spacing w:after="0"/>
              <w:rPr>
                <w:sz w:val="20"/>
                <w:szCs w:val="20"/>
                <w:color w:val="auto"/>
              </w:rPr>
            </w:pPr>
            <w:r>
              <w:rPr>
                <w:rFonts w:ascii="Arial" w:cs="Arial" w:eastAsia="Arial" w:hAnsi="Arial"/>
                <w:sz w:val="18"/>
                <w:szCs w:val="18"/>
                <w:color w:val="auto"/>
              </w:rPr>
              <w:t>11,684</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11,195</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11,127</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9,459</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493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365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404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530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384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287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389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0.45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0.73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0.45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0.52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0.67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0.6150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0.6300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0.6450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0.6600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2013</w:t>
            </w:r>
          </w:p>
        </w:tc>
        <w:tc>
          <w:tcPr>
            <w:tcW w:w="3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2"/>
              <w:spacing w:after="0"/>
              <w:rPr>
                <w:sz w:val="20"/>
                <w:szCs w:val="20"/>
                <w:color w:val="auto"/>
              </w:rPr>
            </w:pPr>
            <w:r>
              <w:rPr>
                <w:rFonts w:ascii="Arial" w:cs="Arial" w:eastAsia="Arial" w:hAnsi="Arial"/>
                <w:sz w:val="18"/>
                <w:szCs w:val="18"/>
                <w:color w:val="auto"/>
              </w:rPr>
              <w:t>10,620</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10,295</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10,703</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10,631</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655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383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296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394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528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292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309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0.58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0.57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0.38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0.58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color w:val="auto"/>
                <w:vertAlign w:val="superscript"/>
              </w:rPr>
              <w:t>(3)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0.5625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0.5750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0.5875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0.6000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25"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Represents cash distributions declared and paid in the period presented.</w:t>
      </w:r>
    </w:p>
    <w:p>
      <w:pPr>
        <w:spacing w:after="0" w:line="200" w:lineRule="exact"/>
        <w:rPr>
          <w:sz w:val="20"/>
          <w:szCs w:val="20"/>
          <w:color w:val="auto"/>
        </w:rPr>
      </w:pPr>
    </w:p>
    <w:p>
      <w:pPr>
        <w:sectPr>
          <w:pgSz w:w="11900" w:h="16925" w:orient="portrait"/>
          <w:cols w:equalWidth="0" w:num="2">
            <w:col w:w="160" w:space="480"/>
            <w:col w:w="10780"/>
          </w:cols>
          <w:pgMar w:left="240" w:top="341"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19—Operating Segments</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“Revenue Recognition” in Note 2 for a summary of the types of products and services from which each segment derives its revenues. Our Chief Operating Decision Maker (our Chief Executive Officer) evaluates segment performance based on measures including segment profit and maintenance capital investment. We define segment profit</w:t>
      </w:r>
    </w:p>
    <w:p>
      <w:pPr>
        <w:sectPr>
          <w:pgSz w:w="11900" w:h="16925" w:orient="portrait"/>
          <w:cols w:equalWidth="0" w:num="1">
            <w:col w:w="11420"/>
          </w:cols>
          <w:pgMar w:left="240" w:top="341" w:right="239" w:bottom="0" w:gutter="0" w:footer="0" w:header="0"/>
          <w:type w:val="continuous"/>
        </w:sectPr>
      </w:pPr>
    </w:p>
    <w:bookmarkStart w:id="133" w:name="page134"/>
    <w:bookmarkEnd w:id="133"/>
    <w:p>
      <w:pPr>
        <w:ind w:right="800"/>
        <w:spacing w:after="0" w:line="277" w:lineRule="auto"/>
        <w:rPr>
          <w:sz w:val="20"/>
          <w:szCs w:val="20"/>
          <w:color w:val="auto"/>
        </w:rPr>
      </w:pPr>
      <w:r>
        <w:rPr>
          <w:rFonts w:ascii="Arial" w:cs="Arial" w:eastAsia="Arial" w:hAnsi="Arial"/>
          <w:sz w:val="18"/>
          <w:szCs w:val="18"/>
          <w:color w:val="auto"/>
        </w:rPr>
        <w:t>as revenues and equity earnings in unconsolidated entities less (a) purchases and related costs, (b) field operating costs and (c) segment general and administrative expenses. Each of the items above excludes depreciation and amortization.</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profit or in maintenance capital, depending on the nature of the cost. 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881</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925</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2,483</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2014</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9,637</w:t>
            </w:r>
          </w:p>
        </w:tc>
        <w:tc>
          <w:tcPr>
            <w:tcW w:w="300" w:type="dxa"/>
            <w:vAlign w:val="bottom"/>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5,776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22,256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2013</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7,221</w:t>
            </w:r>
          </w:p>
        </w:tc>
        <w:tc>
          <w:tcPr>
            <w:tcW w:w="300" w:type="dxa"/>
            <w:vAlign w:val="bottom"/>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6,584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(3) (4)</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1,244</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2012</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6,423</w:t>
            </w:r>
          </w:p>
        </w:tc>
        <w:tc>
          <w:tcPr>
            <w:tcW w:w="300" w:type="dxa"/>
            <w:vAlign w:val="bottom"/>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6,678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00" w:hanging="11"/>
        <w:spacing w:after="0" w:line="342" w:lineRule="auto"/>
        <w:rPr>
          <w:sz w:val="20"/>
          <w:szCs w:val="20"/>
          <w:color w:val="auto"/>
        </w:rPr>
      </w:pPr>
      <w:r>
        <w:rPr>
          <w:rFonts w:ascii="Arial" w:cs="Arial" w:eastAsia="Arial" w:hAnsi="Arial"/>
          <w:sz w:val="16"/>
          <w:szCs w:val="16"/>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124"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w:t>
      </w:r>
    </w:p>
    <w:p>
      <w:pPr>
        <w:sectPr>
          <w:pgSz w:w="11900" w:h="16838" w:orient="portrait"/>
          <w:cols w:equalWidth="0" w:num="2">
            <w:col w:w="140" w:space="520"/>
            <w:col w:w="10760"/>
          </w:cols>
          <w:pgMar w:left="240" w:top="125" w:right="239" w:bottom="0" w:gutter="0" w:footer="0" w:header="0"/>
          <w:type w:val="continuous"/>
        </w:sectPr>
      </w:pPr>
    </w:p>
    <w:bookmarkStart w:id="134" w:name="page135"/>
    <w:bookmarkEnd w:id="134"/>
    <w:p>
      <w:pPr>
        <w:jc w:val="center"/>
        <w:ind w:right="40"/>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right="28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$12 million, $30 million and $12 million for the years ended December 31, 2014,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segment profit to net income attributable to PAA (in millions):</w:t>
      </w:r>
    </w:p>
    <w:p>
      <w:pPr>
        <w:spacing w:after="0" w:line="200" w:lineRule="exact"/>
        <w:rPr>
          <w:sz w:val="20"/>
          <w:szCs w:val="20"/>
          <w:color w:val="auto"/>
        </w:rPr>
      </w:pPr>
    </w:p>
    <w:p>
      <w:pPr>
        <w:sectPr>
          <w:pgSz w:w="11900" w:h="16838" w:orient="portrait"/>
          <w:cols w:equalWidth="0" w:num="2">
            <w:col w:w="140" w:space="500"/>
            <w:col w:w="10820"/>
          </w:cols>
          <w:pgMar w:left="240" w:top="125" w:right="199" w:bottom="0" w:gutter="0" w:footer="0" w:header="0"/>
          <w:type w:val="continuous"/>
        </w:sectPr>
      </w:pP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(375)</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0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640" w:hanging="632"/>
        <w:spacing w:after="0"/>
        <w:tabs>
          <w:tab w:leader="none" w:pos="640" w:val="left"/>
        </w:tabs>
        <w:numPr>
          <w:ilvl w:val="0"/>
          <w:numId w:val="122"/>
        </w:numPr>
        <w:rPr>
          <w:rFonts w:ascii="Arial" w:cs="Arial" w:eastAsia="Arial" w:hAnsi="Arial"/>
          <w:sz w:val="23"/>
          <w:szCs w:val="23"/>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23"/>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3,650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24"/>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3920"/>
              <w:spacing w:after="0"/>
              <w:rPr>
                <w:sz w:val="20"/>
                <w:szCs w:val="20"/>
                <w:color w:val="auto"/>
              </w:rPr>
            </w:pPr>
            <w:r>
              <w:rPr>
                <w:rFonts w:ascii="Arial" w:cs="Arial" w:eastAsia="Arial" w:hAnsi="Arial"/>
                <w:sz w:val="18"/>
                <w:szCs w:val="18"/>
                <w:color w:val="auto"/>
              </w:rPr>
              <w:t>F-47</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453"/>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23"/>
                <w:szCs w:val="23"/>
                <w:color w:val="auto"/>
                <w:vertAlign w:val="superscript"/>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Share Purchase Agreement dated December 1, 2011 by and among Amoco Canada International Holdings B.V. and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Midstream Canada ULC (the schedules and exhibits have been omitted pursuant to Item 601(b)(2) of Regulation S-K) (incorporated</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by reference to Exhibit 2.1 to our Annual Report on Form 10-K for the year ended December 31,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2.2</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Agreement and Plan of Merger dated as of October 21, 2013, by and among Plains All American Pipeline, L.P., PAA Acquisition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Company LLC, PAA Natural Gas Storage, L.P. and PNGS GP LLC (incorporated by reference to Exhibit 2.1 to our Current Report</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on Form 8-K filed October 24,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Fourth Amended and Restated Agreement of Limited Partnership of Plains All American Pipeline, L.P. dated as of May 17, 2012</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3.1 to our Current Report on Form 8-K filed May 23,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Amendment No. 1 dated October 1, 2012 to the Fourth Amended and Restated Agreement of Limited Partnership of Plains All</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American Pipeline, L.P. (incorporated by reference to Exhibit 3.1 to our Current Report on Form 8-K filed October 2,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Amendment No. 2 dated December 31, 2013 to the Fourth Amended and Restated Agreement of Limited Partnership of Plains All</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American Pipeline, L.P. (incorporated by reference to Exhibit 3.1 to our Current Report on Form 8-K filed December 31,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3.4</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3.2 to our Quarterly Report on Form 10-Q for the quarter ended March 31, 2004).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3.5</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Amendment No. 1 dated December 31, 2010 to the Third Amended and Restated Agreement of Limited Partnership of Plains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Marketing, L.P. (incorporated by reference to Exhibit 3.9 to our Annual Report on Form 10-K for the year ended December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3.6</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9"/>
              </w:rPr>
              <w:t>Amendment No. 2 dated January 1, 2011 to the Third Amended and Restated Agreement of Limited Partnership of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Marketing, L.P. (incorporated by reference to Exhibit 3.10 to our Annual Report on Form 10-K for the year ended December 31,</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3.7</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rPr>
              <w:t>Amendment No. 3 dated June 30, 2011 to the Third Amended and Restated Agreement of Limited Partnership of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Marketing, L.P. (incorporated by reference to Exhibit 3.7 to our Annual Report on Form 10-K for the year ended December 31,</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3.8</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9"/>
              </w:rPr>
              <w:t>Amendment No. 4 dated January 1, 2013 to the Third Amended and Restated Agreement of Limited Partnership of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Marketing, L.P (incorporated by reference to Exhibit 3.8 to our Annual Report on Form 10-K for the year ended December 31,</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3.9</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Third Amended and Restated Agreement of Limited Partnership of Plains Pipeline, L.P. dated as of April 1, 2004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3.3 to our Quarterly Report on Form 10-Q for the quarter ended March 31, 2004).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Amendment No. 1 dated January 1, 2013 to the Third Amended and Restated Agreement of Limited Partnership of Plains Pipeline,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L.P. (incorporated by reference to Exhibit 3.10 to our Annual Report on Form 10-K for the year ended December 31,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Sixth Amended and Restated Limited Liability Company Agreement of Plains All American GP LLC dated October 21, 2013</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Seventh Amended and Restated Limited Partnership Agreement of Plains AAP, L.P. dated October 21, 2013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3.1 to our Current Report on Form 8-K filed October 25, 2013).</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800" w:type="dxa"/>
            <w:vAlign w:val="bottom"/>
          </w:tcPr>
          <w:p>
            <w:pPr>
              <w:spacing w:after="0"/>
              <w:rPr>
                <w:sz w:val="20"/>
                <w:szCs w:val="20"/>
                <w:color w:val="auto"/>
              </w:rPr>
            </w:pPr>
            <w:r>
              <w:rPr>
                <w:rFonts w:ascii="Arial" w:cs="Arial" w:eastAsia="Arial" w:hAnsi="Arial"/>
                <w:sz w:val="18"/>
                <w:szCs w:val="18"/>
                <w:color w:val="auto"/>
              </w:rPr>
              <w:t>3.13</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Amendment No. 1 dated December 31, 2013 to the Seventh Amended and Restated Limited Partnership Agreement of Plains AAP,</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L.P. (incorporated by reference to Exhibit 3.2 to our Current Report on Form 8-K filed December 31,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3.14</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Certificate of Incorporation of PAA Finance Corp (f/k/a Pacific Energy Finance Corporation, successor-by-merger to PAA Finance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Corp.) (incorporated by reference to Exhibit 3.10 to our Annual Report on Form 10-K for the year ended December 31,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3.15</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Bylaws of PAA Finance Corp (f/k/a Pacific Energy Finance Corporation, successor-by-merger to PAA Finance Corp.) (incorporated</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by reference to Exhibit 3.11 to our Annual Report on Form 10-K for the year ended December 31,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3.16</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Limited Liability Company Agreement of PAA GP LLC dated December 28, 2007 (incorporated by reference to Exhibit 3.3 to our</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Indenture dated September 25, 2002 among Plains All American Pipeline, L.P., PAA Finance Corp. and Wachovia Bank, National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7"/>
              </w:rPr>
              <w:t>Association, as trustee (incorporated by reference to Exhibit 4.1 to our Quarterly Report on Form 10-Q for the quarter ended</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September 30, 2002).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Fourth Supplemental Indenture (Series A and Series B 5.875% Senior Notes due 2016) dated August 12, 2004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trustee (incorporated by reference to Exhibit 4.5 to our Registration Statement on Form S-4, File No. 333-121168).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Fifth Supplemental Indenture (Series A and Series B 5.25% Senior Notes due 2015) dated May 27, 2005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4.1 to our Current Report on Form 8-K filed May 31, 2005).</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4.4</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Sixth Supplemental Indenture (Series A and Series B 6.70% Senior Notes due 2036) dated May 12, 2006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4.1 to our Current Report on Form 8-K filed May 12,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4.5</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Ninth Supplemental Indenture (Series A and Series B 6.125% Senior Notes due 2017) dated October 30, 2006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trustee (incorporated by reference to Exhibit 4.1 to our Current Report on Form 8-K filed October 30,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4.6</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Tenth Supplemental Indenture (Series A and Series B 6.650% Senior Notes due 2037) dated October 30, 2006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trustee (incorporated by reference to Exhibit 4.2 to our Current Report on Form 8-K filed October 30, 2006).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4.7</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Thirteenth Supplemental Indenture (Series A and Series B 6.50% Senior Notes due 2018) dated April 23, 2008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trustee (incorporated by reference to Exhibit 4.1 to our Current Report on Form 8-K filed April 23, 2008).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4.8</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Fifteenth Supplemental Indenture (8.75% Senior Notes due 2019) dated April 20, 2009 among Plains All American Pipeline, L.P.,</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4.1 to our Current Report on Form 8-K filed April 20, 2009).</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4.9</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Seventeenth Supplemental Indenture (5.75% Senior Notes due 2020) dated September 4, 2009 among Plains All American Pipeline,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-6836410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-6836410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4.1 to our Current Report on Form 8-K filed September 4, 2009).</w:t>
            </w:r>
          </w:p>
        </w:tc>
      </w:tr>
      <w:tr>
        <w:trPr>
          <w:trHeight w:val="375"/>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800" w:type="dxa"/>
            <w:vAlign w:val="bottom"/>
          </w:tcPr>
          <w:p>
            <w:pPr>
              <w:spacing w:after="0"/>
              <w:rPr>
                <w:sz w:val="20"/>
                <w:szCs w:val="20"/>
                <w:color w:val="auto"/>
              </w:rPr>
            </w:pPr>
            <w:r>
              <w:rPr>
                <w:rFonts w:ascii="Arial" w:cs="Arial" w:eastAsia="Arial" w:hAnsi="Arial"/>
                <w:sz w:val="18"/>
                <w:szCs w:val="18"/>
                <w:color w:val="auto"/>
              </w:rPr>
              <w:t>4.10</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Eighteenth Supplemental Indenture (3.95% Senior Notes due 2015) dated July 14, 2010 among Plains All American Pipeline, L.P.,</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4.1 to our Current Report on Form 8-K filed July 13, 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4.11</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Nineteenth Supplemental Indenture (5.00% Senior Notes due 2021) dated January 14, 2011 among Plains All American Pipeline,</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4.1 to our Current Report on Form 8-K filed January 11,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4.12</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Twentieth Supplemental Indenture (3.65% Senior Notes due 2022) dated March 22, 2012 among Plains All American Pipeline, L.P.,</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PAA Finance Corp. and U.S. Bank National Association, as trustee (incorporated by reference to Exhibit 4.1 to our Current Report</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on Form 8-K filed March 26,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4.13</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Twenty-First Supplemental Indenture (5.15% Senior Notes due 2042) dated March 22, 2012 among Plains All American Pipeline,</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L.P., PAA Finance Corp. and U.S. Bank National Association, as trustee (incorporated by reference to Exhibit 4.3 to our Current</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4.14</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Twenty-Second Supplemental Indenture (2.85% Senior Notes due 2023) dated December 10, 2012, by and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9"/>
              </w:rPr>
              <w:t>American Pipeline, L.P., PAA Finance Corp. and U.S. Bank National Association, as trustee (incorporated by reference to</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December 12,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4.15</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Twenty-Third Supplemental Indenture (4.30% Senior Notes due 2043) dated December 10, 2012, by and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4.3 to our</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Current Report on Form 8-K filed December 12, 2012).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4.16</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Twenty-Fourth Supplemental Indenture (3.85% Senior Notes due 2023) dated August 15, 2013, by and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4.17</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Twenty-Fifth Supplemental Indenture (4.70% Senior Notes due 2044) dated April 23, 2014, by and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4.18</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Twenty-Sixth Supplemental Indenture (3.60% Senior Notes due 2024) dated September 9, 2014, by and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Current Report on Form 8-K filed September 11, 2014).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4.19</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7"/>
              </w:rPr>
              <w:t>Twenty-Seventh Supplemental Indenture (2.60% Senior Notes due 2019) dated December 9, 2014, by and among Plains All</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9"/>
              </w:rPr>
              <w:t>American Pipeline, L.P., PAA Finance Corp. and U.S. Bank National Association, as trustee (incorporated by reference to</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4.20</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Twenty-Eighth Supplemental Indenture (4.90% Senior Notes due 2045) dated December 9, 2014, by and among Plains All American</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4.3 to our</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Current Report on Form 8-K filed December 11, 2014).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4.21</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Registration Rights Agreement dated September 3, 2009 by and between Plains All American Pipeline, L.P. and Vulcan Gas Storage</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LLC (incorporated by reference to Exhibit 4.1 to our Registration Statement on Form S-3, File No. 333-162477).</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Credit Agreement dated as of August 19, 2011 among Plains All American Pipeline, L.P., as Borrower; certain subsidiaries of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All American Pipeline, L.P. from time to time party thereto, as Designated Borrowers; Bank of America, N.A., as Administrative</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7"/>
              </w:rPr>
              <w:t>Agent; and the other Lenders party thereto (incorporated by reference to Exhibit 10.1 to our Current Report on Form 8-K filed</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August 25,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First Amendment to Credit Agreement dated as of June 27, 2012, among Plains All American Pipeline, L.P. and Plains Midstream</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7"/>
              </w:rPr>
              <w:t>Canada ULC, as Borrowers; Bank of America, N.A., as Administrative Agent, Swing Line Lender and L/C Issuer; Wells Fargo</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Bank, National Association, as an L/C Issuer; and the other Lenders party thereto (incorporated by reference to Exhibit 10.2 to our</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Current Report on Form 8-K filed July 3, 2012).</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7"/>
              </w:rPr>
              <w:t>Second Amendment to Credit Agreement dated as of August 16, 2013, among Plains All American Pipeline, L.P. and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Midstream Canada ULC, as Borrowers; Bank of America, N.A., as Administrative Agent, Swing Line Lender and L/C Issuer; Wells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Fargo Bank, National Association, as an L/C Issuer; and the other Lenders party thereto (incorporated by reference to Exhibit 10.2 to</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our Current Report on Form 8-K filed August 20, 2013).</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Contribution, Assignment and Amendment Agreement dated as of June 27, 2001, among Plains All American Pipeline, L.P., Plains</w:t>
            </w: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Marketing, L.P., All American Pipeline, L.P., Plains AAP, L.P., Plains All American GP LLC and Plains Marketing GP Inc.</w:t>
            </w:r>
          </w:p>
        </w:tc>
      </w:tr>
      <w:tr>
        <w:trPr>
          <w:trHeight w:val="230"/>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10.1 to our Current Report on Form 8-K filed June 27, 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-10034905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-10034905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Contribution, Assignment and Amendment Agreement dated as of June 8, 2001, among Plains All American Inc., Plains AAP, L.P.</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and Plains All American GP LLC (incorporated by reference to Exhibit 10.1 to our Current Report on Form 8-K filed June 11,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rPr>
              <w:t>Separation Agreement dated as of June 8, 2001 among Plains Resources Inc., Plains All American Inc., Plains All</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American GP LLC, Plains AAP, L.P. and Plains All American Pipeline, L.P. (incorporated by reference to Exhibit 10.2 to our Current</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Report on Form 8-K filed June 11,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0"/>
              </w:rPr>
              <w:t>Pension and Employee Benefits Assumption and Transition Agreement dated as of June 8, 2001 among Plains Resources Inc., Plains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All American Inc. and Plains All American GP LLC (incorporated by reference to Exhibit 10.3 to our Current Report on Form 8-K</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filed June 11,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Plains All American GP LLC 2005 Long-Term Incentive Plan (incorporated by reference to Exhibit 10.1 to our Current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Form 8-K filed January 26,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Plains All American GP LLC 1998 Long-Term Incentive Plan (incorporated by reference to Exhibit 99.1 to Registration Statement</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on Form S-8, File No. 333-74920) as amended June 27, 2003 (incorporated by reference to Exhibit 10.1 to our Quarterly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Form 10-Q for the quarter ended June 30, 2003).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Amended and Restated Employment Agreement between Plains All American GP LLC and Greg L. Armstrong dated as of June 30,</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2001 (incorporated by reference to Exhibit 10.1 to our Quarterly Report on Form 10-Q for the quarter ended September 30,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Amended and Restated Employment Agreement between Plains All American GP LLC and Harry N. Pefanis dated as of June 30,</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2001 (incorporated by reference to Exhibit 10.2 to our Quarterly Report on Form 10-Q for the quarter ended September 30,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0"/>
              </w:rPr>
              <w:t>Asset Purchase and Sale Agreement dated February 28, 2001 between Murphy Oil Company Ltd. and Plains Marketing Canada, L.P.</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99.1 to our Current Report on Form 8-K filed May 10,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Transportation Agreement dated July 30, 1993, between All American Pipeline Company and Exxon Company, U.S.A. (incorporated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by reference to Exhibit 10.9 to our Registration Statement on Form S-1 filed September 23, 1998, File No. 333-64107).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Transportation Agreement dated August 2, 1993, among All American Pipeline Company, Texaco Trading and Transportation Inc.,</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Chevron U.S.A. and Sun Operating Limited Partnership (incorporated by reference to Exhibit 10.10 to our Registration Statement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Form S-1 filed September 23, 1998, File No. 333-64107).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Contribution, Conveyance and Assumption Agreement among Plains All American Pipeline, L.P. and certain other parties dated as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of November 23, 1998 (incorporated by reference to Exhibit 10.3 to our Annual Report on Form 10-K for the year ended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December 31,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7"/>
              </w:rPr>
              <w:t>First Amendment to Contribution, Conveyance and Assumption Agreement dated as of December 15, 1998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10.13 to our Annual Report on Form 10-K for the year ended December 31, 1998).</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Agreement for Purchase and Sale of Membership Interest in Scurlock Permian LLC between Marathon Ashland LLC and Plains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Marketing, L.P. dated as of March 17, 1999 (incorporated by reference to Exhibit 10.16 to our Annual Report on Form 10-K for the</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year ended December 31,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PMC (Nova Scotia) Company Bonus Program (incorporated by reference to Exhibit 10.20 to our Annual Report on Form 10-K for</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Quarterly Bonus Program Summary (incorporated by reference to Exhibit 10.21 to our Annual Report on Form 10-K for the year</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Form of LTIP Grant Letter (independent directors) (incorporated by reference to Exhibit 10.3 to our Current Report on Form 8-K</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filed February 23,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Form of LTIP Grant Letter (designated directors) (incorporated by reference to Exhibit 10.4 to our Current Report on Form 8-K filed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February 23,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Membership Interest Purchase Agreement by and between Sempra Energy Trading Corporation and PAA/Vulcan Gas Storage, LLC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dated August 19, 2005 (incorporated by reference to Exhibit 1.2 to our Current Report on Form 8-K filed September 19,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Waiver Agreement dated as of December 23, 2010 between Plains All American GP LLC and Greg L. Armstrong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10.31 to our Annual Report on Form 10-K for the year ended December 31,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Waiver Agreement dated as of December 23, 2010 between Plains All American GP LLC and Harry N. Pefanis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10.32 to our Annual Report on Form 10-K for the year ended December 31,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rPr>
              <w:t>Excess Voting Rights Agreement dated as of August 12, 2005 between Vulcan Energy GP Holdings Inc. and Plains All</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American GP LLC (incorporated by reference to Exhibit 10.3 to our Current Report on Form 8-K filed August 16,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Excess Voting Rights Agreement dated as of August 12, 2005 between Lynx Holdings I, LLC and Plains All American GP LLC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10.4 to our Current Report on Form 8-K filed August 16,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Employment Agreement between Plains All American GP LLC and John P. vonBerg dated December 18, 2001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10.40 to our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Form of LTIP Grant Letter (audit committee members) (incorporated by reference to Exhibit 10.1 to our Current Report on Form 8-K</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filed August 23,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Plains All American PPX Successor Long-Term Incentive Plan (incorporated by reference to Exhibit 10.45 to our Annual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Form 10-K for the year ended December 31,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10.30</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Form of Plains AAP, L.P. Class B Restricted Units Agreement (incorporated by reference to Exhibit 10.1 to our Current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Form 8-K filed January 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10.31</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Third Amended and Restated Credit Agreement dated as of August 19, 2011 by and among Plains Marketing, L.P., as Borrower,</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Plains All American Pipeline, L.P., as Guarantor, Bank of America, N.A., as Administrative Agent, and the other Lenders party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thereto (incorporated by reference to Exhibit 10.2 to our Current Report on Form 8-K filed August 25,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10.32</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First Amendment to Third Amended and Restated Credit Agreement dated as of June 27, 2012, among Plains Marketing, L.P. and</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9"/>
              </w:rPr>
              <w:t>Plains Midstream Canada ULC, as Borrowers; Plains All American Pipeline, L.P., as Guarantor; Bank of America, N.A., as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Administrative Agent, Swing Line Lender and L/C Issuer; and the other Lenders and L/C Issuers party thereto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10.1 to our Current Report on Form 8-K filed July 3, 2012).</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9840" w:type="dxa"/>
            <w:vAlign w:val="bottom"/>
            <w:tcBorders>
              <w:bottom w:val="single" w:sz="8" w:color="010101"/>
            </w:tcBorders>
          </w:tcPr>
          <w:p>
            <w:pPr>
              <w:spacing w:after="0"/>
              <w:rPr>
                <w:sz w:val="24"/>
                <w:szCs w:val="24"/>
                <w:color w:val="auto"/>
              </w:rPr>
            </w:pPr>
          </w:p>
        </w:tc>
      </w:tr>
      <w:tr>
        <w:trPr>
          <w:trHeight w:val="523"/>
        </w:trPr>
        <w:tc>
          <w:tcPr>
            <w:tcW w:w="1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40" w:type="dxa"/>
            <w:vAlign w:val="bottom"/>
          </w:tcPr>
          <w:p>
            <w:pPr>
              <w:spacing w:after="0"/>
              <w:rPr>
                <w:sz w:val="24"/>
                <w:szCs w:val="24"/>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10.33</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Second Amendment to Third Amended and Restated Credit Agreement dated as of August 16, 2013, among Plains Marketing, L.P.</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and Plains Midstream Canada ULC, as Borrowers; Plains All American Pipeline, L.P., as Guarantor; Bank of America, N.A., as</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Administrative Agent, Swing Line Lender and L/C Issuer; Wells Fargo Bank, National Association, as an L/C Issuer; and the other</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Lenders and L/C Issuers party thereto (incorporated by reference to Exhibit 10.1 to our Current Report on Form 8-K filed August 20,</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10.34</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rPr>
              <w:t>Contribution and Assumption Agreement dated December 28, 2007, by and between Plains AAP, L.P. and PAA GP LLC</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10.2 to our Current Report on Form 8-K filed January 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First Amendment to Amended and Restated Employment Agreement dated December 4, 2008 between Plains All American GP LLC</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9"/>
              </w:rPr>
              <w:t>and Greg L. Armstrong (incorporated by reference to Exhibit 10.49 to our Annual Report on Form 10-K for the year ended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December 31,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First Amendment to Amended and Restated Employment Agreement dated December 4, 2008 between Plains All American GP LLC</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and Harry N. Pefanis (incorporated by reference to Exhibit 10.50 to our Annual Report on Form 10-K for the year ended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December 31,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First Amendment to Plains All American GP LLC 2005 Long-Term Incentive Plan dated December 4, 2008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10.51 to our Annual Report on Form 10-K for the year ended December 31,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10.38</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Second Amendment to Plains All American GP LLC 1998 Long-Term Incentive Plan dated December 4, 2008 (incorporated by</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reference to Exhibit 10.52 to our Annual Report on Form 10-K for the year ended December 31,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10.39</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Form of Amendment to LTIP grant letters (executive officers) (incorporated by reference to Exhibit 10.53 to our Annual Report on</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10.40</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Form of Amendment to LTIP grant letters (directors) (incorporated by reference to Exhibit 10.54 to our Annual Report on Form 10-</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K for the year ended December 31,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10.41</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7"/>
              </w:rPr>
              <w:t>Contribution Agreement dated as of April 29, 2010 by and among PAA Natural Gas Storage, L.P., PNGS GP LLC, Plains All</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American Pipeline, L.P., PAA Natural Gas Storage, LLC, PAA/Vulcan Gas Storage, LLC, Plains Marketing, L.P. and Plains</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Marketing GP Inc. (incorporated by reference to Exhibit 10.1 to PNG’s Current Report on Form 8-K filed May 4,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Omnibus Agreement dated May 5, 2010 by and among Plains All American GP LLC, Plains All American Pipeline, L.P., PNGS GP</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LLC and PAA Natural Gas Storage, L.P. (incorporated by reference to Exhibit 10.1 to PNG’s Current Report on Form 8-K filed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May 11,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10.43</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Form of 2010 LTIP Grant Letters (incorporated by reference to Exhibit 10.58 to our Annual Report on Form 10-K for the year ended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December 31,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10.44</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1"/>
              </w:rPr>
              <w:t>Director Compensation Summary (incorporated by reference to Exhibit 10.45 to our Annual Report on Form 10-K for the year ended</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December 31,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10.45</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6"/>
              </w:rPr>
              <w:t>Administrative Agreement dated October 21, 2013 by and among Plains GP Holdings, L.P., PAA GP Holdings LLC, Plains All</w:t>
            </w: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American Pipeline, L.P., PAA GP LLC, Plains AAP, L.P. and Plains All American GP LLC (incorporated by reference to</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Exhibit 10.1 to our Current Report on Form 8-K filed October 25,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10.46</w:t>
            </w:r>
            <w:r>
              <w:rPr>
                <w:rFonts w:ascii="Arial" w:cs="Arial" w:eastAsia="Arial" w:hAnsi="Arial"/>
                <w:sz w:val="23"/>
                <w:szCs w:val="23"/>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Waiver Agreement dated October 21, 2013 to the Amended and Restated Employment Agreement dated June 30, 2001 of Greg L.</w:t>
            </w: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Armstrong (incorporated by reference to Exhibit 10.2 to our Current Report on Form 8-K filed October 25,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-7247890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-7247890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93" w:right="199" w:bottom="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780" w:type="dxa"/>
            <w:vAlign w:val="bottom"/>
          </w:tcPr>
          <w:p>
            <w:pPr>
              <w:spacing w:after="0"/>
              <w:rPr>
                <w:sz w:val="17"/>
                <w:szCs w:val="17"/>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r>
      <w:tr>
        <w:trPr>
          <w:trHeight w:val="438"/>
        </w:trPr>
        <w:tc>
          <w:tcPr>
            <w:tcW w:w="1000" w:type="dxa"/>
            <w:vAlign w:val="bottom"/>
            <w:gridSpan w:val="2"/>
          </w:tcPr>
          <w:p>
            <w:pPr>
              <w:spacing w:after="0"/>
              <w:rPr>
                <w:sz w:val="20"/>
                <w:szCs w:val="20"/>
                <w:color w:val="auto"/>
              </w:rPr>
            </w:pPr>
            <w:r>
              <w:rPr>
                <w:rFonts w:ascii="Arial" w:cs="Arial" w:eastAsia="Arial" w:hAnsi="Arial"/>
                <w:sz w:val="18"/>
                <w:szCs w:val="18"/>
                <w:color w:val="auto"/>
              </w:rPr>
              <w:t>10.47</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1"/>
              </w:rPr>
              <w:t>Waiver Agreement dated October 21, 2013 to the Amended and Restated Employment Agreement dated June 30, 2001 of Harry N.</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Pefanis (incorporated by reference to Exhibit 10.3 to our Current Report on Form 8-K filed October 25, 2013).</w:t>
            </w:r>
          </w:p>
        </w:tc>
      </w:tr>
      <w:tr>
        <w:trPr>
          <w:trHeight w:val="418"/>
        </w:trPr>
        <w:tc>
          <w:tcPr>
            <w:tcW w:w="1000" w:type="dxa"/>
            <w:vAlign w:val="bottom"/>
            <w:gridSpan w:val="2"/>
          </w:tcPr>
          <w:p>
            <w:pPr>
              <w:spacing w:after="0"/>
              <w:rPr>
                <w:sz w:val="20"/>
                <w:szCs w:val="20"/>
                <w:color w:val="auto"/>
              </w:rPr>
            </w:pPr>
            <w:r>
              <w:rPr>
                <w:rFonts w:ascii="Arial" w:cs="Arial" w:eastAsia="Arial" w:hAnsi="Arial"/>
                <w:sz w:val="18"/>
                <w:szCs w:val="18"/>
                <w:color w:val="auto"/>
              </w:rPr>
              <w:t>10.48</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0"/>
              </w:rPr>
              <w:t>Form of Amendment to the Plains AAP, L.P. Class B Restricted Units Agreement, dated October 18, 2013 (incorporated by reference</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to Exhibit 10.4 to our Current Report on Form 8-K filed October 25, 2013).</w:t>
            </w:r>
          </w:p>
        </w:tc>
      </w:tr>
      <w:tr>
        <w:trPr>
          <w:trHeight w:val="418"/>
        </w:trPr>
        <w:tc>
          <w:tcPr>
            <w:tcW w:w="1000" w:type="dxa"/>
            <w:vAlign w:val="bottom"/>
            <w:gridSpan w:val="2"/>
          </w:tcPr>
          <w:p>
            <w:pPr>
              <w:spacing w:after="0"/>
              <w:rPr>
                <w:sz w:val="20"/>
                <w:szCs w:val="20"/>
                <w:color w:val="auto"/>
              </w:rPr>
            </w:pPr>
            <w:r>
              <w:rPr>
                <w:rFonts w:ascii="Arial" w:cs="Arial" w:eastAsia="Arial" w:hAnsi="Arial"/>
                <w:sz w:val="18"/>
                <w:szCs w:val="18"/>
                <w:color w:val="auto"/>
              </w:rPr>
              <w:t>10.49</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3"/>
              </w:rPr>
              <w:t>Plains All American 2013 Long-Term Incentive Plan (incorporated by reference to Exhibit A to our Definitive Proxy Statement filed</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on October 3, 2013).</w:t>
            </w:r>
          </w:p>
        </w:tc>
      </w:tr>
      <w:tr>
        <w:trPr>
          <w:trHeight w:val="418"/>
        </w:trPr>
        <w:tc>
          <w:tcPr>
            <w:tcW w:w="1000" w:type="dxa"/>
            <w:vAlign w:val="bottom"/>
            <w:gridSpan w:val="2"/>
          </w:tcPr>
          <w:p>
            <w:pPr>
              <w:spacing w:after="0"/>
              <w:rPr>
                <w:sz w:val="20"/>
                <w:szCs w:val="20"/>
                <w:color w:val="auto"/>
              </w:rPr>
            </w:pPr>
            <w:r>
              <w:rPr>
                <w:rFonts w:ascii="Arial" w:cs="Arial" w:eastAsia="Arial" w:hAnsi="Arial"/>
                <w:sz w:val="18"/>
                <w:szCs w:val="18"/>
                <w:color w:val="auto"/>
              </w:rPr>
              <w:t>10.50</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8"/>
              </w:rPr>
              <w:t>Plains All American PNG Successor Long-Term Incentive Plan (incorporated by reference to Exhibit 4.4 to our Registration</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Statement on Form S-8 (333-19319) filed December 31, 2013).</w:t>
            </w:r>
          </w:p>
        </w:tc>
      </w:tr>
      <w:tr>
        <w:trPr>
          <w:trHeight w:val="418"/>
        </w:trPr>
        <w:tc>
          <w:tcPr>
            <w:tcW w:w="1000" w:type="dxa"/>
            <w:vAlign w:val="bottom"/>
            <w:gridSpan w:val="2"/>
          </w:tcPr>
          <w:p>
            <w:pPr>
              <w:spacing w:after="0"/>
              <w:rPr>
                <w:sz w:val="20"/>
                <w:szCs w:val="20"/>
                <w:color w:val="auto"/>
              </w:rPr>
            </w:pPr>
            <w:r>
              <w:rPr>
                <w:rFonts w:ascii="Arial" w:cs="Arial" w:eastAsia="Arial" w:hAnsi="Arial"/>
                <w:sz w:val="18"/>
                <w:szCs w:val="18"/>
                <w:color w:val="auto"/>
              </w:rPr>
              <w:t>10.51</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2"/>
              </w:rPr>
              <w:t>PAA Natural Gas Storage, L.P. 2010 Long-Term Incentive Plan (incorporated by reference to Exhibit 10.2 to PNG’s Current Report</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on Form 8-K filed May 11, 2010).</w:t>
            </w:r>
          </w:p>
        </w:tc>
      </w:tr>
      <w:tr>
        <w:trPr>
          <w:trHeight w:val="418"/>
        </w:trPr>
        <w:tc>
          <w:tcPr>
            <w:tcW w:w="1000" w:type="dxa"/>
            <w:vAlign w:val="bottom"/>
            <w:gridSpan w:val="2"/>
          </w:tcPr>
          <w:p>
            <w:pPr>
              <w:spacing w:after="0"/>
              <w:rPr>
                <w:sz w:val="20"/>
                <w:szCs w:val="20"/>
                <w:color w:val="auto"/>
              </w:rPr>
            </w:pPr>
            <w:r>
              <w:rPr>
                <w:rFonts w:ascii="Arial" w:cs="Arial" w:eastAsia="Arial" w:hAnsi="Arial"/>
                <w:sz w:val="18"/>
                <w:szCs w:val="18"/>
                <w:color w:val="auto"/>
              </w:rPr>
              <w:t>10.52</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3"/>
              </w:rPr>
              <w:t>Form of PAA LTIP Grant Letter for Officers (February 2013) (incorporated by reference to Exhibit 10.1 to our Quarterly Report on</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Form 10-Q for the quarter ended March 31, 2013).</w:t>
            </w:r>
          </w:p>
        </w:tc>
      </w:tr>
      <w:tr>
        <w:trPr>
          <w:trHeight w:val="418"/>
        </w:trPr>
        <w:tc>
          <w:tcPr>
            <w:tcW w:w="1000" w:type="dxa"/>
            <w:vAlign w:val="bottom"/>
            <w:gridSpan w:val="2"/>
          </w:tcPr>
          <w:p>
            <w:pPr>
              <w:spacing w:after="0"/>
              <w:rPr>
                <w:sz w:val="20"/>
                <w:szCs w:val="20"/>
                <w:color w:val="auto"/>
              </w:rPr>
            </w:pPr>
            <w:r>
              <w:rPr>
                <w:rFonts w:ascii="Arial" w:cs="Arial" w:eastAsia="Arial" w:hAnsi="Arial"/>
                <w:sz w:val="18"/>
                <w:szCs w:val="18"/>
                <w:color w:val="auto"/>
              </w:rPr>
              <w:t>10.53</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2"/>
              </w:rPr>
              <w:t>364-Day Credit Agreement dated January 16, 2015 among Plains All American Pipeline, L.P., as Borrower; Bank of America, N.A.,</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w w:val="99"/>
              </w:rPr>
              <w:t>as Administrative Agent; Citibank, N.A., JPMorgan Chase Bank N.A. and Wells Fargo Bank, National Association, as Co-</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w w:val="93"/>
              </w:rPr>
              <w:t>Syndication Agents; DNB Bank ASA, New York Branch and Mizuho Bank, Ltd., as Co-Documentation Agents; the other Lenders</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w w:val="96"/>
              </w:rPr>
              <w:t>party thereto; and Merrill Lynch, Pierce, Fenner &amp; Smith Incorporated, Citigroup Global Markets Inc., DNB Markets, Inc., J.P.</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w w:val="97"/>
              </w:rPr>
              <w:t>Morgan Securities LLC, Mizuho Bank, Ltd. and Wells Fargo Securities, LLC, as Joint Lead Arrangers and Joint Bookrunners</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10.1 to our Current Report on Form 8-K filed January 20, 2015).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66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21.1</w:t>
            </w:r>
          </w:p>
        </w:tc>
        <w:tc>
          <w:tcPr>
            <w:tcW w:w="66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List of Subsidiaries of Plains All American Pipeline, L.P.</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23.1</w:t>
            </w:r>
          </w:p>
        </w:tc>
        <w:tc>
          <w:tcPr>
            <w:tcW w:w="66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66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6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6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6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514"/>
        </w:trPr>
        <w:tc>
          <w:tcPr>
            <w:tcW w:w="1000" w:type="dxa"/>
            <w:vAlign w:val="bottom"/>
            <w:gridSpan w:val="2"/>
          </w:tcPr>
          <w:p>
            <w:pPr>
              <w:spacing w:after="0"/>
              <w:rPr>
                <w:sz w:val="20"/>
                <w:szCs w:val="20"/>
                <w:color w:val="auto"/>
              </w:rPr>
            </w:pPr>
            <w:r>
              <w:rPr>
                <w:rFonts w:ascii="Arial" w:cs="Arial" w:eastAsia="Arial" w:hAnsi="Arial"/>
                <w:sz w:val="18"/>
                <w:szCs w:val="18"/>
                <w:color w:val="auto"/>
              </w:rPr>
              <w:t>101. INS</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3"/>
                <w:szCs w:val="23"/>
                <w:color w:val="auto"/>
                <w:vertAlign w:val="superscript"/>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20" w:right="320" w:hanging="8"/>
        <w:spacing w:after="0" w:line="277" w:lineRule="auto"/>
        <w:rPr>
          <w:sz w:val="20"/>
          <w:szCs w:val="20"/>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Management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20" w:space="520"/>
            <w:col w:w="10760"/>
          </w:cols>
          <w:pgMar w:left="240" w:top="500" w:right="25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w w:val="96"/>
              </w:rPr>
              <w:t>noncontrolling interests and income from equity investees</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18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Portion of rent expense related to interest (33.33%)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4.30x</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4.03x</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4.13x</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500" w:hanging="11"/>
        <w:spacing w:after="0" w:line="277" w:lineRule="auto"/>
        <w:rPr>
          <w:sz w:val="20"/>
          <w:szCs w:val="20"/>
          <w:color w:val="auto"/>
        </w:rPr>
      </w:pPr>
      <w:r>
        <w:rPr>
          <w:rFonts w:ascii="Arial" w:cs="Arial" w:eastAsia="Arial" w:hAnsi="Arial"/>
          <w:sz w:val="18"/>
          <w:szCs w:val="18"/>
          <w:color w:val="auto"/>
        </w:rPr>
        <w:t>Includes interest costs attributable to borrowings for hedged inventory purchases of $12 million, $30 million, $12 million, $20 million and $17 million for the years ended December 31, 2014, 2013, 2012,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121" w:right="239" w:bottom="1440" w:gutter="0" w:footer="0" w:header="0"/>
          <w:type w:val="continuous"/>
        </w:sectPr>
      </w:pPr>
    </w:p>
    <w:bookmarkStart w:id="141" w:name="page142"/>
    <w:bookmarkEnd w:id="141"/>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2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w w:val="98"/>
              </w:rPr>
              <w:t>SUBSIDIARIES OF</w:t>
            </w:r>
          </w:p>
        </w:tc>
        <w:tc>
          <w:tcPr>
            <w:tcW w:w="40" w:type="dxa"/>
            <w:vAlign w:val="bottom"/>
          </w:tcPr>
          <w:p>
            <w:pPr>
              <w:spacing w:after="0"/>
              <w:rPr>
                <w:sz w:val="18"/>
                <w:szCs w:val="18"/>
                <w:color w:val="auto"/>
              </w:rPr>
            </w:pPr>
          </w:p>
        </w:tc>
      </w:tr>
      <w:tr>
        <w:trPr>
          <w:trHeight w:val="220"/>
        </w:trPr>
        <w:tc>
          <w:tcPr>
            <w:tcW w:w="3800" w:type="dxa"/>
            <w:vAlign w:val="bottom"/>
          </w:tcPr>
          <w:p>
            <w:pPr>
              <w:spacing w:after="0"/>
              <w:rPr>
                <w:sz w:val="19"/>
                <w:szCs w:val="19"/>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rPr>
              <w:t>PLAINS ALL AMERICAN PIPELINE, L.P.</w:t>
            </w:r>
          </w:p>
        </w:tc>
        <w:tc>
          <w:tcPr>
            <w:tcW w:w="40" w:type="dxa"/>
            <w:vAlign w:val="bottom"/>
          </w:tcPr>
          <w:p>
            <w:pPr>
              <w:spacing w:after="0"/>
              <w:rPr>
                <w:sz w:val="19"/>
                <w:szCs w:val="19"/>
                <w:color w:val="auto"/>
              </w:rPr>
            </w:pPr>
          </w:p>
        </w:tc>
      </w:tr>
      <w:tr>
        <w:trPr>
          <w:trHeight w:val="230"/>
        </w:trPr>
        <w:tc>
          <w:tcPr>
            <w:tcW w:w="3800" w:type="dxa"/>
            <w:vAlign w:val="bottom"/>
          </w:tcPr>
          <w:p>
            <w:pPr>
              <w:spacing w:after="0"/>
              <w:rPr>
                <w:sz w:val="20"/>
                <w:szCs w:val="20"/>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i w:val="1"/>
                <w:iCs w:val="1"/>
                <w:color w:val="auto"/>
                <w:w w:val="90"/>
              </w:rPr>
              <w:t>(As of 12/31/2014)</w:t>
            </w:r>
          </w:p>
        </w:tc>
        <w:tc>
          <w:tcPr>
            <w:tcW w:w="40" w:type="dxa"/>
            <w:vAlign w:val="bottom"/>
          </w:tcPr>
          <w:p>
            <w:pPr>
              <w:spacing w:after="0"/>
              <w:rPr>
                <w:sz w:val="20"/>
                <w:szCs w:val="20"/>
                <w:color w:val="auto"/>
              </w:rPr>
            </w:pPr>
          </w:p>
        </w:tc>
      </w:tr>
      <w:tr>
        <w:trPr>
          <w:trHeight w:val="365"/>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96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c>
          <w:tcPr>
            <w:tcW w:w="40" w:type="dxa"/>
            <w:vAlign w:val="bottom"/>
          </w:tcPr>
          <w:p>
            <w:pPr>
              <w:spacing w:after="0"/>
              <w:rPr>
                <w:sz w:val="24"/>
                <w:szCs w:val="2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5D Marketing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Aurora Pipeline Company Ltd.</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Bakersfield Crude Terminal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BGS Kimball Gas Storage,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Bluewater Gas Storage,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Bluewater Natural Gas Holding,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Centerpoint Access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Diamond Pipeline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Durham Transport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Eagle Ford Crude Terminal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Eagle Ford Terminals Corpus Christi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Hawks Oil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Lazybay Operating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Legacy Line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LMC Transport,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Lone Star Trucking,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California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Mountain Ridge Resources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Niobrara Crude Terminal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Finance Corp.</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Luxembourg S.a.r.l.</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Midstream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Natural Gas Canada ULC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Alberta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Natural Gas Storage, L.P.</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PAA/Vulcan Gas Storage,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Pacific Energy Group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Pacific L.A. Marine Terminal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Pacific Pipeline System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PACONO1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PICSCO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Pine Prairie Energy Center,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7"/>
              </w:rPr>
              <w:t>Plains All American Emergency Relief Fund, Inc.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Capline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GP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 North Dakota Inc.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Bondholder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GP Inc.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L.P.</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Midstream Luxembourg S.a.r.l.</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Superior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Mobile Pipeline Inc.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0"/>
              </w:rPr>
              <w:t>Alabama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Pipeline, L.P.</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Products Terminals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Rail Holdings LLC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South Texas Gathering LLC</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Southcap Inc.</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Plains West Coast Terminals LLC</w:t>
            </w:r>
          </w:p>
        </w:tc>
        <w:tc>
          <w:tcPr>
            <w:tcW w:w="2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20"/>
                <w:szCs w:val="20"/>
                <w:color w:val="auto"/>
              </w:rPr>
            </w:pPr>
          </w:p>
        </w:tc>
      </w:tr>
      <w:tr>
        <w:trPr>
          <w:trHeight w:val="361"/>
        </w:trPr>
        <w:tc>
          <w:tcPr>
            <w:tcW w:w="3800" w:type="dxa"/>
            <w:vAlign w:val="bottom"/>
            <w:tcBorders>
              <w:bottom w:val="single" w:sz="8" w:color="010101"/>
            </w:tcBorders>
          </w:tcPr>
          <w:p>
            <w:pPr>
              <w:spacing w:after="0"/>
              <w:rPr>
                <w:sz w:val="24"/>
                <w:szCs w:val="24"/>
                <w:color w:val="auto"/>
              </w:rPr>
            </w:pPr>
          </w:p>
        </w:tc>
        <w:tc>
          <w:tcPr>
            <w:tcW w:w="29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PMC (Nova Scotia) Company</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0"/>
              </w:rPr>
              <w:t>Nova Scotia</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PMDSE, Inc.</w:t>
            </w:r>
          </w:p>
        </w:tc>
        <w:tc>
          <w:tcPr>
            <w:tcW w:w="5600" w:type="dxa"/>
            <w:vAlign w:val="bottom"/>
          </w:tcPr>
          <w:p>
            <w:pPr>
              <w:jc w:val="center"/>
              <w:ind w:left="1210"/>
              <w:spacing w:after="0"/>
              <w:rPr>
                <w:sz w:val="20"/>
                <w:szCs w:val="20"/>
                <w:color w:val="auto"/>
              </w:rPr>
            </w:pPr>
            <w:r>
              <w:rPr>
                <w:rFonts w:ascii="Arial" w:cs="Arial" w:eastAsia="Arial" w:hAnsi="Arial"/>
                <w:sz w:val="18"/>
                <w:szCs w:val="18"/>
                <w:color w:val="auto"/>
                <w:w w:val="94"/>
              </w:rPr>
              <w:t>Mississippi</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PNG Marketing,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PNGS GP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PPEC Bondholder,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Rancho LPG Holdings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RC Transportation,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7"/>
              </w:rPr>
              <w:t>Georgia</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RCAT Logistics,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7"/>
              </w:rPr>
              <w:t>Georgia</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SFC Marketing &amp; Logistics,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7"/>
              </w:rPr>
              <w:t>Georgia</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SLC Pipeline LLC</w:t>
            </w:r>
          </w:p>
        </w:tc>
        <w:tc>
          <w:tcPr>
            <w:tcW w:w="5600" w:type="dxa"/>
            <w:vAlign w:val="bottom"/>
          </w:tcPr>
          <w:p>
            <w:pPr>
              <w:jc w:val="center"/>
              <w:ind w:left="1230"/>
              <w:spacing w:after="0"/>
              <w:rPr>
                <w:sz w:val="20"/>
                <w:szCs w:val="20"/>
                <w:color w:val="auto"/>
              </w:rPr>
            </w:pPr>
            <w:r>
              <w:rPr>
                <w:rFonts w:ascii="Arial" w:cs="Arial" w:eastAsia="Arial" w:hAnsi="Arial"/>
                <w:sz w:val="18"/>
                <w:szCs w:val="18"/>
                <w:color w:val="auto"/>
                <w:w w:val="89"/>
              </w:rPr>
              <w:t>Delaware</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Smart Transport Unlimited, LLC</w:t>
            </w:r>
          </w:p>
        </w:tc>
        <w:tc>
          <w:tcPr>
            <w:tcW w:w="560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87"/>
              </w:rPr>
              <w:t>Georgia</w:t>
            </w:r>
          </w:p>
        </w:tc>
      </w:tr>
    </w:tbl>
    <w:p>
      <w:pPr>
        <w:sectPr>
          <w:pgSz w:w="11900" w:h="16838" w:orient="portrait"/>
          <w:cols w:equalWidth="0" w:num="1">
            <w:col w:w="11460"/>
          </w:cols>
          <w:pgMar w:left="240" w:top="121" w:right="199" w:bottom="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Southcap Pipe Line Company</w:t>
            </w:r>
          </w:p>
        </w:tc>
        <w:tc>
          <w:tcPr>
            <w:tcW w:w="5800" w:type="dxa"/>
            <w:vAlign w:val="bottom"/>
          </w:tcPr>
          <w:p>
            <w:pPr>
              <w:ind w:left="33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20"/>
                <w:szCs w:val="20"/>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58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Van Hook Crude Terminal LLC</w:t>
            </w:r>
          </w:p>
        </w:tc>
        <w:tc>
          <w:tcPr>
            <w:tcW w:w="5800" w:type="dxa"/>
            <w:vAlign w:val="bottom"/>
          </w:tcPr>
          <w:p>
            <w:pPr>
              <w:ind w:left="33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VirKel Backhoe Services LLLP</w:t>
            </w:r>
          </w:p>
        </w:tc>
        <w:tc>
          <w:tcPr>
            <w:tcW w:w="58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Colorado</w:t>
            </w:r>
          </w:p>
        </w:tc>
        <w:tc>
          <w:tcPr>
            <w:tcW w:w="40" w:type="dxa"/>
            <w:vAlign w:val="bottom"/>
          </w:tcPr>
          <w:p>
            <w:pPr>
              <w:spacing w:after="0"/>
              <w:rPr>
                <w:sz w:val="18"/>
                <w:szCs w:val="18"/>
                <w:color w:val="auto"/>
              </w:rPr>
            </w:pPr>
          </w:p>
        </w:tc>
      </w:tr>
      <w:tr>
        <w:trPr>
          <w:trHeight w:val="348"/>
        </w:trPr>
        <w:tc>
          <w:tcPr>
            <w:tcW w:w="5620" w:type="dxa"/>
            <w:vAlign w:val="bottom"/>
            <w:tcBorders>
              <w:bottom w:val="single" w:sz="8" w:color="010101"/>
            </w:tcBorders>
          </w:tcPr>
          <w:p>
            <w:pPr>
              <w:spacing w:after="0"/>
              <w:rPr>
                <w:sz w:val="24"/>
                <w:szCs w:val="24"/>
                <w:color w:val="auto"/>
              </w:rPr>
            </w:pPr>
          </w:p>
        </w:tc>
        <w:tc>
          <w:tcPr>
            <w:tcW w:w="5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333-184135, 333-184137, and 333-162477) and on Form S-8 (No. 333-91141, 333-74920, 333-122806, 333-141185, 333-193139 and 333-193140) of Plains All American Pipeline, L.P. of our report dated February 24, 2015 relating to the financial statements and the effectiveness of internal control over financial reporting,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2014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o"/>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1)"/>
      <w:numFmt w:val="decimal"/>
      <w:start w:val="1"/>
    </w:lvl>
  </w:abstractNum>
  <w:abstractNum w:abstractNumId="5">
    <w:nsid w:val="5F5E7FD0"/>
    <w:multiLevelType w:val="hybridMultilevel"/>
    <w:lvl w:ilvl="0">
      <w:lvlJc w:val="left"/>
      <w:lvlText w:val="(%1)"/>
      <w:numFmt w:val="decimal"/>
      <w:start w:val="4"/>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1)"/>
      <w:numFmt w:val="decimal"/>
      <w:start w:val="1"/>
    </w:lvl>
  </w:abstractNum>
  <w:abstractNum w:abstractNumId="11">
    <w:nsid w:val="1EBA5D23"/>
    <w:multiLevelType w:val="hybridMultilevel"/>
    <w:lvl w:ilvl="0">
      <w:lvlJc w:val="left"/>
      <w:lvlText w:val="(%1)"/>
      <w:numFmt w:val="decimal"/>
    </w:lvl>
    <w:lvl w:ilvl="1">
      <w:lvlJc w:val="left"/>
      <w:lvlText w:val="$"/>
      <w:numFmt w:val="bullet"/>
      <w:start w:val="1"/>
    </w:lvl>
  </w:abstractNum>
  <w:abstractNum w:abstractNumId="12">
    <w:nsid w:val="661E3F1E"/>
    <w:multiLevelType w:val="hybridMultilevel"/>
    <w:lvl w:ilvl="0">
      <w:lvlJc w:val="left"/>
      <w:lvlText w:val="(%1)"/>
      <w:numFmt w:val="decimal"/>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1)"/>
      <w:numFmt w:val="lowerRoman"/>
      <w:start w:val="1"/>
    </w:lvl>
  </w:abstractNum>
  <w:abstractNum w:abstractNumId="17">
    <w:nsid w:val="613EFDC5"/>
    <w:multiLevelType w:val="hybridMultilevel"/>
    <w:lvl w:ilvl="0">
      <w:lvlJc w:val="left"/>
      <w:lvlText w:val="(%1)"/>
      <w:numFmt w:val="lowerRoman"/>
      <w:start w:val="2"/>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1)"/>
      <w:numFmt w:val="decimal"/>
      <w:start w:val="3"/>
    </w:lvl>
  </w:abstractNum>
  <w:abstractNum w:abstractNumId="20">
    <w:nsid w:val="42963E5A"/>
    <w:multiLevelType w:val="hybridMultilevel"/>
    <w:lvl w:ilvl="0">
      <w:lvlJc w:val="left"/>
      <w:lvlText w:val="(%1)"/>
      <w:numFmt w:val="lowerRoman"/>
      <w:start w:val="3"/>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1)"/>
      <w:numFmt w:val="lowerRoman"/>
      <w:start w:val="3"/>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lvl w:ilvl="1">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1)"/>
      <w:numFmt w:val="decimal"/>
      <w:start w:val="1"/>
    </w:lvl>
  </w:abstractNum>
  <w:abstractNum w:abstractNumId="42">
    <w:nsid w:val="14E17E33"/>
    <w:multiLevelType w:val="hybridMultilevel"/>
    <w:lvl w:ilvl="0">
      <w:lvlJc w:val="left"/>
      <w:lvlText w:val="(%1)"/>
      <w:numFmt w:val="lowerRoman"/>
      <w:start w:val="7"/>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1)"/>
      <w:numFmt w:val="decimal"/>
      <w:start w:val="3"/>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1)"/>
      <w:numFmt w:val="lowerRoman"/>
      <w:start w:val="3"/>
    </w:lvl>
  </w:abstractNum>
  <w:abstractNum w:abstractNumId="55">
    <w:nsid w:val="7F01579B"/>
    <w:multiLevelType w:val="hybridMultilevel"/>
    <w:lvl w:ilvl="0">
      <w:lvlJc w:val="left"/>
      <w:lvlText w:val="(%1)"/>
      <w:numFmt w:val="decimal"/>
      <w:start w:val="5"/>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1)"/>
      <w:numFmt w:val="decimal"/>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1)"/>
      <w:numFmt w:val="decimal"/>
      <w:start w:val="1"/>
    </w:lvl>
  </w:abstractNum>
  <w:abstractNum w:abstractNumId="63">
    <w:nsid w:val="7672BD23"/>
    <w:multiLevelType w:val="hybridMultilevel"/>
    <w:lvl w:ilvl="0">
      <w:lvlJc w:val="left"/>
      <w:lvlText w:val="(%1)"/>
      <w:numFmt w:val="decimal"/>
      <w:start w:val="1"/>
    </w:lvl>
  </w:abstractNum>
  <w:abstractNum w:abstractNumId="64">
    <w:nsid w:val="6FC75AF8"/>
    <w:multiLevelType w:val="hybridMultilevel"/>
    <w:lvl w:ilvl="0">
      <w:lvlJc w:val="left"/>
      <w:lvlText w:val="(%1)"/>
      <w:numFmt w:val="decimal"/>
      <w:start w:val="4"/>
    </w:lvl>
  </w:abstractNum>
  <w:abstractNum w:abstractNumId="65">
    <w:nsid w:val="6A5F7029"/>
    <w:multiLevelType w:val="hybridMultilevel"/>
    <w:lvl w:ilvl="0">
      <w:lvlJc w:val="left"/>
      <w:lvlText w:val="(%1)"/>
      <w:numFmt w:val="decimal"/>
      <w:start w:val="5"/>
    </w:lvl>
  </w:abstractNum>
  <w:abstractNum w:abstractNumId="66">
    <w:nsid w:val="7D5E18F8"/>
    <w:multiLevelType w:val="hybridMultilevel"/>
    <w:lvl w:ilvl="0">
      <w:lvlJc w:val="left"/>
      <w:lvlText w:val="(%1)"/>
      <w:numFmt w:val="decimal"/>
      <w:start w:val="1"/>
    </w:lvl>
  </w:abstractNum>
  <w:abstractNum w:abstractNumId="67">
    <w:nsid w:val="5F3534A4"/>
    <w:multiLevelType w:val="hybridMultilevel"/>
    <w:lvl w:ilvl="0">
      <w:lvlJc w:val="left"/>
      <w:lvlText w:val="(%1)"/>
      <w:numFmt w:val="decimal"/>
      <w:start w:val="2"/>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1)"/>
      <w:numFmt w:val="decimal"/>
      <w:start w:val="1"/>
    </w:lvl>
  </w:abstractNum>
  <w:abstractNum w:abstractNumId="74">
    <w:nsid w:val="71C91298"/>
    <w:multiLevelType w:val="hybridMultilevel"/>
    <w:lvl w:ilvl="0">
      <w:lvlJc w:val="left"/>
      <w:lvlText w:val="(%1)"/>
      <w:numFmt w:val="decimal"/>
      <w:start w:val="2"/>
    </w:lvl>
  </w:abstractNum>
  <w:abstractNum w:abstractNumId="75">
    <w:nsid w:val="9DAF632"/>
    <w:multiLevelType w:val="hybridMultilevel"/>
    <w:lvl w:ilvl="0">
      <w:lvlJc w:val="left"/>
      <w:lvlText w:val="(%1)"/>
      <w:numFmt w:val="lowerRoman"/>
      <w:start w:val="1"/>
    </w:lvl>
  </w:abstractNum>
  <w:abstractNum w:abstractNumId="76">
    <w:nsid w:val="53299938"/>
    <w:multiLevelType w:val="hybridMultilevel"/>
    <w:lvl w:ilvl="0">
      <w:lvlJc w:val="left"/>
      <w:lvlText w:val="%1."/>
      <w:numFmt w:val="decimal"/>
      <w:start w:val="1"/>
    </w:lvl>
  </w:abstractNum>
  <w:abstractNum w:abstractNumId="77">
    <w:nsid w:val="1FBFE8E0"/>
    <w:multiLevelType w:val="hybridMultilevel"/>
    <w:lvl w:ilvl="0">
      <w:lvlJc w:val="left"/>
      <w:lvlText w:val="(%1)"/>
      <w:numFmt w:val="lowerLetter"/>
      <w:start w:val="2"/>
    </w:lvl>
    <w:lvl w:ilvl="1">
      <w:lvlJc w:val="left"/>
      <w:lvlText w:val="·"/>
      <w:numFmt w:val="bullet"/>
      <w:start w:val="1"/>
    </w:lvl>
  </w:abstractNum>
  <w:abstractNum w:abstractNumId="78">
    <w:nsid w:val="5092CA79"/>
    <w:multiLevelType w:val="hybridMultilevel"/>
    <w:lvl w:ilvl="0">
      <w:lvlJc w:val="left"/>
      <w:lvlText w:val="(%1)"/>
      <w:numFmt w:val="decimal"/>
      <w:start w:val="1"/>
    </w:lvl>
  </w:abstractNum>
  <w:abstractNum w:abstractNumId="79">
    <w:nsid w:val="1D545C4D"/>
    <w:multiLevelType w:val="hybridMultilevel"/>
    <w:lvl w:ilvl="0">
      <w:lvlJc w:val="left"/>
      <w:lvlText w:val="(%1)"/>
      <w:numFmt w:val="decimal"/>
      <w:start w:val="2"/>
    </w:lvl>
  </w:abstractNum>
  <w:abstractNum w:abstractNumId="80">
    <w:nsid w:val="59ADEA3D"/>
    <w:multiLevelType w:val="hybridMultilevel"/>
    <w:lvl w:ilvl="0">
      <w:lvlJc w:val="left"/>
      <w:lvlText w:val="(%1)"/>
      <w:numFmt w:val="lowerRoman"/>
      <w:start w:val="3"/>
    </w:lvl>
  </w:abstractNum>
  <w:abstractNum w:abstractNumId="81">
    <w:nsid w:val="288F1A34"/>
    <w:multiLevelType w:val="hybridMultilevel"/>
    <w:lvl w:ilvl="0">
      <w:lvlJc w:val="left"/>
      <w:lvlText w:val="(%1)"/>
      <w:numFmt w:val="decimal"/>
      <w:start w:val="1"/>
    </w:lvl>
  </w:abstractNum>
  <w:abstractNum w:abstractNumId="82">
    <w:nsid w:val="2A155DBC"/>
    <w:multiLevelType w:val="hybridMultilevel"/>
    <w:lvl w:ilvl="0">
      <w:lvlJc w:val="left"/>
      <w:lvlText w:val="(%1)"/>
      <w:numFmt w:val="decimal"/>
      <w:start w:val="1"/>
    </w:lvl>
  </w:abstractNum>
  <w:abstractNum w:abstractNumId="83">
    <w:nsid w:val="1D9F6E5F"/>
    <w:multiLevelType w:val="hybridMultilevel"/>
    <w:lvl w:ilvl="0">
      <w:lvlJc w:val="left"/>
      <w:lvlText w:val="(%1)"/>
      <w:numFmt w:val="lowerRoman"/>
      <w:start w:val="2"/>
    </w:lvl>
  </w:abstractNum>
  <w:abstractNum w:abstractNumId="84">
    <w:nsid w:val="97E1B4E"/>
    <w:multiLevelType w:val="hybridMultilevel"/>
    <w:lvl w:ilvl="0">
      <w:lvlJc w:val="left"/>
      <w:lvlText w:val="(%1)"/>
      <w:numFmt w:val="decimal"/>
      <w:start w:val="2"/>
    </w:lvl>
  </w:abstractNum>
  <w:abstractNum w:abstractNumId="85">
    <w:nsid w:val="51088277"/>
    <w:multiLevelType w:val="hybridMultilevel"/>
    <w:lvl w:ilvl="0">
      <w:lvlJc w:val="left"/>
      <w:lvlText w:val="(%1)"/>
      <w:numFmt w:val="decimal"/>
      <w:start w:val="5"/>
    </w:lvl>
  </w:abstractNum>
  <w:abstractNum w:abstractNumId="86">
    <w:nsid w:val="1CA0C5FA"/>
    <w:multiLevelType w:val="hybridMultilevel"/>
    <w:lvl w:ilvl="0">
      <w:lvlJc w:val="left"/>
      <w:lvlText w:val="(%1)"/>
      <w:numFmt w:val="decimal"/>
      <w:start w:val="6"/>
    </w:lvl>
  </w:abstractNum>
  <w:abstractNum w:abstractNumId="87">
    <w:nsid w:val="53584BCB"/>
    <w:multiLevelType w:val="hybridMultilevel"/>
    <w:lvl w:ilvl="0">
      <w:lvlJc w:val="left"/>
      <w:lvlText w:val="%1"/>
      <w:numFmt w:val="decimal"/>
      <w:start w:val="1"/>
    </w:lvl>
    <w:lvl w:ilvl="1">
      <w:lvlJc w:val="left"/>
      <w:lvlText w:val="(%2)"/>
      <w:numFmt w:val="decimal"/>
      <w:start w:val="7"/>
    </w:lvl>
  </w:abstractNum>
  <w:abstractNum w:abstractNumId="88">
    <w:nsid w:val="415E286C"/>
    <w:multiLevelType w:val="hybridMultilevel"/>
    <w:lvl w:ilvl="0">
      <w:lvlJc w:val="left"/>
      <w:lvlText w:val="(%1)"/>
      <w:numFmt w:val="decimal"/>
      <w:start w:val="8"/>
    </w:lvl>
    <w:lvl w:ilvl="1">
      <w:lvlJc w:val="left"/>
      <w:lvlText w:val="%2"/>
      <w:numFmt w:val="decimal"/>
      <w:start w:val="1"/>
    </w:lvl>
  </w:abstractNum>
  <w:abstractNum w:abstractNumId="89">
    <w:nsid w:val="7C58FD05"/>
    <w:multiLevelType w:val="hybridMultilevel"/>
    <w:lvl w:ilvl="0">
      <w:lvlJc w:val="left"/>
      <w:lvlText w:val="(%1)"/>
      <w:numFmt w:val="decimal"/>
      <w:start w:val="9"/>
    </w:lvl>
    <w:lvl w:ilvl="1">
      <w:lvlJc w:val="left"/>
      <w:lvlText w:val="(%2)"/>
      <w:numFmt w:val="decimal"/>
      <w:start w:val="10"/>
    </w:lvl>
  </w:abstractNum>
  <w:abstractNum w:abstractNumId="90">
    <w:nsid w:val="23D86AAC"/>
    <w:multiLevelType w:val="hybridMultilevel"/>
    <w:lvl w:ilvl="0">
      <w:lvlJc w:val="left"/>
      <w:lvlText w:val="(%1)"/>
      <w:numFmt w:val="decimal"/>
      <w:start w:val="1"/>
    </w:lvl>
  </w:abstractNum>
  <w:abstractNum w:abstractNumId="91">
    <w:nsid w:val="45E6D486"/>
    <w:multiLevelType w:val="hybridMultilevel"/>
    <w:lvl w:ilvl="0">
      <w:lvlJc w:val="left"/>
      <w:lvlText w:val="(%1)"/>
      <w:numFmt w:val="decimal"/>
      <w:start w:val="1"/>
    </w:lvl>
  </w:abstractNum>
  <w:abstractNum w:abstractNumId="92">
    <w:nsid w:val="5C10FE21"/>
    <w:multiLevelType w:val="hybridMultilevel"/>
    <w:lvl w:ilvl="0">
      <w:lvlJc w:val="left"/>
      <w:lvlText w:val="(%1)"/>
      <w:numFmt w:val="decimal"/>
      <w:start w:val="4"/>
    </w:lvl>
  </w:abstractNum>
  <w:abstractNum w:abstractNumId="93">
    <w:nsid w:val="E7FFA2B"/>
    <w:multiLevelType w:val="hybridMultilevel"/>
    <w:lvl w:ilvl="0">
      <w:lvlJc w:val="left"/>
      <w:lvlText w:val="(%1)"/>
      <w:numFmt w:val="decimal"/>
      <w:start w:val="1"/>
    </w:lvl>
  </w:abstractNum>
  <w:abstractNum w:abstractNumId="94">
    <w:nsid w:val="3C5991AA"/>
    <w:multiLevelType w:val="hybridMultilevel"/>
    <w:lvl w:ilvl="0">
      <w:lvlJc w:val="left"/>
      <w:lvlText w:val="(%1)"/>
      <w:numFmt w:val="lowerLetter"/>
      <w:start w:val="1"/>
    </w:lvl>
  </w:abstractNum>
  <w:abstractNum w:abstractNumId="95">
    <w:nsid w:val="4BD8591A"/>
    <w:multiLevelType w:val="hybridMultilevel"/>
    <w:lvl w:ilvl="0">
      <w:lvlJc w:val="left"/>
      <w:lvlText w:val="(%1)"/>
      <w:numFmt w:val="decimal"/>
      <w:start w:val="2"/>
    </w:lvl>
  </w:abstractNum>
  <w:abstractNum w:abstractNumId="96">
    <w:nsid w:val="78DF6A55"/>
    <w:multiLevelType w:val="hybridMultilevel"/>
    <w:lvl w:ilvl="0">
      <w:lvlJc w:val="left"/>
      <w:lvlText w:val="(%1)"/>
      <w:numFmt w:val="decimal"/>
      <w:start w:val="3"/>
    </w:lvl>
  </w:abstractNum>
  <w:abstractNum w:abstractNumId="97">
    <w:nsid w:val="39B7AAA2"/>
    <w:multiLevelType w:val="hybridMultilevel"/>
    <w:lvl w:ilvl="0">
      <w:lvlJc w:val="left"/>
      <w:lvlText w:val="(%1)"/>
      <w:numFmt w:val="lowerRoman"/>
      <w:start w:val="6"/>
    </w:lvl>
  </w:abstractNum>
  <w:abstractNum w:abstractNumId="98">
    <w:nsid w:val="2B0D8DBE"/>
    <w:multiLevelType w:val="hybridMultilevel"/>
    <w:lvl w:ilvl="0">
      <w:lvlJc w:val="left"/>
      <w:lvlText w:val="(%1)"/>
      <w:numFmt w:val="lowerRoman"/>
      <w:start w:val="1"/>
    </w:lvl>
  </w:abstractNum>
  <w:abstractNum w:abstractNumId="99">
    <w:nsid w:val="6C80EC70"/>
    <w:multiLevelType w:val="hybridMultilevel"/>
    <w:lvl w:ilvl="0">
      <w:lvlJc w:val="left"/>
      <w:lvlText w:val="(%1)"/>
      <w:numFmt w:val="decimal"/>
      <w:start w:val="1"/>
    </w:lvl>
  </w:abstractNum>
  <w:abstractNum w:abstractNumId="100">
    <w:nsid w:val="379E21B5"/>
    <w:multiLevelType w:val="hybridMultilevel"/>
    <w:lvl w:ilvl="0">
      <w:lvlJc w:val="left"/>
      <w:lvlText w:val="(%1)"/>
      <w:numFmt w:val="decimal"/>
      <w:start w:val="1"/>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1)"/>
      <w:numFmt w:val="decimal"/>
      <w:start w:val="1"/>
    </w:lvl>
  </w:abstractNum>
  <w:abstractNum w:abstractNumId="104">
    <w:nsid w:val="6AA7B75C"/>
    <w:multiLevelType w:val="hybridMultilevel"/>
    <w:lvl w:ilvl="0">
      <w:lvlJc w:val="left"/>
      <w:lvlText w:val="(%1)"/>
      <w:numFmt w:val="decimal"/>
      <w:start w:val="1"/>
    </w:lvl>
  </w:abstractNum>
  <w:abstractNum w:abstractNumId="105">
    <w:nsid w:val="1DF029D3"/>
    <w:multiLevelType w:val="hybridMultilevel"/>
    <w:lvl w:ilvl="0">
      <w:lvlJc w:val="left"/>
      <w:lvlText w:val="·"/>
      <w:numFmt w:val="bullet"/>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1)"/>
      <w:numFmt w:val="decimal"/>
      <w:start w:val="1"/>
    </w:lvl>
  </w:abstractNum>
  <w:abstractNum w:abstractNumId="108">
    <w:nsid w:val="3DB012B3"/>
    <w:multiLevelType w:val="hybridMultilevel"/>
    <w:lvl w:ilvl="0">
      <w:lvlJc w:val="left"/>
      <w:lvlText w:val="(%1)"/>
      <w:numFmt w:val="decimal"/>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1)"/>
      <w:numFmt w:val="decimal"/>
      <w:start w:val="1"/>
    </w:lvl>
  </w:abstractNum>
  <w:abstractNum w:abstractNumId="112">
    <w:nsid w:val="4F97E3E4"/>
    <w:multiLevelType w:val="hybridMultilevel"/>
    <w:lvl w:ilvl="0">
      <w:lvlJc w:val="left"/>
      <w:lvlText w:val="(%1)"/>
      <w:numFmt w:val="lowerRoman"/>
      <w:start w:val="2"/>
    </w:lvl>
  </w:abstractNum>
  <w:abstractNum w:abstractNumId="113">
    <w:nsid w:val="53B0A9E"/>
    <w:multiLevelType w:val="hybridMultilevel"/>
    <w:lvl w:ilvl="0">
      <w:lvlJc w:val="left"/>
      <w:lvlText w:val="(%1)"/>
      <w:numFmt w:val="decimal"/>
      <w:start w:val="1"/>
    </w:lvl>
  </w:abstractNum>
  <w:abstractNum w:abstractNumId="114">
    <w:nsid w:val="34FD6B4F"/>
    <w:multiLevelType w:val="hybridMultilevel"/>
    <w:lvl w:ilvl="0">
      <w:lvlJc w:val="left"/>
      <w:lvlText w:val="(%1)"/>
      <w:numFmt w:val="decimal"/>
      <w:start w:val="1"/>
    </w:lvl>
  </w:abstractNum>
  <w:abstractNum w:abstractNumId="115">
    <w:nsid w:val="5915FF32"/>
    <w:multiLevelType w:val="hybridMultilevel"/>
    <w:lvl w:ilvl="0">
      <w:lvlJc w:val="left"/>
      <w:lvlText w:val="(%1)"/>
      <w:numFmt w:val="decimal"/>
      <w:start w:val="6"/>
    </w:lvl>
  </w:abstractNum>
  <w:abstractNum w:abstractNumId="116">
    <w:nsid w:val="56438D15"/>
    <w:multiLevelType w:val="hybridMultilevel"/>
    <w:lvl w:ilvl="0">
      <w:lvlJc w:val="left"/>
      <w:lvlText w:val="(%1)"/>
      <w:numFmt w:val="decimal"/>
      <w:start w:val="1"/>
    </w:lvl>
  </w:abstractNum>
  <w:abstractNum w:abstractNumId="117">
    <w:nsid w:val="519E3149"/>
    <w:multiLevelType w:val="hybridMultilevel"/>
    <w:lvl w:ilvl="0">
      <w:lvlJc w:val="left"/>
      <w:lvlText w:val="(%1)"/>
      <w:numFmt w:val="decimal"/>
      <w:start w:val="1"/>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decimal"/>
      <w:start w:val="1"/>
    </w:lvl>
  </w:abstractNum>
  <w:abstractNum w:abstractNumId="120">
    <w:nsid w:val="4DF72E4E"/>
    <w:multiLevelType w:val="hybridMultilevel"/>
    <w:lvl w:ilvl="0">
      <w:lvlJc w:val="left"/>
      <w:lvlText w:val="(%1)"/>
      <w:numFmt w:val="decimal"/>
      <w:start w:val="2"/>
    </w:lvl>
  </w:abstractNum>
  <w:abstractNum w:abstractNumId="121">
    <w:nsid w:val="5046B5A9"/>
    <w:multiLevelType w:val="hybridMultilevel"/>
    <w:lvl w:ilvl="0">
      <w:lvlJc w:val="left"/>
      <w:lvlText w:val="(%1)"/>
      <w:numFmt w:val="decimal"/>
      <w:start w:val="5"/>
    </w:lvl>
  </w:abstractNum>
  <w:abstractNum w:abstractNumId="122">
    <w:nsid w:val="5D888A08"/>
    <w:multiLevelType w:val="hybridMultilevel"/>
    <w:lvl w:ilvl="0">
      <w:lvlJc w:val="left"/>
      <w:lvlText w:val="(%1)"/>
      <w:numFmt w:val="decimal"/>
      <w:start w:val="1"/>
    </w:lvl>
  </w:abstractNum>
  <w:abstractNum w:abstractNumId="123">
    <w:nsid w:val="2A082C70"/>
    <w:multiLevelType w:val="hybridMultilevel"/>
    <w:lvl w:ilvl="0">
      <w:lvlJc w:val="left"/>
      <w:lvlText w:val="(%1)"/>
      <w:numFmt w:val="decimal"/>
      <w:start w:val="1"/>
    </w:lvl>
  </w:abstractNum>
  <w:abstractNum w:abstractNumId="124">
    <w:nsid w:val="5EC6AFD4"/>
    <w:multiLevelType w:val="hybridMultilevel"/>
    <w:lvl w:ilvl="0">
      <w:lvlJc w:val="left"/>
      <w:lvlText w:val="%1."/>
      <w:numFmt w:val="decimal"/>
      <w:start w:val="1"/>
    </w:lvl>
  </w:abstractNum>
  <w:abstractNum w:abstractNumId="125">
    <w:nsid w:val="19E21BB2"/>
    <w:multiLevelType w:val="hybridMultilevel"/>
    <w:lvl w:ilvl="0">
      <w:lvlJc w:val="left"/>
      <w:lvlText w:val="(%1)"/>
      <w:numFmt w:val="lowerLetter"/>
      <w:start w:val="1"/>
    </w:lvl>
  </w:abstractNum>
  <w:abstractNum w:abstractNumId="126">
    <w:nsid w:val="75E0858A"/>
    <w:multiLevelType w:val="hybridMultilevel"/>
    <w:lvl w:ilvl="0">
      <w:lvlJc w:val="left"/>
      <w:lvlText w:val="%1."/>
      <w:numFmt w:val="decimal"/>
      <w:start w:val="5"/>
    </w:lvl>
  </w:abstractNum>
  <w:abstractNum w:abstractNumId="127">
    <w:nsid w:val="57A61A29"/>
    <w:multiLevelType w:val="hybridMultilevel"/>
    <w:lvl w:ilvl="0">
      <w:lvlJc w:val="left"/>
      <w:lvlText w:val="(%1)"/>
      <w:numFmt w:val="lowerLetter"/>
      <w:start w:val="1"/>
    </w:lvl>
  </w:abstractNum>
  <w:abstractNum w:abstractNumId="128">
    <w:nsid w:val="5399C654"/>
    <w:multiLevelType w:val="hybridMultilevel"/>
    <w:lvl w:ilvl="0">
      <w:lvlJc w:val="left"/>
      <w:lvlText w:val="%1."/>
      <w:numFmt w:val="decimal"/>
      <w:start w:val="1"/>
    </w:lvl>
  </w:abstractNum>
  <w:abstractNum w:abstractNumId="129">
    <w:nsid w:val="20EE1348"/>
    <w:multiLevelType w:val="hybridMultilevel"/>
    <w:lvl w:ilvl="0">
      <w:lvlJc w:val="left"/>
      <w:lvlText w:val="(%1)"/>
      <w:numFmt w:val="lowerLetter"/>
      <w:start w:val="1"/>
    </w:lvl>
  </w:abstractNum>
  <w:abstractNum w:abstractNumId="130">
    <w:nsid w:val="4427069A"/>
    <w:multiLevelType w:val="hybridMultilevel"/>
    <w:lvl w:ilvl="0">
      <w:lvlJc w:val="left"/>
      <w:lvlText w:val="%1."/>
      <w:numFmt w:val="decimal"/>
      <w:start w:val="5"/>
    </w:lvl>
  </w:abstractNum>
  <w:abstractNum w:abstractNumId="131">
    <w:nsid w:val="B37E80A"/>
    <w:multiLevelType w:val="hybridMultilevel"/>
    <w:lvl w:ilvl="0">
      <w:lvlJc w:val="left"/>
      <w:lvlText w:val="(%1)"/>
      <w:numFmt w:val="lowerLetter"/>
      <w:start w:val="1"/>
    </w:lvl>
  </w:abstractNum>
  <w:abstractNum w:abstractNumId="132">
    <w:nsid w:val="2157F6BC"/>
    <w:multiLevelType w:val="hybridMultilevel"/>
    <w:lvl w:ilvl="0">
      <w:lvlJc w:val="left"/>
      <w:lvlText w:val="(%1)"/>
      <w:numFmt w:val="lowerRoman"/>
      <w:start w:val="1"/>
    </w:lvl>
  </w:abstractNum>
  <w:abstractNum w:abstractNumId="133">
    <w:nsid w:val="704E1DD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2020-01-22T16:15:03Z</dcterms:created>
  <dcterms:modified xsi:type="dcterms:W3CDTF">2020-01-22T16:15:03Z</dcterms:modified>
</cp:coreProperties>
</file>