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b w:val="1"/>
                <w:bCs w:val="1"/>
                <w:color w:val="auto"/>
              </w:rPr>
              <w:t>Filed Pursuant to Rule 424(b)(5)</w:t>
            </w: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File No. 333-227358</w:t>
            </w:r>
          </w:p>
        </w:tc>
      </w:tr>
      <w:tr>
        <w:trPr>
          <w:trHeight w:val="432"/>
        </w:trPr>
        <w:tc>
          <w:tcPr>
            <w:tcW w:w="20" w:type="dxa"/>
            <w:vAlign w:val="bottom"/>
          </w:tcPr>
          <w:p>
            <w:pPr>
              <w:spacing w:after="0"/>
              <w:rPr>
                <w:sz w:val="24"/>
                <w:szCs w:val="24"/>
                <w:color w:val="auto"/>
              </w:rPr>
            </w:pPr>
          </w:p>
        </w:tc>
        <w:tc>
          <w:tcPr>
            <w:tcW w:w="6500" w:type="dxa"/>
            <w:vAlign w:val="bottom"/>
            <w:gridSpan w:val="2"/>
          </w:tcPr>
          <w:p>
            <w:pPr>
              <w:ind w:left="2220"/>
              <w:spacing w:after="0"/>
              <w:rPr>
                <w:sz w:val="20"/>
                <w:szCs w:val="20"/>
                <w:color w:val="auto"/>
              </w:rPr>
            </w:pPr>
            <w:r>
              <w:rPr>
                <w:rFonts w:ascii="Arial" w:cs="Arial" w:eastAsia="Arial" w:hAnsi="Arial"/>
                <w:sz w:val="18"/>
                <w:szCs w:val="18"/>
                <w:b w:val="1"/>
                <w:bCs w:val="1"/>
                <w:color w:val="auto"/>
              </w:rPr>
              <w:t>CALCULATION OF REGISTRATION FEE</w:t>
            </w: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40" w:type="dxa"/>
            <w:vAlign w:val="bottom"/>
          </w:tcPr>
          <w:p>
            <w:pPr>
              <w:jc w:val="center"/>
              <w:ind w:left="649"/>
              <w:spacing w:after="0" w:line="117" w:lineRule="exact"/>
              <w:rPr>
                <w:sz w:val="20"/>
                <w:szCs w:val="20"/>
                <w:color w:val="auto"/>
              </w:rPr>
            </w:pPr>
            <w:r>
              <w:rPr>
                <w:rFonts w:ascii="Arial" w:cs="Arial" w:eastAsia="Arial" w:hAnsi="Arial"/>
                <w:sz w:val="12"/>
                <w:szCs w:val="12"/>
                <w:b w:val="1"/>
                <w:bCs w:val="1"/>
                <w:color w:val="auto"/>
              </w:rPr>
              <w:t>Proposed maximum</w:t>
            </w:r>
          </w:p>
        </w:tc>
        <w:tc>
          <w:tcPr>
            <w:tcW w:w="136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26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2240" w:type="dxa"/>
            <w:vAlign w:val="bottom"/>
          </w:tcPr>
          <w:p>
            <w:pPr>
              <w:jc w:val="center"/>
              <w:ind w:left="649"/>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3120" w:type="dxa"/>
            <w:vAlign w:val="bottom"/>
            <w:gridSpan w:val="2"/>
          </w:tcPr>
          <w:p>
            <w:pPr>
              <w:jc w:val="center"/>
              <w:ind w:right="161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4260" w:type="dxa"/>
            <w:vAlign w:val="bottom"/>
          </w:tcPr>
          <w:p>
            <w:pPr>
              <w:jc w:val="center"/>
              <w:ind w:left="582"/>
              <w:spacing w:after="0"/>
              <w:rPr>
                <w:sz w:val="20"/>
                <w:szCs w:val="20"/>
                <w:color w:val="auto"/>
              </w:rPr>
            </w:pPr>
            <w:r>
              <w:rPr>
                <w:rFonts w:ascii="Arial" w:cs="Arial" w:eastAsia="Arial" w:hAnsi="Arial"/>
                <w:sz w:val="14"/>
                <w:szCs w:val="14"/>
                <w:b w:val="1"/>
                <w:bCs w:val="1"/>
                <w:color w:val="auto"/>
                <w:w w:val="83"/>
              </w:rPr>
              <w:t>to be Registered</w:t>
            </w:r>
          </w:p>
        </w:tc>
        <w:tc>
          <w:tcPr>
            <w:tcW w:w="2240" w:type="dxa"/>
            <w:vAlign w:val="bottom"/>
          </w:tcPr>
          <w:p>
            <w:pPr>
              <w:jc w:val="center"/>
              <w:ind w:left="669"/>
              <w:spacing w:after="0"/>
              <w:rPr>
                <w:sz w:val="20"/>
                <w:szCs w:val="20"/>
                <w:color w:val="auto"/>
              </w:rPr>
            </w:pPr>
            <w:r>
              <w:rPr>
                <w:rFonts w:ascii="Arial" w:cs="Arial" w:eastAsia="Arial" w:hAnsi="Arial"/>
                <w:sz w:val="14"/>
                <w:szCs w:val="14"/>
                <w:b w:val="1"/>
                <w:bCs w:val="1"/>
                <w:color w:val="auto"/>
                <w:w w:val="89"/>
              </w:rPr>
              <w:t>price</w:t>
            </w:r>
          </w:p>
        </w:tc>
        <w:tc>
          <w:tcPr>
            <w:tcW w:w="3120" w:type="dxa"/>
            <w:vAlign w:val="bottom"/>
            <w:gridSpan w:val="2"/>
          </w:tcPr>
          <w:p>
            <w:pPr>
              <w:jc w:val="center"/>
              <w:ind w:right="1632"/>
              <w:spacing w:after="0"/>
              <w:rPr>
                <w:sz w:val="20"/>
                <w:szCs w:val="20"/>
                <w:color w:val="auto"/>
              </w:rPr>
            </w:pPr>
            <w:r>
              <w:rPr>
                <w:rFonts w:ascii="Arial" w:cs="Arial" w:eastAsia="Arial" w:hAnsi="Arial"/>
                <w:sz w:val="14"/>
                <w:szCs w:val="14"/>
                <w:b w:val="1"/>
                <w:bCs w:val="1"/>
                <w:color w:val="auto"/>
                <w:w w:val="86"/>
              </w:rPr>
              <w:t>registration fee</w:t>
            </w:r>
          </w:p>
        </w:tc>
      </w:tr>
      <w:tr>
        <w:trPr>
          <w:trHeight w:val="222"/>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3.550% Senior Notes due 2029</w:t>
            </w:r>
          </w:p>
        </w:tc>
        <w:tc>
          <w:tcPr>
            <w:tcW w:w="2240" w:type="dxa"/>
            <w:vAlign w:val="bottom"/>
            <w:tcBorders>
              <w:top w:val="single" w:sz="8" w:color="auto"/>
            </w:tcBorders>
          </w:tcPr>
          <w:p>
            <w:pPr>
              <w:jc w:val="center"/>
              <w:ind w:left="669"/>
              <w:spacing w:after="0"/>
              <w:rPr>
                <w:sz w:val="20"/>
                <w:szCs w:val="20"/>
                <w:color w:val="auto"/>
              </w:rPr>
            </w:pPr>
            <w:r>
              <w:rPr>
                <w:rFonts w:ascii="Arial" w:cs="Arial" w:eastAsia="Arial" w:hAnsi="Arial"/>
                <w:sz w:val="18"/>
                <w:szCs w:val="18"/>
                <w:color w:val="auto"/>
                <w:w w:val="87"/>
              </w:rPr>
              <w:t>$1,000,000,000</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$121,200.00(1)</w:t>
            </w:r>
          </w:p>
        </w:tc>
        <w:tc>
          <w:tcPr>
            <w:tcW w:w="176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21" w:lineRule="exact"/>
        <w:rPr>
          <w:sz w:val="24"/>
          <w:szCs w:val="24"/>
          <w:color w:val="auto"/>
        </w:rPr>
      </w:pPr>
    </w:p>
    <w:p>
      <w:pPr>
        <w:ind w:left="540" w:right="40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calculated in accordance with Rule 457(r), has been transmitted to the SEC in connection with the securities offered from Registration Statement File No. 333-227358 by means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14, 2018)</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160020</wp:posOffset>
            </wp:positionV>
            <wp:extent cx="2238375" cy="694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Plains All American Pipeline, L.P.</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PAA Finance Corp.</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3.550%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Plains All American Pipeline, L.P. and PAA Finance Corp. are offering $1.0 billion aggregate principal amount of 3.550% Senior Notes due 2029 (the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will pay interest on the Notes semi-annually in arrears on June 15 and December 15 of each year, beginning on June 15, 2020. The Notes will mature on December 15, 2029, unless redeemed prior to the maturity date.</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Investing in the Notes involves risks. See "Risk Factors" beginning on page S-6 of this prospectus supplement.</w:t>
      </w:r>
    </w:p>
    <w:p>
      <w:pPr>
        <w:spacing w:after="0" w:line="26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560" w:type="dxa"/>
        <w:tblCellMar>
          <w:top w:w="0" w:type="dxa"/>
          <w:left w:w="0" w:type="dxa"/>
          <w:bottom w:w="0" w:type="dxa"/>
          <w:right w:w="0" w:type="dxa"/>
        </w:tblCellMar>
      </w:tblPr>
      <w:tr>
        <w:trPr>
          <w:trHeight w:val="40"/>
        </w:trPr>
        <w:tc>
          <w:tcPr>
            <w:tcW w:w="2180" w:type="dxa"/>
            <w:vAlign w:val="bottom"/>
            <w:tcBorders>
              <w:top w:val="single" w:sz="8" w:color="auto"/>
              <w:bottom w:val="single" w:sz="8" w:color="auto"/>
            </w:tcBorders>
          </w:tcPr>
          <w:p>
            <w:pPr>
              <w:spacing w:after="0"/>
              <w:rPr>
                <w:sz w:val="3"/>
                <w:szCs w:val="3"/>
                <w:color w:val="auto"/>
              </w:rPr>
            </w:pPr>
          </w:p>
        </w:tc>
        <w:tc>
          <w:tcPr>
            <w:tcW w:w="29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r>
      <w:tr>
        <w:trPr>
          <w:trHeight w:val="116"/>
        </w:trPr>
        <w:tc>
          <w:tcPr>
            <w:tcW w:w="2180" w:type="dxa"/>
            <w:vAlign w:val="bottom"/>
          </w:tcPr>
          <w:p>
            <w:pPr>
              <w:spacing w:after="0"/>
              <w:rPr>
                <w:sz w:val="10"/>
                <w:szCs w:val="10"/>
                <w:color w:val="auto"/>
              </w:rPr>
            </w:pPr>
          </w:p>
        </w:tc>
        <w:tc>
          <w:tcPr>
            <w:tcW w:w="2920" w:type="dxa"/>
            <w:vAlign w:val="bottom"/>
          </w:tcPr>
          <w:p>
            <w:pPr>
              <w:ind w:left="1600"/>
              <w:spacing w:after="0" w:line="117" w:lineRule="exact"/>
              <w:rPr>
                <w:sz w:val="20"/>
                <w:szCs w:val="20"/>
                <w:color w:val="auto"/>
              </w:rPr>
            </w:pPr>
            <w:r>
              <w:rPr>
                <w:rFonts w:ascii="Arial" w:cs="Arial" w:eastAsia="Arial" w:hAnsi="Arial"/>
                <w:sz w:val="12"/>
                <w:szCs w:val="12"/>
                <w:b w:val="1"/>
                <w:bCs w:val="1"/>
                <w:color w:val="auto"/>
              </w:rPr>
              <w:t>Public Offering</w:t>
            </w:r>
          </w:p>
        </w:tc>
        <w:tc>
          <w:tcPr>
            <w:tcW w:w="15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Underwriting</w:t>
            </w:r>
          </w:p>
        </w:tc>
        <w:tc>
          <w:tcPr>
            <w:tcW w:w="1620" w:type="dxa"/>
            <w:vAlign w:val="bottom"/>
          </w:tcPr>
          <w:p>
            <w:pPr>
              <w:jc w:val="center"/>
              <w:ind w:left="64"/>
              <w:spacing w:after="0" w:line="117" w:lineRule="exact"/>
              <w:rPr>
                <w:sz w:val="20"/>
                <w:szCs w:val="20"/>
                <w:color w:val="auto"/>
              </w:rPr>
            </w:pPr>
            <w:r>
              <w:rPr>
                <w:rFonts w:ascii="Arial" w:cs="Arial" w:eastAsia="Arial" w:hAnsi="Arial"/>
                <w:sz w:val="12"/>
                <w:szCs w:val="12"/>
                <w:b w:val="1"/>
                <w:bCs w:val="1"/>
                <w:color w:val="auto"/>
                <w:w w:val="97"/>
              </w:rPr>
              <w:t>Proceeds, Before</w:t>
            </w:r>
          </w:p>
        </w:tc>
      </w:tr>
      <w:tr>
        <w:trPr>
          <w:trHeight w:val="182"/>
        </w:trPr>
        <w:tc>
          <w:tcPr>
            <w:tcW w:w="2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jc w:val="center"/>
              <w:ind w:left="1104"/>
              <w:spacing w:after="0"/>
              <w:rPr>
                <w:sz w:val="20"/>
                <w:szCs w:val="20"/>
                <w:color w:val="auto"/>
              </w:rPr>
            </w:pPr>
            <w:r>
              <w:rPr>
                <w:rFonts w:ascii="Arial" w:cs="Arial" w:eastAsia="Arial" w:hAnsi="Arial"/>
                <w:sz w:val="14"/>
                <w:szCs w:val="14"/>
                <w:b w:val="1"/>
                <w:bCs w:val="1"/>
                <w:color w:val="auto"/>
                <w:w w:val="89"/>
              </w:rPr>
              <w:t>Price(1)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Discount</w:t>
            </w:r>
          </w:p>
        </w:tc>
        <w:tc>
          <w:tcPr>
            <w:tcW w:w="162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83"/>
              </w:rPr>
              <w:t>Expenses, to Us</w:t>
            </w:r>
          </w:p>
        </w:tc>
      </w:t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Per Note</w:t>
            </w:r>
          </w:p>
        </w:tc>
        <w:tc>
          <w:tcPr>
            <w:tcW w:w="2920" w:type="dxa"/>
            <w:vAlign w:val="bottom"/>
          </w:tcPr>
          <w:p>
            <w:pPr>
              <w:jc w:val="center"/>
              <w:ind w:left="1104"/>
              <w:spacing w:after="0"/>
              <w:rPr>
                <w:sz w:val="20"/>
                <w:szCs w:val="20"/>
                <w:color w:val="auto"/>
              </w:rPr>
            </w:pPr>
            <w:r>
              <w:rPr>
                <w:rFonts w:ascii="Arial" w:cs="Arial" w:eastAsia="Arial" w:hAnsi="Arial"/>
                <w:sz w:val="18"/>
                <w:szCs w:val="18"/>
                <w:color w:val="auto"/>
                <w:w w:val="87"/>
              </w:rPr>
              <w:t>99.801%</w:t>
            </w:r>
          </w:p>
        </w:tc>
        <w:tc>
          <w:tcPr>
            <w:tcW w:w="1580" w:type="dxa"/>
            <w:vAlign w:val="bottom"/>
          </w:tcPr>
          <w:p>
            <w:pPr>
              <w:jc w:val="right"/>
              <w:ind w:right="484"/>
              <w:spacing w:after="0"/>
              <w:rPr>
                <w:sz w:val="20"/>
                <w:szCs w:val="20"/>
                <w:color w:val="auto"/>
              </w:rPr>
            </w:pPr>
            <w:r>
              <w:rPr>
                <w:rFonts w:ascii="Arial" w:cs="Arial" w:eastAsia="Arial" w:hAnsi="Arial"/>
                <w:sz w:val="18"/>
                <w:szCs w:val="18"/>
                <w:color w:val="auto"/>
              </w:rPr>
              <w:t>0.65%</w:t>
            </w:r>
          </w:p>
        </w:tc>
        <w:tc>
          <w:tcPr>
            <w:tcW w:w="1620" w:type="dxa"/>
            <w:vAlign w:val="bottom"/>
          </w:tcPr>
          <w:p>
            <w:pPr>
              <w:jc w:val="right"/>
              <w:ind w:right="344"/>
              <w:spacing w:after="0"/>
              <w:rPr>
                <w:sz w:val="20"/>
                <w:szCs w:val="20"/>
                <w:color w:val="auto"/>
              </w:rPr>
            </w:pPr>
            <w:r>
              <w:rPr>
                <w:rFonts w:ascii="Arial" w:cs="Arial" w:eastAsia="Arial" w:hAnsi="Arial"/>
                <w:sz w:val="18"/>
                <w:szCs w:val="18"/>
                <w:color w:val="auto"/>
              </w:rPr>
              <w:t>99.151%</w:t>
            </w: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6"/>
        </w:trPr>
        <w:tc>
          <w:tcPr>
            <w:tcW w:w="2180" w:type="dxa"/>
            <w:vAlign w:val="bottom"/>
          </w:tcPr>
          <w:p>
            <w:pPr>
              <w:ind w:left="160"/>
              <w:spacing w:after="0"/>
              <w:rPr>
                <w:sz w:val="20"/>
                <w:szCs w:val="20"/>
                <w:color w:val="auto"/>
              </w:rPr>
            </w:pPr>
            <w:r>
              <w:rPr>
                <w:rFonts w:ascii="Arial" w:cs="Arial" w:eastAsia="Arial" w:hAnsi="Arial"/>
                <w:sz w:val="18"/>
                <w:szCs w:val="18"/>
                <w:color w:val="auto"/>
              </w:rPr>
              <w:t>Total</w:t>
            </w:r>
          </w:p>
        </w:tc>
        <w:tc>
          <w:tcPr>
            <w:tcW w:w="2920" w:type="dxa"/>
            <w:vAlign w:val="bottom"/>
          </w:tcPr>
          <w:p>
            <w:pPr>
              <w:jc w:val="center"/>
              <w:ind w:left="1124"/>
              <w:spacing w:after="0"/>
              <w:rPr>
                <w:sz w:val="20"/>
                <w:szCs w:val="20"/>
                <w:color w:val="auto"/>
              </w:rPr>
            </w:pPr>
            <w:r>
              <w:rPr>
                <w:rFonts w:ascii="Arial" w:cs="Arial" w:eastAsia="Arial" w:hAnsi="Arial"/>
                <w:sz w:val="18"/>
                <w:szCs w:val="18"/>
                <w:color w:val="auto"/>
                <w:w w:val="87"/>
              </w:rPr>
              <w:t>$998,010,000</w:t>
            </w:r>
          </w:p>
        </w:tc>
        <w:tc>
          <w:tcPr>
            <w:tcW w:w="1580" w:type="dxa"/>
            <w:vAlign w:val="bottom"/>
          </w:tcPr>
          <w:p>
            <w:pPr>
              <w:jc w:val="right"/>
              <w:ind w:right="304"/>
              <w:spacing w:after="0"/>
              <w:rPr>
                <w:sz w:val="20"/>
                <w:szCs w:val="20"/>
                <w:color w:val="auto"/>
              </w:rPr>
            </w:pPr>
            <w:r>
              <w:rPr>
                <w:rFonts w:ascii="Arial" w:cs="Arial" w:eastAsia="Arial" w:hAnsi="Arial"/>
                <w:sz w:val="18"/>
                <w:szCs w:val="18"/>
                <w:color w:val="auto"/>
              </w:rPr>
              <w:t>$6,500,000</w:t>
            </w:r>
          </w:p>
        </w:tc>
        <w:tc>
          <w:tcPr>
            <w:tcW w:w="1620" w:type="dxa"/>
            <w:vAlign w:val="bottom"/>
          </w:tcPr>
          <w:p>
            <w:pPr>
              <w:jc w:val="right"/>
              <w:ind w:right="184"/>
              <w:spacing w:after="0"/>
              <w:rPr>
                <w:sz w:val="20"/>
                <w:szCs w:val="20"/>
                <w:color w:val="auto"/>
              </w:rPr>
            </w:pPr>
            <w:r>
              <w:rPr>
                <w:rFonts w:ascii="Arial" w:cs="Arial" w:eastAsia="Arial" w:hAnsi="Arial"/>
                <w:sz w:val="18"/>
                <w:szCs w:val="18"/>
                <w:color w:val="auto"/>
              </w:rPr>
              <w:t>$991,510,000</w:t>
            </w: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September 16, 2019 if settlement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 xml:space="preserve">The underwriters expect to deliver the Notes in book-entry form only through facilities of The Depository Trust Company for the account of its participants, including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and Euroclear Bank SA/NV, as operator of the Euroclear System, against payment in New York, New York on or about September 16, 2019, the fifth trading day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340"/>
          </w:cols>
          <w:pgMar w:left="240" w:top="131" w:right="319" w:bottom="358" w:gutter="0" w:footer="0" w:header="0"/>
        </w:sectPr>
      </w:pP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880"/>
        <w:spacing w:after="0"/>
        <w:rPr>
          <w:sz w:val="20"/>
          <w:szCs w:val="20"/>
          <w:color w:val="auto"/>
        </w:rPr>
      </w:pPr>
      <w:r>
        <w:rPr>
          <w:rFonts w:ascii="Arial" w:cs="Arial" w:eastAsia="Arial" w:hAnsi="Arial"/>
          <w:sz w:val="19"/>
          <w:szCs w:val="19"/>
          <w:b w:val="1"/>
          <w:bCs w:val="1"/>
          <w:color w:val="auto"/>
        </w:rPr>
        <w:t>Mizuho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auto"/>
        </w:rPr>
        <w:t>MUFG</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Scotiabank</w:t>
      </w:r>
    </w:p>
    <w:p>
      <w:pPr>
        <w:spacing w:after="0" w:line="234" w:lineRule="exact"/>
        <w:rPr>
          <w:sz w:val="20"/>
          <w:szCs w:val="20"/>
          <w:color w:val="auto"/>
        </w:rPr>
      </w:pPr>
    </w:p>
    <w:p>
      <w:pPr>
        <w:sectPr>
          <w:pgSz w:w="11900" w:h="16838" w:orient="portrait"/>
          <w:cols w:equalWidth="0" w:num="4">
            <w:col w:w="2980" w:space="720"/>
            <w:col w:w="2540" w:space="720"/>
            <w:col w:w="1560" w:space="720"/>
            <w:col w:w="2100"/>
          </w:cols>
          <w:pgMar w:left="240" w:top="131" w:right="319" w:bottom="358"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9"/>
          <w:szCs w:val="19"/>
          <w:b w:val="1"/>
          <w:bCs w:val="1"/>
          <w:color w:val="auto"/>
        </w:rPr>
        <w:t>BBVA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BMO Capital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PNC Capital Markets LLC</w:t>
      </w:r>
    </w:p>
    <w:p>
      <w:pPr>
        <w:sectPr>
          <w:pgSz w:w="11900" w:h="16838" w:orient="portrait"/>
          <w:cols w:equalWidth="0" w:num="3">
            <w:col w:w="2840" w:space="720"/>
            <w:col w:w="3520" w:space="720"/>
            <w:col w:w="3540"/>
          </w:cols>
          <w:pgMar w:left="240" w:top="131" w:right="319" w:bottom="358"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2400" w:type="dxa"/>
            <w:vAlign w:val="bottom"/>
          </w:tcPr>
          <w:p>
            <w:pPr>
              <w:spacing w:after="0"/>
              <w:rPr>
                <w:sz w:val="20"/>
                <w:szCs w:val="20"/>
                <w:color w:val="auto"/>
              </w:rPr>
            </w:pPr>
            <w:r>
              <w:rPr>
                <w:rFonts w:ascii="Arial" w:cs="Arial" w:eastAsia="Arial" w:hAnsi="Arial"/>
                <w:sz w:val="22"/>
                <w:szCs w:val="22"/>
                <w:b w:val="1"/>
                <w:bCs w:val="1"/>
                <w:color w:val="auto"/>
              </w:rPr>
              <w:t>RBC Capital Markets</w:t>
            </w:r>
          </w:p>
        </w:tc>
        <w:tc>
          <w:tcPr>
            <w:tcW w:w="1660" w:type="dxa"/>
            <w:vAlign w:val="bottom"/>
            <w:gridSpan w:val="2"/>
          </w:tcPr>
          <w:p>
            <w:pPr>
              <w:ind w:left="380"/>
              <w:spacing w:after="0"/>
              <w:rPr>
                <w:sz w:val="20"/>
                <w:szCs w:val="20"/>
                <w:color w:val="auto"/>
              </w:rPr>
            </w:pPr>
            <w:r>
              <w:rPr>
                <w:rFonts w:ascii="Arial" w:cs="Arial" w:eastAsia="Arial" w:hAnsi="Arial"/>
                <w:sz w:val="22"/>
                <w:szCs w:val="22"/>
                <w:b w:val="1"/>
                <w:bCs w:val="1"/>
                <w:color w:val="auto"/>
                <w:w w:val="96"/>
              </w:rPr>
              <w:t>SMBC Nikko</w:t>
            </w:r>
          </w:p>
        </w:tc>
        <w:tc>
          <w:tcPr>
            <w:tcW w:w="3740" w:type="dxa"/>
            <w:vAlign w:val="bottom"/>
            <w:gridSpan w:val="2"/>
          </w:tcPr>
          <w:p>
            <w:pPr>
              <w:ind w:left="580"/>
              <w:spacing w:after="0"/>
              <w:rPr>
                <w:sz w:val="20"/>
                <w:szCs w:val="20"/>
                <w:color w:val="auto"/>
              </w:rPr>
            </w:pPr>
            <w:r>
              <w:rPr>
                <w:rFonts w:ascii="Arial" w:cs="Arial" w:eastAsia="Arial" w:hAnsi="Arial"/>
                <w:sz w:val="22"/>
                <w:szCs w:val="22"/>
                <w:b w:val="1"/>
                <w:bCs w:val="1"/>
                <w:color w:val="auto"/>
                <w:w w:val="98"/>
              </w:rPr>
              <w:t>SunTrust Robinson Humphrey</w:t>
            </w:r>
          </w:p>
        </w:tc>
        <w:tc>
          <w:tcPr>
            <w:tcW w:w="1440" w:type="dxa"/>
            <w:vAlign w:val="bottom"/>
          </w:tcPr>
          <w:p>
            <w:pPr>
              <w:jc w:val="right"/>
              <w:spacing w:after="0"/>
              <w:rPr>
                <w:sz w:val="20"/>
                <w:szCs w:val="20"/>
                <w:color w:val="auto"/>
              </w:rPr>
            </w:pPr>
            <w:r>
              <w:rPr>
                <w:rFonts w:ascii="Arial" w:cs="Arial" w:eastAsia="Arial" w:hAnsi="Arial"/>
                <w:sz w:val="22"/>
                <w:szCs w:val="22"/>
                <w:b w:val="1"/>
                <w:bCs w:val="1"/>
                <w:color w:val="auto"/>
              </w:rPr>
              <w:t>US Bancorp</w:t>
            </w:r>
          </w:p>
        </w:tc>
      </w:tr>
      <w:tr>
        <w:trPr>
          <w:trHeight w:val="420"/>
        </w:trPr>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i w:val="1"/>
                <w:iCs w:val="1"/>
                <w:color w:val="auto"/>
              </w:rPr>
              <w:t>Co-Managers</w:t>
            </w:r>
          </w:p>
        </w:tc>
        <w:tc>
          <w:tcPr>
            <w:tcW w:w="1440" w:type="dxa"/>
            <w:vAlign w:val="bottom"/>
          </w:tcPr>
          <w:p>
            <w:pPr>
              <w:spacing w:after="0"/>
              <w:rPr>
                <w:sz w:val="24"/>
                <w:szCs w:val="24"/>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18"/>
                <w:szCs w:val="18"/>
                <w:b w:val="1"/>
                <w:bCs w:val="1"/>
                <w:color w:val="auto"/>
              </w:rPr>
              <w:t>CIBC Capital Markets</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40" w:type="dxa"/>
            <w:vAlign w:val="bottom"/>
            <w:gridSpan w:val="2"/>
          </w:tcPr>
          <w:p>
            <w:pPr>
              <w:ind w:left="540"/>
              <w:spacing w:after="0"/>
              <w:rPr>
                <w:sz w:val="20"/>
                <w:szCs w:val="20"/>
                <w:color w:val="auto"/>
              </w:rPr>
            </w:pPr>
            <w:r>
              <w:rPr>
                <w:rFonts w:ascii="Arial" w:cs="Arial" w:eastAsia="Arial" w:hAnsi="Arial"/>
                <w:sz w:val="18"/>
                <w:szCs w:val="18"/>
                <w:b w:val="1"/>
                <w:bCs w:val="1"/>
                <w:color w:val="auto"/>
              </w:rPr>
              <w:t>Fifth Third Securities</w:t>
            </w:r>
          </w:p>
        </w:tc>
        <w:tc>
          <w:tcPr>
            <w:tcW w:w="1440" w:type="dxa"/>
            <w:vAlign w:val="bottom"/>
          </w:tcPr>
          <w:p>
            <w:pPr>
              <w:jc w:val="right"/>
              <w:ind w:right="5"/>
              <w:spacing w:after="0"/>
              <w:rPr>
                <w:sz w:val="20"/>
                <w:szCs w:val="20"/>
                <w:color w:val="auto"/>
              </w:rPr>
            </w:pPr>
            <w:r>
              <w:rPr>
                <w:rFonts w:ascii="Arial" w:cs="Arial" w:eastAsia="Arial" w:hAnsi="Arial"/>
                <w:sz w:val="18"/>
                <w:szCs w:val="18"/>
                <w:b w:val="1"/>
                <w:bCs w:val="1"/>
                <w:color w:val="auto"/>
              </w:rPr>
              <w:t>ING</w:t>
            </w:r>
          </w:p>
        </w:tc>
      </w:tr>
      <w:tr>
        <w:trPr>
          <w:trHeight w:val="864"/>
        </w:trPr>
        <w:tc>
          <w:tcPr>
            <w:tcW w:w="2400" w:type="dxa"/>
            <w:vAlign w:val="bottom"/>
          </w:tcPr>
          <w:p>
            <w:pPr>
              <w:spacing w:after="0"/>
              <w:rPr>
                <w:sz w:val="20"/>
                <w:szCs w:val="20"/>
                <w:color w:val="auto"/>
              </w:rPr>
            </w:pPr>
            <w:r>
              <w:rPr>
                <w:rFonts w:ascii="Arial" w:cs="Arial" w:eastAsia="Arial" w:hAnsi="Arial"/>
                <w:sz w:val="18"/>
                <w:szCs w:val="18"/>
                <w:b w:val="1"/>
                <w:bCs w:val="1"/>
                <w:color w:val="auto"/>
              </w:rPr>
              <w:t>Regions Securities LLC</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right"/>
              <w:ind w:right="5"/>
              <w:spacing w:after="0"/>
              <w:rPr>
                <w:sz w:val="20"/>
                <w:szCs w:val="20"/>
                <w:color w:val="auto"/>
              </w:rPr>
            </w:pPr>
            <w:r>
              <w:rPr>
                <w:rFonts w:ascii="Arial" w:cs="Arial" w:eastAsia="Arial" w:hAnsi="Arial"/>
                <w:sz w:val="18"/>
                <w:szCs w:val="18"/>
                <w:b w:val="1"/>
                <w:bCs w:val="1"/>
                <w:color w:val="auto"/>
              </w:rPr>
              <w:t>TD Securities</w:t>
            </w:r>
          </w:p>
        </w:tc>
      </w:tr>
      <w:tr>
        <w:trPr>
          <w:trHeight w:val="218"/>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date of this prospectus supplement is September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40"/>
          </w:cols>
          <w:pgMar w:left="1380" w:top="111" w:right="1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00" w:type="dxa"/>
            <w:vAlign w:val="bottom"/>
            <w:gridSpan w:val="23"/>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Important Notice About Information in this Prospectus Supplement and the Accompanying Base Prospectus</w:t>
              </w:r>
            </w:hyperlink>
          </w:p>
        </w:tc>
        <w:tc>
          <w:tcPr>
            <w:tcW w:w="920" w:type="dxa"/>
            <w:vAlign w:val="bottom"/>
            <w:vMerge w:val="restart"/>
          </w:tcPr>
          <w:p>
            <w:pPr>
              <w:spacing w:after="0"/>
              <w:rPr>
                <w:sz w:val="14"/>
                <w:szCs w:val="14"/>
                <w:color w:val="auto"/>
              </w:rPr>
            </w:pPr>
          </w:p>
        </w:tc>
        <w:tc>
          <w:tcPr>
            <w:tcW w:w="46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7600" w:type="dxa"/>
            <w:vAlign w:val="bottom"/>
            <w:tcBorders>
              <w:bottom w:val="single" w:sz="8" w:color="0000EE"/>
            </w:tcBorders>
            <w:gridSpan w:val="2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0000EE"/>
            </w:tcBorders>
            <w:gridSpan w:val="4"/>
          </w:tcPr>
          <w:p>
            <w:pPr>
              <w:jc w:val="right"/>
              <w:spacing w:after="0" w:line="170"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644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Prospectus Supplement Summary</w:t>
              </w:r>
            </w:hyperlink>
          </w:p>
        </w:tc>
        <w:tc>
          <w:tcPr>
            <w:tcW w:w="61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8">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762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3">
              <w:r>
                <w:rPr>
                  <w:rFonts w:ascii="Arial" w:cs="Arial" w:eastAsia="Arial" w:hAnsi="Arial"/>
                  <w:sz w:val="18"/>
                  <w:szCs w:val="18"/>
                  <w:color w:val="0000EE"/>
                  <w:w w:val="78"/>
                </w:rPr>
                <w:t>S-6</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Use of Proceeds</w:t>
              </w:r>
            </w:hyperlink>
          </w:p>
        </w:tc>
        <w:tc>
          <w:tcPr>
            <w:tcW w:w="736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S-10</w:t>
              </w:r>
            </w:hyperlink>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Capitalization</w:t>
              </w:r>
            </w:hyperlink>
          </w:p>
        </w:tc>
        <w:tc>
          <w:tcPr>
            <w:tcW w:w="75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78"/>
              </w:rPr>
            </w:pPr>
            <w:hyperlink w:anchor="page18">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Description of Notes</w:t>
              </w:r>
            </w:hyperlink>
          </w:p>
        </w:tc>
        <w:tc>
          <w:tcPr>
            <w:tcW w:w="70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Book-Entry, Delivery and Form</w:t>
              </w:r>
            </w:hyperlink>
          </w:p>
        </w:tc>
        <w:tc>
          <w:tcPr>
            <w:tcW w:w="626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S-25</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35">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Underwriting</w:t>
              </w:r>
            </w:hyperlink>
          </w:p>
        </w:tc>
        <w:tc>
          <w:tcPr>
            <w:tcW w:w="756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S-34</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S-41</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754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S-41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S-41</w:t>
              </w:r>
            </w:hyperlink>
          </w:p>
        </w:tc>
        <w:tc>
          <w:tcPr>
            <w:tcW w:w="0" w:type="dxa"/>
            <w:vAlign w:val="bottom"/>
          </w:tcPr>
          <w:p>
            <w:pPr>
              <w:spacing w:after="0"/>
              <w:rPr>
                <w:sz w:val="1"/>
                <w:szCs w:val="1"/>
                <w:color w:val="auto"/>
              </w:rPr>
            </w:pPr>
          </w:p>
        </w:tc>
      </w:tr>
      <w:tr>
        <w:trPr>
          <w:trHeight w:val="667"/>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3"/>
          </w:tcPr>
          <w:p>
            <w:pPr>
              <w:ind w:left="68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520" w:type="dxa"/>
            <w:vAlign w:val="bottom"/>
            <w:gridSpan w:val="2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About This Prospectus</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14"/>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Forward-Looking Statements</w:t>
              </w:r>
            </w:hyperlink>
          </w:p>
        </w:tc>
        <w:tc>
          <w:tcPr>
            <w:tcW w:w="720" w:type="dxa"/>
            <w:vAlign w:val="bottom"/>
            <w:gridSpan w:val="4"/>
          </w:tcPr>
          <w:p>
            <w:pPr>
              <w:spacing w:after="0"/>
              <w:rPr>
                <w:sz w:val="17"/>
                <w:szCs w:val="17"/>
                <w:color w:val="auto"/>
              </w:rPr>
            </w:pPr>
          </w:p>
        </w:tc>
        <w:tc>
          <w:tcPr>
            <w:tcW w:w="572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74"/>
              </w:rPr>
            </w:pPr>
            <w:hyperlink w:anchor="page52">
              <w:r>
                <w:rPr>
                  <w:rFonts w:ascii="Arial" w:cs="Arial" w:eastAsia="Arial" w:hAnsi="Arial"/>
                  <w:sz w:val="16"/>
                  <w:szCs w:val="16"/>
                  <w:color w:val="0000EE"/>
                  <w:w w:val="74"/>
                </w:rPr>
                <w:t>iii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19"/>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About Plains All American Pipeline, L.P.</w:t>
              </w:r>
            </w:hyperlink>
          </w:p>
        </w:tc>
        <w:tc>
          <w:tcPr>
            <w:tcW w:w="5580" w:type="dxa"/>
            <w:vAlign w:val="bottom"/>
            <w:gridSpan w:val="5"/>
          </w:tcPr>
          <w:p>
            <w:pPr>
              <w:spacing w:after="0"/>
              <w:rPr>
                <w:sz w:val="17"/>
                <w:szCs w:val="17"/>
                <w:color w:val="auto"/>
              </w:rPr>
            </w:pPr>
          </w:p>
        </w:tc>
        <w:tc>
          <w:tcPr>
            <w:tcW w:w="460" w:type="dxa"/>
            <w:vAlign w:val="bottom"/>
            <w:gridSpan w:val="7"/>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2040" w:type="dxa"/>
            <w:vAlign w:val="bottom"/>
            <w:gridSpan w:val="16"/>
          </w:tcPr>
          <w:p>
            <w:pPr>
              <w:spacing w:after="0"/>
              <w:rPr>
                <w:sz w:val="17"/>
                <w:szCs w:val="17"/>
                <w:color w:val="auto"/>
              </w:rPr>
            </w:pPr>
          </w:p>
        </w:tc>
        <w:tc>
          <w:tcPr>
            <w:tcW w:w="5580" w:type="dxa"/>
            <w:vAlign w:val="bottom"/>
            <w:gridSpan w:val="5"/>
          </w:tcPr>
          <w:p>
            <w:pPr>
              <w:spacing w:after="0"/>
              <w:rPr>
                <w:sz w:val="17"/>
                <w:szCs w:val="17"/>
                <w:color w:val="auto"/>
              </w:rPr>
            </w:pPr>
          </w:p>
        </w:tc>
        <w:tc>
          <w:tcPr>
            <w:tcW w:w="460" w:type="dxa"/>
            <w:vAlign w:val="bottom"/>
            <w:gridSpan w:val="7"/>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Use Of Proceeds</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Ratio Of Earnings To Fixed Charges and Ratio of Earnings to Combined Fixed Charges and Preferred Unit</w:t>
              </w:r>
            </w:hyperlink>
          </w:p>
        </w:tc>
        <w:tc>
          <w:tcPr>
            <w:tcW w:w="10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40" w:type="dxa"/>
            <w:vAlign w:val="bottom"/>
            <w:gridSpan w:val="2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Distributions</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7"/>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Description of Our Debt Securities</w:t>
              </w:r>
            </w:hyperlink>
          </w:p>
        </w:tc>
        <w:tc>
          <w:tcPr>
            <w:tcW w:w="6060" w:type="dxa"/>
            <w:vAlign w:val="bottom"/>
            <w:gridSpan w:val="7"/>
          </w:tcPr>
          <w:p>
            <w:pPr>
              <w:spacing w:after="0"/>
              <w:rPr>
                <w:sz w:val="17"/>
                <w:szCs w:val="17"/>
                <w:color w:val="auto"/>
              </w:rPr>
            </w:pPr>
          </w:p>
        </w:tc>
        <w:tc>
          <w:tcPr>
            <w:tcW w:w="460" w:type="dxa"/>
            <w:vAlign w:val="bottom"/>
            <w:gridSpan w:val="7"/>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00" w:type="dxa"/>
            <w:vAlign w:val="bottom"/>
            <w:gridSpan w:val="10"/>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Description of Our Preferred Units</w:t>
              </w:r>
            </w:hyperlink>
          </w:p>
        </w:tc>
        <w:tc>
          <w:tcPr>
            <w:tcW w:w="6060" w:type="dxa"/>
            <w:vAlign w:val="bottom"/>
            <w:gridSpan w:val="7"/>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68">
              <w:r>
                <w:rPr>
                  <w:rFonts w:ascii="Arial" w:cs="Arial" w:eastAsia="Arial" w:hAnsi="Arial"/>
                  <w:sz w:val="10"/>
                  <w:szCs w:val="10"/>
                  <w:color w:val="0000EE"/>
                  <w:w w:val="71"/>
                </w:rPr>
                <w:t>15</w:t>
              </w:r>
            </w:hyperlink>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Description of Our Common Units</w:t>
              </w:r>
            </w:hyperlink>
          </w:p>
        </w:tc>
        <w:tc>
          <w:tcPr>
            <w:tcW w:w="6060" w:type="dxa"/>
            <w:vAlign w:val="bottom"/>
            <w:gridSpan w:val="7"/>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70">
              <w:r>
                <w:rPr>
                  <w:rFonts w:ascii="Arial" w:cs="Arial" w:eastAsia="Arial" w:hAnsi="Arial"/>
                  <w:sz w:val="10"/>
                  <w:szCs w:val="10"/>
                  <w:color w:val="0000EE"/>
                  <w:w w:val="71"/>
                </w:rPr>
                <w:t>17</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Cash Distribution Policy</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400" w:type="dxa"/>
            <w:vAlign w:val="bottom"/>
            <w:gridSpan w:val="10"/>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Our Partnership Agreement</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400" w:type="dxa"/>
            <w:vAlign w:val="bottom"/>
            <w:gridSpan w:val="10"/>
            <w:shd w:val="clear" w:color="auto" w:fill="0000EE"/>
          </w:tcPr>
          <w:p>
            <w:pPr>
              <w:spacing w:after="0" w:line="20" w:lineRule="exact"/>
              <w:rPr>
                <w:sz w:val="1"/>
                <w:szCs w:val="1"/>
                <w:color w:val="auto"/>
              </w:rPr>
            </w:pPr>
          </w:p>
        </w:tc>
        <w:tc>
          <w:tcPr>
            <w:tcW w:w="1600" w:type="dxa"/>
            <w:vAlign w:val="bottom"/>
            <w:gridSpan w:val="10"/>
            <w:shd w:val="clear" w:color="auto" w:fill="0000EE"/>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79">
              <w:r>
                <w:rPr>
                  <w:rFonts w:ascii="Arial" w:cs="Arial" w:eastAsia="Arial" w:hAnsi="Arial"/>
                  <w:sz w:val="10"/>
                  <w:szCs w:val="10"/>
                  <w:color w:val="0000EE"/>
                  <w:w w:val="71"/>
                </w:rPr>
                <w:t>26</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Plan of Distribution</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Legal Matters</w:t>
              </w:r>
            </w:hyperlink>
          </w:p>
        </w:tc>
        <w:tc>
          <w:tcPr>
            <w:tcW w:w="7120" w:type="dxa"/>
            <w:vAlign w:val="bottom"/>
            <w:gridSpan w:val="14"/>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9">
              <w:r>
                <w:rPr>
                  <w:rFonts w:ascii="Arial" w:cs="Arial" w:eastAsia="Arial" w:hAnsi="Arial"/>
                  <w:sz w:val="10"/>
                  <w:szCs w:val="10"/>
                  <w:color w:val="0000EE"/>
                  <w:w w:val="71"/>
                </w:rPr>
                <w:t>46</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Experts</w:t>
              </w:r>
            </w:hyperlink>
          </w:p>
        </w:tc>
        <w:tc>
          <w:tcPr>
            <w:tcW w:w="7540" w:type="dxa"/>
            <w:vAlign w:val="bottom"/>
            <w:gridSpan w:val="19"/>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9">
              <w:r>
                <w:rPr>
                  <w:rFonts w:ascii="Arial" w:cs="Arial" w:eastAsia="Arial" w:hAnsi="Arial"/>
                  <w:sz w:val="10"/>
                  <w:szCs w:val="10"/>
                  <w:color w:val="0000EE"/>
                  <w:w w:val="71"/>
                </w:rPr>
                <w:t>46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INFORMATION IN THIS PROSPECTUS SUPPLEMENT AND THE ACCOMPANYING BASE PROSPECTUS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See "Forward-Looking Statements" and "Risk Factors."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September 16, 2019, which is the fifth business day following the date of pricing of the Notes (such settlement being referred to as "T+5"). Under Rule 15c6-1 of the Securities Exchange Act of 1934, as amended (the "Exchange Act"),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T+5, to specify an alternate settlement cycle at the time of any such trade to prevent failed settlement and should consult their own advisors.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99" w:lineRule="exact"/>
        <w:rPr>
          <w:sz w:val="20"/>
          <w:szCs w:val="20"/>
          <w:color w:val="auto"/>
        </w:rPr>
      </w:pPr>
    </w:p>
    <w:p>
      <w:pPr>
        <w:ind w:left="1080" w:right="10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w:t>
      </w:r>
      <w:hyperlink r:id="rId19">
        <w:r>
          <w:rPr>
            <w:rFonts w:ascii="Arial" w:cs="Arial" w:eastAsia="Arial" w:hAnsi="Arial"/>
            <w:sz w:val="16"/>
            <w:szCs w:val="16"/>
            <w:color w:val="auto"/>
          </w:rPr>
          <w:t xml:space="preserve">on future results. See "Risk Factors" beginning on page S-6 of this prospectus supplement and in Item 1A. "Risk Factors" in our </w:t>
        </w:r>
        <w:r>
          <w:rPr>
            <w:rFonts w:ascii="Arial" w:cs="Arial" w:eastAsia="Arial" w:hAnsi="Arial"/>
            <w:sz w:val="16"/>
            <w:szCs w:val="16"/>
            <w:u w:val="single" w:color="auto"/>
            <w:color w:val="0000EE"/>
          </w:rPr>
          <w:t>Annual Report on Form 10-K for</w:t>
        </w:r>
      </w:hyperlink>
      <w:r>
        <w:rPr>
          <w:rFonts w:ascii="Arial" w:cs="Arial" w:eastAsia="Arial" w:hAnsi="Arial"/>
          <w:sz w:val="16"/>
          <w:szCs w:val="16"/>
          <w:color w:val="auto"/>
        </w:rPr>
        <w:t xml:space="preserve"> </w:t>
      </w:r>
      <w:hyperlink r:id="rId19">
        <w:r>
          <w:rPr>
            <w:rFonts w:ascii="Arial" w:cs="Arial" w:eastAsia="Arial" w:hAnsi="Arial"/>
            <w:sz w:val="16"/>
            <w:szCs w:val="16"/>
            <w:u w:val="single" w:color="auto"/>
            <w:color w:val="0000EE"/>
          </w:rPr>
          <w:t>the fiscal year ended December 31, 2018 (File No. 001-14569)</w:t>
        </w:r>
        <w:r>
          <w:rPr>
            <w:rFonts w:ascii="Arial" w:cs="Arial" w:eastAsia="Arial" w:hAnsi="Arial"/>
            <w:sz w:val="16"/>
            <w:szCs w:val="16"/>
            <w:color w:val="0000EE"/>
          </w:rPr>
          <w:t xml:space="preserve"> </w:t>
        </w:r>
        <w:r>
          <w:rPr>
            <w:rFonts w:ascii="Arial" w:cs="Arial" w:eastAsia="Arial" w:hAnsi="Arial"/>
            <w:sz w:val="16"/>
            <w:szCs w:val="16"/>
            <w:color w:val="000000"/>
          </w:rPr>
          <w:t>and in any subsequent quarterly reports on Form 10-Q, which are incorporated in this prospectus</w:t>
        </w:r>
      </w:hyperlink>
      <w:r>
        <w:rPr>
          <w:rFonts w:ascii="Arial" w:cs="Arial" w:eastAsia="Arial" w:hAnsi="Arial"/>
          <w:sz w:val="16"/>
          <w:szCs w:val="16"/>
          <w:color w:val="0000EE"/>
        </w:rPr>
        <w:t xml:space="preserve"> </w:t>
      </w:r>
      <w:r>
        <w:rPr>
          <w:rFonts w:ascii="Arial" w:cs="Arial" w:eastAsia="Arial" w:hAnsi="Arial"/>
          <w:sz w:val="16"/>
          <w:szCs w:val="16"/>
          <w:color w:val="000000"/>
        </w:rPr>
        <w:t>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120" w:firstLine="351"/>
        <w:spacing w:after="0" w:line="314" w:lineRule="auto"/>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S-6 of this prospectus supplement and in our </w:t>
      </w:r>
      <w:hyperlink r:id="rId19">
        <w:r>
          <w:rPr>
            <w:rFonts w:ascii="Arial" w:cs="Arial" w:eastAsia="Arial" w:hAnsi="Arial"/>
            <w:sz w:val="15"/>
            <w:szCs w:val="15"/>
            <w:i w:val="1"/>
            <w:iCs w:val="1"/>
            <w:u w:val="single" w:color="auto"/>
            <w:color w:val="0000EE"/>
          </w:rPr>
          <w:t>Annual Report on Form 10-K for the fiscal year ended December 31, 2018</w:t>
        </w:r>
        <w:r>
          <w:rPr>
            <w:rFonts w:ascii="Arial" w:cs="Arial" w:eastAsia="Arial" w:hAnsi="Arial"/>
            <w:sz w:val="15"/>
            <w:szCs w:val="15"/>
            <w:i w:val="1"/>
            <w:iCs w:val="1"/>
            <w:u w:val="single" w:color="auto"/>
            <w:color w:val="auto"/>
          </w:rPr>
          <w:t xml:space="preserve"> </w:t>
        </w:r>
      </w:hyperlink>
      <w:r>
        <w:rPr>
          <w:rFonts w:ascii="Arial" w:cs="Arial" w:eastAsia="Arial" w:hAnsi="Arial"/>
          <w:sz w:val="15"/>
          <w:szCs w:val="15"/>
          <w:i w:val="1"/>
          <w:iCs w:val="1"/>
          <w:color w:val="auto"/>
        </w:rPr>
        <w:t>and in any subsequent quarterly report on Form 10-Q, which are incorporated by reference herein, for information regarding risks you should consider before making a decision to purchase any Notes in this offering.</w:t>
      </w:r>
    </w:p>
    <w:p>
      <w:pPr>
        <w:spacing w:after="0" w:line="159" w:lineRule="exact"/>
        <w:rPr>
          <w:sz w:val="20"/>
          <w:szCs w:val="20"/>
          <w:color w:val="auto"/>
        </w:rPr>
      </w:pPr>
    </w:p>
    <w:p>
      <w:pPr>
        <w:ind w:left="240" w:right="40" w:firstLine="351"/>
        <w:spacing w:after="0" w:line="294"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left="240" w:right="100" w:firstLine="348"/>
        <w:spacing w:after="0" w:line="255"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and increased competition for new build assets, over the last several years, we have increased our joint venture related activities in an effort to fully meet the current and future needs of our customers while also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81" w:lineRule="exact"/>
        <w:rPr>
          <w:sz w:val="20"/>
          <w:szCs w:val="20"/>
          <w:color w:val="auto"/>
        </w:rPr>
      </w:pPr>
    </w:p>
    <w:p>
      <w:pPr>
        <w:ind w:left="240" w:right="220" w:firstLine="351"/>
        <w:spacing w:after="0" w:line="268"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and/or assets of a third-party buyer or (ii) sell partial interests in assets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008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50430" cy="400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55" w:lineRule="auto"/>
        <w:rPr>
          <w:sz w:val="20"/>
          <w:szCs w:val="20"/>
          <w:color w:val="auto"/>
        </w:rPr>
      </w:pPr>
      <w:r>
        <w:rPr>
          <w:rFonts w:ascii="Arial" w:cs="Arial" w:eastAsia="Arial" w:hAnsi="Arial"/>
          <w:sz w:val="18"/>
          <w:szCs w:val="18"/>
          <w:color w:val="auto"/>
        </w:rPr>
        <w:t>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In 2016, we initiated a program to evaluate potential sales of non-core assets and/or sales of partial interests in assets to strategic joint venture partners to optimize our asset portfolio and strengthen our balance sheet and leverage metrics. From 2016 through 2018, we completed asset sales totaling approximately $3.0 billion.</w:t>
      </w:r>
    </w:p>
    <w:p>
      <w:pPr>
        <w:spacing w:after="0" w:line="197" w:lineRule="exact"/>
        <w:rPr>
          <w:sz w:val="20"/>
          <w:szCs w:val="20"/>
          <w:color w:val="auto"/>
        </w:rPr>
      </w:pPr>
    </w:p>
    <w:p>
      <w:pPr>
        <w:ind w:left="240" w:right="10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Principal Executive Offices</w:t>
      </w:r>
    </w:p>
    <w:p>
      <w:pPr>
        <w:spacing w:after="0" w:line="231" w:lineRule="exact"/>
        <w:rPr>
          <w:sz w:val="20"/>
          <w:szCs w:val="20"/>
          <w:color w:val="auto"/>
        </w:rPr>
      </w:pPr>
    </w:p>
    <w:p>
      <w:pPr>
        <w:jc w:val="both"/>
        <w:ind w:left="240" w:right="30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335" w:lineRule="auto"/>
        <w:rPr>
          <w:rFonts w:ascii="Arial" w:cs="Arial" w:eastAsia="Arial" w:hAnsi="Arial"/>
          <w:sz w:val="15"/>
          <w:szCs w:val="15"/>
          <w:color w:val="auto"/>
        </w:rPr>
      </w:pPr>
      <w:r>
        <w:rPr>
          <w:rFonts w:ascii="Arial" w:cs="Arial" w:eastAsia="Arial" w:hAnsi="Arial"/>
          <w:sz w:val="15"/>
          <w:szCs w:val="15"/>
          <w:color w:val="auto"/>
        </w:rPr>
        <w:t xml:space="preserve">For additional information about us, including our partnership structure and management, please refer to the documents set forth under "Where You Can Find More Information" in this prospectus supplement, including our </w:t>
      </w:r>
      <w:hyperlink r:id="rId19">
        <w:r>
          <w:rPr>
            <w:rFonts w:ascii="Arial" w:cs="Arial" w:eastAsia="Arial" w:hAnsi="Arial"/>
            <w:sz w:val="15"/>
            <w:szCs w:val="15"/>
            <w:u w:val="single" w:color="auto"/>
            <w:color w:val="0000EE"/>
          </w:rPr>
          <w:t>Annual Report on Form 10-K for the fiscal year ended December 31, 2018</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our Quarterly Reports on Form 10-Q for the quarterly periods ended </w:t>
      </w:r>
      <w:hyperlink r:id="rId24">
        <w:r>
          <w:rPr>
            <w:rFonts w:ascii="Arial" w:cs="Arial" w:eastAsia="Arial" w:hAnsi="Arial"/>
            <w:sz w:val="15"/>
            <w:szCs w:val="15"/>
            <w:u w:val="single" w:color="auto"/>
            <w:color w:val="0000EE"/>
          </w:rPr>
          <w:t>March 31,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5">
        <w:r>
          <w:rPr>
            <w:rFonts w:ascii="Arial" w:cs="Arial" w:eastAsia="Arial" w:hAnsi="Arial"/>
            <w:sz w:val="15"/>
            <w:szCs w:val="15"/>
            <w:u w:val="single" w:color="auto"/>
            <w:color w:val="0000EE"/>
          </w:rPr>
          <w:t>June 30, 2019</w:t>
        </w:r>
      </w:hyperlink>
      <w:r>
        <w:rPr>
          <w:rFonts w:ascii="Arial" w:cs="Arial" w:eastAsia="Arial" w:hAnsi="Arial"/>
          <w:sz w:val="15"/>
          <w:szCs w:val="15"/>
          <w:color w:val="auto"/>
        </w:rPr>
        <w:t>, each of which is incorporated by reference herein.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9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52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ind w:left="1340"/>
              <w:spacing w:after="0"/>
              <w:rPr>
                <w:sz w:val="20"/>
                <w:szCs w:val="20"/>
                <w:color w:val="auto"/>
              </w:rPr>
            </w:pPr>
            <w:r>
              <w:rPr>
                <w:rFonts w:ascii="Arial" w:cs="Arial" w:eastAsia="Arial" w:hAnsi="Arial"/>
                <w:sz w:val="18"/>
                <w:szCs w:val="18"/>
                <w:color w:val="auto"/>
              </w:rPr>
              <w:t>Issuers</w:t>
            </w:r>
          </w:p>
        </w:tc>
        <w:tc>
          <w:tcPr>
            <w:tcW w:w="7920" w:type="dxa"/>
            <w:vAlign w:val="bottom"/>
          </w:tcPr>
          <w:p>
            <w:pPr>
              <w:ind w:left="520"/>
              <w:spacing w:after="0"/>
              <w:rPr>
                <w:sz w:val="20"/>
                <w:szCs w:val="20"/>
                <w:color w:val="auto"/>
              </w:rPr>
            </w:pPr>
            <w:r>
              <w:rPr>
                <w:rFonts w:ascii="Arial" w:cs="Arial" w:eastAsia="Arial" w:hAnsi="Arial"/>
                <w:sz w:val="18"/>
                <w:szCs w:val="18"/>
                <w:color w:val="auto"/>
              </w:rPr>
              <w:t>Plains All American Pipeline, L.P. and PAA Finance Corp.</w:t>
            </w:r>
          </w:p>
        </w:tc>
      </w:tr>
      <w:tr>
        <w:trPr>
          <w:trHeight w:val="453"/>
        </w:trPr>
        <w:tc>
          <w:tcPr>
            <w:tcW w:w="3500" w:type="dxa"/>
            <w:vAlign w:val="bottom"/>
          </w:tcPr>
          <w:p>
            <w:pPr>
              <w:spacing w:after="0"/>
              <w:rPr>
                <w:sz w:val="24"/>
                <w:szCs w:val="24"/>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PAA Finance Corp., a Delaware corporation, is a wholly owned subsidiary of Plains</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All American Pipeline, L.P. that has been organized for the purpose of co-issuing our</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existing notes, the Notes offered hereby and the notes issued in any future offerings.</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PAA Finance Corp. does not have operations of any kind and will not have any</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revenue other than as may be incidental to its activities as a co-issuer of our debt</w:t>
            </w:r>
          </w:p>
        </w:tc>
      </w:tr>
      <w:tr>
        <w:trPr>
          <w:trHeight w:val="222"/>
        </w:trPr>
        <w:tc>
          <w:tcPr>
            <w:tcW w:w="3500" w:type="dxa"/>
            <w:vAlign w:val="bottom"/>
          </w:tcPr>
          <w:p>
            <w:pPr>
              <w:spacing w:after="0"/>
              <w:rPr>
                <w:sz w:val="19"/>
                <w:szCs w:val="19"/>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securities.</w:t>
            </w:r>
          </w:p>
        </w:tc>
      </w:tr>
      <w:tr>
        <w:trPr>
          <w:trHeight w:val="453"/>
        </w:trPr>
        <w:tc>
          <w:tcPr>
            <w:tcW w:w="3500" w:type="dxa"/>
            <w:vAlign w:val="bottom"/>
          </w:tcPr>
          <w:p>
            <w:pPr>
              <w:ind w:left="1340"/>
              <w:spacing w:after="0"/>
              <w:rPr>
                <w:sz w:val="20"/>
                <w:szCs w:val="20"/>
                <w:color w:val="auto"/>
              </w:rPr>
            </w:pPr>
            <w:r>
              <w:rPr>
                <w:rFonts w:ascii="Arial" w:cs="Arial" w:eastAsia="Arial" w:hAnsi="Arial"/>
                <w:sz w:val="18"/>
                <w:szCs w:val="18"/>
                <w:color w:val="auto"/>
              </w:rPr>
              <w:t>Future Guarantees</w:t>
            </w:r>
          </w:p>
        </w:tc>
        <w:tc>
          <w:tcPr>
            <w:tcW w:w="7920" w:type="dxa"/>
            <w:vAlign w:val="bottom"/>
          </w:tcPr>
          <w:p>
            <w:pPr>
              <w:ind w:left="520"/>
              <w:spacing w:after="0"/>
              <w:rPr>
                <w:sz w:val="20"/>
                <w:szCs w:val="20"/>
                <w:color w:val="auto"/>
              </w:rPr>
            </w:pPr>
            <w:r>
              <w:rPr>
                <w:rFonts w:ascii="Arial" w:cs="Arial" w:eastAsia="Arial" w:hAnsi="Arial"/>
                <w:sz w:val="18"/>
                <w:szCs w:val="18"/>
                <w:color w:val="auto"/>
              </w:rPr>
              <w:t>Initially, the Notes will not be guaranteed by any subsidiaries of the issuers. In the</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future, however, if any subsidiaries guarantee any of the issuers' other debt, then those</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subsidiaries will, jointly and severally, fully and unconditionally guarantee the issuers'</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payment obligations under the Notes. See "Description of Notes—Possible Future</w:t>
            </w:r>
          </w:p>
        </w:tc>
      </w:tr>
      <w:tr>
        <w:trPr>
          <w:trHeight w:val="222"/>
        </w:trPr>
        <w:tc>
          <w:tcPr>
            <w:tcW w:w="3500" w:type="dxa"/>
            <w:vAlign w:val="bottom"/>
          </w:tcPr>
          <w:p>
            <w:pPr>
              <w:spacing w:after="0"/>
              <w:rPr>
                <w:sz w:val="19"/>
                <w:szCs w:val="19"/>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Guarantees."</w:t>
            </w:r>
          </w:p>
        </w:tc>
      </w:tr>
      <w:tr>
        <w:trPr>
          <w:trHeight w:val="459"/>
        </w:trPr>
        <w:tc>
          <w:tcPr>
            <w:tcW w:w="3500" w:type="dxa"/>
            <w:vAlign w:val="bottom"/>
          </w:tcPr>
          <w:p>
            <w:pPr>
              <w:ind w:left="1340"/>
              <w:spacing w:after="0"/>
              <w:rPr>
                <w:sz w:val="20"/>
                <w:szCs w:val="20"/>
                <w:color w:val="auto"/>
              </w:rPr>
            </w:pPr>
            <w:r>
              <w:rPr>
                <w:rFonts w:ascii="Arial" w:cs="Arial" w:eastAsia="Arial" w:hAnsi="Arial"/>
                <w:sz w:val="18"/>
                <w:szCs w:val="18"/>
                <w:color w:val="auto"/>
              </w:rPr>
              <w:t>Notes Offered</w:t>
            </w:r>
          </w:p>
        </w:tc>
        <w:tc>
          <w:tcPr>
            <w:tcW w:w="7920" w:type="dxa"/>
            <w:vAlign w:val="bottom"/>
          </w:tcPr>
          <w:p>
            <w:pPr>
              <w:ind w:left="520"/>
              <w:spacing w:after="0"/>
              <w:rPr>
                <w:sz w:val="20"/>
                <w:szCs w:val="20"/>
                <w:color w:val="auto"/>
              </w:rPr>
            </w:pPr>
            <w:r>
              <w:rPr>
                <w:rFonts w:ascii="Arial" w:cs="Arial" w:eastAsia="Arial" w:hAnsi="Arial"/>
                <w:sz w:val="18"/>
                <w:szCs w:val="18"/>
                <w:color w:val="auto"/>
              </w:rPr>
              <w:t>$1.0 billion aggregate principal amount of 3.550% Senior Notes due 2029.</w:t>
            </w:r>
          </w:p>
        </w:tc>
      </w:tr>
      <w:tr>
        <w:trPr>
          <w:trHeight w:val="459"/>
        </w:trPr>
        <w:tc>
          <w:tcPr>
            <w:tcW w:w="3500" w:type="dxa"/>
            <w:vAlign w:val="bottom"/>
          </w:tcPr>
          <w:p>
            <w:pPr>
              <w:ind w:left="1340"/>
              <w:spacing w:after="0"/>
              <w:rPr>
                <w:sz w:val="20"/>
                <w:szCs w:val="20"/>
                <w:color w:val="auto"/>
              </w:rPr>
            </w:pPr>
            <w:r>
              <w:rPr>
                <w:rFonts w:ascii="Arial" w:cs="Arial" w:eastAsia="Arial" w:hAnsi="Arial"/>
                <w:sz w:val="18"/>
                <w:szCs w:val="18"/>
                <w:color w:val="auto"/>
              </w:rPr>
              <w:t>Maturity Date</w:t>
            </w:r>
          </w:p>
        </w:tc>
        <w:tc>
          <w:tcPr>
            <w:tcW w:w="7920" w:type="dxa"/>
            <w:vAlign w:val="bottom"/>
          </w:tcPr>
          <w:p>
            <w:pPr>
              <w:ind w:left="520"/>
              <w:spacing w:after="0"/>
              <w:rPr>
                <w:sz w:val="20"/>
                <w:szCs w:val="20"/>
                <w:color w:val="auto"/>
              </w:rPr>
            </w:pPr>
            <w:r>
              <w:rPr>
                <w:rFonts w:ascii="Arial" w:cs="Arial" w:eastAsia="Arial" w:hAnsi="Arial"/>
                <w:sz w:val="18"/>
                <w:szCs w:val="18"/>
                <w:color w:val="auto"/>
              </w:rPr>
              <w:t>December 15, 2029.</w:t>
            </w:r>
          </w:p>
        </w:tc>
      </w:tr>
      <w:tr>
        <w:trPr>
          <w:trHeight w:val="459"/>
        </w:trPr>
        <w:tc>
          <w:tcPr>
            <w:tcW w:w="3500" w:type="dxa"/>
            <w:vAlign w:val="bottom"/>
          </w:tcPr>
          <w:p>
            <w:pPr>
              <w:ind w:left="1340"/>
              <w:spacing w:after="0"/>
              <w:rPr>
                <w:sz w:val="20"/>
                <w:szCs w:val="20"/>
                <w:color w:val="auto"/>
              </w:rPr>
            </w:pPr>
            <w:r>
              <w:rPr>
                <w:rFonts w:ascii="Arial" w:cs="Arial" w:eastAsia="Arial" w:hAnsi="Arial"/>
                <w:sz w:val="18"/>
                <w:szCs w:val="18"/>
                <w:color w:val="auto"/>
              </w:rPr>
              <w:t>Interest Rate</w:t>
            </w:r>
          </w:p>
        </w:tc>
        <w:tc>
          <w:tcPr>
            <w:tcW w:w="7920" w:type="dxa"/>
            <w:vAlign w:val="bottom"/>
          </w:tcPr>
          <w:p>
            <w:pPr>
              <w:ind w:left="520"/>
              <w:spacing w:after="0"/>
              <w:rPr>
                <w:sz w:val="20"/>
                <w:szCs w:val="20"/>
                <w:color w:val="auto"/>
              </w:rPr>
            </w:pPr>
            <w:r>
              <w:rPr>
                <w:rFonts w:ascii="Arial" w:cs="Arial" w:eastAsia="Arial" w:hAnsi="Arial"/>
                <w:sz w:val="18"/>
                <w:szCs w:val="18"/>
                <w:color w:val="auto"/>
              </w:rPr>
              <w:t>3.550%.</w:t>
            </w:r>
          </w:p>
        </w:tc>
      </w:tr>
      <w:tr>
        <w:trPr>
          <w:trHeight w:val="453"/>
        </w:trPr>
        <w:tc>
          <w:tcPr>
            <w:tcW w:w="3500" w:type="dxa"/>
            <w:vAlign w:val="bottom"/>
          </w:tcPr>
          <w:p>
            <w:pPr>
              <w:ind w:left="1340"/>
              <w:spacing w:after="0"/>
              <w:rPr>
                <w:sz w:val="20"/>
                <w:szCs w:val="20"/>
                <w:color w:val="auto"/>
              </w:rPr>
            </w:pPr>
            <w:r>
              <w:rPr>
                <w:rFonts w:ascii="Arial" w:cs="Arial" w:eastAsia="Arial" w:hAnsi="Arial"/>
                <w:sz w:val="18"/>
                <w:szCs w:val="18"/>
                <w:color w:val="auto"/>
              </w:rPr>
              <w:t>Interest Payment Dates</w:t>
            </w:r>
          </w:p>
        </w:tc>
        <w:tc>
          <w:tcPr>
            <w:tcW w:w="7920" w:type="dxa"/>
            <w:vAlign w:val="bottom"/>
          </w:tcPr>
          <w:p>
            <w:pPr>
              <w:ind w:left="520"/>
              <w:spacing w:after="0"/>
              <w:rPr>
                <w:sz w:val="20"/>
                <w:szCs w:val="20"/>
                <w:color w:val="auto"/>
              </w:rPr>
            </w:pPr>
            <w:r>
              <w:rPr>
                <w:rFonts w:ascii="Arial" w:cs="Arial" w:eastAsia="Arial" w:hAnsi="Arial"/>
                <w:sz w:val="18"/>
                <w:szCs w:val="18"/>
                <w:color w:val="auto"/>
              </w:rPr>
              <w:t>We will pay interest on the Notes semi-annually in arrears on June 15 and</w:t>
            </w:r>
          </w:p>
        </w:tc>
      </w:tr>
      <w:tr>
        <w:trPr>
          <w:trHeight w:val="222"/>
        </w:trPr>
        <w:tc>
          <w:tcPr>
            <w:tcW w:w="3500" w:type="dxa"/>
            <w:vAlign w:val="bottom"/>
          </w:tcPr>
          <w:p>
            <w:pPr>
              <w:spacing w:after="0"/>
              <w:rPr>
                <w:sz w:val="19"/>
                <w:szCs w:val="19"/>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December 15 of each year, beginning on June 15, 2020.</w:t>
            </w:r>
          </w:p>
        </w:tc>
      </w:tr>
      <w:tr>
        <w:trPr>
          <w:trHeight w:val="453"/>
        </w:trPr>
        <w:tc>
          <w:tcPr>
            <w:tcW w:w="3500" w:type="dxa"/>
            <w:vAlign w:val="bottom"/>
          </w:tcPr>
          <w:p>
            <w:pPr>
              <w:ind w:left="1340"/>
              <w:spacing w:after="0"/>
              <w:rPr>
                <w:sz w:val="20"/>
                <w:szCs w:val="20"/>
                <w:color w:val="auto"/>
              </w:rPr>
            </w:pPr>
            <w:r>
              <w:rPr>
                <w:rFonts w:ascii="Arial" w:cs="Arial" w:eastAsia="Arial" w:hAnsi="Arial"/>
                <w:sz w:val="18"/>
                <w:szCs w:val="18"/>
                <w:color w:val="auto"/>
              </w:rPr>
              <w:t>Optional Redemption</w:t>
            </w:r>
          </w:p>
        </w:tc>
        <w:tc>
          <w:tcPr>
            <w:tcW w:w="7920" w:type="dxa"/>
            <w:vAlign w:val="bottom"/>
          </w:tcPr>
          <w:p>
            <w:pPr>
              <w:ind w:left="520"/>
              <w:spacing w:after="0"/>
              <w:rPr>
                <w:sz w:val="20"/>
                <w:szCs w:val="20"/>
                <w:color w:val="auto"/>
              </w:rPr>
            </w:pPr>
            <w:r>
              <w:rPr>
                <w:rFonts w:ascii="Arial" w:cs="Arial" w:eastAsia="Arial" w:hAnsi="Arial"/>
                <w:sz w:val="18"/>
                <w:szCs w:val="18"/>
                <w:color w:val="auto"/>
              </w:rPr>
              <w:t>We may redeem the Notes, in whole or in part, at any time and from time to time prior</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to maturity. If we redeem the Notes before September 15, 2029 (the "Par Call Date"),</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we will pay an amount equal to the greater of (i) 100% of the principal amount of the</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Notes to be redeemed and (ii) the sum of the present values of the remaining</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scheduled payments of principal of and interest on the Notes to be redeemed that</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would be due if the Notes matured on the Par Call Date, discounted to the redemption</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date on a semiannual basis at the Adjusted Treasury Rate (as defined herein) plus 30</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basis points, together with accrued and unpaid interest to the date of redemption. If</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we redeem the Notes on or after the Par Call Date, we will pay an amount equal to</w:t>
            </w:r>
          </w:p>
        </w:tc>
      </w:tr>
      <w:tr>
        <w:trPr>
          <w:trHeight w:val="216"/>
        </w:trPr>
        <w:tc>
          <w:tcPr>
            <w:tcW w:w="3500" w:type="dxa"/>
            <w:vAlign w:val="bottom"/>
          </w:tcPr>
          <w:p>
            <w:pPr>
              <w:spacing w:after="0"/>
              <w:rPr>
                <w:sz w:val="18"/>
                <w:szCs w:val="18"/>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100% of the principal amount of the Notes to be redeemed plus accrued and unpaid</w:t>
            </w:r>
          </w:p>
        </w:tc>
      </w:tr>
      <w:tr>
        <w:trPr>
          <w:trHeight w:val="222"/>
        </w:trPr>
        <w:tc>
          <w:tcPr>
            <w:tcW w:w="3500" w:type="dxa"/>
            <w:vAlign w:val="bottom"/>
          </w:tcPr>
          <w:p>
            <w:pPr>
              <w:spacing w:after="0"/>
              <w:rPr>
                <w:sz w:val="19"/>
                <w:szCs w:val="19"/>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interest to the redemption date. See "Description of Notes—Optional Redemption."</w:t>
            </w:r>
          </w:p>
        </w:tc>
      </w:tr>
      <w:tr>
        <w:trPr>
          <w:trHeight w:val="453"/>
        </w:trPr>
        <w:tc>
          <w:tcPr>
            <w:tcW w:w="3500" w:type="dxa"/>
            <w:vAlign w:val="bottom"/>
          </w:tcPr>
          <w:p>
            <w:pPr>
              <w:ind w:left="1340"/>
              <w:spacing w:after="0"/>
              <w:rPr>
                <w:sz w:val="20"/>
                <w:szCs w:val="20"/>
                <w:color w:val="auto"/>
              </w:rPr>
            </w:pPr>
            <w:r>
              <w:rPr>
                <w:rFonts w:ascii="Arial" w:cs="Arial" w:eastAsia="Arial" w:hAnsi="Arial"/>
                <w:sz w:val="18"/>
                <w:szCs w:val="18"/>
                <w:color w:val="auto"/>
              </w:rPr>
              <w:t>Ranking</w:t>
            </w:r>
          </w:p>
        </w:tc>
        <w:tc>
          <w:tcPr>
            <w:tcW w:w="7920" w:type="dxa"/>
            <w:vAlign w:val="bottom"/>
          </w:tcPr>
          <w:p>
            <w:pPr>
              <w:ind w:left="520"/>
              <w:spacing w:after="0"/>
              <w:rPr>
                <w:sz w:val="20"/>
                <w:szCs w:val="20"/>
                <w:color w:val="auto"/>
              </w:rPr>
            </w:pPr>
            <w:r>
              <w:rPr>
                <w:rFonts w:ascii="Arial" w:cs="Arial" w:eastAsia="Arial" w:hAnsi="Arial"/>
                <w:sz w:val="18"/>
                <w:szCs w:val="18"/>
                <w:color w:val="auto"/>
              </w:rPr>
              <w:t>The Notes will be senior unsecured obligations of the issuers and will rank equally in</w:t>
            </w:r>
          </w:p>
        </w:tc>
      </w:tr>
      <w:tr>
        <w:trPr>
          <w:trHeight w:val="222"/>
        </w:trPr>
        <w:tc>
          <w:tcPr>
            <w:tcW w:w="3500" w:type="dxa"/>
            <w:vAlign w:val="bottom"/>
          </w:tcPr>
          <w:p>
            <w:pPr>
              <w:spacing w:after="0"/>
              <w:rPr>
                <w:sz w:val="19"/>
                <w:szCs w:val="19"/>
                <w:color w:val="auto"/>
              </w:rPr>
            </w:pPr>
          </w:p>
        </w:tc>
        <w:tc>
          <w:tcPr>
            <w:tcW w:w="7920" w:type="dxa"/>
            <w:vAlign w:val="bottom"/>
          </w:tcPr>
          <w:p>
            <w:pPr>
              <w:ind w:left="520"/>
              <w:spacing w:after="0"/>
              <w:rPr>
                <w:sz w:val="20"/>
                <w:szCs w:val="20"/>
                <w:color w:val="auto"/>
              </w:rPr>
            </w:pPr>
            <w:r>
              <w:rPr>
                <w:rFonts w:ascii="Arial" w:cs="Arial" w:eastAsia="Arial" w:hAnsi="Arial"/>
                <w:sz w:val="18"/>
                <w:szCs w:val="18"/>
                <w:color w:val="auto"/>
              </w:rPr>
              <w:t>right of payment with the existing and future senior indebtedness of the issuers.</w:t>
            </w:r>
          </w:p>
        </w:tc>
      </w:tr>
      <w:tr>
        <w:trPr>
          <w:trHeight w:val="444"/>
        </w:trPr>
        <w:tc>
          <w:tcPr>
            <w:tcW w:w="35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r>
      <w:tr>
        <w:trPr>
          <w:trHeight w:val="427"/>
        </w:trPr>
        <w:tc>
          <w:tcPr>
            <w:tcW w:w="3500" w:type="dxa"/>
            <w:vAlign w:val="bottom"/>
          </w:tcPr>
          <w:p>
            <w:pPr>
              <w:spacing w:after="0"/>
              <w:rPr>
                <w:sz w:val="24"/>
                <w:szCs w:val="24"/>
                <w:color w:val="auto"/>
              </w:rPr>
            </w:pPr>
          </w:p>
        </w:tc>
        <w:tc>
          <w:tcPr>
            <w:tcW w:w="7920" w:type="dxa"/>
            <w:vAlign w:val="bottom"/>
          </w:tcPr>
          <w:p>
            <w:pPr>
              <w:ind w:left="2100"/>
              <w:spacing w:after="0"/>
              <w:rPr>
                <w:sz w:val="20"/>
                <w:szCs w:val="20"/>
                <w:color w:val="auto"/>
              </w:rPr>
            </w:pPr>
            <w:r>
              <w:rPr>
                <w:rFonts w:ascii="Arial" w:cs="Arial" w:eastAsia="Arial" w:hAnsi="Arial"/>
                <w:sz w:val="18"/>
                <w:szCs w:val="18"/>
                <w:color w:val="auto"/>
              </w:rPr>
              <w:t>S-3</w:t>
            </w:r>
          </w:p>
        </w:tc>
      </w:tr>
      <w:tr>
        <w:trPr>
          <w:trHeight w:val="228"/>
        </w:trPr>
        <w:tc>
          <w:tcPr>
            <w:tcW w:w="3500" w:type="dxa"/>
            <w:vAlign w:val="bottom"/>
            <w:tcBorders>
              <w:bottom w:val="single" w:sz="8" w:color="808080"/>
            </w:tcBorders>
          </w:tcPr>
          <w:p>
            <w:pPr>
              <w:spacing w:after="0"/>
              <w:rPr>
                <w:sz w:val="19"/>
                <w:szCs w:val="19"/>
                <w:color w:val="auto"/>
              </w:rPr>
            </w:pPr>
          </w:p>
        </w:tc>
        <w:tc>
          <w:tcPr>
            <w:tcW w:w="7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Certain Covenants</w:t>
            </w:r>
          </w:p>
        </w:tc>
        <w:tc>
          <w:tcPr>
            <w:tcW w:w="76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The Notes will be issued under an indenture containing covenants for your benefit.</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These covenants restrict our ability, with certain exceptions, to:</w:t>
            </w:r>
          </w:p>
        </w:tc>
      </w:tr>
      <w:tr>
        <w:trPr>
          <w:trHeight w:val="432"/>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incur liens on principal properties to secure debt;</w:t>
            </w:r>
          </w:p>
        </w:tc>
      </w:tr>
      <w:tr>
        <w:trPr>
          <w:trHeight w:val="432"/>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engage in sale-leaseback transactions; and</w:t>
            </w:r>
          </w:p>
        </w:tc>
      </w:tr>
      <w:tr>
        <w:trPr>
          <w:trHeight w:val="426"/>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merge or consolidate with another entity or sell, lease or transfer substantially all of</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our properties or assets to another entity.</w:t>
            </w:r>
          </w:p>
        </w:tc>
      </w:tr>
      <w:tr>
        <w:trPr>
          <w:trHeight w:val="459"/>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See "Description of Notes—Covenants."</w:t>
            </w: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net proceeds of this offering will be approximately $989.1 million after deducting</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underwriting discount and our estimated offering expenses. We expect to use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net proceeds from this offering to partially repay the principal amounts of our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$500 million 2.60% senior notes due 2019 and $500 million 5.75% senior notes due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2020 at their respective maturity dates in December 2019 and January 2020, and,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pending such repayment, for general partnership purposes, which may include, among</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other things, repayment of indebtedness, acquisitions, capital expenditures and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additions to working capital.</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Certain of the underwriters or their affiliates may hold our 2.60% senior notes due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2019 or our 5.75% senior notes due 2020 to be repaid with proceeds from this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offering and, accordingly, may receive a substantial portion of the net proceeds of this</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offering. See "Use of Proceeds."</w:t>
            </w: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9"/>
              </w:rPr>
              <w:t>Book-Entry, Delivery and Form</w:t>
            </w: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Notes will be represented by one or more permanent global certificates in fully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registered form deposited with a custodian for, and registered in the name of, a</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nominee of The Depository Trust Company.</w:t>
            </w: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Further Issuances</w:t>
            </w: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may create and issue additional Notes ranking equally and ratably with the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offered by this prospectus supplement in all respects, so that such additional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will be consolidated and form a single series with such Notes and will have the same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terms, as to status, redemption or otherwise except for the issue date, the initial</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interest payment date, if applicable, and the payment of interest accruing prior to the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issue date of such additional Notes.</w:t>
            </w: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No Listing</w:t>
            </w: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Notes are a new issue of securities with no established trading market. We do not</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currently intend to apply for listing of the Notes on any securities exchange or have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Notes quoted on any automated quotation system. See "Risk Factors—Risks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Related to the Notes—Your ability to transfer the Notes may be limited by the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absence of an organized trading market."</w:t>
            </w:r>
          </w:p>
        </w:tc>
      </w:tr>
      <w:tr>
        <w:trPr>
          <w:trHeight w:val="459"/>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Governing Law</w:t>
            </w: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State of New York.</w:t>
            </w:r>
          </w:p>
        </w:tc>
      </w:tr>
      <w:tr>
        <w:trPr>
          <w:trHeight w:val="459"/>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7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U.S. Bank National Association.</w:t>
            </w:r>
          </w:p>
        </w:tc>
      </w:tr>
      <w:tr>
        <w:trPr>
          <w:trHeight w:val="444"/>
        </w:trPr>
        <w:tc>
          <w:tcPr>
            <w:tcW w:w="3800" w:type="dxa"/>
            <w:vAlign w:val="bottom"/>
            <w:tcBorders>
              <w:left w:val="single" w:sz="8" w:color="auto"/>
              <w:bottom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7620" w:type="dxa"/>
            <w:vAlign w:val="bottom"/>
          </w:tcPr>
          <w:p>
            <w:pPr>
              <w:ind w:left="1800"/>
              <w:spacing w:after="0"/>
              <w:rPr>
                <w:sz w:val="20"/>
                <w:szCs w:val="20"/>
                <w:color w:val="auto"/>
              </w:rPr>
            </w:pPr>
            <w:r>
              <w:rPr>
                <w:rFonts w:ascii="Arial" w:cs="Arial" w:eastAsia="Arial" w:hAnsi="Arial"/>
                <w:sz w:val="18"/>
                <w:szCs w:val="18"/>
                <w:color w:val="auto"/>
              </w:rPr>
              <w:t>S-4</w:t>
            </w:r>
          </w:p>
        </w:tc>
      </w:tr>
      <w:tr>
        <w:trPr>
          <w:trHeight w:val="228"/>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12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830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Investing in the Notes involves risks. You should consider carefully all of the</w:t>
            </w:r>
          </w:p>
        </w:tc>
      </w:tr>
      <w:tr>
        <w:trPr>
          <w:trHeight w:val="216"/>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information in this prospectus supplement, the accompanying base prospectus, any</w:t>
            </w:r>
          </w:p>
        </w:tc>
      </w:tr>
      <w:tr>
        <w:trPr>
          <w:trHeight w:val="216"/>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free writing prospectus relating to this offering and the documents incorporated by</w:t>
            </w:r>
          </w:p>
        </w:tc>
      </w:tr>
      <w:tr>
        <w:trPr>
          <w:trHeight w:val="216"/>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reference herein and therein. In particular, you should consider carefully the specific</w:t>
            </w:r>
          </w:p>
        </w:tc>
      </w:tr>
      <w:tr>
        <w:trPr>
          <w:trHeight w:val="222"/>
        </w:trPr>
        <w:tc>
          <w:tcPr>
            <w:tcW w:w="312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risks set forth in "Risk Factors" beginning on page S-6 of this prospectus supplement.</w:t>
            </w:r>
          </w:p>
        </w:tc>
      </w:tr>
      <w:tr>
        <w:trPr>
          <w:trHeight w:val="228"/>
        </w:trPr>
        <w:tc>
          <w:tcPr>
            <w:tcW w:w="3120" w:type="dxa"/>
            <w:vAlign w:val="bottom"/>
            <w:tcBorders>
              <w:left w:val="single" w:sz="8" w:color="auto"/>
              <w:bottom w:val="single" w:sz="8" w:color="auto"/>
            </w:tcBorders>
          </w:tcPr>
          <w:p>
            <w:pPr>
              <w:spacing w:after="0"/>
              <w:rPr>
                <w:sz w:val="19"/>
                <w:szCs w:val="19"/>
                <w:color w:val="auto"/>
              </w:rPr>
            </w:pPr>
          </w:p>
        </w:tc>
        <w:tc>
          <w:tcPr>
            <w:tcW w:w="8300" w:type="dxa"/>
            <w:vAlign w:val="bottom"/>
            <w:tcBorders>
              <w:bottom w:val="single" w:sz="8" w:color="auto"/>
              <w:right w:val="single" w:sz="8" w:color="auto"/>
            </w:tcBorders>
          </w:tcPr>
          <w:p>
            <w:pPr>
              <w:spacing w:after="0"/>
              <w:rPr>
                <w:sz w:val="19"/>
                <w:szCs w:val="19"/>
                <w:color w:val="auto"/>
              </w:rPr>
            </w:pPr>
          </w:p>
        </w:tc>
      </w:tr>
      <w:tr>
        <w:trPr>
          <w:trHeight w:val="427"/>
        </w:trPr>
        <w:tc>
          <w:tcPr>
            <w:tcW w:w="3120" w:type="dxa"/>
            <w:vAlign w:val="bottom"/>
          </w:tcPr>
          <w:p>
            <w:pPr>
              <w:spacing w:after="0"/>
              <w:rPr>
                <w:sz w:val="24"/>
                <w:szCs w:val="24"/>
                <w:color w:val="auto"/>
              </w:rPr>
            </w:pPr>
          </w:p>
        </w:tc>
        <w:tc>
          <w:tcPr>
            <w:tcW w:w="8300" w:type="dxa"/>
            <w:vAlign w:val="bottom"/>
          </w:tcPr>
          <w:p>
            <w:pPr>
              <w:ind w:left="2480"/>
              <w:spacing w:after="0"/>
              <w:rPr>
                <w:sz w:val="20"/>
                <w:szCs w:val="20"/>
                <w:color w:val="auto"/>
              </w:rPr>
            </w:pPr>
            <w:r>
              <w:rPr>
                <w:rFonts w:ascii="Arial" w:cs="Arial" w:eastAsia="Arial" w:hAnsi="Arial"/>
                <w:sz w:val="18"/>
                <w:szCs w:val="18"/>
                <w:color w:val="auto"/>
              </w:rPr>
              <w:t>S-5</w:t>
            </w:r>
          </w:p>
        </w:tc>
      </w:tr>
      <w:tr>
        <w:trPr>
          <w:trHeight w:val="228"/>
        </w:trPr>
        <w:tc>
          <w:tcPr>
            <w:tcW w:w="312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94"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Before making an investment in the Notes offered hereby, you should carefully consider the risk factors discussed herein and those included in Item 1A. "Risk Factors" in our </w:t>
      </w:r>
      <w:hyperlink r:id="rId19">
        <w:r>
          <w:rPr>
            <w:rFonts w:ascii="Arial" w:cs="Arial" w:eastAsia="Arial" w:hAnsi="Arial"/>
            <w:sz w:val="16"/>
            <w:szCs w:val="16"/>
            <w:i w:val="1"/>
            <w:iCs w:val="1"/>
            <w:u w:val="single" w:color="auto"/>
            <w:color w:val="0000EE"/>
          </w:rPr>
          <w:t>Annual Report on Form 10-K for the fiscal year ended December 31, 2018 (File No. 001-14569)</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and any subsequent Quarterly Reports on Form 10-Q,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guarantee the Notes in the future. As of June 30, 2019, on an as adjusted basis as described under "Capitalization," the Notes would have been effectively subordinated to $100 million of short-term secured indebtedness and would have been structurally subordinated to $436 million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leverage is significant in relation to our partners' capital. As of June 30, 2019, on an as adjusted basis as described under "Capitalization," our total outstanding long-term debt was approximately $9.2 billion, and our total outstanding short-term debt was approximately $470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Changes in our credit rating or outlook or in the rating assigned by a rating agency to the Notes could adversely affect the market price or liquidity of the Notes.</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1080" w:right="8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comply with applicable law or any loan agreement, security agreement, mortgage, debt instrument or other agreement or obligation;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funds to make payments on the preferred units;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the Internal Revenue Service ("IRS") were to treat us as a corporation for U.S. federal income tax purposes, or if we were to become subject to entity-level taxation for state tax purposes, then the amount of cash available for payment of principal and interest on the Notes and our other indebtedness could be substantially reduced.</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7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could substantially reduce our cash available for payment of principal and interest on the Notes and our other indebtedness.</w:t>
      </w:r>
    </w:p>
    <w:p>
      <w:pPr>
        <w:spacing w:after="0" w:line="16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net proceeds of this offering will be approximately $989.1 million after deducting the underwriting discount and our estimated offering expenses. We expect to use the net proceeds from this offering to partially repay the principal amounts of our $500 million 2.60% senior notes due 2019 and $500 million 5.75% senior notes due 2020 at their respective maturity dates in December 2019 and January 2020, and, pending such repayment, for general partnership purposes, which may include, among other things, repayment of indebtedness, acquisitions, capital expenditures and additions to working capital.</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2.60% senior notes due 2019 or our 5.75% senior notes due 2020 to be repaid with proceeds from this offering and, accordingly, may receive a substantial portion of the net proceeds of this offering.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June 30, 2019:</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June 30, 2019</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Historical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millions)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SHORT-TERM DEBT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 notes(1)</w:t>
            </w:r>
          </w:p>
        </w:tc>
        <w:tc>
          <w:tcPr>
            <w:tcW w:w="10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Senior secured hedged inventory facility(1)</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Total short-term debt</w:t>
            </w:r>
          </w:p>
        </w:tc>
        <w:tc>
          <w:tcPr>
            <w:tcW w:w="9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Senior notes, net of unamortized discounts and debt issuance costs(2)</w:t>
            </w:r>
          </w:p>
        </w:tc>
        <w:tc>
          <w:tcPr>
            <w:tcW w:w="10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8,945</w:t>
            </w:r>
          </w:p>
        </w:tc>
        <w:tc>
          <w:tcPr>
            <w:tcW w:w="520" w:type="dxa"/>
            <w:vAlign w:val="bottom"/>
            <w:gridSpan w:val="2"/>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offered hereby, net of unamortized discount and debt issuance costs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GO Zone term loans, net of debt issuance costs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Total long-term debt</w:t>
            </w:r>
          </w:p>
        </w:tc>
        <w:tc>
          <w:tcPr>
            <w:tcW w:w="9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Series A preferred unitholders</w:t>
            </w:r>
          </w:p>
        </w:tc>
        <w:tc>
          <w:tcPr>
            <w:tcW w:w="10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1,505</w:t>
            </w:r>
          </w:p>
        </w:tc>
        <w:tc>
          <w:tcPr>
            <w:tcW w:w="520" w:type="dxa"/>
            <w:vAlign w:val="bottom"/>
            <w:gridSpan w:val="2"/>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Series B preferred unitholders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Common unitholders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10,649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10,649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Total partners' capital</w:t>
            </w:r>
          </w:p>
        </w:tc>
        <w:tc>
          <w:tcPr>
            <w:tcW w:w="9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13,073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13,073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capitalization</w:t>
            </w:r>
          </w:p>
        </w:tc>
        <w:tc>
          <w:tcPr>
            <w:tcW w:w="10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22,249</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22,249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298"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September 5, 2019, we had $428 million outstanding under our commercial paper program and no borrowings outstanding under our credit facilities. Furthermore, we classified these commercial paper notes and credit facility borrowings as short-term as of June 30, 2019, as these notes and borrowings were primarily designated as working capital borrowings, were required to be repaid within one year and were primarily for hedged NGL and crude oil inventory and NYMEX and ICE margin deposits.</w:t>
      </w:r>
    </w:p>
    <w:p>
      <w:pPr>
        <w:spacing w:after="0" w:line="180" w:lineRule="exact"/>
        <w:rPr>
          <w:rFonts w:ascii="Arial" w:cs="Arial" w:eastAsia="Arial" w:hAnsi="Arial"/>
          <w:sz w:val="16"/>
          <w:szCs w:val="16"/>
          <w:color w:val="auto"/>
        </w:rPr>
      </w:pPr>
    </w:p>
    <w:p>
      <w:pPr>
        <w:ind w:left="168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June 30, 2019, we classified our $500 million 2.60% senior notes due December 2019 and our $500 million 5.75% senior notes due January 2020 as long-term based on our ability and intent to refinance such amounts on a long-term basis, including through the application of the net proceeds from this offering.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We will issue the Notes under an indenture (the "Base Indenture") dated as of September 25, 2002, among us and U.S. Bank National Association, as successor trustee, and a supplemental indenture thereto with respect to the Notes to be dated as of September 16, 2019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17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new series of debt securities issued under the Base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structurally junior to existing and future indebtedness and other obligations of our Subsidiaries, including trade payables, other than Subsidiaries that guarantee the Notes in the future.</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June 30, 2019, on an as adjusted basis as described under "Capitalization," the Notes would have been subordinated to $100 million of short-term secured indebtedness and would have been structurally subordinated to $436 million of our subsidiaries' outstanding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issue the Notes in an initial aggregate principal amount of $1.0 billion. The Notes will mature on December 15, 2029. The Notes will bear interest at an annual rate of 3.550%. Interest on the Notes will accrue from September 16, 2019 and will be payable semi-annually in arrears on June 15 and December 15 of each year, beginning June 15, 2020. We will make each interest payment to the holders of record at the close of business on June 1 and December 1 preceding such interest payment dates. Interest will be computed on the basis of a 360-day year consisting of twelve 30-day months. We will issue the Notes in minimum denominations of $2,000 and integral multiples of $1,000 in excess thereof.</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199" w:lineRule="exact"/>
        <w:rPr>
          <w:sz w:val="20"/>
          <w:szCs w:val="20"/>
          <w:color w:val="auto"/>
        </w:rPr>
      </w:pPr>
    </w:p>
    <w:p>
      <w:pPr>
        <w:ind w:left="108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 the Par Call Date, we will pay an amount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 defined herein) plus 30 basis points, together with accrued and unpaid interest to the date of redemption.</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redeem the Notes on or after the Par Call Date, we will pay an amount equal to 100% of the principal amount of the Notes to be redeemed plus accrued and unpaid interest to the redemption date.</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9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September 15, 2029.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Citigroup Global Markets Inc., Mizuho Securities USA LLC, a primary U.S. Government securities dealer in the United States (a "Primary Treasury Dealer") selected by MUFG Securities Americas Inc. and a Primary Treasury Dealer selected by Scotia Capital (USA) Inc., or their respective successors and affiliates; provided, however, if any of the foregoing ceases to be a Primary Treasury Dealer, we shall substitute therefor another Primary Treasury Dealer.</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if the Notes are in the form of Global Notes, by such method as the depositary shall require.</w:t>
      </w:r>
    </w:p>
    <w:p>
      <w:pPr>
        <w:spacing w:after="0" w:line="186"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25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174" w:lineRule="exact"/>
        <w:rPr>
          <w:rFonts w:ascii="Arial" w:cs="Arial" w:eastAsia="Arial" w:hAnsi="Arial"/>
          <w:sz w:val="16"/>
          <w:szCs w:val="16"/>
          <w:color w:val="auto"/>
        </w:rPr>
      </w:pPr>
    </w:p>
    <w:p>
      <w:pPr>
        <w:ind w:left="1080" w:right="60" w:hanging="532"/>
        <w:spacing w:after="0" w:line="302"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w:t>
      </w:r>
    </w:p>
    <w:p>
      <w:pPr>
        <w:spacing w:after="0" w:line="3"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85"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22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00" w:hanging="532"/>
        <w:spacing w:after="0" w:line="306"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74" w:lineRule="exact"/>
        <w:rPr>
          <w:rFonts w:ascii="Arial" w:cs="Arial" w:eastAsia="Arial" w:hAnsi="Arial"/>
          <w:sz w:val="16"/>
          <w:szCs w:val="16"/>
          <w:color w:val="auto"/>
        </w:rPr>
      </w:pPr>
    </w:p>
    <w:p>
      <w:pPr>
        <w:jc w:val="both"/>
        <w:ind w:left="1620" w:right="60" w:hanging="532"/>
        <w:spacing w:after="0" w:line="25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9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38"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4"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 any Restricted Subsidiary); provided, however, that such lien only encumbers the property or assets so acquired;</w:t>
      </w:r>
    </w:p>
    <w:p>
      <w:pPr>
        <w:spacing w:after="0" w:line="239" w:lineRule="exact"/>
        <w:rPr>
          <w:sz w:val="20"/>
          <w:szCs w:val="20"/>
          <w:color w:val="auto"/>
        </w:rPr>
      </w:pPr>
    </w:p>
    <w:p>
      <w:pPr>
        <w:ind w:left="1080" w:right="4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221"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07"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20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and will not permit any Subsidiary of Plains All American Pipeline to, engage in a Sale-leaseback Transaction, unless:</w:t>
      </w:r>
    </w:p>
    <w:p>
      <w:pPr>
        <w:spacing w:after="0" w:line="239" w:lineRule="exact"/>
        <w:rPr>
          <w:sz w:val="20"/>
          <w:szCs w:val="20"/>
          <w:color w:val="auto"/>
        </w:rPr>
      </w:pPr>
    </w:p>
    <w:p>
      <w:pPr>
        <w:ind w:left="1080" w:right="1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5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10% of Consolidated Net 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31"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9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opinion of counsel must be based on a ruling of the Internal Revenue Service or other change in applicable federal income tax law.</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86"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252"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225" w:lineRule="exact"/>
        <w:rPr>
          <w:sz w:val="20"/>
          <w:szCs w:val="20"/>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225" w:lineRule="exact"/>
        <w:rPr>
          <w:rFonts w:ascii="Arial" w:cs="Arial" w:eastAsia="Arial" w:hAnsi="Arial"/>
          <w:sz w:val="18"/>
          <w:szCs w:val="18"/>
          <w:color w:val="auto"/>
        </w:rPr>
      </w:pPr>
    </w:p>
    <w:p>
      <w:pPr>
        <w:ind w:left="1080" w:right="100" w:firstLine="360"/>
        <w:spacing w:after="0" w:line="268" w:lineRule="auto"/>
        <w:tabs>
          <w:tab w:leader="none" w:pos="17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97"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540" w:right="240" w:firstLine="359"/>
        <w:spacing w:after="0" w:line="306" w:lineRule="auto"/>
        <w:tabs>
          <w:tab w:leader="none" w:pos="12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60" w:lineRule="exact"/>
        <w:rPr>
          <w:rFonts w:ascii="Arial" w:cs="Arial" w:eastAsia="Arial" w:hAnsi="Arial"/>
          <w:sz w:val="16"/>
          <w:szCs w:val="16"/>
          <w:color w:val="auto"/>
        </w:rPr>
      </w:pPr>
    </w:p>
    <w:p>
      <w:pPr>
        <w:ind w:left="540" w:right="180" w:firstLine="359"/>
        <w:spacing w:after="0" w:line="268"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50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85" w:lineRule="exact"/>
        <w:rPr>
          <w:rFonts w:ascii="Arial" w:cs="Arial" w:eastAsia="Arial" w:hAnsi="Arial"/>
          <w:sz w:val="18"/>
          <w:szCs w:val="18"/>
          <w:color w:val="auto"/>
        </w:rPr>
      </w:pPr>
    </w:p>
    <w:p>
      <w:pPr>
        <w:ind w:left="540" w:right="48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185" w:lineRule="exact"/>
        <w:rPr>
          <w:rFonts w:ascii="Arial" w:cs="Arial" w:eastAsia="Arial" w:hAnsi="Arial"/>
          <w:sz w:val="18"/>
          <w:szCs w:val="18"/>
          <w:color w:val="auto"/>
        </w:rPr>
      </w:pPr>
    </w:p>
    <w:p>
      <w:pPr>
        <w:ind w:left="540" w:right="180" w:firstLine="359"/>
        <w:spacing w:after="0" w:line="332" w:lineRule="auto"/>
        <w:tabs>
          <w:tab w:leader="none" w:pos="12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225" w:lineRule="exact"/>
        <w:rPr>
          <w:rFonts w:ascii="Arial" w:cs="Arial" w:eastAsia="Arial" w:hAnsi="Arial"/>
          <w:sz w:val="18"/>
          <w:szCs w:val="18"/>
          <w:color w:val="auto"/>
        </w:rPr>
      </w:pPr>
    </w:p>
    <w:p>
      <w:pPr>
        <w:ind w:left="540" w:firstLine="359"/>
        <w:spacing w:after="0" w:line="256"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97" w:lineRule="exact"/>
        <w:rPr>
          <w:rFonts w:ascii="Arial" w:cs="Arial" w:eastAsia="Arial" w:hAnsi="Arial"/>
          <w:sz w:val="18"/>
          <w:szCs w:val="18"/>
          <w:color w:val="auto"/>
        </w:rPr>
      </w:pPr>
    </w:p>
    <w:p>
      <w:pPr>
        <w:ind w:left="1220" w:hanging="321"/>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ind w:left="540" w:right="100" w:firstLine="359"/>
        <w:spacing w:after="0" w:line="291" w:lineRule="auto"/>
        <w:tabs>
          <w:tab w:leader="none" w:pos="12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174" w:lineRule="exact"/>
        <w:rPr>
          <w:rFonts w:ascii="Arial" w:cs="Arial" w:eastAsia="Arial" w:hAnsi="Arial"/>
          <w:sz w:val="16"/>
          <w:szCs w:val="16"/>
          <w:color w:val="auto"/>
        </w:rPr>
      </w:pPr>
    </w:p>
    <w:p>
      <w:pPr>
        <w:ind w:left="540" w:right="46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225" w:lineRule="exact"/>
        <w:rPr>
          <w:rFonts w:ascii="Arial" w:cs="Arial" w:eastAsia="Arial" w:hAnsi="Arial"/>
          <w:sz w:val="18"/>
          <w:szCs w:val="18"/>
          <w:color w:val="auto"/>
        </w:rPr>
      </w:pPr>
    </w:p>
    <w:p>
      <w:pPr>
        <w:ind w:left="540" w:right="180" w:firstLine="359"/>
        <w:spacing w:after="0" w:line="298" w:lineRule="auto"/>
        <w:tabs>
          <w:tab w:leader="none" w:pos="12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66" w:lineRule="exact"/>
        <w:rPr>
          <w:rFonts w:ascii="Arial" w:cs="Arial" w:eastAsia="Arial" w:hAnsi="Arial"/>
          <w:sz w:val="16"/>
          <w:szCs w:val="16"/>
          <w:color w:val="auto"/>
        </w:rPr>
      </w:pPr>
    </w:p>
    <w:p>
      <w:pPr>
        <w:ind w:left="540" w:right="60" w:firstLine="359"/>
        <w:spacing w:after="0" w:line="256"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97" w:lineRule="exact"/>
        <w:rPr>
          <w:rFonts w:ascii="Arial" w:cs="Arial" w:eastAsia="Arial" w:hAnsi="Arial"/>
          <w:sz w:val="18"/>
          <w:szCs w:val="18"/>
          <w:color w:val="auto"/>
        </w:rPr>
      </w:pPr>
    </w:p>
    <w:p>
      <w:pPr>
        <w:ind w:left="540" w:right="340" w:firstLine="359"/>
        <w:spacing w:after="0" w:line="332" w:lineRule="auto"/>
        <w:tabs>
          <w:tab w:leader="none" w:pos="12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94" w:lineRule="exact"/>
        <w:rPr>
          <w:sz w:val="20"/>
          <w:szCs w:val="20"/>
          <w:color w:val="auto"/>
        </w:rPr>
      </w:pPr>
    </w:p>
    <w:p>
      <w:pPr>
        <w:ind w:left="540" w:right="160" w:firstLine="359"/>
        <w:spacing w:after="0" w:line="268" w:lineRule="auto"/>
        <w:tabs>
          <w:tab w:leader="none" w:pos="12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225" w:lineRule="exact"/>
        <w:rPr>
          <w:sz w:val="20"/>
          <w:szCs w:val="20"/>
          <w:color w:val="auto"/>
        </w:rPr>
      </w:pPr>
    </w:p>
    <w:p>
      <w:pPr>
        <w:ind w:left="540" w:firstLine="359"/>
        <w:spacing w:after="0" w:line="259" w:lineRule="auto"/>
        <w:tabs>
          <w:tab w:leader="none" w:pos="1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94" w:lineRule="exact"/>
        <w:rPr>
          <w:rFonts w:ascii="Arial" w:cs="Arial" w:eastAsia="Arial" w:hAnsi="Arial"/>
          <w:sz w:val="18"/>
          <w:szCs w:val="18"/>
          <w:color w:val="auto"/>
        </w:rPr>
      </w:pPr>
    </w:p>
    <w:p>
      <w:pPr>
        <w:ind w:left="540" w:right="220" w:firstLine="359"/>
        <w:spacing w:after="0" w:line="255" w:lineRule="auto"/>
        <w:tabs>
          <w:tab w:leader="none" w:pos="1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9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540" w:right="40" w:firstLine="359"/>
        <w:spacing w:after="0" w:line="306" w:lineRule="auto"/>
        <w:tabs>
          <w:tab w:leader="none" w:pos="12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60" w:lineRule="exact"/>
        <w:rPr>
          <w:rFonts w:ascii="Arial" w:cs="Arial" w:eastAsia="Arial" w:hAnsi="Arial"/>
          <w:sz w:val="16"/>
          <w:szCs w:val="16"/>
          <w:color w:val="auto"/>
        </w:rPr>
      </w:pPr>
    </w:p>
    <w:p>
      <w:pPr>
        <w:ind w:left="540" w:right="100" w:firstLine="359"/>
        <w:spacing w:after="0" w:line="332" w:lineRule="auto"/>
        <w:tabs>
          <w:tab w:leader="none" w:pos="12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Subsidiary of Plains All American Pipeline that executes a supplemental indenture to provide a guarantee of the Notes in accordance with the provisions of the Indenture and its successors and assigns.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74"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Industry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70"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Book-Entry Notes for Certificated Notes."</w:t>
      </w:r>
    </w:p>
    <w:p>
      <w:pPr>
        <w:spacing w:after="0" w:line="192"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520" w:firstLine="8"/>
        <w:spacing w:after="0" w:line="261"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9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68" w:lineRule="exact"/>
        <w:rPr>
          <w:sz w:val="20"/>
          <w:szCs w:val="20"/>
          <w:color w:val="auto"/>
        </w:rPr>
      </w:pPr>
    </w:p>
    <w:p>
      <w:pPr>
        <w:jc w:val="both"/>
        <w:ind w:right="260" w:firstLine="351"/>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Book-Entry Notes for Certificated Notes" occurs, DTC reserves the right to exchange the Global Notes for Notes in certificated form and to distribute such Notes to its Participants.</w:t>
      </w:r>
    </w:p>
    <w:p>
      <w:pPr>
        <w:spacing w:after="0" w:line="167"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Book-Entry Notes for Certificated Notes</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all as of the date of this document, all of which are subject to change, possibly on a retroactive basis, or are subject to different interpretations. There can be no assurance that the IRS will not challenge one or more of the tax consequences described in this discussion, and we have not obtained, nor do we intend to obtain, a ruling from the IRS or an opinion of counsel with respect to the U.S. federal income tax consequences of the purchase, ownership or disposition of the Notes.</w:t>
      </w:r>
    </w:p>
    <w:p>
      <w:pPr>
        <w:spacing w:after="0" w:line="174" w:lineRule="exact"/>
        <w:rPr>
          <w:sz w:val="20"/>
          <w:szCs w:val="20"/>
          <w:color w:val="auto"/>
        </w:rPr>
      </w:pPr>
    </w:p>
    <w:p>
      <w:pPr>
        <w:ind w:right="160" w:firstLine="348"/>
        <w:spacing w:after="0" w:line="314" w:lineRule="auto"/>
        <w:rPr>
          <w:sz w:val="20"/>
          <w:szCs w:val="20"/>
          <w:color w:val="auto"/>
        </w:rPr>
      </w:pPr>
      <w:r>
        <w:rPr>
          <w:rFonts w:ascii="Arial" w:cs="Arial" w:eastAsia="Arial" w:hAnsi="Arial"/>
          <w:sz w:val="15"/>
          <w:szCs w:val="15"/>
          <w:color w:val="auto"/>
        </w:rPr>
        <w:t>This discussion is limited to initial beneficial owners who purchase the Notes in this offering for cash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considerations), or the tax consequences arising under the laws of any foreign, state, local or other jurisdiction or any income tax treaty. In addition, this discussion does not address all tax considerations that may be important to a particular holder in light of the holder's special circumstances, or to certain categories of holders that may be subject to special rules, such as:</w:t>
      </w:r>
    </w:p>
    <w:p>
      <w:pPr>
        <w:spacing w:after="0" w:line="17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52"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 Holders (as defined below) required to accelerate the recognition of any item of gross income with respect to the Notes as a result of such income being recognized on an "applicable financial statement" (within the meaning of Section 451(b) of the Code);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about the U.S. federal income tax consequences of purchasing, owning and disposing of the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PROSPECTIVE INVESTORS SHOULD CONSULT THEIR OWN TAX ADVISORS WITH REGARD TO THE APPLICATION OF THE U.S. FEDERAL INCOME TAX LAWS TO THEIR PARTICULAR SITUATIONS, AS WELL AS ANY TAX CONSEQUENCES OF THE PURCHASE, OWNERSHIP AND DISPOSITION OF THE NOTES UNDER OTHER U.S. FEDERAL TAX LAWS OR UNDER THE LAWS OF ANY STATE, LOCAL, FOREIGN OR OTHER JURISDICTION OR UNDER ANY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if the IRS's position is sustained, a holder might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Prospective investors should consult their own tax advisors regarding the possible application of the contingent payment debt instrument rules to the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summary will apply to a U.S. Holder of a Note. A "U.S. Holder" means a beneficial owner of a Note that is for U.S. federal income tax purposes: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who is a U.S. citizen or U.S. resident;</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or any political subdivision thereof;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Upon the sale, exchange, retirement, redemption or other taxable disposition of a Note, a U.S. Holder will generally recognize capital gain or loss equal to the difference, if any, between the amount realized on such disposition and such holder's adjusted tax basis in the Note. The amount realized by a U.S. Holder generally will include the amount of any cash and the fair market value of any other property received for the Note. To the extent that any portion of the amount received on the sale, exchange, retirement, redemption or other taxable disposition of a Note is attributable to accrued but unpaid interest on a Note, this amount generally will not be included in the "amount realized" but will instead be treated in the same manner as described above in "—Interest on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U.S. Holder's adjusted tax basis in a Note will generally equal the purchase price paid by such holder for the Note. Any gain or loss will be long-term capital gain or loss if the U.S. Holder has held the Note for more than one year at the time of the sale, exchange, retirement, redemption or other taxable disposition. The long-term capital gains of individuals, estates and trusts currently are eligible for reduced rates of U.S. federal income tax. The deductibility of capital losses may be subject to limitation.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Information reporting generally will apply to payments of interest on, and the proceeds of the sale, exchange, retirement, redemption or other disposition of, Notes held by a U.S. Holder, and backup withholding will apply to such payments unless the U.S. Holder provides the applicable withholding agent with its taxpayer identification number, certified under penalties of perjury, as well as certain other information or otherwise establishes an exemption from backup withholding. Backup withholding is not an additional tax. Any amount withheld under the backup withholding rules is allowable as a credit against the U.S. Holder's U.S. federal income tax liability, if any, and a refund may be obtained from the IRS if the amounts withheld exceed the U.S. Holder's actual U.S. federal income tax liability and the U.S. Holder timely provides the required information or appropriate claim form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 and its applicability in your particular circumstances.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summary will apply to a Non-U.S. Holder of a Note. A "Non-U.S. Holder" means a beneficial owner of a Note that is, for U.S. federal income tax purposes, an individual, corporation, estate or trust that is not a U.S. 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Subject to the discussion below of backup withholding and FATCA withholding, the payment to a Non-U.S. Holder of interest on a Note generally will not be subject to U.S. federal income tax and will be exempt from withholding of U.S. federal income tax under the "portfolio interest" exemption if the Non U.S. Holder properly certifies as to its foreign status, as described below, and:</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our capital or profits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Non-U.S. Holder is not a "controlled foreign corporation" for U.S. federal income tax purposes that is actually or constructively related to us;</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Note is in connection with an extension of credit made pursuant to a loan agreement entered into in the ordinary course of its trade or business;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on the Notes is not effectively connected with a U.S. trade or business conducted by the Non U.S. Holder.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other applicable or successor form) to the applicable withholding agent.</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a Non-U.S. Holder cannot satisfy the requirements described above, payments of interest made to the Non-U.S. Holder will be subject to U.S. federal withholding tax at a 30% rate, unless (i) the Non-U.S. Holder provides the applicable withholding agent with a properly executed IRS Form W-8BEN or IRS Form W-8BEN-E (or other applicable or successor form) claiming an exemption from or reduction of the rate of withholding under the benefits of an applicable income tax treaty, or (ii) the interest paid on the Notes is 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certifications described above and below must be provided to the applicable withholding agent prior to the payment of interest and must be updated periodically. If a Non-U.S. Holder does not timely provide the applicable withholding agent with the required certification, but such Non-U.S. Holder qualifies for an exemption or a reduced rate under an applicable income tax treaty, a Non-U.S. Holder may obtain a refund of any excess amounts withheld if such Non-U.S. Holder timely provides the required information or appropriate claim form to the 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Subject to the discussion below of backup withholding, a Non-U.S. Holder generally will not be subject to U.S. federal income tax with respect to gain recognized on the sale, exchange, retirement, redemption or other taxable disposition of a Note unless:</w:t>
      </w:r>
    </w:p>
    <w:p>
      <w:pPr>
        <w:spacing w:after="0" w:line="199" w:lineRule="exact"/>
        <w:rPr>
          <w:sz w:val="20"/>
          <w:szCs w:val="20"/>
          <w:color w:val="auto"/>
        </w:rPr>
      </w:pPr>
    </w:p>
    <w:p>
      <w:pPr>
        <w:ind w:left="1080" w:right="1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trade or business in the United States (and, if required by an applicable income tax treaty, is attributable to a permanent establishment or fixed base maintained in the United States by the Non-U.S. Holder);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requirements are met.</w:t>
      </w:r>
    </w:p>
    <w:p>
      <w:pPr>
        <w:spacing w:after="0" w:line="186"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certain U.S. source capital losses. To the extent that any portion of the amount received on a sale, exchange, retirement, redemption or other taxable disposition of the Notes is attributable to accrued but unpaid interest on the Notes, this amount generally will be treated in the same manner as described above in "—Interest on the Notes."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 Non-U.S. Holder of a Note is engaged in a trade or business in the United States and interest or gain on a Note is effectively connected with the conduct of such trade or business conducted by the Non-U.S. Holder then, unless an applicable income tax treaty provides otherwise, the interest income or gain from the Note will generally be subject to U.S. federal income tax at regular graduated income tax rates generally in the same manner as if that Non-U.S. Holder were a U.S. Holder. Effectively connected interest income will not be subject to U.S. federal withholding tax if the Non-U.S. Holder satisfies certain certification requirements by providing to the applicable withholding agent a properly executed IRS Form W-8ECI (or successor form). In addition, if the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Payments to a Non-U.S. Holder of interest on a Note, and amounts withheld from such payments, if any, generally will be required to be reported to the IRS and to the Non-U.S. Holder. Copies of the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6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Backup withholding generally will not apply to payments of interest on a Note to a Non-U.S. Holder if the certification described in "U.S. Federal Income Taxation of Non-U.S. Holders—Interest on the Notes" is duly provided by the holder or the holder otherwise establishes an exemption.</w:t>
      </w:r>
    </w:p>
    <w:p>
      <w:pPr>
        <w:spacing w:after="0" w:line="13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Payment of the proceeds from a disposition of a Note effected by the U.S. office of a U.S. or foreign broker will be subject to information reporting requirements and backup withholding unless the Non-U.S. Holder properly certifies under penalties of perjury as to its foreign status on IRS Form W-8BEN or IRS Form W-8BEN-E, as applicable (or other applicable or successor form) and certain other conditions are met or the Non-U.S. Holder otherwise establishes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the holder is not a United States person and certain other conditions are met, or the Non-U.S. Holder otherwise establishes an exemption, information reporting will apply to a payment of the proceeds of the disposition of a Note effected outside the United States by such a broker if it has certain relationships with the United States.</w:t>
      </w:r>
    </w:p>
    <w:p>
      <w:pPr>
        <w:spacing w:after="0" w:line="17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Backup withholding is not an additional tax. Any amount withheld from payments to a Non-U.S. Holder under the backup withholding rules is allowable as a credit against such holder's U.S. federal income tax liability, if any, and a refund may be obtained from the IRS if the amounts withheld exceed a Non-U.S. Holder's actual U.S. federal income tax liability and such U.S. Holder timely provides the required information or appropriate claim form to the IRS.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Sections 1471 through 1474 of the Code and the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recently proposed Treasury Regulations provide that such payments of gross proceeds (other than amounts treated as interest) do not constitute withholdable payments. Taxpayers may rely generally on these proposed Treasury Regulations until they are revoked or final Treasury Regulations are issued.</w:t>
      </w:r>
    </w:p>
    <w:p>
      <w:pPr>
        <w:spacing w:after="0" w:line="17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Prospective investors are encouraged to consult with their own tax advisors regarding the implications of FATCA on an investment in the Notes.</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PRECEDING DISCUSSION OF MATERIAL U.S. FEDERAL INCOME TAX CONSEQUENCES IS FOR GENERAL INFORMATION ONLY AND IS NOT TAX ADVICE. EACH PROSPECTIVE INVESTOR SHOULD CONSULT ITS OWN TAX ADVISOR REGARDING THE PARTICULAR U.S. FEDERAL, STATE, LOCAL AND FOREIGN TAX CONSEQUENCES OF PURCHASING, OWNING AND DISPOSING OF THE NOTES, INCLUDING THE CONSEQUENCES OF ANY PROPOSED CHANGE IN APPLICABLE LAWS.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Subject to the terms and conditions set forth in the underwriting agreement, dated the date of this prospectus supplement, between us and the underwriters named below, we have agreed to sell to each of the underwriters, for whom Citigroup Global Markets Inc., Mizuho Securities USA LLC, MUFG Securities Americas Inc. and Scotia Capital (USA) Inc. are acting as representatives, and the underwriters have agreed, severally and not jointly, to purchase the principal amount of the Notes set forth opposite their respective names below:</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CIBC World Markets Corp.</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0.400% of the principal amount of the Notes. The underwriters may allow a discount not in excess of 0.250% of the principal amount of the Notes, on sales to certain other brokers and dealers. After this initial public offering, the public offering price, concession and discount may be changed.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Underwriting</w:t>
            </w:r>
          </w:p>
        </w:tc>
      </w:tr>
      <w:tr>
        <w:trPr>
          <w:trHeight w:val="161"/>
        </w:trPr>
        <w:tc>
          <w:tcPr>
            <w:tcW w:w="6880" w:type="dxa"/>
            <w:vAlign w:val="bottom"/>
          </w:tcPr>
          <w:p>
            <w:pPr>
              <w:spacing w:after="0"/>
              <w:rPr>
                <w:sz w:val="14"/>
                <w:szCs w:val="14"/>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0.65%</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6,500,000</w:t>
            </w:r>
          </w:p>
        </w:tc>
        <w:tc>
          <w:tcPr>
            <w:tcW w:w="16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share of the total expenses of the offering, excluding the underwriting discount, will be approximately $2.4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September 16, 2019,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T+5, to specify an alternate settlement cycle at the time of any such trade to prevent failed settlement and should consult their own advisors.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hanging="532"/>
        <w:spacing w:after="0" w:line="25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Financial Services and Markets Act 2000, as amended (the "FSMA") by us;</w:t>
      </w:r>
    </w:p>
    <w:p>
      <w:pPr>
        <w:spacing w:after="0" w:line="22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relation to each Member State of the European Economic Area which has implemented Regulation EU 2017/1129 (the "Prospectus Regulation") (each, a "Relevant Member State"), each underwriter has represented and agreed that with effect from and including the date on which the Prospectus Regulation is implemented in that Relevant Member State (the "Relevant Implementation Date") it has not made and will not make an offer of Notes which are the subject of the offering contemplated by this prospectus supplement to the public in that Relevant Member State except that it may, with effect from and including the Relevant Implementation Date, make an offer of such Notes to the public in that Relevant Member State:</w:t>
      </w:r>
    </w:p>
    <w:p>
      <w:pPr>
        <w:spacing w:after="0" w:line="183" w:lineRule="exact"/>
        <w:rPr>
          <w:sz w:val="20"/>
          <w:szCs w:val="20"/>
          <w:color w:val="auto"/>
        </w:rPr>
      </w:pPr>
    </w:p>
    <w:p>
      <w:pPr>
        <w:ind w:left="1080" w:right="100" w:hanging="532"/>
        <w:spacing w:after="0" w:line="290"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terms in relation to the Notes specify that an offer of those Notes may be made other than pursuant to Article 1(4) of the Prospectus Regulation in that Relevant Member State (a "Non-exempt Offer"), following the date of publication of a prospectus in relation to such Notes which has been approved by the competent authority in that Relevant Member State or, where appropriate, approved in another Relevant Member State and notified to the competent authority in that Relevant Member State, provided that any such prospectus has subsequently been completed by the Offering contemplating such Non-exempt Offer, in accordance with the Prospectus Regulation, in the period beginning and ending on the dates specified in such prospectus or prospectus supplement or Offering, as applicable and we have consented in writing to its use for the purpose of that Non-exempt Offer;</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underwriter or underwriters nominated by us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provided that no such offer of Notes referred to in (b), (c) or (d) above shall require us or any underwriter to publish a prospectus pursuant to Article 3 of the Prospectus Regulation or a supplement to the prospectus pursuant to Article 23 of the Prospectus Regulation.</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means of sufficient information on the terms of the offer and the Notes to be offered so as to enable an investor to decide to purchase or subscribe for any Notes, as the same may be varied in that Member State by any measure implementing the Prospectus Regulation in that Member State and includes any relevant implementing measure in the Member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a resident of Japan, except pursuant to an exemption from the registration requirements of, and in compliance with, the Financial Instruments and Exchange Law and any other applicable requirements of Japanese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20" w:firstLine="8"/>
        <w:spacing w:after="0" w:line="261"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39" w:lineRule="exact"/>
        <w:rPr>
          <w:sz w:val="20"/>
          <w:szCs w:val="20"/>
          <w:color w:val="auto"/>
        </w:rPr>
      </w:pPr>
    </w:p>
    <w:p>
      <w:pPr>
        <w:ind w:left="1080" w:right="6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line="294"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3" w:lineRule="exact"/>
        <w:rPr>
          <w:rFonts w:ascii="Arial" w:cs="Arial" w:eastAsia="Arial" w:hAnsi="Arial"/>
          <w:sz w:val="16"/>
          <w:szCs w:val="16"/>
          <w:color w:val="auto"/>
        </w:rPr>
      </w:pPr>
    </w:p>
    <w:p>
      <w:pPr>
        <w:ind w:left="1620" w:hanging="532"/>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SFA Product Classification—Solely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initial purchasers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offered should conduct their own due diligence on the Notes. If you do not understand the contents of this prospectus supplement you should consult an authorized financial advisor.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Korea</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document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9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notes may not be offered for sale, nor may application for the sale or purchase or any notes be invited in Australia (including an offer or invitation which is received by a person in Australia)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neither this document nor any other offering material or advertisement relating to the notes may be distributed or published in Australia unless, in each case:</w:t>
      </w:r>
    </w:p>
    <w:p>
      <w:pPr>
        <w:spacing w:after="0" w:line="262" w:lineRule="exact"/>
        <w:rPr>
          <w:sz w:val="20"/>
          <w:szCs w:val="20"/>
          <w:color w:val="auto"/>
        </w:rPr>
      </w:pPr>
    </w:p>
    <w:p>
      <w:pPr>
        <w:ind w:left="1080" w:right="4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187"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invitation or distribution complies with all applicable Australian laws, regulations and directives (including, without limitation, the licensing requirements set out in Chapter 7 of the Corporations Act);</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 or invitation does not constitute an offer or invitation to a person in Australia who is a "retail client" as defined for the purposes of Section 761G of the Corporations Act;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action does not require any document to be lodged with ASIC or the Australian Securities Exchange.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2.60% senior notes due 2019 or our 5.75% senior notes due 2020 to be repaid with proceeds from this offering and, accordingly, may receive a substantial portion of the net proceeds of this offering.</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each of the underwriters are lenders under our credit facilities. U.S. Bancorp Investments, Inc., one of the underwriters, is an affiliate of the trustee.</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9">
        <w:r>
          <w:rPr>
            <w:rFonts w:ascii="Arial" w:cs="Arial" w:eastAsia="Arial" w:hAnsi="Arial"/>
            <w:sz w:val="18"/>
            <w:szCs w:val="18"/>
            <w:color w:val="auto"/>
          </w:rPr>
          <w:t xml:space="preserve">Report on Internal Control over Financial Reporting) incorporated in this Prospectus Supplement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ended 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212" w:lineRule="exact"/>
        <w:rPr>
          <w:sz w:val="20"/>
          <w:szCs w:val="20"/>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0000EE"/>
        </w:rPr>
      </w:pPr>
      <w:hyperlink r:id="rId19">
        <w:r>
          <w:rPr>
            <w:rFonts w:ascii="Arial" w:cs="Arial" w:eastAsia="Arial" w:hAnsi="Arial"/>
            <w:sz w:val="18"/>
            <w:szCs w:val="18"/>
            <w:u w:val="single" w:color="auto"/>
            <w:color w:val="0000EE"/>
          </w:rPr>
          <w:t>Annual Report on Form 10-K for the fiscal year ended December 31,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information specifically incorporated by reference from our</w:t>
      </w:r>
      <w:r>
        <w:rPr>
          <w:rFonts w:ascii="Arial" w:cs="Arial" w:eastAsia="Arial" w:hAnsi="Arial"/>
          <w:sz w:val="18"/>
          <w:szCs w:val="18"/>
          <w:color w:val="0000EE"/>
        </w:rPr>
        <w:t xml:space="preserve"> </w:t>
      </w:r>
      <w:hyperlink r:id="rId69">
        <w:r>
          <w:rPr>
            <w:rFonts w:ascii="Arial" w:cs="Arial" w:eastAsia="Arial" w:hAnsi="Arial"/>
            <w:sz w:val="18"/>
            <w:szCs w:val="18"/>
            <w:u w:val="single" w:color="auto"/>
            <w:color w:val="0000EE"/>
          </w:rPr>
          <w:t>Proxy Statement for our 2019 Annual Meeting</w:t>
        </w:r>
      </w:hyperlink>
      <w:r>
        <w:rPr>
          <w:rFonts w:ascii="Arial" w:cs="Arial" w:eastAsia="Arial" w:hAnsi="Arial"/>
          <w:sz w:val="18"/>
          <w:szCs w:val="18"/>
          <w:color w:val="000000"/>
        </w:rPr>
        <w:t>;</w:t>
      </w:r>
    </w:p>
    <w:p>
      <w:pPr>
        <w:spacing w:after="0" w:line="212" w:lineRule="exact"/>
        <w:rPr>
          <w:rFonts w:ascii="Arial" w:cs="Arial" w:eastAsia="Arial" w:hAnsi="Arial"/>
          <w:sz w:val="18"/>
          <w:szCs w:val="18"/>
          <w:color w:val="0000EE"/>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24">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5">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with the SEC on </w:t>
      </w:r>
      <w:hyperlink r:id="rId70">
        <w:r>
          <w:rPr>
            <w:rFonts w:ascii="Arial" w:cs="Arial" w:eastAsia="Arial" w:hAnsi="Arial"/>
            <w:sz w:val="16"/>
            <w:szCs w:val="16"/>
            <w:u w:val="single" w:color="auto"/>
            <w:color w:val="0000EE"/>
          </w:rPr>
          <w:t>January 4, 2019</w:t>
        </w:r>
      </w:hyperlink>
      <w:r>
        <w:rPr>
          <w:rFonts w:ascii="Arial" w:cs="Arial" w:eastAsia="Arial" w:hAnsi="Arial"/>
          <w:sz w:val="16"/>
          <w:szCs w:val="16"/>
          <w:color w:val="auto"/>
        </w:rPr>
        <w:t xml:space="preserve">, </w:t>
      </w:r>
      <w:hyperlink r:id="rId71">
        <w:r>
          <w:rPr>
            <w:rFonts w:ascii="Arial" w:cs="Arial" w:eastAsia="Arial" w:hAnsi="Arial"/>
            <w:sz w:val="16"/>
            <w:szCs w:val="16"/>
            <w:u w:val="single" w:color="auto"/>
            <w:color w:val="0000EE"/>
          </w:rPr>
          <w:t>February 25, 2019</w:t>
        </w:r>
      </w:hyperlink>
      <w:r>
        <w:rPr>
          <w:rFonts w:ascii="Arial" w:cs="Arial" w:eastAsia="Arial" w:hAnsi="Arial"/>
          <w:sz w:val="16"/>
          <w:szCs w:val="16"/>
          <w:color w:val="auto"/>
        </w:rPr>
        <w:t xml:space="preserve">, </w:t>
      </w:r>
      <w:hyperlink r:id="rId72">
        <w:r>
          <w:rPr>
            <w:rFonts w:ascii="Arial" w:cs="Arial" w:eastAsia="Arial" w:hAnsi="Arial"/>
            <w:sz w:val="16"/>
            <w:szCs w:val="16"/>
            <w:u w:val="single" w:color="auto"/>
            <w:color w:val="0000EE"/>
          </w:rPr>
          <w:t>May 17, 2019</w:t>
        </w:r>
      </w:hyperlink>
      <w:r>
        <w:rPr>
          <w:rFonts w:ascii="Arial" w:cs="Arial" w:eastAsia="Arial" w:hAnsi="Arial"/>
          <w:sz w:val="16"/>
          <w:szCs w:val="16"/>
          <w:color w:val="auto"/>
        </w:rPr>
        <w:t xml:space="preserve">, </w:t>
      </w:r>
      <w:hyperlink r:id="rId73">
        <w:r>
          <w:rPr>
            <w:rFonts w:ascii="Arial" w:cs="Arial" w:eastAsia="Arial" w:hAnsi="Arial"/>
            <w:sz w:val="16"/>
            <w:szCs w:val="16"/>
            <w:u w:val="single" w:color="auto"/>
            <w:color w:val="0000EE"/>
          </w:rPr>
          <w:t>May 30,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74">
        <w:r>
          <w:rPr>
            <w:rFonts w:ascii="Arial" w:cs="Arial" w:eastAsia="Arial" w:hAnsi="Arial"/>
            <w:sz w:val="16"/>
            <w:szCs w:val="16"/>
            <w:u w:val="single" w:color="auto"/>
            <w:color w:val="0000EE"/>
          </w:rPr>
          <w:t>August 21, 2019</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50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6"/>
          <w:szCs w:val="16"/>
          <w:color w:val="auto"/>
        </w:rPr>
      </w:pPr>
    </w:p>
    <w:p>
      <w:pPr>
        <w:ind w:right="32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S-41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6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33" w:lineRule="exact"/>
        <w:rPr>
          <w:sz w:val="20"/>
          <w:szCs w:val="20"/>
          <w:color w:val="auto"/>
        </w:rPr>
      </w:pPr>
    </w:p>
    <w:p>
      <w:pPr>
        <w:jc w:val="both"/>
        <w:ind w:right="240"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September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02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About This Prospectus</w:t>
              </w:r>
            </w:hyperlink>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Where You Can Find More Information</w:t>
              </w:r>
            </w:hyperlink>
          </w:p>
        </w:tc>
        <w:tc>
          <w:tcPr>
            <w:tcW w:w="100" w:type="dxa"/>
            <w:vAlign w:val="bottom"/>
            <w:gridSpan w:val="2"/>
          </w:tcPr>
          <w:p>
            <w:pPr>
              <w:jc w:val="right"/>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Forward-Looking Statements</w:t>
              </w:r>
            </w:hyperlink>
          </w:p>
        </w:tc>
        <w:tc>
          <w:tcPr>
            <w:tcW w:w="720" w:type="dxa"/>
            <w:vAlign w:val="bottom"/>
            <w:gridSpan w:val="2"/>
          </w:tcPr>
          <w:p>
            <w:pPr>
              <w:spacing w:after="0"/>
              <w:rPr>
                <w:sz w:val="17"/>
                <w:szCs w:val="17"/>
                <w:color w:val="auto"/>
              </w:rPr>
            </w:pPr>
          </w:p>
        </w:tc>
        <w:tc>
          <w:tcPr>
            <w:tcW w:w="6080" w:type="dxa"/>
            <w:vAlign w:val="bottom"/>
            <w:gridSpan w:val="5"/>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74"/>
              </w:rPr>
            </w:pPr>
            <w:hyperlink w:anchor="page52">
              <w:r>
                <w:rPr>
                  <w:rFonts w:ascii="Arial" w:cs="Arial" w:eastAsia="Arial" w:hAnsi="Arial"/>
                  <w:sz w:val="16"/>
                  <w:szCs w:val="16"/>
                  <w:color w:val="0000EE"/>
                  <w:w w:val="74"/>
                </w:rPr>
                <w:t>iii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About Plains All American Pipeline, L.P.</w:t>
              </w:r>
            </w:hyperlink>
          </w:p>
        </w:tc>
        <w:tc>
          <w:tcPr>
            <w:tcW w:w="594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594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Use of Proceeds</w:t>
              </w:r>
            </w:hyperlink>
          </w:p>
        </w:tc>
        <w:tc>
          <w:tcPr>
            <w:tcW w:w="7720" w:type="dxa"/>
            <w:vAlign w:val="bottom"/>
            <w:gridSpan w:val="11"/>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Ratio of Earnings to Fixed Charges and Ratio of Earnings to Combined Fixed Charges and Preferred Unit Distributions</w:t>
              </w:r>
            </w:hyperlink>
          </w:p>
        </w:tc>
        <w:tc>
          <w:tcPr>
            <w:tcW w:w="48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Description of Our Debt Securities</w:t>
              </w:r>
            </w:hyperlink>
          </w:p>
        </w:tc>
        <w:tc>
          <w:tcPr>
            <w:tcW w:w="594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Description of Our Preferred Units</w:t>
              </w:r>
            </w:hyperlink>
          </w:p>
        </w:tc>
        <w:tc>
          <w:tcPr>
            <w:tcW w:w="642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68">
              <w:r>
                <w:rPr>
                  <w:rFonts w:ascii="Arial" w:cs="Arial" w:eastAsia="Arial" w:hAnsi="Arial"/>
                  <w:sz w:val="10"/>
                  <w:szCs w:val="10"/>
                  <w:color w:val="0000EE"/>
                  <w:w w:val="71"/>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Description of Our Common Units</w:t>
              </w:r>
            </w:hyperlink>
          </w:p>
        </w:tc>
        <w:tc>
          <w:tcPr>
            <w:tcW w:w="642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70">
              <w:r>
                <w:rPr>
                  <w:rFonts w:ascii="Arial" w:cs="Arial" w:eastAsia="Arial" w:hAnsi="Arial"/>
                  <w:sz w:val="10"/>
                  <w:szCs w:val="10"/>
                  <w:color w:val="0000EE"/>
                  <w:w w:val="71"/>
                </w:rPr>
                <w:t>17</w:t>
              </w:r>
            </w:hyperlink>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Cash Distribution Policy</w:t>
              </w:r>
            </w:hyperlink>
          </w:p>
        </w:tc>
        <w:tc>
          <w:tcPr>
            <w:tcW w:w="100" w:type="dxa"/>
            <w:vAlign w:val="bottom"/>
            <w:gridSpan w:val="2"/>
          </w:tcPr>
          <w:p>
            <w:pPr>
              <w:jc w:val="right"/>
              <w:spacing w:after="0"/>
              <w:rPr>
                <w:rFonts w:ascii="Arial" w:cs="Arial" w:eastAsia="Arial" w:hAnsi="Arial"/>
                <w:sz w:val="10"/>
                <w:szCs w:val="10"/>
                <w:color w:val="0000EE"/>
                <w:w w:val="71"/>
              </w:rPr>
            </w:pPr>
            <w:hyperlink w:anchor="page73">
              <w:r>
                <w:rPr>
                  <w:rFonts w:ascii="Arial" w:cs="Arial" w:eastAsia="Arial" w:hAnsi="Arial"/>
                  <w:sz w:val="10"/>
                  <w:szCs w:val="10"/>
                  <w:color w:val="0000EE"/>
                  <w:w w:val="71"/>
                </w:rPr>
                <w:t>20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Our Partnership Agreement</w:t>
              </w:r>
            </w:hyperlink>
          </w:p>
        </w:tc>
        <w:tc>
          <w:tcPr>
            <w:tcW w:w="100" w:type="dxa"/>
            <w:vAlign w:val="bottom"/>
            <w:gridSpan w:val="2"/>
          </w:tcPr>
          <w:p>
            <w:pPr>
              <w:jc w:val="right"/>
              <w:spacing w:after="0"/>
              <w:rPr>
                <w:rFonts w:ascii="Arial" w:cs="Arial" w:eastAsia="Arial" w:hAnsi="Arial"/>
                <w:sz w:val="10"/>
                <w:szCs w:val="10"/>
                <w:color w:val="0000EE"/>
                <w:w w:val="71"/>
              </w:rPr>
            </w:pPr>
            <w:hyperlink w:anchor="page75">
              <w:r>
                <w:rPr>
                  <w:rFonts w:ascii="Arial" w:cs="Arial" w:eastAsia="Arial" w:hAnsi="Arial"/>
                  <w:sz w:val="10"/>
                  <w:szCs w:val="10"/>
                  <w:color w:val="0000EE"/>
                  <w:w w:val="71"/>
                </w:rPr>
                <w:t>22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Material U.S. Federal Income Tax Consequences</w:t>
              </w:r>
            </w:hyperlink>
          </w:p>
        </w:tc>
        <w:tc>
          <w:tcPr>
            <w:tcW w:w="5420" w:type="dxa"/>
            <w:vAlign w:val="bottom"/>
            <w:gridSpan w:val="2"/>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79">
              <w:r>
                <w:rPr>
                  <w:rFonts w:ascii="Arial" w:cs="Arial" w:eastAsia="Arial" w:hAnsi="Arial"/>
                  <w:sz w:val="10"/>
                  <w:szCs w:val="10"/>
                  <w:color w:val="0000EE"/>
                  <w:w w:val="71"/>
                </w:rPr>
                <w:t>26</w:t>
              </w:r>
            </w:hyperlink>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Plan of Distribution</w:t>
              </w:r>
            </w:hyperlink>
          </w:p>
        </w:tc>
        <w:tc>
          <w:tcPr>
            <w:tcW w:w="100" w:type="dxa"/>
            <w:vAlign w:val="bottom"/>
            <w:gridSpan w:val="2"/>
          </w:tcPr>
          <w:p>
            <w:pPr>
              <w:jc w:val="right"/>
              <w:spacing w:after="0"/>
              <w:rPr>
                <w:rFonts w:ascii="Arial" w:cs="Arial" w:eastAsia="Arial" w:hAnsi="Arial"/>
                <w:sz w:val="10"/>
                <w:szCs w:val="10"/>
                <w:color w:val="0000EE"/>
                <w:w w:val="71"/>
              </w:rPr>
            </w:pPr>
            <w:hyperlink w:anchor="page97">
              <w:r>
                <w:rPr>
                  <w:rFonts w:ascii="Arial" w:cs="Arial" w:eastAsia="Arial" w:hAnsi="Arial"/>
                  <w:sz w:val="10"/>
                  <w:szCs w:val="10"/>
                  <w:color w:val="0000EE"/>
                  <w:w w:val="71"/>
                </w:rPr>
                <w:t>44</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Legal Matters</w:t>
              </w:r>
            </w:hyperlink>
          </w:p>
        </w:tc>
        <w:tc>
          <w:tcPr>
            <w:tcW w:w="7480" w:type="dxa"/>
            <w:vAlign w:val="bottom"/>
            <w:gridSpan w:val="10"/>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9">
              <w:r>
                <w:rPr>
                  <w:rFonts w:ascii="Arial" w:cs="Arial" w:eastAsia="Arial" w:hAnsi="Arial"/>
                  <w:sz w:val="10"/>
                  <w:szCs w:val="10"/>
                  <w:color w:val="0000EE"/>
                  <w:w w:val="71"/>
                </w:rPr>
                <w:t>46</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Experts</w:t>
              </w:r>
            </w:hyperlink>
          </w:p>
        </w:tc>
        <w:tc>
          <w:tcPr>
            <w:tcW w:w="7900" w:type="dxa"/>
            <w:vAlign w:val="bottom"/>
            <w:gridSpan w:val="12"/>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9">
              <w:r>
                <w:rPr>
                  <w:rFonts w:ascii="Arial" w:cs="Arial" w:eastAsia="Arial" w:hAnsi="Arial"/>
                  <w:sz w:val="10"/>
                  <w:szCs w:val="10"/>
                  <w:color w:val="0000EE"/>
                  <w:w w:val="71"/>
                </w:rPr>
                <w:t>46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91"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0000EE"/>
        </w:rPr>
      </w:pPr>
      <w:hyperlink r:id="rId78">
        <w:r>
          <w:rPr>
            <w:rFonts w:ascii="Arial" w:cs="Arial" w:eastAsia="Arial" w:hAnsi="Arial"/>
            <w:sz w:val="18"/>
            <w:szCs w:val="18"/>
            <w:u w:val="single" w:color="auto"/>
            <w:color w:val="0000EE"/>
          </w:rPr>
          <w:t>Annual Report on Form 10-K for the fiscal year ended December 31, 2017</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79">
        <w:r>
          <w:rPr>
            <w:rFonts w:ascii="Arial" w:cs="Arial" w:eastAsia="Arial" w:hAnsi="Arial"/>
            <w:sz w:val="18"/>
            <w:szCs w:val="18"/>
            <w:u w:val="single" w:color="auto"/>
            <w:color w:val="0000EE"/>
          </w:rPr>
          <w:t>March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0">
        <w:r>
          <w:rPr>
            <w:rFonts w:ascii="Arial" w:cs="Arial" w:eastAsia="Arial" w:hAnsi="Arial"/>
            <w:sz w:val="18"/>
            <w:szCs w:val="18"/>
            <w:u w:val="single" w:color="auto"/>
            <w:color w:val="0000EE"/>
          </w:rPr>
          <w:t>June 30, 2018</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on </w:t>
      </w:r>
      <w:hyperlink r:id="rId81">
        <w:r>
          <w:rPr>
            <w:rFonts w:ascii="Arial" w:cs="Arial" w:eastAsia="Arial" w:hAnsi="Arial"/>
            <w:sz w:val="16"/>
            <w:szCs w:val="16"/>
            <w:u w:val="single" w:color="auto"/>
            <w:color w:val="0000EE"/>
          </w:rPr>
          <w:t>January 8, 2018</w:t>
        </w:r>
      </w:hyperlink>
      <w:r>
        <w:rPr>
          <w:rFonts w:ascii="Arial" w:cs="Arial" w:eastAsia="Arial" w:hAnsi="Arial"/>
          <w:sz w:val="16"/>
          <w:szCs w:val="16"/>
          <w:color w:val="auto"/>
        </w:rPr>
        <w:t xml:space="preserve">, </w:t>
      </w:r>
      <w:hyperlink r:id="rId82">
        <w:r>
          <w:rPr>
            <w:rFonts w:ascii="Arial" w:cs="Arial" w:eastAsia="Arial" w:hAnsi="Arial"/>
            <w:sz w:val="16"/>
            <w:szCs w:val="16"/>
            <w:u w:val="single" w:color="auto"/>
            <w:color w:val="0000EE"/>
          </w:rPr>
          <w:t>March 27, 2018</w:t>
        </w:r>
      </w:hyperlink>
      <w:r>
        <w:rPr>
          <w:rFonts w:ascii="Arial" w:cs="Arial" w:eastAsia="Arial" w:hAnsi="Arial"/>
          <w:sz w:val="16"/>
          <w:szCs w:val="16"/>
          <w:color w:val="auto"/>
        </w:rPr>
        <w:t xml:space="preserve">, </w:t>
      </w:r>
      <w:hyperlink r:id="rId83">
        <w:r>
          <w:rPr>
            <w:rFonts w:ascii="Arial" w:cs="Arial" w:eastAsia="Arial" w:hAnsi="Arial"/>
            <w:sz w:val="16"/>
            <w:szCs w:val="16"/>
            <w:u w:val="single" w:color="auto"/>
            <w:color w:val="0000EE"/>
          </w:rPr>
          <w:t>May 17, 2018</w:t>
        </w:r>
      </w:hyperlink>
      <w:r>
        <w:rPr>
          <w:rFonts w:ascii="Arial" w:cs="Arial" w:eastAsia="Arial" w:hAnsi="Arial"/>
          <w:sz w:val="16"/>
          <w:szCs w:val="16"/>
          <w:color w:val="auto"/>
        </w:rPr>
        <w:t xml:space="preserve">, </w:t>
      </w:r>
      <w:hyperlink r:id="rId84">
        <w:r>
          <w:rPr>
            <w:rFonts w:ascii="Arial" w:cs="Arial" w:eastAsia="Arial" w:hAnsi="Arial"/>
            <w:sz w:val="16"/>
            <w:szCs w:val="16"/>
            <w:u w:val="single" w:color="auto"/>
            <w:color w:val="0000EE"/>
          </w:rPr>
          <w:t>August 20,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85">
        <w:r>
          <w:rPr>
            <w:rFonts w:ascii="Arial" w:cs="Arial" w:eastAsia="Arial" w:hAnsi="Arial"/>
            <w:sz w:val="16"/>
            <w:szCs w:val="16"/>
            <w:u w:val="single" w:color="auto"/>
            <w:color w:val="0000EE"/>
          </w:rPr>
          <w:t>August 21, 2018</w:t>
        </w:r>
      </w:hyperlink>
      <w:r>
        <w:rPr>
          <w:rFonts w:ascii="Arial" w:cs="Arial" w:eastAsia="Arial" w:hAnsi="Arial"/>
          <w:sz w:val="16"/>
          <w:szCs w:val="16"/>
          <w:color w:val="auto"/>
        </w:rPr>
        <w:t>; and</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description of our common units contained in our </w:t>
      </w:r>
      <w:hyperlink r:id="rId86">
        <w:r>
          <w:rPr>
            <w:rFonts w:ascii="Arial" w:cs="Arial" w:eastAsia="Arial" w:hAnsi="Arial"/>
            <w:sz w:val="18"/>
            <w:szCs w:val="18"/>
            <w:u w:val="single" w:color="auto"/>
            <w:color w:val="0000EE"/>
          </w:rPr>
          <w:t>Form 8-A/A dated November 16,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any subsequent amendment thereto filed for the purpose of updating such description.</w:t>
      </w:r>
    </w:p>
    <w:p>
      <w:pPr>
        <w:spacing w:after="0" w:line="186" w:lineRule="exact"/>
        <w:rPr>
          <w:rFonts w:ascii="Arial" w:cs="Arial" w:eastAsia="Arial" w:hAnsi="Arial"/>
          <w:sz w:val="16"/>
          <w:szCs w:val="16"/>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6"/>
          <w:szCs w:val="16"/>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rFonts w:ascii="Arial" w:cs="Arial" w:eastAsia="Arial" w:hAnsi="Arial"/>
          <w:sz w:val="16"/>
          <w:szCs w:val="16"/>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right="10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as well as factors that are unknown or unpredictable, could also have a material adverse effect </w:t>
      </w:r>
      <w:hyperlink r:id="rId78">
        <w:r>
          <w:rPr>
            <w:rFonts w:ascii="Arial" w:cs="Arial" w:eastAsia="Arial" w:hAnsi="Arial"/>
            <w:sz w:val="18"/>
            <w:szCs w:val="18"/>
            <w:color w:val="auto"/>
          </w:rPr>
          <w:t xml:space="preserve">on future results. Please read "Risk Factors" beginning on page 3 of this prospectus and discussed in Item 1A. of our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EE"/>
          </w:rPr>
          <w:t>ended December 31, 2017 (File No. 001-14569)</w:t>
        </w:r>
        <w:r>
          <w:rPr>
            <w:rFonts w:ascii="Arial" w:cs="Arial" w:eastAsia="Arial" w:hAnsi="Arial"/>
            <w:sz w:val="18"/>
            <w:szCs w:val="18"/>
            <w:color w:val="000000"/>
          </w:rPr>
          <w:t xml:space="preserve">, which is incorporated into this prospectus by reference. Except as required by applicable securities laws, we </w:t>
        </w:r>
      </w:hyperlink>
      <w:r>
        <w:rPr>
          <w:rFonts w:ascii="Arial" w:cs="Arial" w:eastAsia="Arial" w:hAnsi="Arial"/>
          <w:sz w:val="18"/>
          <w:szCs w:val="18"/>
          <w:color w:val="0000EE"/>
        </w:rPr>
        <w:t xml:space="preserve">do </w:t>
      </w:r>
      <w:r>
        <w:rPr>
          <w:rFonts w:ascii="Arial" w:cs="Arial" w:eastAsia="Arial" w:hAnsi="Arial"/>
          <w:sz w:val="18"/>
          <w:szCs w:val="18"/>
          <w:color w:val="000000"/>
        </w:rPr>
        <w:t>not intend to update these forward-looking statements and information.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w:t>
      </w:r>
    </w:p>
    <w:p>
      <w:pPr>
        <w:spacing w:after="0" w:line="186"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 w:firstLine="351"/>
        <w:spacing w:after="0" w:line="332" w:lineRule="auto"/>
        <w:rPr>
          <w:rFonts w:ascii="Arial" w:cs="Arial" w:eastAsia="Arial" w:hAnsi="Arial"/>
          <w:sz w:val="16"/>
          <w:szCs w:val="16"/>
          <w:color w:val="0000EE"/>
        </w:rPr>
      </w:pPr>
      <w:r>
        <w:rPr>
          <w:rFonts w:ascii="Arial" w:cs="Arial" w:eastAsia="Arial" w:hAnsi="Arial"/>
          <w:sz w:val="16"/>
          <w:szCs w:val="16"/>
          <w:color w:val="auto"/>
        </w:rPr>
        <w:t xml:space="preserve">For additional information about us please refer to the documents set forth under "Where You Can Find More Information" in this prospectus, including our </w:t>
      </w:r>
      <w:hyperlink r:id="rId78">
        <w:r>
          <w:rPr>
            <w:rFonts w:ascii="Arial" w:cs="Arial" w:eastAsia="Arial" w:hAnsi="Arial"/>
            <w:sz w:val="16"/>
            <w:szCs w:val="16"/>
            <w:u w:val="single" w:color="auto"/>
            <w:color w:val="0000EE"/>
          </w:rPr>
          <w:t>Annual Report on Form 10-K for the fiscal year ended December 31, 2017 (File No. 001-14569)</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which is incorporated by reference herein.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An investment in our securities involves a high degree of risk. Before you invest in our securities, you should carefully consider the risk factors included in Item 1A. "Risk Factors" in our </w:t>
      </w:r>
      <w:hyperlink r:id="rId78">
        <w:r>
          <w:rPr>
            <w:rFonts w:ascii="Arial" w:cs="Arial" w:eastAsia="Arial" w:hAnsi="Arial"/>
            <w:sz w:val="18"/>
            <w:szCs w:val="18"/>
            <w:u w:val="single" w:color="auto"/>
            <w:color w:val="0000EE"/>
          </w:rPr>
          <w:t>Annual Report on Form 10-K for the year ended December 31, 2017 (File No. 001-14569)</w:t>
        </w:r>
      </w:hyperlink>
      <w:r>
        <w:rPr>
          <w:rFonts w:ascii="Arial" w:cs="Arial" w:eastAsia="Arial" w:hAnsi="Arial"/>
          <w:sz w:val="18"/>
          <w:szCs w:val="18"/>
          <w:color w:val="auto"/>
        </w:rPr>
        <w:t>,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20" w:right="26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2.76x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2.45x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4.41x</w:t>
            </w: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7"/>
              </w:rPr>
              <w:t>Ratio of Earnings to Combined Fixed Charges and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Unit Distributions(1)(2)(3)</w:t>
            </w:r>
          </w:p>
        </w:tc>
        <w:tc>
          <w:tcPr>
            <w:tcW w:w="840" w:type="dxa"/>
            <w:vAlign w:val="bottom"/>
          </w:tcPr>
          <w:p>
            <w:pPr>
              <w:ind w:left="440"/>
              <w:spacing w:after="0"/>
              <w:rPr>
                <w:sz w:val="20"/>
                <w:szCs w:val="20"/>
                <w:color w:val="auto"/>
              </w:rPr>
            </w:pPr>
            <w:r>
              <w:rPr>
                <w:rFonts w:ascii="Arial" w:cs="Arial" w:eastAsia="Arial" w:hAnsi="Arial"/>
                <w:sz w:val="18"/>
                <w:szCs w:val="18"/>
                <w:color w:val="auto"/>
                <w:w w:val="86"/>
              </w:rPr>
              <w:t>2.00x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1.96x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1.86x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80" w:hanging="531"/>
        <w:spacing w:after="0" w:line="268"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212" w:lineRule="exact"/>
        <w:rPr>
          <w:rFonts w:ascii="Arial" w:cs="Arial" w:eastAsia="Arial" w:hAnsi="Arial"/>
          <w:sz w:val="18"/>
          <w:szCs w:val="18"/>
          <w:color w:val="auto"/>
        </w:rPr>
      </w:pPr>
    </w:p>
    <w:p>
      <w:pPr>
        <w:ind w:left="1680" w:right="20" w:hanging="531"/>
        <w:spacing w:after="0" w:line="255"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on our Series A preferred units (as defined below) were paid in additional Series A preferred units for the years ended December 31, 2017 and 2016, respectively.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210" w:lineRule="exact"/>
        <w:rPr>
          <w:rFonts w:ascii="Arial" w:cs="Arial" w:eastAsia="Arial" w:hAnsi="Arial"/>
          <w:sz w:val="18"/>
          <w:szCs w:val="18"/>
          <w:color w:val="auto"/>
        </w:rPr>
      </w:pPr>
    </w:p>
    <w:p>
      <w:pPr>
        <w:ind w:left="1680" w:right="80" w:hanging="531"/>
        <w:spacing w:after="0" w:line="268"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on our Series B preferred units (as defined below) accrue and are cumulative at a rate of 6.125% per year from October 10, 2017, the date of original issue, and are payable in cash semiannually.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firstLine="359"/>
        <w:spacing w:after="0" w:line="259" w:lineRule="auto"/>
        <w:tabs>
          <w:tab w:leader="none" w:pos="12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540" w:right="100" w:firstLine="359"/>
        <w:spacing w:after="0" w:line="290" w:lineRule="auto"/>
        <w:tabs>
          <w:tab w:leader="none" w:pos="1228"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right="60" w:firstLine="359"/>
        <w:spacing w:after="0" w:line="268" w:lineRule="auto"/>
        <w:tabs>
          <w:tab w:leader="none" w:pos="6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ending on or prior to December 31, 2017 (the "Initial Distribution Period"), we elected to pay distributions on the Series A preferred units in additional Series A preferred units. With respect to any quarter ending after the Initial Distribution Period, we must pay distributions on the Series A preferred units in cash. For a period of 30 days following (a) the fifth anniversary of the issue date of the Series A preferred units and</w:t>
      </w:r>
    </w:p>
    <w:p>
      <w:pPr>
        <w:ind w:right="40" w:firstLine="8"/>
        <w:spacing w:after="0" w:line="252"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after January 28, 2019,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Units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with respect to distributions and (ii) the holders of our Series B preferred units for the issuance of parity securities or senior securities as described above under "—Series B Preferred Units." As of the date of this prospectus, we had 71,090,468 Series A preferred units outstanding and 800,000 Series B preferred units outstanding.</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provided in the Third Amended and Restated Limited Liability Company Agreement of PAGP GP, as amended, our board of directors consists of 12 members divided into three classes (excluding those directors who are also officers of PAGP GP or employees of GP LLC). Three of the board members are designated to serve on the board of directors of PAGP GP by the three members of PAGP GP that currently hold board designation rights (affiliates of The Energy &amp; Minerals Group, Kayne Anderson Investment Management Inc. and Occidental Petroleum Corporation). Of the remaining nine members, three must be independent directors eligible to serve on the audit committee.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PAGP will hold annual meetings of its shareholders for the purpose of electing PAGP GP directors with expiring terms other than the designated directors, any directors who are officers of PAGP GP or employees of GP LLC, and any director subject to appointment by the holders of the Series A preferred units.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our limited partners. At our annual meetings, common units held by AAP will not be voted and will not be counted for purposes of determining whether a quorum exists.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PAGP GP company units (if any), in each case, to PAGP. The AAP Class A units transferred to AAP will be cancelled, the PAGP Class B shares transferred to PAGP will be cancelled and the PAGP GP company units transferred to PAGP will remain outstanding and increase PAGP's ownership percentage in PAGP GP.</w:t>
      </w:r>
    </w:p>
    <w:p>
      <w:pPr>
        <w:spacing w:after="0" w:line="170"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AAP management units who convert such units into AAP Class A units and PAGP Class B shares will not receive PAGP GP company units and thus will not need to include any PAGP GP company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and cash equivalents on hand at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that quarter less the amount of cash reserves that are necessary or appropriate in the reasonable discretion of the general partner to:</w:t>
      </w:r>
    </w:p>
    <w:p>
      <w:pPr>
        <w:spacing w:after="0" w:line="153"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other than current holders of Series A preferred units and Series B preferred units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circumstances. We may fund acquisitions through the issuance of additional common units or other equity securities.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jc w:val="both"/>
        <w:ind w:right="480" w:firstLine="348"/>
        <w:spacing w:after="0" w:line="223"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Series B preferred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80" w:firstLine="351"/>
        <w:spacing w:after="0" w:line="305"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ind w:right="120" w:firstLine="8"/>
        <w:spacing w:after="0" w:line="261" w:lineRule="auto"/>
        <w:tabs>
          <w:tab w:leader="none" w:pos="2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rights of holders of our preferred units are described under "Description of our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that the liquidator deems necessary or desirable in its good faith judgment, liquidate our assets. The proceeds of the liquidation will be applied as follows:</w:t>
      </w:r>
    </w:p>
    <w:p>
      <w:pPr>
        <w:spacing w:after="0" w:line="26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52"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shall not be personally liable for, or have any obligation to contribute or loan funds or assets to us to enable us to effectuate any indemnification.</w:t>
      </w:r>
    </w:p>
    <w:p>
      <w:pPr>
        <w:spacing w:after="0" w:line="24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07"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2"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40" w:firstLine="359"/>
        <w:spacing w:after="0" w:line="268" w:lineRule="auto"/>
        <w:tabs>
          <w:tab w:leader="none" w:pos="12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332" w:lineRule="auto"/>
        <w:tabs>
          <w:tab w:leader="none" w:pos="12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current or accumulated earnings and profits, then (ii) a nontaxable return of capital to the extent of the unitholder's adjusted tax basis in its units (determined separately for each unit), and thereafter (iii) taxable capital gain.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basis in his or her units will generally be increased by the amount of any excess business interest upon a disposition of such units.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3"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adjustments and allocations, which may include the aggregation of certain issuances of units. Our counsel, Vinson &amp; Elkins, L.L.P., is unable to opine as to the validity of such conventions.</w:t>
      </w:r>
    </w:p>
    <w:p>
      <w:pPr>
        <w:spacing w:after="0" w:line="186"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40" w:firstLine="8"/>
        <w:spacing w:after="0" w:line="261" w:lineRule="auto"/>
        <w:tabs>
          <w:tab w:leader="none" w:pos="2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taxable years beginning after December 31, 2017 and ending on or before December 31, 2025, an individual unitholder is entitled to a deduction equal to 20% of his or her allocable share of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business income." For purposes of this deduction, our "qualified business income" is equal to the sum of:</w:t>
      </w:r>
    </w:p>
    <w:p>
      <w:pPr>
        <w:spacing w:after="0" w:line="239" w:lineRule="exact"/>
        <w:rPr>
          <w:sz w:val="20"/>
          <w:szCs w:val="20"/>
          <w:color w:val="auto"/>
        </w:rPr>
      </w:pPr>
    </w:p>
    <w:p>
      <w:pPr>
        <w:ind w:left="1080" w:right="22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net amount of our U.S. items of income, gain, deduction, and loss to the extent such items are included or allowed in the determination of taxable income for the year, </w:t>
      </w:r>
      <w:r>
        <w:rPr>
          <w:rFonts w:ascii="Arial" w:cs="Arial" w:eastAsia="Arial" w:hAnsi="Arial"/>
          <w:sz w:val="18"/>
          <w:szCs w:val="18"/>
          <w:i w:val="1"/>
          <w:iCs w:val="1"/>
          <w:color w:val="auto"/>
        </w:rPr>
        <w:t>excluding</w:t>
      </w:r>
      <w:r>
        <w:rPr>
          <w:rFonts w:ascii="Arial" w:cs="Arial" w:eastAsia="Arial" w:hAnsi="Arial"/>
          <w:sz w:val="18"/>
          <w:szCs w:val="18"/>
          <w:color w:val="auto"/>
        </w:rPr>
        <w:t>, however, certain specified types of passive investment income (such as capital gains and dividends) and certain payments made to the unitholder for services rendered to the Partnership;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calculations involved in the Section 754 election are complex and are made on the basis of assumptions as to the value of our assets and other matters. The IRS could seek to reallocate some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34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Units—Recognition of Gain or Loss."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sale or exchange of units purchased in separate transactions is urged to consult its tax advisor as to the possible consequences of this ruling and application of the Treasury Regulations.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9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2"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Generally, these rules apply to current payments of FDAP Income and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620" w:right="600" w:hanging="4532"/>
        <w:spacing w:after="0" w:line="519" w:lineRule="auto"/>
        <w:tabs>
          <w:tab w:leader="none" w:pos="162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78">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w:t>
      </w:r>
      <w:r>
        <w:rPr>
          <w:rFonts w:ascii="Arial" w:cs="Arial" w:eastAsia="Arial" w:hAnsi="Arial"/>
          <w:sz w:val="18"/>
          <w:szCs w:val="18"/>
          <w:color w:val="0000EE"/>
        </w:rPr>
        <w:t xml:space="preserve"> </w:t>
      </w:r>
      <w:r>
        <w:rPr>
          <w:rFonts w:ascii="Arial" w:cs="Arial" w:eastAsia="Arial" w:hAnsi="Arial"/>
          <w:sz w:val="18"/>
          <w:szCs w:val="18"/>
          <w:color w:val="000000"/>
        </w:rPr>
        <w:t>on the authority of said firm as experts in auditing and accounting.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160020</wp:posOffset>
            </wp:positionV>
            <wp:extent cx="2238375" cy="694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223837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40"/>
        <w:spacing w:after="0"/>
        <w:rPr>
          <w:sz w:val="20"/>
          <w:szCs w:val="20"/>
          <w:color w:val="auto"/>
        </w:rPr>
      </w:pPr>
      <w:r>
        <w:rPr>
          <w:rFonts w:ascii="Arial" w:cs="Arial" w:eastAsia="Arial" w:hAnsi="Arial"/>
          <w:sz w:val="24"/>
          <w:szCs w:val="24"/>
          <w:b w:val="1"/>
          <w:bCs w:val="1"/>
          <w:color w:val="auto"/>
        </w:rPr>
        <w:t>3.550%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September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Citigroup</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Mizuho Securities</w:t>
      </w:r>
    </w:p>
    <w:p>
      <w:pPr>
        <w:jc w:val="center"/>
        <w:ind w:right="-1220"/>
        <w:spacing w:after="0" w:line="237" w:lineRule="auto"/>
        <w:rPr>
          <w:sz w:val="20"/>
          <w:szCs w:val="20"/>
          <w:color w:val="auto"/>
        </w:rPr>
      </w:pPr>
      <w:r>
        <w:rPr>
          <w:rFonts w:ascii="Arial" w:cs="Arial" w:eastAsia="Arial" w:hAnsi="Arial"/>
          <w:sz w:val="32"/>
          <w:szCs w:val="32"/>
          <w:b w:val="1"/>
          <w:bCs w:val="1"/>
          <w:color w:val="auto"/>
        </w:rPr>
        <w:t>MUFG</w:t>
      </w:r>
    </w:p>
    <w:p>
      <w:pPr>
        <w:jc w:val="center"/>
        <w:ind w:right="-1220"/>
        <w:spacing w:after="0" w:line="238" w:lineRule="auto"/>
        <w:rPr>
          <w:sz w:val="20"/>
          <w:szCs w:val="20"/>
          <w:color w:val="auto"/>
        </w:rPr>
      </w:pPr>
      <w:r>
        <w:rPr>
          <w:rFonts w:ascii="Arial" w:cs="Arial" w:eastAsia="Arial" w:hAnsi="Arial"/>
          <w:sz w:val="32"/>
          <w:szCs w:val="32"/>
          <w:b w:val="1"/>
          <w:bCs w:val="1"/>
          <w:color w:val="auto"/>
        </w:rPr>
        <w:t>Scotiabank</w:t>
      </w:r>
    </w:p>
    <w:p>
      <w:pPr>
        <w:jc w:val="center"/>
        <w:ind w:right="-1220"/>
        <w:spacing w:after="0" w:line="238" w:lineRule="auto"/>
        <w:rPr>
          <w:sz w:val="20"/>
          <w:szCs w:val="20"/>
          <w:color w:val="auto"/>
        </w:rPr>
      </w:pPr>
      <w:r>
        <w:rPr>
          <w:rFonts w:ascii="Arial" w:cs="Arial" w:eastAsia="Arial" w:hAnsi="Arial"/>
          <w:sz w:val="32"/>
          <w:szCs w:val="32"/>
          <w:b w:val="1"/>
          <w:bCs w:val="1"/>
          <w:color w:val="auto"/>
        </w:rPr>
        <w:t>BBVA</w:t>
      </w:r>
    </w:p>
    <w:p>
      <w:pPr>
        <w:jc w:val="center"/>
        <w:ind w:right="-1220"/>
        <w:spacing w:after="0" w:line="238" w:lineRule="auto"/>
        <w:rPr>
          <w:sz w:val="20"/>
          <w:szCs w:val="20"/>
          <w:color w:val="auto"/>
        </w:rPr>
      </w:pPr>
      <w:r>
        <w:rPr>
          <w:rFonts w:ascii="Arial" w:cs="Arial" w:eastAsia="Arial" w:hAnsi="Arial"/>
          <w:sz w:val="32"/>
          <w:szCs w:val="32"/>
          <w:b w:val="1"/>
          <w:bCs w:val="1"/>
          <w:color w:val="auto"/>
        </w:rPr>
        <w:t>BMO Capital Markets</w:t>
      </w:r>
    </w:p>
    <w:p>
      <w:pPr>
        <w:jc w:val="center"/>
        <w:ind w:right="-1220"/>
        <w:spacing w:after="0" w:line="238" w:lineRule="auto"/>
        <w:rPr>
          <w:sz w:val="20"/>
          <w:szCs w:val="20"/>
          <w:color w:val="auto"/>
        </w:rPr>
      </w:pPr>
      <w:r>
        <w:rPr>
          <w:rFonts w:ascii="Arial" w:cs="Arial" w:eastAsia="Arial" w:hAnsi="Arial"/>
          <w:sz w:val="32"/>
          <w:szCs w:val="32"/>
          <w:b w:val="1"/>
          <w:bCs w:val="1"/>
          <w:color w:val="auto"/>
        </w:rPr>
        <w:t>PNC Capital Markets LLC</w:t>
      </w:r>
    </w:p>
    <w:p>
      <w:pPr>
        <w:jc w:val="center"/>
        <w:ind w:right="-1220"/>
        <w:spacing w:after="0" w:line="237" w:lineRule="auto"/>
        <w:rPr>
          <w:sz w:val="20"/>
          <w:szCs w:val="20"/>
          <w:color w:val="auto"/>
        </w:rPr>
      </w:pPr>
      <w:r>
        <w:rPr>
          <w:rFonts w:ascii="Arial" w:cs="Arial" w:eastAsia="Arial" w:hAnsi="Arial"/>
          <w:sz w:val="32"/>
          <w:szCs w:val="32"/>
          <w:b w:val="1"/>
          <w:bCs w:val="1"/>
          <w:color w:val="auto"/>
        </w:rPr>
        <w:t>RBC Capital Markets</w:t>
      </w:r>
    </w:p>
    <w:p>
      <w:pPr>
        <w:jc w:val="center"/>
        <w:ind w:right="-1220"/>
        <w:spacing w:after="0" w:line="238" w:lineRule="auto"/>
        <w:rPr>
          <w:sz w:val="20"/>
          <w:szCs w:val="20"/>
          <w:color w:val="auto"/>
        </w:rPr>
      </w:pPr>
      <w:r>
        <w:rPr>
          <w:rFonts w:ascii="Arial" w:cs="Arial" w:eastAsia="Arial" w:hAnsi="Arial"/>
          <w:sz w:val="32"/>
          <w:szCs w:val="32"/>
          <w:b w:val="1"/>
          <w:bCs w:val="1"/>
          <w:color w:val="auto"/>
        </w:rPr>
        <w:t>SMBC Nikko</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SunTrust Robinson Humphrey</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US Bancorp</w:t>
      </w:r>
    </w:p>
    <w:p>
      <w:pPr>
        <w:spacing w:after="0" w:line="210"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CIBC Capital Markets</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Fifth Third Securities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ING</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Regions Securities LLC</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509270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lvl w:ilvl="1">
      <w:lvlJc w:val="left"/>
      <w:lvlText w:val="•"/>
      <w:numFmt w:val="bullet"/>
      <w:start w:val="1"/>
    </w:lvl>
  </w:abstractNum>
  <w:abstractNum w:abstractNumId="14">
    <w:nsid w:val="38437FDB"/>
    <w:multiLevelType w:val="hybridMultilevel"/>
    <w:lvl w:ilvl="0">
      <w:lvlJc w:val="left"/>
      <w:lvlText w:val="•"/>
      <w:numFmt w:val="bullet"/>
      <w:start w:val="1"/>
    </w:lvl>
    <w:lvl w:ilvl="1">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1"/>
    </w:lvl>
    <w:lvl w:ilvl="1">
      <w:lvlJc w:val="left"/>
      <w:lvlText w:val="(%2)"/>
      <w:numFmt w:val="lowerLetter"/>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6"/>
    </w:lvl>
  </w:abstractNum>
  <w:abstractNum w:abstractNumId="26">
    <w:nsid w:val="520EEDD1"/>
    <w:multiLevelType w:val="hybridMultilevel"/>
    <w:lvl w:ilvl="0">
      <w:lvlJc w:val="left"/>
      <w:lvlText w:val="(%1)"/>
      <w:numFmt w:val="decimal"/>
      <w:start w:val="18"/>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lowerRoman"/>
      <w:start w:val="3"/>
    </w:lvl>
  </w:abstractNum>
  <w:abstractNum w:abstractNumId="37">
    <w:nsid w:val="354FE9F9"/>
    <w:multiLevelType w:val="hybridMultilevel"/>
    <w:lvl w:ilvl="0">
      <w:lvlJc w:val="left"/>
      <w:lvlText w:val="•"/>
      <w:numFmt w:val="bullet"/>
      <w:start w:val="1"/>
    </w:lvl>
    <w:lvl w:ilvl="1">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lowerLetter"/>
      <w:start w:val="1"/>
    </w:lvl>
    <w:lvl w:ilvl="1">
      <w:lvlJc w:val="left"/>
      <w:lvlText w:val="(%2)"/>
      <w:numFmt w:val="decimal"/>
      <w:start w:val="1"/>
    </w:lvl>
  </w:abstractNum>
  <w:abstractNum w:abstractNumId="57">
    <w:nsid w:val="6590700B"/>
    <w:multiLevelType w:val="hybridMultilevel"/>
    <w:lvl w:ilvl="0">
      <w:lvlJc w:val="left"/>
      <w:lvlText w:val="(%1)"/>
      <w:numFmt w:val="lowerLetter"/>
      <w:start w:val="2"/>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lowerRoman"/>
      <w:start w:val="2"/>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1)"/>
      <w:numFmt w:val="lowerLetter"/>
      <w:start w:val="1"/>
    </w:lvl>
  </w:abstractNum>
  <w:abstractNum w:abstractNumId="70">
    <w:nsid w:val="51D9C564"/>
    <w:multiLevelType w:val="hybridMultilevel"/>
    <w:lvl w:ilvl="0">
      <w:lvlJc w:val="left"/>
      <w:lvlText w:val="(%1)"/>
      <w:numFmt w:val="lowerLetter"/>
      <w:start w:val="2"/>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lowerRoman"/>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lvl w:ilvl="1">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jpe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9" Type="http://schemas.openxmlformats.org/officeDocument/2006/relationships/hyperlink" Target="http://www.sec.gov/Archives/edgar/data/1070423/000107042319000004/paa201810-k.htm" TargetMode="External"/><Relationship Id="rId24" Type="http://schemas.openxmlformats.org/officeDocument/2006/relationships/hyperlink" Target="http://www.sec.gov/Archives/edgar/data/1070423/000107042319000007/paaq1201910-q.htm" TargetMode="External"/><Relationship Id="rId25" Type="http://schemas.openxmlformats.org/officeDocument/2006/relationships/hyperlink" Target="http://www.sec.gov/Archives/edgar/data/1070423/000107042319000010/0001070423-19-000010-index.htm" TargetMode="External"/><Relationship Id="rId69" Type="http://schemas.openxmlformats.org/officeDocument/2006/relationships/hyperlink" Target="http://www.sec.gov/Archives/edgar/data/1070423/000104746919002133/a2238334zdef14a.htm" TargetMode="External"/><Relationship Id="rId70" Type="http://schemas.openxmlformats.org/officeDocument/2006/relationships/hyperlink" Target="http://www.sec.gov/Archives/edgar/data/1070423/000110465919000815/a19-1275_18k.htm" TargetMode="External"/><Relationship Id="rId71" Type="http://schemas.openxmlformats.org/officeDocument/2006/relationships/hyperlink" Target="http://www.sec.gov/Archives/edgar/data/1070423/000110465919010373/a19-5369_18k.htm" TargetMode="External"/><Relationship Id="rId72" Type="http://schemas.openxmlformats.org/officeDocument/2006/relationships/hyperlink" Target="http://www.sec.gov/Archives/edgar/data/1070423/000110465919030041/a19-10135_18k.htm" TargetMode="External"/><Relationship Id="rId73" Type="http://schemas.openxmlformats.org/officeDocument/2006/relationships/hyperlink" Target="http://www.sec.gov/Archives/edgar/data/1070423/000110465919032810/a19-10856_18k.htm" TargetMode="External"/><Relationship Id="rId74" Type="http://schemas.openxmlformats.org/officeDocument/2006/relationships/hyperlink" Target="http://www.sec.gov/Archives/edgar/data/1070423/000141057819000871/0001410578-19-000871-index.htm" TargetMode="External"/><Relationship Id="rId78" Type="http://schemas.openxmlformats.org/officeDocument/2006/relationships/hyperlink" Target="http://www.sec.gov/Archives/edgar/data/1070423/000107042318000006/paa201710-k.htm" TargetMode="External"/><Relationship Id="rId79" Type="http://schemas.openxmlformats.org/officeDocument/2006/relationships/hyperlink" Target="http://www.sec.gov/Archives/edgar/data/1070423/000107042318000009/paaq1201810-q.htm" TargetMode="External"/><Relationship Id="rId80" Type="http://schemas.openxmlformats.org/officeDocument/2006/relationships/hyperlink" Target="http://www.sec.gov/Archives/edgar/data/1070423/000107042318000012/paaq2201810-q.htm" TargetMode="External"/><Relationship Id="rId81" Type="http://schemas.openxmlformats.org/officeDocument/2006/relationships/hyperlink" Target="http://www.sec.gov/Archives/edgar/data/1070423/000110465918001290/a18-2368_18k.htm" TargetMode="External"/><Relationship Id="rId82" Type="http://schemas.openxmlformats.org/officeDocument/2006/relationships/hyperlink" Target="http://www.sec.gov/Archives/edgar/data/1070423/000110465918020144/a18-8931_18k.htm" TargetMode="External"/><Relationship Id="rId83" Type="http://schemas.openxmlformats.org/officeDocument/2006/relationships/hyperlink" Target="http://www.sec.gov/Archives/edgar/data/1070423/000110465918034102/a18-13743_18k.htm" TargetMode="External"/><Relationship Id="rId84" Type="http://schemas.openxmlformats.org/officeDocument/2006/relationships/hyperlink" Target="http://www.sec.gov/Archives/edgar/data/1070423/000110465918052848/a18-18381_38k.htm" TargetMode="External"/><Relationship Id="rId85" Type="http://schemas.openxmlformats.org/officeDocument/2006/relationships/hyperlink" Target="http://www.sec.gov/Archives/edgar/data/1070423/000110465918053057/a18-21030_18k.htm" TargetMode="External"/><Relationship Id="rId86" Type="http://schemas.openxmlformats.org/officeDocument/2006/relationships/hyperlink" Target="http://www.sec.gov/Archives/edgar/data/1070423/000110465916157335/a16-21667_3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2020-01-07T23:01:05Z</dcterms:created>
  <dcterms:modified xsi:type="dcterms:W3CDTF">2020-01-07T23:01:05Z</dcterms:modified>
</cp:coreProperties>
</file>