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alibri" w:cs="Calibri" w:eastAsia="Calibri" w:hAnsi="Calibri"/>
          <w:sz w:val="11"/>
          <w:szCs w:val="11"/>
          <w:color w:val="003366"/>
        </w:rPr>
        <w:t>TABLE OF CONTENTS</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September 6, 2024</w:t>
      </w:r>
    </w:p>
    <w:p>
      <w:pPr>
        <w:spacing w:after="0" w:line="32" w:lineRule="exact"/>
        <w:rPr>
          <w:sz w:val="24"/>
          <w:szCs w:val="24"/>
          <w:color w:val="auto"/>
        </w:rPr>
      </w:pPr>
    </w:p>
    <w:p>
      <w:pPr>
        <w:jc w:val="right"/>
        <w:ind w:right="879"/>
        <w:spacing w:after="0"/>
        <w:rPr>
          <w:sz w:val="20"/>
          <w:szCs w:val="20"/>
          <w:color w:val="auto"/>
        </w:rPr>
      </w:pPr>
      <w:r>
        <w:rPr>
          <w:rFonts w:ascii="Times New Roman" w:cs="Times New Roman" w:eastAsia="Times New Roman" w:hAnsi="Times New Roman"/>
          <w:sz w:val="12"/>
          <w:szCs w:val="12"/>
          <w:b w:val="1"/>
          <w:bCs w:val="1"/>
          <w:color w:val="auto"/>
        </w:rPr>
        <w:t>Registration No. 333-            ​</w:t>
      </w:r>
    </w:p>
    <w:p>
      <w:pPr>
        <w:spacing w:after="0" w:line="8"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575310</wp:posOffset>
            </wp:positionH>
            <wp:positionV relativeFrom="paragraph">
              <wp:posOffset>-4445</wp:posOffset>
            </wp:positionV>
            <wp:extent cx="456946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69460" cy="1270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26670</wp:posOffset>
            </wp:positionV>
            <wp:extent cx="45694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69460" cy="6350"/>
                    </a:xfrm>
                    <a:prstGeom prst="rect">
                      <a:avLst/>
                    </a:prstGeom>
                    <a:noFill/>
                  </pic:spPr>
                </pic:pic>
              </a:graphicData>
            </a:graphic>
          </wp:anchor>
        </w:drawing>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74930</wp:posOffset>
            </wp:positionV>
            <wp:extent cx="91249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2495" cy="635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S-3</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REGISTRATION STATEMENT</w:t>
      </w:r>
    </w:p>
    <w:p>
      <w:pPr>
        <w:jc w:val="center"/>
        <w:ind w:right="39"/>
        <w:spacing w:after="0" w:line="225" w:lineRule="auto"/>
        <w:rPr>
          <w:sz w:val="20"/>
          <w:szCs w:val="20"/>
          <w:color w:val="auto"/>
        </w:rPr>
      </w:pPr>
      <w:r>
        <w:rPr>
          <w:rFonts w:ascii="Times New Roman" w:cs="Times New Roman" w:eastAsia="Times New Roman" w:hAnsi="Times New Roman"/>
          <w:sz w:val="12"/>
          <w:szCs w:val="12"/>
          <w:b w:val="1"/>
          <w:bCs w:val="1"/>
          <w:color w:val="auto"/>
        </w:rPr>
        <w:t>UNDER</w:t>
      </w:r>
    </w:p>
    <w:p>
      <w:pPr>
        <w:jc w:val="center"/>
        <w:spacing w:after="0"/>
        <w:rPr>
          <w:sz w:val="20"/>
          <w:szCs w:val="20"/>
          <w:color w:val="auto"/>
        </w:rPr>
      </w:pPr>
      <w:r>
        <w:rPr>
          <w:rFonts w:ascii="Times New Roman" w:cs="Times New Roman" w:eastAsia="Times New Roman" w:hAnsi="Times New Roman"/>
          <w:sz w:val="12"/>
          <w:szCs w:val="1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31115</wp:posOffset>
            </wp:positionV>
            <wp:extent cx="91249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12495" cy="6350"/>
                    </a:xfrm>
                    <a:prstGeom prst="rect">
                      <a:avLst/>
                    </a:prstGeom>
                    <a:noFill/>
                  </pic:spPr>
                </pic:pic>
              </a:graphicData>
            </a:graphic>
          </wp:anchor>
        </w:drawing>
      </w:r>
    </w:p>
    <w:p>
      <w:pPr>
        <w:spacing w:after="0" w:line="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PLAINS ALL AMERICAN PIPELINE, L.P.</w:t>
      </w:r>
    </w:p>
    <w:p>
      <w:pPr>
        <w:jc w:val="center"/>
        <w:spacing w:after="0" w:line="198" w:lineRule="auto"/>
        <w:rPr>
          <w:sz w:val="20"/>
          <w:szCs w:val="20"/>
          <w:color w:val="auto"/>
        </w:rPr>
      </w:pPr>
      <w:r>
        <w:rPr>
          <w:rFonts w:ascii="Times New Roman" w:cs="Times New Roman" w:eastAsia="Times New Roman" w:hAnsi="Times New Roman"/>
          <w:sz w:val="19"/>
          <w:szCs w:val="19"/>
          <w:b w:val="1"/>
          <w:bCs w:val="1"/>
          <w:color w:val="auto"/>
        </w:rPr>
        <w:t>PAA FINANCE CORP.</w:t>
      </w:r>
    </w:p>
    <w:p>
      <w:pPr>
        <w:spacing w:after="0" w:line="1" w:lineRule="exact"/>
        <w:rPr>
          <w:sz w:val="24"/>
          <w:szCs w:val="24"/>
          <w:color w:val="auto"/>
        </w:rPr>
      </w:pPr>
    </w:p>
    <w:tbl>
      <w:tblPr>
        <w:tblLayout w:type="fixed"/>
        <w:tblInd w:w="900" w:type="dxa"/>
        <w:tblCellMar>
          <w:top w:w="0" w:type="dxa"/>
          <w:left w:w="0" w:type="dxa"/>
          <w:bottom w:w="0" w:type="dxa"/>
          <w:right w:w="0" w:type="dxa"/>
        </w:tblCellMar>
      </w:tblPr>
      <w:tr>
        <w:trPr>
          <w:trHeight w:val="139"/>
        </w:trPr>
        <w:tc>
          <w:tcPr>
            <w:tcW w:w="520" w:type="dxa"/>
            <w:vAlign w:val="bottom"/>
          </w:tcPr>
          <w:p>
            <w:pPr>
              <w:spacing w:after="0"/>
              <w:rPr>
                <w:sz w:val="12"/>
                <w:szCs w:val="12"/>
                <w:color w:val="auto"/>
              </w:rPr>
            </w:pPr>
          </w:p>
        </w:tc>
        <w:tc>
          <w:tcPr>
            <w:tcW w:w="4400" w:type="dxa"/>
            <w:vAlign w:val="bottom"/>
            <w:gridSpan w:val="2"/>
          </w:tcPr>
          <w:p>
            <w:pPr>
              <w:jc w:val="center"/>
              <w:ind w:left="1704"/>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3"/>
        </w:trPr>
        <w:tc>
          <w:tcPr>
            <w:tcW w:w="5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25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8"/>
              </w:rPr>
              <w:t>Delaware</w:t>
            </w:r>
          </w:p>
        </w:tc>
        <w:tc>
          <w:tcPr>
            <w:tcW w:w="1880" w:type="dxa"/>
            <w:vAlign w:val="bottom"/>
          </w:tcPr>
          <w:p>
            <w:pPr>
              <w:jc w:val="center"/>
              <w:ind w:right="682"/>
              <w:spacing w:after="0" w:line="133" w:lineRule="exact"/>
              <w:rPr>
                <w:sz w:val="20"/>
                <w:szCs w:val="20"/>
                <w:color w:val="auto"/>
              </w:rPr>
            </w:pPr>
            <w:r>
              <w:rPr>
                <w:rFonts w:ascii="Times New Roman" w:cs="Times New Roman" w:eastAsia="Times New Roman" w:hAnsi="Times New Roman"/>
                <w:sz w:val="12"/>
                <w:szCs w:val="12"/>
                <w:b w:val="1"/>
                <w:bCs w:val="1"/>
                <w:color w:val="auto"/>
              </w:rPr>
              <w:t>​ ​</w:t>
            </w:r>
          </w:p>
        </w:tc>
        <w:tc>
          <w:tcPr>
            <w:tcW w:w="1600" w:type="dxa"/>
            <w:vAlign w:val="bottom"/>
          </w:tcPr>
          <w:p>
            <w:pPr>
              <w:jc w:val="center"/>
              <w:ind w:right="503"/>
              <w:spacing w:after="0" w:line="133" w:lineRule="exact"/>
              <w:rPr>
                <w:sz w:val="20"/>
                <w:szCs w:val="20"/>
                <w:color w:val="auto"/>
              </w:rPr>
            </w:pPr>
            <w:r>
              <w:rPr>
                <w:rFonts w:ascii="Times New Roman" w:cs="Times New Roman" w:eastAsia="Times New Roman" w:hAnsi="Times New Roman"/>
                <w:sz w:val="12"/>
                <w:szCs w:val="12"/>
                <w:b w:val="1"/>
                <w:bCs w:val="1"/>
                <w:color w:val="auto"/>
                <w:w w:val="96"/>
              </w:rPr>
              <w:t>76-0582150</w:t>
            </w:r>
          </w:p>
        </w:tc>
        <w:tc>
          <w:tcPr>
            <w:tcW w:w="700" w:type="dxa"/>
            <w:vAlign w:val="bottom"/>
          </w:tcPr>
          <w:p>
            <w:pPr>
              <w:ind w:left="68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36"/>
        </w:trPr>
        <w:tc>
          <w:tcPr>
            <w:tcW w:w="52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w:t>
            </w:r>
          </w:p>
        </w:tc>
        <w:tc>
          <w:tcPr>
            <w:tcW w:w="25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8"/>
              </w:rPr>
              <w:t>Delaware</w:t>
            </w:r>
          </w:p>
        </w:tc>
        <w:tc>
          <w:tcPr>
            <w:tcW w:w="1880" w:type="dxa"/>
            <w:vAlign w:val="bottom"/>
          </w:tcPr>
          <w:p>
            <w:pPr>
              <w:jc w:val="center"/>
              <w:ind w:right="682"/>
              <w:spacing w:after="0" w:line="136" w:lineRule="exact"/>
              <w:rPr>
                <w:sz w:val="20"/>
                <w:szCs w:val="20"/>
                <w:color w:val="auto"/>
              </w:rPr>
            </w:pPr>
            <w:r>
              <w:rPr>
                <w:rFonts w:ascii="Times New Roman" w:cs="Times New Roman" w:eastAsia="Times New Roman" w:hAnsi="Times New Roman"/>
                <w:sz w:val="12"/>
                <w:szCs w:val="12"/>
                <w:b w:val="1"/>
                <w:bCs w:val="1"/>
                <w:color w:val="auto"/>
              </w:rPr>
              <w:t>​ ​</w:t>
            </w:r>
          </w:p>
        </w:tc>
        <w:tc>
          <w:tcPr>
            <w:tcW w:w="1600" w:type="dxa"/>
            <w:vAlign w:val="bottom"/>
          </w:tcPr>
          <w:p>
            <w:pPr>
              <w:jc w:val="center"/>
              <w:ind w:right="503"/>
              <w:spacing w:after="0" w:line="136" w:lineRule="exact"/>
              <w:rPr>
                <w:sz w:val="20"/>
                <w:szCs w:val="20"/>
                <w:color w:val="auto"/>
              </w:rPr>
            </w:pPr>
            <w:r>
              <w:rPr>
                <w:rFonts w:ascii="Times New Roman" w:cs="Times New Roman" w:eastAsia="Times New Roman" w:hAnsi="Times New Roman"/>
                <w:sz w:val="12"/>
                <w:szCs w:val="12"/>
                <w:b w:val="1"/>
                <w:bCs w:val="1"/>
                <w:color w:val="auto"/>
                <w:w w:val="96"/>
              </w:rPr>
              <w:t>56-2464313</w:t>
            </w:r>
          </w:p>
        </w:tc>
        <w:tc>
          <w:tcPr>
            <w:tcW w:w="700" w:type="dxa"/>
            <w:vAlign w:val="bottom"/>
          </w:tcPr>
          <w:p>
            <w:pPr>
              <w:ind w:left="68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18"/>
        </w:trPr>
        <w:tc>
          <w:tcPr>
            <w:tcW w:w="52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620"/>
              <w:spacing w:after="0" w:line="118" w:lineRule="exact"/>
              <w:rPr>
                <w:sz w:val="20"/>
                <w:szCs w:val="20"/>
                <w:color w:val="auto"/>
              </w:rPr>
            </w:pPr>
            <w:r>
              <w:rPr>
                <w:rFonts w:ascii="Times New Roman" w:cs="Times New Roman" w:eastAsia="Times New Roman" w:hAnsi="Times New Roman"/>
                <w:sz w:val="11"/>
                <w:szCs w:val="11"/>
                <w:color w:val="auto"/>
              </w:rPr>
              <w:t>(State or Other Jurisdiction</w:t>
            </w:r>
          </w:p>
        </w:tc>
        <w:tc>
          <w:tcPr>
            <w:tcW w:w="1880" w:type="dxa"/>
            <w:vAlign w:val="bottom"/>
          </w:tcPr>
          <w:p>
            <w:pPr>
              <w:jc w:val="center"/>
              <w:ind w:right="682"/>
              <w:spacing w:after="0" w:line="118" w:lineRule="exact"/>
              <w:rPr>
                <w:sz w:val="20"/>
                <w:szCs w:val="20"/>
                <w:color w:val="auto"/>
              </w:rPr>
            </w:pPr>
            <w:r>
              <w:rPr>
                <w:rFonts w:ascii="Times New Roman" w:cs="Times New Roman" w:eastAsia="Times New Roman" w:hAnsi="Times New Roman"/>
                <w:sz w:val="11"/>
                <w:szCs w:val="11"/>
                <w:color w:val="auto"/>
              </w:rPr>
              <w:t>​ ​</w:t>
            </w:r>
          </w:p>
        </w:tc>
        <w:tc>
          <w:tcPr>
            <w:tcW w:w="1600" w:type="dxa"/>
            <w:vAlign w:val="bottom"/>
          </w:tcPr>
          <w:p>
            <w:pPr>
              <w:ind w:left="120"/>
              <w:spacing w:after="0" w:line="118" w:lineRule="exact"/>
              <w:rPr>
                <w:sz w:val="20"/>
                <w:szCs w:val="20"/>
                <w:color w:val="auto"/>
              </w:rPr>
            </w:pPr>
            <w:r>
              <w:rPr>
                <w:rFonts w:ascii="Times New Roman" w:cs="Times New Roman" w:eastAsia="Times New Roman" w:hAnsi="Times New Roman"/>
                <w:sz w:val="11"/>
                <w:szCs w:val="11"/>
                <w:color w:val="auto"/>
              </w:rPr>
              <w:t>(I.R.S. Employer</w:t>
            </w:r>
          </w:p>
        </w:tc>
        <w:tc>
          <w:tcPr>
            <w:tcW w:w="700" w:type="dxa"/>
            <w:vAlign w:val="bottom"/>
          </w:tcPr>
          <w:p>
            <w:pPr>
              <w:ind w:left="68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55"/>
        </w:trPr>
        <w:tc>
          <w:tcPr>
            <w:tcW w:w="52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of Incorporation or Organization)​</w:t>
            </w:r>
          </w:p>
        </w:tc>
        <w:tc>
          <w:tcPr>
            <w:tcW w:w="1880" w:type="dxa"/>
            <w:vAlign w:val="bottom"/>
          </w:tcPr>
          <w:p>
            <w:pPr>
              <w:spacing w:after="0"/>
              <w:rPr>
                <w:sz w:val="13"/>
                <w:szCs w:val="13"/>
                <w:color w:val="auto"/>
              </w:rPr>
            </w:pPr>
          </w:p>
        </w:tc>
        <w:tc>
          <w:tcPr>
            <w:tcW w:w="1600" w:type="dxa"/>
            <w:vAlign w:val="bottom"/>
          </w:tcPr>
          <w:p>
            <w:pPr>
              <w:jc w:val="center"/>
              <w:ind w:right="523"/>
              <w:spacing w:after="0"/>
              <w:rPr>
                <w:sz w:val="20"/>
                <w:szCs w:val="20"/>
                <w:color w:val="auto"/>
              </w:rPr>
            </w:pPr>
            <w:r>
              <w:rPr>
                <w:rFonts w:ascii="Times New Roman" w:cs="Times New Roman" w:eastAsia="Times New Roman" w:hAnsi="Times New Roman"/>
                <w:sz w:val="11"/>
                <w:szCs w:val="11"/>
                <w:color w:val="auto"/>
              </w:rPr>
              <w:t>Identification No.)</w:t>
            </w:r>
          </w:p>
        </w:tc>
        <w:tc>
          <w:tcPr>
            <w:tcW w:w="700" w:type="dxa"/>
            <w:vAlign w:val="bottom"/>
          </w:tcPr>
          <w:p>
            <w:pPr>
              <w:spacing w:after="0"/>
              <w:rPr>
                <w:sz w:val="13"/>
                <w:szCs w:val="13"/>
                <w:color w:val="auto"/>
              </w:rPr>
            </w:pPr>
          </w:p>
        </w:tc>
      </w:tr>
    </w:tbl>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333 Clay Street, Suite 1600</w:t>
      </w:r>
    </w:p>
    <w:p>
      <w:pPr>
        <w:jc w:val="center"/>
        <w:ind w:right="39"/>
        <w:spacing w:after="0" w:line="225" w:lineRule="auto"/>
        <w:rPr>
          <w:sz w:val="20"/>
          <w:szCs w:val="20"/>
          <w:color w:val="auto"/>
        </w:rPr>
      </w:pPr>
      <w:r>
        <w:rPr>
          <w:rFonts w:ascii="Times New Roman" w:cs="Times New Roman" w:eastAsia="Times New Roman" w:hAnsi="Times New Roman"/>
          <w:sz w:val="12"/>
          <w:szCs w:val="12"/>
          <w:b w:val="1"/>
          <w:bCs w:val="1"/>
          <w:color w:val="auto"/>
        </w:rPr>
        <w:t>Houston, Texas 77002</w:t>
      </w:r>
    </w:p>
    <w:p>
      <w:pPr>
        <w:jc w:val="center"/>
        <w:spacing w:after="0"/>
        <w:rPr>
          <w:sz w:val="20"/>
          <w:szCs w:val="20"/>
          <w:color w:val="auto"/>
        </w:rPr>
      </w:pPr>
      <w:r>
        <w:rPr>
          <w:rFonts w:ascii="Times New Roman" w:cs="Times New Roman" w:eastAsia="Times New Roman" w:hAnsi="Times New Roman"/>
          <w:sz w:val="12"/>
          <w:szCs w:val="12"/>
          <w:b w:val="1"/>
          <w:bCs w:val="1"/>
          <w:color w:val="auto"/>
        </w:rPr>
        <w:t>(713) 646-4100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36830</wp:posOffset>
            </wp:positionV>
            <wp:extent cx="91249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2495" cy="6350"/>
                    </a:xfrm>
                    <a:prstGeom prst="rect">
                      <a:avLst/>
                    </a:prstGeom>
                    <a:noFill/>
                  </pic:spPr>
                </pic:pic>
              </a:graphicData>
            </a:graphic>
          </wp:anchor>
        </w:drawing>
      </w:r>
    </w:p>
    <w:p>
      <w:pPr>
        <w:spacing w:after="0" w:line="9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2"/>
          <w:szCs w:val="12"/>
          <w:b w:val="1"/>
          <w:bCs w:val="1"/>
          <w:color w:val="auto"/>
        </w:rPr>
        <w:t>Richard McGee</w:t>
      </w:r>
    </w:p>
    <w:p>
      <w:pPr>
        <w:ind w:left="3660"/>
        <w:spacing w:after="0" w:line="221" w:lineRule="auto"/>
        <w:rPr>
          <w:sz w:val="20"/>
          <w:szCs w:val="20"/>
          <w:color w:val="auto"/>
        </w:rPr>
      </w:pPr>
      <w:r>
        <w:rPr>
          <w:rFonts w:ascii="Times New Roman" w:cs="Times New Roman" w:eastAsia="Times New Roman" w:hAnsi="Times New Roman"/>
          <w:sz w:val="12"/>
          <w:szCs w:val="12"/>
          <w:b w:val="1"/>
          <w:bCs w:val="1"/>
          <w:color w:val="auto"/>
        </w:rPr>
        <w:t>Executive Vice President, General</w:t>
      </w:r>
    </w:p>
    <w:p>
      <w:pPr>
        <w:ind w:left="3940"/>
        <w:spacing w:after="0" w:line="226" w:lineRule="auto"/>
        <w:rPr>
          <w:sz w:val="20"/>
          <w:szCs w:val="20"/>
          <w:color w:val="auto"/>
        </w:rPr>
      </w:pPr>
      <w:r>
        <w:rPr>
          <w:rFonts w:ascii="Times New Roman" w:cs="Times New Roman" w:eastAsia="Times New Roman" w:hAnsi="Times New Roman"/>
          <w:sz w:val="12"/>
          <w:szCs w:val="12"/>
          <w:b w:val="1"/>
          <w:bCs w:val="1"/>
          <w:color w:val="auto"/>
        </w:rPr>
        <w:t>Counsel and Secretary</w:t>
      </w:r>
    </w:p>
    <w:p>
      <w:pPr>
        <w:ind w:left="3840"/>
        <w:spacing w:after="0" w:line="226" w:lineRule="auto"/>
        <w:rPr>
          <w:sz w:val="20"/>
          <w:szCs w:val="20"/>
          <w:color w:val="auto"/>
        </w:rPr>
      </w:pPr>
      <w:r>
        <w:rPr>
          <w:rFonts w:ascii="Times New Roman" w:cs="Times New Roman" w:eastAsia="Times New Roman" w:hAnsi="Times New Roman"/>
          <w:sz w:val="12"/>
          <w:szCs w:val="12"/>
          <w:b w:val="1"/>
          <w:bCs w:val="1"/>
          <w:color w:val="auto"/>
        </w:rPr>
        <w:t>333 Clay Street, Suite 1600</w:t>
      </w:r>
    </w:p>
    <w:p>
      <w:pPr>
        <w:ind w:left="3960"/>
        <w:spacing w:after="0" w:line="208" w:lineRule="auto"/>
        <w:rPr>
          <w:sz w:val="20"/>
          <w:szCs w:val="20"/>
          <w:color w:val="auto"/>
        </w:rPr>
      </w:pPr>
      <w:r>
        <w:rPr>
          <w:rFonts w:ascii="Times New Roman" w:cs="Times New Roman" w:eastAsia="Times New Roman" w:hAnsi="Times New Roman"/>
          <w:sz w:val="12"/>
          <w:szCs w:val="12"/>
          <w:b w:val="1"/>
          <w:bCs w:val="1"/>
          <w:color w:val="auto"/>
        </w:rPr>
        <w:t>Houston, Texas 77002</w:t>
      </w:r>
    </w:p>
    <w:p>
      <w:pPr>
        <w:jc w:val="center"/>
        <w:spacing w:after="0"/>
        <w:rPr>
          <w:sz w:val="20"/>
          <w:szCs w:val="20"/>
          <w:color w:val="auto"/>
        </w:rPr>
      </w:pPr>
      <w:r>
        <w:rPr>
          <w:rFonts w:ascii="Times New Roman" w:cs="Times New Roman" w:eastAsia="Times New Roman" w:hAnsi="Times New Roman"/>
          <w:sz w:val="12"/>
          <w:szCs w:val="12"/>
          <w:b w:val="1"/>
          <w:bCs w:val="1"/>
          <w:color w:val="auto"/>
        </w:rPr>
        <w:t>(713) 646-4100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36830</wp:posOffset>
            </wp:positionV>
            <wp:extent cx="91249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2495" cy="635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Copies to:</w:t>
      </w:r>
    </w:p>
    <w:p>
      <w:pPr>
        <w:spacing w:after="0" w:line="2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David P. Oelman</w:t>
      </w:r>
    </w:p>
    <w:p>
      <w:pPr>
        <w:ind w:left="4120"/>
        <w:spacing w:after="0"/>
        <w:rPr>
          <w:sz w:val="20"/>
          <w:szCs w:val="20"/>
          <w:color w:val="auto"/>
        </w:rPr>
      </w:pPr>
      <w:r>
        <w:rPr>
          <w:rFonts w:ascii="Times New Roman" w:cs="Times New Roman" w:eastAsia="Times New Roman" w:hAnsi="Times New Roman"/>
          <w:sz w:val="12"/>
          <w:szCs w:val="12"/>
          <w:b w:val="1"/>
          <w:bCs w:val="1"/>
          <w:color w:val="auto"/>
        </w:rPr>
        <w:t>Scott Rubinsky</w:t>
      </w:r>
    </w:p>
    <w:p>
      <w:pPr>
        <w:ind w:left="3920"/>
        <w:spacing w:after="0" w:line="208" w:lineRule="auto"/>
        <w:rPr>
          <w:sz w:val="20"/>
          <w:szCs w:val="20"/>
          <w:color w:val="auto"/>
        </w:rPr>
      </w:pPr>
      <w:r>
        <w:rPr>
          <w:rFonts w:ascii="Times New Roman" w:cs="Times New Roman" w:eastAsia="Times New Roman" w:hAnsi="Times New Roman"/>
          <w:sz w:val="12"/>
          <w:szCs w:val="12"/>
          <w:b w:val="1"/>
          <w:bCs w:val="1"/>
          <w:color w:val="auto"/>
        </w:rPr>
        <w:t>Vinson &amp; Elkins L.L.P.</w:t>
      </w:r>
    </w:p>
    <w:p>
      <w:pPr>
        <w:ind w:left="3780"/>
        <w:spacing w:after="0" w:line="225" w:lineRule="auto"/>
        <w:rPr>
          <w:sz w:val="20"/>
          <w:szCs w:val="20"/>
          <w:color w:val="auto"/>
        </w:rPr>
      </w:pPr>
      <w:r>
        <w:rPr>
          <w:rFonts w:ascii="Times New Roman" w:cs="Times New Roman" w:eastAsia="Times New Roman" w:hAnsi="Times New Roman"/>
          <w:sz w:val="12"/>
          <w:szCs w:val="12"/>
          <w:b w:val="1"/>
          <w:bCs w:val="1"/>
          <w:color w:val="auto"/>
        </w:rPr>
        <w:t>845 Texas Avenue, Suite 4700</w:t>
      </w:r>
    </w:p>
    <w:p>
      <w:pPr>
        <w:ind w:left="3960"/>
        <w:spacing w:after="0" w:line="226" w:lineRule="auto"/>
        <w:rPr>
          <w:sz w:val="20"/>
          <w:szCs w:val="20"/>
          <w:color w:val="auto"/>
        </w:rPr>
      </w:pPr>
      <w:r>
        <w:rPr>
          <w:rFonts w:ascii="Times New Roman" w:cs="Times New Roman" w:eastAsia="Times New Roman" w:hAnsi="Times New Roman"/>
          <w:sz w:val="12"/>
          <w:szCs w:val="12"/>
          <w:b w:val="1"/>
          <w:bCs w:val="1"/>
          <w:color w:val="auto"/>
        </w:rPr>
        <w:t>Houston, Texas 77002</w:t>
      </w:r>
    </w:p>
    <w:p>
      <w:pPr>
        <w:ind w:left="4140"/>
        <w:spacing w:after="0"/>
        <w:rPr>
          <w:sz w:val="20"/>
          <w:szCs w:val="20"/>
          <w:color w:val="auto"/>
        </w:rPr>
      </w:pPr>
      <w:r>
        <w:rPr>
          <w:rFonts w:ascii="Times New Roman" w:cs="Times New Roman" w:eastAsia="Times New Roman" w:hAnsi="Times New Roman"/>
          <w:sz w:val="12"/>
          <w:szCs w:val="12"/>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37465</wp:posOffset>
            </wp:positionV>
            <wp:extent cx="91249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2495" cy="6350"/>
                    </a:xfrm>
                    <a:prstGeom prst="rect">
                      <a:avLst/>
                    </a:prstGeom>
                    <a:noFill/>
                  </pic:spPr>
                </pic:pic>
              </a:graphicData>
            </a:graphic>
          </wp:anchor>
        </w:drawing>
      </w:r>
    </w:p>
    <w:p>
      <w:pPr>
        <w:spacing w:after="0" w:line="99" w:lineRule="exact"/>
        <w:rPr>
          <w:sz w:val="24"/>
          <w:szCs w:val="24"/>
          <w:color w:val="auto"/>
        </w:rPr>
      </w:pPr>
    </w:p>
    <w:p>
      <w:pPr>
        <w:ind w:left="900" w:right="1339" w:firstLine="266"/>
        <w:spacing w:after="0" w:line="251" w:lineRule="auto"/>
        <w:rPr>
          <w:sz w:val="20"/>
          <w:szCs w:val="20"/>
          <w:color w:val="auto"/>
        </w:rPr>
      </w:pPr>
      <w:r>
        <w:rPr>
          <w:rFonts w:ascii="Times New Roman" w:cs="Times New Roman" w:eastAsia="Times New Roman" w:hAnsi="Times New Roman"/>
          <w:sz w:val="12"/>
          <w:szCs w:val="12"/>
          <w:color w:val="auto"/>
        </w:rPr>
        <w:t>Approximate date of commencement of proposed sale to the public: From time to time after the effective date of this Registration Statement.</w:t>
      </w:r>
    </w:p>
    <w:p>
      <w:pPr>
        <w:spacing w:after="0" w:line="1" w:lineRule="exact"/>
        <w:rPr>
          <w:sz w:val="24"/>
          <w:szCs w:val="24"/>
          <w:color w:val="auto"/>
        </w:rPr>
      </w:pPr>
    </w:p>
    <w:p>
      <w:pPr>
        <w:ind w:left="900" w:right="939" w:firstLine="266"/>
        <w:spacing w:after="0" w:line="147"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ind w:left="900" w:right="999" w:firstLine="266"/>
        <w:spacing w:after="0" w:line="220" w:lineRule="auto"/>
        <w:rPr>
          <w:sz w:val="20"/>
          <w:szCs w:val="20"/>
          <w:color w:val="auto"/>
        </w:rPr>
      </w:pPr>
      <w:r>
        <w:rPr>
          <w:rFonts w:ascii="Times New Roman" w:cs="Times New Roman" w:eastAsia="Times New Roman" w:hAnsi="Times New Roman"/>
          <w:sz w:val="12"/>
          <w:szCs w:val="12"/>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w:t>
      </w:r>
    </w:p>
    <w:p>
      <w:pPr>
        <w:spacing w:after="0" w:line="1" w:lineRule="exact"/>
        <w:rPr>
          <w:sz w:val="24"/>
          <w:szCs w:val="24"/>
          <w:color w:val="auto"/>
        </w:rPr>
      </w:pPr>
    </w:p>
    <w:p>
      <w:pPr>
        <w:ind w:left="900"/>
        <w:spacing w:after="0" w:line="121" w:lineRule="exact"/>
        <w:rPr>
          <w:sz w:val="20"/>
          <w:szCs w:val="20"/>
          <w:color w:val="auto"/>
        </w:rPr>
      </w:pPr>
      <w:r>
        <w:rPr>
          <w:rFonts w:ascii="MS PGothic" w:cs="MS PGothic" w:eastAsia="MS PGothic" w:hAnsi="MS PGothic"/>
          <w:sz w:val="12"/>
          <w:szCs w:val="12"/>
          <w:color w:val="auto"/>
        </w:rPr>
        <w:t>☒</w:t>
      </w:r>
    </w:p>
    <w:p>
      <w:pPr>
        <w:spacing w:after="0" w:line="44" w:lineRule="exact"/>
        <w:rPr>
          <w:sz w:val="24"/>
          <w:szCs w:val="24"/>
          <w:color w:val="auto"/>
        </w:rPr>
      </w:pPr>
    </w:p>
    <w:p>
      <w:pPr>
        <w:ind w:left="900" w:right="1019" w:firstLine="266"/>
        <w:spacing w:after="0" w:line="145"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900" w:right="1119" w:firstLine="266"/>
        <w:spacing w:after="0" w:line="145"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900" w:right="1239" w:firstLine="266"/>
        <w:spacing w:after="0" w:line="145"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900" w:right="939" w:firstLine="266"/>
        <w:spacing w:after="0" w:line="145"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ind w:left="1160"/>
        <w:spacing w:after="0" w:line="227"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w:t>
      </w:r>
    </w:p>
    <w:p>
      <w:pPr>
        <w:ind w:left="900" w:right="1119"/>
        <w:spacing w:after="0" w:line="140" w:lineRule="exact"/>
        <w:rPr>
          <w:sz w:val="20"/>
          <w:szCs w:val="20"/>
          <w:color w:val="auto"/>
        </w:rPr>
      </w:pPr>
      <w:r>
        <w:rPr>
          <w:rFonts w:ascii="Times New Roman" w:cs="Times New Roman" w:eastAsia="Times New Roman" w:hAnsi="Times New Roman"/>
          <w:sz w:val="12"/>
          <w:szCs w:val="12"/>
          <w:color w:val="auto"/>
        </w:rPr>
        <w:t xml:space="preserve">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2"/>
          <w:szCs w:val="12"/>
          <w:color w:val="auto"/>
        </w:rPr>
        <w:t>☐</w:t>
      </w:r>
    </w:p>
    <w:tbl>
      <w:tblPr>
        <w:tblLayout w:type="fixed"/>
        <w:tblInd w:w="1160" w:type="dxa"/>
        <w:tblCellMar>
          <w:top w:w="0" w:type="dxa"/>
          <w:left w:w="0" w:type="dxa"/>
          <w:bottom w:w="0" w:type="dxa"/>
          <w:right w:w="0" w:type="dxa"/>
        </w:tblCellMar>
      </w:tblPr>
      <w:tr>
        <w:trPr>
          <w:trHeight w:val="117"/>
        </w:trPr>
        <w:tc>
          <w:tcPr>
            <w:tcW w:w="142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tc>
        <w:tc>
          <w:tcPr>
            <w:tcW w:w="200" w:type="dxa"/>
            <w:vAlign w:val="bottom"/>
          </w:tcPr>
          <w:p>
            <w:pPr>
              <w:ind w:left="140"/>
              <w:spacing w:after="0" w:line="11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tc>
        <w:tc>
          <w:tcPr>
            <w:tcW w:w="340" w:type="dxa"/>
            <w:vAlign w:val="bottom"/>
          </w:tcPr>
          <w:p>
            <w:pPr>
              <w:ind w:left="280"/>
              <w:spacing w:after="0" w:line="11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tc>
        <w:tc>
          <w:tcPr>
            <w:tcW w:w="220" w:type="dxa"/>
            <w:vAlign w:val="bottom"/>
          </w:tcPr>
          <w:p>
            <w:pPr>
              <w:ind w:left="160"/>
              <w:spacing w:after="0" w:line="11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6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w:t>
            </w:r>
          </w:p>
        </w:tc>
      </w:tr>
      <w:tr>
        <w:trPr>
          <w:trHeight w:val="201"/>
        </w:trPr>
        <w:tc>
          <w:tcPr>
            <w:tcW w:w="14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0" w:type="dxa"/>
            <w:vAlign w:val="bottom"/>
          </w:tcPr>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w:t>
            </w:r>
          </w:p>
        </w:tc>
      </w:tr>
    </w:tbl>
    <w:p>
      <w:pPr>
        <w:spacing w:after="0" w:line="99" w:lineRule="exact"/>
        <w:rPr>
          <w:sz w:val="24"/>
          <w:szCs w:val="24"/>
          <w:color w:val="auto"/>
        </w:rPr>
      </w:pPr>
    </w:p>
    <w:p>
      <w:pPr>
        <w:ind w:left="900" w:right="1399" w:firstLine="266"/>
        <w:spacing w:after="0" w:line="147"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22860</wp:posOffset>
            </wp:positionV>
            <wp:extent cx="91249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2495" cy="6350"/>
                    </a:xfrm>
                    <a:prstGeom prst="rect">
                      <a:avLst/>
                    </a:prstGeom>
                    <a:noFill/>
                  </pic:spPr>
                </pic:pic>
              </a:graphicData>
            </a:graphic>
          </wp:anchor>
        </w:drawing>
      </w:r>
    </w:p>
    <w:p>
      <w:pPr>
        <w:spacing w:after="0" w:line="73" w:lineRule="exact"/>
        <w:rPr>
          <w:sz w:val="24"/>
          <w:szCs w:val="24"/>
          <w:color w:val="auto"/>
        </w:rPr>
      </w:pPr>
    </w:p>
    <w:p>
      <w:pPr>
        <w:ind w:left="900" w:right="1099" w:firstLine="266"/>
        <w:spacing w:after="0" w:line="261" w:lineRule="auto"/>
        <w:rPr>
          <w:sz w:val="20"/>
          <w:szCs w:val="20"/>
          <w:color w:val="auto"/>
        </w:rPr>
      </w:pPr>
      <w:r>
        <w:rPr>
          <w:rFonts w:ascii="Times New Roman" w:cs="Times New Roman" w:eastAsia="Times New Roman" w:hAnsi="Times New Roman"/>
          <w:sz w:val="11"/>
          <w:szCs w:val="11"/>
          <w:b w:val="1"/>
          <w:bCs w:val="1"/>
          <w:color w:val="auto"/>
        </w:rPr>
        <w:t>The registrants hereby amend this Registration Statement on such date or dates as may be necessary to delay its effective date until the registrants shall file a further amendment that specifically states that this Registration Statement shall thereafter become effective in accordance</w:t>
      </w:r>
    </w:p>
    <w:p>
      <w:pPr>
        <w:ind w:left="900" w:right="1239"/>
        <w:spacing w:after="0" w:line="228" w:lineRule="auto"/>
        <w:rPr>
          <w:sz w:val="20"/>
          <w:szCs w:val="20"/>
          <w:color w:val="auto"/>
        </w:rPr>
      </w:pPr>
      <w:r>
        <w:rPr>
          <w:rFonts w:ascii="Times New Roman" w:cs="Times New Roman" w:eastAsia="Times New Roman" w:hAnsi="Times New Roman"/>
          <w:sz w:val="12"/>
          <w:szCs w:val="12"/>
          <w:b w:val="1"/>
          <w:bCs w:val="1"/>
          <w:color w:val="auto"/>
        </w:rPr>
        <w:t>with Section 8(a) of the U.S.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575310</wp:posOffset>
            </wp:positionH>
            <wp:positionV relativeFrom="paragraph">
              <wp:posOffset>15240</wp:posOffset>
            </wp:positionV>
            <wp:extent cx="456946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69460" cy="6350"/>
                    </a:xfrm>
                    <a:prstGeom prst="rect">
                      <a:avLst/>
                    </a:prstGeom>
                    <a:noFill/>
                  </pic:spPr>
                </pic:pic>
              </a:graphicData>
            </a:graphic>
          </wp:anchor>
        </w:drawing>
      </w:r>
    </w:p>
    <w:p>
      <w:pPr>
        <w:spacing w:after="0" w:line="18"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575310</wp:posOffset>
            </wp:positionH>
            <wp:positionV relativeFrom="paragraph">
              <wp:posOffset>-4445</wp:posOffset>
            </wp:positionV>
            <wp:extent cx="4569460"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69460" cy="12700"/>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184785</wp:posOffset>
            </wp:positionV>
            <wp:extent cx="505142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1" w:name="page2"/>
    <w:bookmarkEnd w:id="1"/>
    <w:p>
      <w:pPr>
        <w:ind w:left="540"/>
        <w:spacing w:after="0"/>
        <w:rPr>
          <w:sz w:val="20"/>
          <w:szCs w:val="20"/>
          <w:color w:val="auto"/>
        </w:rPr>
      </w:pPr>
      <w:r>
        <w:rPr>
          <w:rFonts w:ascii="Calibri" w:cs="Calibri" w:eastAsia="Calibri" w:hAnsi="Calibri"/>
          <w:sz w:val="10"/>
          <w:szCs w:val="10"/>
          <w:color w:val="003366"/>
        </w:rPr>
        <w:t>TABLE OF CONTENTS</w:t>
      </w:r>
    </w:p>
    <w:p>
      <w:pPr>
        <w:spacing w:after="0" w:line="346" w:lineRule="exact"/>
        <w:rPr>
          <w:sz w:val="20"/>
          <w:szCs w:val="20"/>
          <w:color w:val="auto"/>
        </w:rPr>
      </w:pPr>
    </w:p>
    <w:tbl>
      <w:tblPr>
        <w:tblLayout w:type="fixed"/>
        <w:tblInd w:w="1200" w:type="dxa"/>
        <w:tblCellMar>
          <w:top w:w="0" w:type="dxa"/>
          <w:left w:w="0" w:type="dxa"/>
          <w:bottom w:w="0" w:type="dxa"/>
          <w:right w:w="0" w:type="dxa"/>
        </w:tblCellMar>
      </w:tblPr>
      <w:tr>
        <w:trPr>
          <w:trHeight w:val="2081"/>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5"/>
              </w:rPr>
              <w:t>the Securities and Exchange Commission</w:t>
            </w:r>
          </w:p>
        </w:tc>
        <w:tc>
          <w:tcPr>
            <w:tcW w:w="100" w:type="dxa"/>
            <w:vAlign w:val="bottom"/>
            <w:textDirection w:val="btLr"/>
          </w:tcPr>
          <w:p>
            <w:pPr>
              <w:spacing w:after="0"/>
              <w:rPr>
                <w:sz w:val="20"/>
                <w:szCs w:val="20"/>
                <w:color w:val="auto"/>
              </w:rPr>
            </w:pPr>
            <w:r>
              <w:rPr>
                <w:rFonts w:ascii="Arial" w:cs="Arial" w:eastAsia="Arial" w:hAnsi="Arial"/>
                <w:sz w:val="11"/>
                <w:szCs w:val="11"/>
                <w:b w:val="1"/>
                <w:bCs w:val="1"/>
                <w:color w:val="FC0014"/>
                <w:w w:val="93"/>
              </w:rPr>
              <w:t>or sale is not permitted.</w:t>
            </w:r>
          </w:p>
        </w:tc>
      </w:tr>
      <w:tr>
        <w:trPr>
          <w:trHeight w:val="4555"/>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5"/>
              </w:rPr>
              <w:t>may be changed. We may not sell these securities until the registration statement filed with</w:t>
            </w:r>
          </w:p>
        </w:tc>
        <w:tc>
          <w:tcPr>
            <w:tcW w:w="100" w:type="dxa"/>
            <w:vAlign w:val="bottom"/>
            <w:textDirection w:val="btLr"/>
          </w:tcPr>
          <w:p>
            <w:pPr>
              <w:spacing w:after="0"/>
              <w:rPr>
                <w:sz w:val="20"/>
                <w:szCs w:val="20"/>
                <w:color w:val="auto"/>
              </w:rPr>
            </w:pPr>
            <w:r>
              <w:rPr>
                <w:rFonts w:ascii="Arial" w:cs="Arial" w:eastAsia="Arial" w:hAnsi="Arial"/>
                <w:sz w:val="11"/>
                <w:szCs w:val="11"/>
                <w:b w:val="1"/>
                <w:bCs w:val="1"/>
                <w:color w:val="FC0014"/>
                <w:w w:val="94"/>
              </w:rPr>
              <w:t>securities and it is not soliciting an offer to buy these securities in any state where the offer</w:t>
            </w:r>
          </w:p>
        </w:tc>
      </w:tr>
      <w:tr>
        <w:trPr>
          <w:trHeight w:val="895"/>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4"/>
              </w:rPr>
              <w:t>not complete and</w:t>
            </w:r>
          </w:p>
        </w:tc>
        <w:tc>
          <w:tcPr>
            <w:tcW w:w="100" w:type="dxa"/>
            <w:vAlign w:val="bottom"/>
            <w:textDirection w:val="btLr"/>
          </w:tcPr>
          <w:p>
            <w:pPr>
              <w:spacing w:after="0"/>
              <w:rPr>
                <w:sz w:val="20"/>
                <w:szCs w:val="20"/>
                <w:color w:val="auto"/>
              </w:rPr>
            </w:pPr>
            <w:r>
              <w:rPr>
                <w:rFonts w:ascii="Arial" w:cs="Arial" w:eastAsia="Arial" w:hAnsi="Arial"/>
                <w:sz w:val="11"/>
                <w:szCs w:val="11"/>
                <w:b w:val="1"/>
                <w:bCs w:val="1"/>
                <w:color w:val="FC0014"/>
                <w:w w:val="94"/>
              </w:rPr>
              <w:t>offer to sell these</w:t>
            </w:r>
          </w:p>
        </w:tc>
      </w:tr>
      <w:tr>
        <w:trPr>
          <w:trHeight w:val="1045"/>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5"/>
              </w:rPr>
              <w:t>in this prospectus is</w:t>
            </w:r>
          </w:p>
        </w:tc>
        <w:tc>
          <w:tcPr>
            <w:tcW w:w="100" w:type="dxa"/>
            <w:vAlign w:val="bottom"/>
            <w:textDirection w:val="btLr"/>
          </w:tcPr>
          <w:p>
            <w:pPr>
              <w:spacing w:after="0"/>
              <w:rPr>
                <w:sz w:val="20"/>
                <w:szCs w:val="20"/>
                <w:color w:val="auto"/>
              </w:rPr>
            </w:pPr>
            <w:r>
              <w:rPr>
                <w:rFonts w:ascii="Arial" w:cs="Arial" w:eastAsia="Arial" w:hAnsi="Arial"/>
                <w:sz w:val="11"/>
                <w:szCs w:val="11"/>
                <w:b w:val="1"/>
                <w:bCs w:val="1"/>
                <w:color w:val="FC0014"/>
                <w:w w:val="94"/>
              </w:rPr>
              <w:t>prospectus is not an</w:t>
            </w:r>
          </w:p>
        </w:tc>
      </w:tr>
      <w:tr>
        <w:trPr>
          <w:trHeight w:val="818"/>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6"/>
              </w:rPr>
              <w:t>The information</w:t>
            </w:r>
          </w:p>
        </w:tc>
        <w:tc>
          <w:tcPr>
            <w:tcW w:w="100" w:type="dxa"/>
            <w:vAlign w:val="bottom"/>
            <w:textDirection w:val="btLr"/>
          </w:tcPr>
          <w:p>
            <w:pPr>
              <w:spacing w:after="0"/>
              <w:rPr>
                <w:sz w:val="20"/>
                <w:szCs w:val="20"/>
                <w:color w:val="auto"/>
              </w:rPr>
            </w:pPr>
            <w:r>
              <w:rPr>
                <w:rFonts w:ascii="Arial" w:cs="Arial" w:eastAsia="Arial" w:hAnsi="Arial"/>
                <w:sz w:val="11"/>
                <w:szCs w:val="11"/>
                <w:b w:val="1"/>
                <w:bCs w:val="1"/>
                <w:color w:val="FC0014"/>
                <w:w w:val="95"/>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FC0014"/>
        </w:rPr>
        <w:t>SUBJECT TO COMPLETION, DATED SEPTEMBER 6,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147"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21"/>
          <w:szCs w:val="21"/>
          <w:b w:val="1"/>
          <w:bCs w:val="1"/>
          <w:color w:val="auto"/>
        </w:rPr>
        <w:t>PLAINS ALL AMERICAN PIPELINE, L.P.</w:t>
      </w:r>
    </w:p>
    <w:p>
      <w:pPr>
        <w:spacing w:after="0" w:line="16" w:lineRule="exact"/>
        <w:rPr>
          <w:sz w:val="20"/>
          <w:szCs w:val="20"/>
          <w:color w:val="auto"/>
        </w:rPr>
      </w:pPr>
    </w:p>
    <w:p>
      <w:pPr>
        <w:jc w:val="center"/>
        <w:ind w:right="1219"/>
        <w:spacing w:after="0"/>
        <w:rPr>
          <w:sz w:val="20"/>
          <w:szCs w:val="20"/>
          <w:color w:val="auto"/>
        </w:rPr>
      </w:pPr>
      <w:r>
        <w:rPr>
          <w:rFonts w:ascii="Times New Roman" w:cs="Times New Roman" w:eastAsia="Times New Roman" w:hAnsi="Times New Roman"/>
          <w:sz w:val="21"/>
          <w:szCs w:val="21"/>
          <w:b w:val="1"/>
          <w:bCs w:val="1"/>
          <w:color w:val="auto"/>
        </w:rPr>
        <w:t>PAA FINANCE CORP.</w:t>
      </w:r>
    </w:p>
    <w:p>
      <w:pPr>
        <w:spacing w:after="0" w:line="13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b w:val="1"/>
          <w:bCs w:val="1"/>
          <w:color w:val="auto"/>
        </w:rPr>
        <w:t>$1,100,000,000</w:t>
      </w:r>
    </w:p>
    <w:p>
      <w:pPr>
        <w:spacing w:after="0" w:line="15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b w:val="1"/>
          <w:bCs w:val="1"/>
          <w:color w:val="auto"/>
        </w:rPr>
        <w:t>Common Units</w:t>
      </w:r>
    </w:p>
    <w:p>
      <w:pPr>
        <w:ind w:left="2420"/>
        <w:spacing w:after="0" w:line="235" w:lineRule="auto"/>
        <w:rPr>
          <w:sz w:val="20"/>
          <w:szCs w:val="20"/>
          <w:color w:val="auto"/>
        </w:rPr>
      </w:pPr>
      <w:r>
        <w:rPr>
          <w:rFonts w:ascii="Times New Roman" w:cs="Times New Roman" w:eastAsia="Times New Roman" w:hAnsi="Times New Roman"/>
          <w:sz w:val="19"/>
          <w:szCs w:val="19"/>
          <w:b w:val="1"/>
          <w:bCs w:val="1"/>
          <w:color w:val="auto"/>
        </w:rPr>
        <w:t>Preferred Units</w:t>
      </w:r>
    </w:p>
    <w:p>
      <w:pPr>
        <w:spacing w:after="0" w:line="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84" w:lineRule="exact"/>
        <w:rPr>
          <w:sz w:val="20"/>
          <w:szCs w:val="20"/>
          <w:color w:val="auto"/>
        </w:rPr>
      </w:pPr>
    </w:p>
    <w:p>
      <w:pPr>
        <w:ind w:right="1299" w:firstLine="266"/>
        <w:spacing w:after="0" w:line="257" w:lineRule="auto"/>
        <w:rPr>
          <w:sz w:val="20"/>
          <w:szCs w:val="20"/>
          <w:color w:val="auto"/>
        </w:rPr>
      </w:pPr>
      <w:r>
        <w:rPr>
          <w:rFonts w:ascii="Times New Roman" w:cs="Times New Roman" w:eastAsia="Times New Roman" w:hAnsi="Times New Roman"/>
          <w:sz w:val="13"/>
          <w:szCs w:val="13"/>
          <w:color w:val="auto"/>
        </w:rPr>
        <w:t>We may offer and sell up to $1,100,000,000 in aggregate amount of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78" w:lineRule="exact"/>
        <w:rPr>
          <w:sz w:val="20"/>
          <w:szCs w:val="20"/>
          <w:color w:val="auto"/>
        </w:rPr>
      </w:pPr>
    </w:p>
    <w:p>
      <w:pPr>
        <w:ind w:right="1339" w:firstLine="266"/>
        <w:spacing w:after="0" w:line="252" w:lineRule="auto"/>
        <w:rPr>
          <w:sz w:val="20"/>
          <w:szCs w:val="20"/>
          <w:color w:val="auto"/>
        </w:rPr>
      </w:pPr>
      <w:r>
        <w:rPr>
          <w:rFonts w:ascii="Times New Roman" w:cs="Times New Roman" w:eastAsia="Times New Roman" w:hAnsi="Times New Roman"/>
          <w:sz w:val="13"/>
          <w:szCs w:val="13"/>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234" w:lineRule="exact"/>
        <w:rPr>
          <w:sz w:val="20"/>
          <w:szCs w:val="20"/>
          <w:color w:val="auto"/>
        </w:rPr>
      </w:pPr>
    </w:p>
    <w:p>
      <w:pPr>
        <w:ind w:right="1279" w:firstLine="266"/>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Investing in our common units, preferred units and debt securities involves risks. Limited partnerships are inherently different from corporations. You should carefully consider the risk factors described under “Risk Factors” beginning on page </w:t>
      </w:r>
      <w:r>
        <w:rPr>
          <w:rFonts w:ascii="Times New Roman" w:cs="Times New Roman" w:eastAsia="Times New Roman" w:hAnsi="Times New Roman"/>
          <w:sz w:val="13"/>
          <w:szCs w:val="13"/>
          <w:b w:val="1"/>
          <w:bCs w:val="1"/>
          <w:u w:val="single" w:color="auto"/>
          <w:color w:val="0000EE"/>
        </w:rPr>
        <w:t>3</w:t>
      </w:r>
      <w:r>
        <w:rPr>
          <w:rFonts w:ascii="Times New Roman" w:cs="Times New Roman" w:eastAsia="Times New Roman" w:hAnsi="Times New Roman"/>
          <w:sz w:val="13"/>
          <w:szCs w:val="13"/>
          <w:b w:val="1"/>
          <w:bCs w:val="1"/>
          <w:color w:val="auto"/>
        </w:rPr>
        <w:t xml:space="preserve"> of this prospectus before you make an investment in our securities.</w:t>
      </w:r>
    </w:p>
    <w:p>
      <w:pPr>
        <w:spacing w:after="0" w:line="75" w:lineRule="exact"/>
        <w:rPr>
          <w:sz w:val="20"/>
          <w:szCs w:val="20"/>
          <w:color w:val="auto"/>
        </w:rPr>
      </w:pPr>
    </w:p>
    <w:p>
      <w:pPr>
        <w:jc w:val="both"/>
        <w:ind w:right="1419" w:firstLine="266"/>
        <w:spacing w:after="0" w:line="266" w:lineRule="auto"/>
        <w:rPr>
          <w:sz w:val="20"/>
          <w:szCs w:val="20"/>
          <w:color w:val="auto"/>
        </w:rPr>
      </w:pPr>
      <w:r>
        <w:rPr>
          <w:rFonts w:ascii="Times New Roman" w:cs="Times New Roman" w:eastAsia="Times New Roman" w:hAnsi="Times New Roman"/>
          <w:sz w:val="13"/>
          <w:szCs w:val="13"/>
          <w:color w:val="auto"/>
        </w:rPr>
        <w:t>Our common units are traded on the Nasdaq Global Select Market under the symbol “PAA.” We will provide information in the prospectus supplement for the trading market, if any, for any preferred units or debt securities we may offer.</w:t>
      </w:r>
    </w:p>
    <w:p>
      <w:pPr>
        <w:spacing w:after="0" w:line="70" w:lineRule="exact"/>
        <w:rPr>
          <w:sz w:val="20"/>
          <w:szCs w:val="20"/>
          <w:color w:val="auto"/>
        </w:rPr>
      </w:pPr>
    </w:p>
    <w:p>
      <w:pPr>
        <w:ind w:right="1259" w:firstLine="266"/>
        <w:spacing w:after="0" w:line="268" w:lineRule="auto"/>
        <w:rPr>
          <w:sz w:val="20"/>
          <w:szCs w:val="20"/>
          <w:color w:val="auto"/>
        </w:rPr>
      </w:pPr>
      <w:r>
        <w:rPr>
          <w:rFonts w:ascii="Times New Roman" w:cs="Times New Roman" w:eastAsia="Times New Roman" w:hAnsi="Times New Roman"/>
          <w:sz w:val="13"/>
          <w:szCs w:val="13"/>
          <w:b w:val="1"/>
          <w:bCs w:val="1"/>
          <w:color w:val="auto"/>
        </w:rPr>
        <w:t>Neither the U.S.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186690</wp:posOffset>
            </wp:positionV>
            <wp:extent cx="502602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26025" cy="38100"/>
                    </a:xfrm>
                    <a:prstGeom prst="rect">
                      <a:avLst/>
                    </a:prstGeom>
                    <a:noFill/>
                  </pic:spPr>
                </pic:pic>
              </a:graphicData>
            </a:graphic>
          </wp:anchor>
        </w:drawing>
      </w:r>
    </w:p>
    <w:p>
      <w:pPr>
        <w:sectPr>
          <w:pgSz w:w="11900" w:h="16838" w:orient="portrait"/>
          <w:cols w:equalWidth="0" w:num="2">
            <w:col w:w="1440" w:space="260"/>
            <w:col w:w="7319"/>
          </w:cols>
          <w:pgMar w:left="1440" w:top="110" w:right="1440" w:bottom="1440" w:gutter="0" w:footer="0" w:header="0"/>
        </w:sectPr>
      </w:pPr>
    </w:p>
    <w:bookmarkStart w:id="2" w:name="page3"/>
    <w:bookmarkEnd w:id="2"/>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20" w:type="dxa"/>
            <w:vAlign w:val="bottom"/>
            <w:tcBorders>
              <w:bottom w:val="single" w:sz="8" w:color="0000EE"/>
            </w:tcBorders>
            <w:vMerge w:val="continue"/>
          </w:tcPr>
          <w:p>
            <w:pPr>
              <w:spacing w:after="0"/>
              <w:rPr>
                <w:sz w:val="10"/>
                <w:szCs w:val="10"/>
                <w:color w:val="auto"/>
              </w:rPr>
            </w:pPr>
          </w:p>
        </w:tc>
        <w:tc>
          <w:tcPr>
            <w:tcW w:w="1260" w:type="dxa"/>
            <w:vAlign w:val="bottom"/>
            <w:tcBorders>
              <w:bottom w:val="single" w:sz="8" w:color="0000EE"/>
            </w:tcBorders>
            <w:gridSpan w:val="6"/>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color w:val="0000EE"/>
              </w:rPr>
              <w:t>About This Prospectus</w:t>
            </w:r>
          </w:p>
        </w:tc>
        <w:tc>
          <w:tcPr>
            <w:tcW w:w="3500" w:type="dxa"/>
            <w:vAlign w:val="bottom"/>
            <w:tcBorders>
              <w:bottom w:val="single" w:sz="8" w:color="CCEEFF"/>
            </w:tcBorders>
            <w:gridSpan w:val="9"/>
            <w:shd w:val="clear" w:color="auto" w:fill="CCEEFF"/>
          </w:tcPr>
          <w:p>
            <w:pPr>
              <w:spacing w:after="0"/>
              <w:rPr>
                <w:sz w:val="10"/>
                <w:szCs w:val="10"/>
                <w:color w:val="auto"/>
              </w:rPr>
            </w:pPr>
          </w:p>
        </w:tc>
        <w:tc>
          <w:tcPr>
            <w:tcW w:w="1320" w:type="dxa"/>
            <w:vAlign w:val="bottom"/>
            <w:tcBorders>
              <w:bottom w:val="single" w:sz="8" w:color="CCEEFF"/>
            </w:tcBorders>
            <w:gridSpan w:val="3"/>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0000EE"/>
              </w:rPr>
              <w:t>i</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220" w:type="dxa"/>
            <w:vAlign w:val="bottom"/>
            <w:tcBorders>
              <w:bottom w:val="single" w:sz="8" w:color="0000EE"/>
            </w:tcBorders>
            <w:gridSpan w:val="12"/>
          </w:tcPr>
          <w:p>
            <w:pPr>
              <w:ind w:left="20"/>
              <w:spacing w:after="0" w:line="14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Where You Can Find More Information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80" w:type="dxa"/>
            <w:vAlign w:val="bottom"/>
            <w:tcBorders>
              <w:bottom w:val="single" w:sz="8" w:color="0000EE"/>
            </w:tcBorders>
          </w:tcPr>
          <w:p>
            <w:pPr>
              <w:jc w:val="right"/>
              <w:spacing w:after="0" w:line="140" w:lineRule="exact"/>
              <w:rPr>
                <w:sz w:val="20"/>
                <w:szCs w:val="20"/>
                <w:color w:val="auto"/>
              </w:rPr>
            </w:pPr>
            <w:r>
              <w:rPr>
                <w:rFonts w:ascii="Times New Roman" w:cs="Times New Roman" w:eastAsia="Times New Roman" w:hAnsi="Times New Roman"/>
                <w:sz w:val="13"/>
                <w:szCs w:val="13"/>
                <w:color w:val="0000EE"/>
                <w:w w:val="82"/>
              </w:rPr>
              <w:t>ii</w:t>
            </w: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Forward-Looking Statements</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0000EE"/>
              </w:rPr>
              <w:t>iii</w:t>
            </w:r>
          </w:p>
        </w:tc>
        <w:tc>
          <w:tcPr>
            <w:tcW w:w="20" w:type="dxa"/>
            <w:vAlign w:val="bottom"/>
            <w:shd w:val="clear" w:color="auto" w:fill="CCEEFF"/>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30"/>
        </w:trPr>
        <w:tc>
          <w:tcPr>
            <w:tcW w:w="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320" w:type="dxa"/>
            <w:vAlign w:val="bottom"/>
            <w:tcBorders>
              <w:bottom w:val="single" w:sz="8" w:color="0000EE"/>
            </w:tcBorders>
            <w:gridSpan w:val="13"/>
          </w:tcPr>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About Plains All American Pipeline, L.P.</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91"/>
              </w:rPr>
              <w:t>1</w:t>
            </w: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0000EE"/>
            </w:tcBorders>
          </w:tcPr>
          <w:p>
            <w:pPr>
              <w:spacing w:after="0"/>
              <w:rPr>
                <w:sz w:val="15"/>
                <w:szCs w:val="15"/>
                <w:color w:val="auto"/>
              </w:rPr>
            </w:pPr>
          </w:p>
        </w:tc>
        <w:tc>
          <w:tcPr>
            <w:tcW w:w="70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Risk Factors</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3"/>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right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EE"/>
                <w:w w:val="91"/>
              </w:rPr>
              <w:t>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0"/>
        </w:trPr>
        <w:tc>
          <w:tcPr>
            <w:tcW w:w="92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Use of Proceeds</w:t>
            </w:r>
          </w:p>
        </w:tc>
        <w:tc>
          <w:tcPr>
            <w:tcW w:w="2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5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3"/>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91"/>
              </w:rPr>
              <w:t>4</w:t>
            </w: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0000EE"/>
            </w:tcBorders>
          </w:tcPr>
          <w:p>
            <w:pPr>
              <w:spacing w:after="0"/>
              <w:rPr>
                <w:sz w:val="15"/>
                <w:szCs w:val="15"/>
                <w:color w:val="auto"/>
              </w:rPr>
            </w:pPr>
          </w:p>
        </w:tc>
        <w:tc>
          <w:tcPr>
            <w:tcW w:w="1940" w:type="dxa"/>
            <w:vAlign w:val="bottom"/>
            <w:tcBorders>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Description of Our Debt Securities</w:t>
            </w:r>
          </w:p>
        </w:tc>
        <w:tc>
          <w:tcPr>
            <w:tcW w:w="420" w:type="dxa"/>
            <w:vAlign w:val="bottom"/>
            <w:tcBorders>
              <w:bottom w:val="single" w:sz="8" w:color="CCEEFF"/>
            </w:tcBorders>
            <w:gridSpan w:val="3"/>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right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EE"/>
                <w:w w:val="91"/>
              </w:rPr>
              <w:t>5</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0000EE"/>
            </w:tcBorders>
            <w:gridSpan w:val="11"/>
          </w:tcPr>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Description of Our Preferred Units</w:t>
            </w:r>
          </w:p>
        </w:tc>
        <w:tc>
          <w:tcPr>
            <w:tcW w:w="420" w:type="dxa"/>
            <w:vAlign w:val="bottom"/>
            <w:gridSpan w:val="3"/>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13</w:t>
            </w: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0000EE"/>
            </w:tcBorders>
          </w:tcPr>
          <w:p>
            <w:pPr>
              <w:spacing w:after="0"/>
              <w:rPr>
                <w:sz w:val="15"/>
                <w:szCs w:val="15"/>
                <w:color w:val="auto"/>
              </w:rPr>
            </w:pPr>
          </w:p>
        </w:tc>
        <w:tc>
          <w:tcPr>
            <w:tcW w:w="192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Description of Our Common Units</w:t>
            </w:r>
          </w:p>
        </w:tc>
        <w:tc>
          <w:tcPr>
            <w:tcW w:w="440" w:type="dxa"/>
            <w:vAlign w:val="bottom"/>
            <w:tcBorders>
              <w:bottom w:val="single" w:sz="8" w:color="CCEEFF"/>
            </w:tcBorders>
            <w:gridSpan w:val="4"/>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right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15</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0"/>
        </w:trPr>
        <w:tc>
          <w:tcPr>
            <w:tcW w:w="138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Cash Distribution Policy</w:t>
            </w:r>
          </w:p>
        </w:tc>
        <w:tc>
          <w:tcPr>
            <w:tcW w:w="1000" w:type="dxa"/>
            <w:vAlign w:val="bottom"/>
            <w:gridSpan w:val="6"/>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17</w:t>
            </w: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0000EE"/>
            </w:tcBorders>
          </w:tcPr>
          <w:p>
            <w:pPr>
              <w:spacing w:after="0"/>
              <w:rPr>
                <w:sz w:val="15"/>
                <w:szCs w:val="15"/>
                <w:color w:val="auto"/>
              </w:rPr>
            </w:pPr>
          </w:p>
        </w:tc>
        <w:tc>
          <w:tcPr>
            <w:tcW w:w="236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Description of Our Partnership Agreement</w:t>
            </w:r>
          </w:p>
        </w:tc>
        <w:tc>
          <w:tcPr>
            <w:tcW w:w="36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right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19</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0"/>
        </w:trPr>
        <w:tc>
          <w:tcPr>
            <w:tcW w:w="2740" w:type="dxa"/>
            <w:vAlign w:val="bottom"/>
            <w:tcBorders>
              <w:bottom w:val="single" w:sz="8" w:color="0000EE"/>
            </w:tcBorders>
            <w:gridSpan w:val="15"/>
          </w:tcPr>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Material U.S. Federal Income Tax Consequences</w:t>
            </w:r>
          </w:p>
        </w:tc>
        <w:tc>
          <w:tcPr>
            <w:tcW w:w="2040" w:type="dxa"/>
            <w:vAlign w:val="bottom"/>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24</w:t>
            </w: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0000EE"/>
            </w:tcBorders>
          </w:tcPr>
          <w:p>
            <w:pPr>
              <w:spacing w:after="0"/>
              <w:rPr>
                <w:sz w:val="15"/>
                <w:szCs w:val="15"/>
                <w:color w:val="auto"/>
              </w:rPr>
            </w:pPr>
          </w:p>
        </w:tc>
        <w:tc>
          <w:tcPr>
            <w:tcW w:w="110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Plan of Distribution</w:t>
            </w:r>
          </w:p>
        </w:tc>
        <w:tc>
          <w:tcPr>
            <w:tcW w:w="3660" w:type="dxa"/>
            <w:vAlign w:val="bottom"/>
            <w:tcBorders>
              <w:bottom w:val="single" w:sz="8" w:color="CCEEFF"/>
            </w:tcBorders>
            <w:gridSpan w:val="10"/>
            <w:shd w:val="clear" w:color="auto" w:fill="CCEEFF"/>
          </w:tcPr>
          <w:p>
            <w:pPr>
              <w:spacing w:after="0"/>
              <w:rPr>
                <w:sz w:val="15"/>
                <w:szCs w:val="15"/>
                <w:color w:val="auto"/>
              </w:rPr>
            </w:pPr>
          </w:p>
        </w:tc>
        <w:tc>
          <w:tcPr>
            <w:tcW w:w="1220" w:type="dxa"/>
            <w:vAlign w:val="bottom"/>
            <w:tcBorders>
              <w:bottom w:val="single" w:sz="8" w:color="CCEEFF"/>
              <w:right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40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0"/>
        </w:trPr>
        <w:tc>
          <w:tcPr>
            <w:tcW w:w="780" w:type="dxa"/>
            <w:vAlign w:val="bottom"/>
            <w:tcBorders>
              <w:bottom w:val="single" w:sz="8" w:color="0000EE"/>
            </w:tcBorders>
            <w:gridSpan w:val="4"/>
          </w:tcPr>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Legal Matters</w:t>
            </w:r>
          </w:p>
        </w:tc>
        <w:tc>
          <w:tcPr>
            <w:tcW w:w="4000" w:type="dxa"/>
            <w:vAlign w:val="bottom"/>
            <w:gridSpan w:val="12"/>
          </w:tcPr>
          <w:p>
            <w:pPr>
              <w:spacing w:after="0"/>
              <w:rPr>
                <w:sz w:val="15"/>
                <w:szCs w:val="15"/>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42</w:t>
            </w: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0000EE"/>
            </w:tcBorders>
          </w:tcPr>
          <w:p>
            <w:pPr>
              <w:spacing w:after="0"/>
              <w:rPr>
                <w:sz w:val="15"/>
                <w:szCs w:val="15"/>
                <w:color w:val="auto"/>
              </w:rPr>
            </w:pPr>
          </w:p>
        </w:tc>
        <w:tc>
          <w:tcPr>
            <w:tcW w:w="42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Experts</w:t>
            </w:r>
          </w:p>
        </w:tc>
        <w:tc>
          <w:tcPr>
            <w:tcW w:w="4340" w:type="dxa"/>
            <w:vAlign w:val="bottom"/>
            <w:tcBorders>
              <w:bottom w:val="single" w:sz="8" w:color="CCEEFF"/>
            </w:tcBorders>
            <w:gridSpan w:val="14"/>
            <w:shd w:val="clear" w:color="auto" w:fill="CCEEFF"/>
          </w:tcPr>
          <w:p>
            <w:pPr>
              <w:spacing w:after="0"/>
              <w:rPr>
                <w:sz w:val="15"/>
                <w:szCs w:val="15"/>
                <w:color w:val="auto"/>
              </w:rPr>
            </w:pPr>
          </w:p>
        </w:tc>
        <w:tc>
          <w:tcPr>
            <w:tcW w:w="1220" w:type="dxa"/>
            <w:vAlign w:val="bottom"/>
            <w:tcBorders>
              <w:bottom w:val="single" w:sz="8" w:color="CCEEFF"/>
              <w:right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r>
              <w:rPr>
                <w:rFonts w:ascii="Times New Roman" w:cs="Times New Roman" w:eastAsia="Times New Roman" w:hAnsi="Times New Roman"/>
                <w:sz w:val="8"/>
                <w:szCs w:val="8"/>
                <w:color w:val="0000EE"/>
                <w:w w:val="74"/>
              </w:rPr>
              <w:t>42</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480" w:right="1639" w:firstLine="266"/>
        <w:spacing w:after="0" w:line="264" w:lineRule="auto"/>
        <w:rPr>
          <w:sz w:val="20"/>
          <w:szCs w:val="20"/>
          <w:color w:val="auto"/>
        </w:rPr>
      </w:pPr>
      <w:r>
        <w:rPr>
          <w:rFonts w:ascii="Times New Roman" w:cs="Times New Roman" w:eastAsia="Times New Roman" w:hAnsi="Times New Roman"/>
          <w:sz w:val="13"/>
          <w:szCs w:val="13"/>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244" w:lineRule="exact"/>
        <w:rPr>
          <w:sz w:val="20"/>
          <w:szCs w:val="20"/>
          <w:color w:val="auto"/>
        </w:rPr>
      </w:pPr>
    </w:p>
    <w:p>
      <w:pPr>
        <w:ind w:left="1480" w:right="1579" w:firstLine="266"/>
        <w:spacing w:after="0" w:line="263" w:lineRule="auto"/>
        <w:rPr>
          <w:sz w:val="20"/>
          <w:szCs w:val="20"/>
          <w:color w:val="auto"/>
        </w:rPr>
      </w:pPr>
      <w:r>
        <w:rPr>
          <w:rFonts w:ascii="Times New Roman" w:cs="Times New Roman" w:eastAsia="Times New Roman" w:hAnsi="Times New Roman"/>
          <w:sz w:val="13"/>
          <w:szCs w:val="13"/>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22" w:lineRule="exact"/>
        <w:rPr>
          <w:sz w:val="20"/>
          <w:szCs w:val="20"/>
          <w:color w:val="auto"/>
        </w:rPr>
      </w:pPr>
    </w:p>
    <w:p>
      <w:pPr>
        <w:ind w:left="1480" w:right="1499" w:firstLine="266"/>
        <w:spacing w:after="0" w:line="259" w:lineRule="auto"/>
        <w:rPr>
          <w:sz w:val="20"/>
          <w:szCs w:val="20"/>
          <w:color w:val="auto"/>
        </w:rPr>
      </w:pPr>
      <w:r>
        <w:rPr>
          <w:rFonts w:ascii="Times New Roman" w:cs="Times New Roman" w:eastAsia="Times New Roman" w:hAnsi="Times New Roman"/>
          <w:sz w:val="13"/>
          <w:szCs w:val="13"/>
          <w:color w:val="auto"/>
        </w:rPr>
        <w:t>This prospectus is part of a registration statement that we and PAA Finance Corp. have filed with the U.S. Securities and Exchange Commission (the “SEC”) using a “shelf” registration process. Under this shelf registration process, we may, over time, offer and sell any combination of the securities described in this prospectus in one or more offerings up to a total aggregate offering price of $1,100,000,000.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 w:name="page4"/>
    <w:bookmarkEnd w:id="3"/>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22" w:lineRule="exact"/>
        <w:rPr>
          <w:sz w:val="20"/>
          <w:szCs w:val="20"/>
          <w:color w:val="auto"/>
        </w:rPr>
      </w:pPr>
    </w:p>
    <w:p>
      <w:pPr>
        <w:ind w:left="1480" w:right="1479" w:firstLine="266"/>
        <w:spacing w:after="0" w:line="261" w:lineRule="auto"/>
        <w:rPr>
          <w:sz w:val="20"/>
          <w:szCs w:val="20"/>
          <w:color w:val="auto"/>
        </w:rPr>
      </w:pPr>
      <w:r>
        <w:rPr>
          <w:rFonts w:ascii="Times New Roman" w:cs="Times New Roman" w:eastAsia="Times New Roman" w:hAnsi="Times New Roman"/>
          <w:sz w:val="13"/>
          <w:szCs w:val="13"/>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84" w:lineRule="exact"/>
        <w:rPr>
          <w:sz w:val="20"/>
          <w:szCs w:val="20"/>
          <w:color w:val="auto"/>
        </w:rPr>
      </w:pPr>
    </w:p>
    <w:p>
      <w:pPr>
        <w:ind w:left="1480" w:right="1539" w:firstLine="266"/>
        <w:spacing w:after="0" w:line="262" w:lineRule="auto"/>
        <w:rPr>
          <w:sz w:val="20"/>
          <w:szCs w:val="20"/>
          <w:color w:val="auto"/>
        </w:rPr>
      </w:pPr>
      <w:r>
        <w:rPr>
          <w:rFonts w:ascii="Times New Roman" w:cs="Times New Roman" w:eastAsia="Times New Roman" w:hAnsi="Times New Roman"/>
          <w:sz w:val="13"/>
          <w:szCs w:val="13"/>
          <w:color w:val="auto"/>
        </w:rPr>
        <w:t>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including all such documents we may file with the SEC after the initial filing date of the registration statement of which this prospectus is a part and prior to the effectiveness of the registration statement and, following the effectiveness of the registration statement, until all offerings under the registration statement and the prospectus are completed:</w:t>
      </w:r>
    </w:p>
    <w:p>
      <w:pPr>
        <w:spacing w:after="0" w:line="55" w:lineRule="exact"/>
        <w:rPr>
          <w:sz w:val="20"/>
          <w:szCs w:val="20"/>
          <w:color w:val="auto"/>
        </w:rPr>
      </w:pPr>
    </w:p>
    <w:p>
      <w:pPr>
        <w:ind w:left="1860" w:hanging="124"/>
        <w:spacing w:after="0"/>
        <w:tabs>
          <w:tab w:leader="none" w:pos="1860" w:val="left"/>
        </w:tabs>
        <w:numPr>
          <w:ilvl w:val="0"/>
          <w:numId w:val="1"/>
        </w:numPr>
        <w:rPr>
          <w:rFonts w:ascii="Times New Roman" w:cs="Times New Roman" w:eastAsia="Times New Roman" w:hAnsi="Times New Roman"/>
          <w:sz w:val="13"/>
          <w:szCs w:val="13"/>
          <w:u w:val="single" w:color="auto"/>
          <w:color w:val="0000EE"/>
        </w:rPr>
      </w:pPr>
      <w:hyperlink r:id="rId21">
        <w:r>
          <w:rPr>
            <w:rFonts w:ascii="Times New Roman" w:cs="Times New Roman" w:eastAsia="Times New Roman" w:hAnsi="Times New Roman"/>
            <w:sz w:val="13"/>
            <w:szCs w:val="13"/>
            <w:u w:val="single" w:color="auto"/>
            <w:color w:val="0000EE"/>
          </w:rPr>
          <w:t>our Annual Report on Form 10-K for the fiscal year ended December 31, 2023;</w:t>
        </w:r>
      </w:hyperlink>
    </w:p>
    <w:p>
      <w:pPr>
        <w:spacing w:after="0" w:line="90" w:lineRule="exact"/>
        <w:rPr>
          <w:rFonts w:ascii="Times New Roman" w:cs="Times New Roman" w:eastAsia="Times New Roman" w:hAnsi="Times New Roman"/>
          <w:sz w:val="13"/>
          <w:szCs w:val="13"/>
          <w:u w:val="single" w:color="auto"/>
          <w:color w:val="0000EE"/>
        </w:rPr>
      </w:pPr>
    </w:p>
    <w:p>
      <w:pPr>
        <w:ind w:left="1860" w:right="1679" w:hanging="124"/>
        <w:spacing w:after="0" w:line="266" w:lineRule="auto"/>
        <w:tabs>
          <w:tab w:leader="none" w:pos="1860" w:val="left"/>
        </w:tabs>
        <w:numPr>
          <w:ilvl w:val="0"/>
          <w:numId w:val="1"/>
        </w:numPr>
        <w:rPr>
          <w:rFonts w:ascii="Times New Roman" w:cs="Times New Roman" w:eastAsia="Times New Roman" w:hAnsi="Times New Roman"/>
          <w:sz w:val="13"/>
          <w:szCs w:val="13"/>
          <w:color w:val="0000EE"/>
        </w:rPr>
      </w:pPr>
      <w:hyperlink r:id="rId22">
        <w:r>
          <w:rPr>
            <w:rFonts w:ascii="Times New Roman" w:cs="Times New Roman" w:eastAsia="Times New Roman" w:hAnsi="Times New Roman"/>
            <w:sz w:val="13"/>
            <w:szCs w:val="13"/>
            <w:color w:val="auto"/>
          </w:rPr>
          <w:t xml:space="preserve">our Quarterly Reports on Form 10-Q for the quarterly periods ended </w:t>
        </w:r>
        <w:r>
          <w:rPr>
            <w:rFonts w:ascii="Times New Roman" w:cs="Times New Roman" w:eastAsia="Times New Roman" w:hAnsi="Times New Roman"/>
            <w:sz w:val="13"/>
            <w:szCs w:val="13"/>
            <w:u w:val="single" w:color="auto"/>
            <w:color w:val="0000EE"/>
          </w:rPr>
          <w:t>March 31, 2024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0000EE"/>
          </w:rPr>
          <w:t>June 30,</w:t>
        </w:r>
      </w:hyperlink>
      <w:r>
        <w:rPr>
          <w:rFonts w:ascii="Times New Roman" w:cs="Times New Roman" w:eastAsia="Times New Roman" w:hAnsi="Times New Roman"/>
          <w:sz w:val="13"/>
          <w:szCs w:val="13"/>
          <w:color w:val="auto"/>
        </w:rPr>
        <w:t xml:space="preserve"> </w:t>
      </w:r>
      <w:hyperlink r:id="rId22">
        <w:r>
          <w:rPr>
            <w:rFonts w:ascii="Times New Roman" w:cs="Times New Roman" w:eastAsia="Times New Roman" w:hAnsi="Times New Roman"/>
            <w:sz w:val="13"/>
            <w:szCs w:val="13"/>
            <w:u w:val="single" w:color="auto"/>
            <w:color w:val="0000EE"/>
          </w:rPr>
          <w:t>2024</w:t>
        </w:r>
        <w:r>
          <w:rPr>
            <w:rFonts w:ascii="Times New Roman" w:cs="Times New Roman" w:eastAsia="Times New Roman" w:hAnsi="Times New Roman"/>
            <w:sz w:val="13"/>
            <w:szCs w:val="13"/>
            <w:color w:val="000000"/>
          </w:rPr>
          <w:t>;</w:t>
        </w:r>
      </w:hyperlink>
    </w:p>
    <w:p>
      <w:pPr>
        <w:spacing w:after="0" w:line="233" w:lineRule="exact"/>
        <w:rPr>
          <w:rFonts w:ascii="Times New Roman" w:cs="Times New Roman" w:eastAsia="Times New Roman" w:hAnsi="Times New Roman"/>
          <w:sz w:val="13"/>
          <w:szCs w:val="13"/>
          <w:color w:val="0000EE"/>
        </w:rPr>
      </w:pPr>
    </w:p>
    <w:p>
      <w:pPr>
        <w:ind w:left="1860" w:right="2059" w:hanging="124"/>
        <w:spacing w:after="0" w:line="293" w:lineRule="auto"/>
        <w:tabs>
          <w:tab w:leader="none" w:pos="1860" w:val="left"/>
        </w:tabs>
        <w:numPr>
          <w:ilvl w:val="0"/>
          <w:numId w:val="1"/>
        </w:numPr>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auto"/>
        </w:rPr>
        <w:t xml:space="preserve">our Current Reports on Form 8-K filed on </w:t>
      </w:r>
      <w:hyperlink r:id="rId23">
        <w:r>
          <w:rPr>
            <w:rFonts w:ascii="Times New Roman" w:cs="Times New Roman" w:eastAsia="Times New Roman" w:hAnsi="Times New Roman"/>
            <w:sz w:val="13"/>
            <w:szCs w:val="13"/>
            <w:u w:val="single" w:color="auto"/>
            <w:color w:val="0000EE"/>
          </w:rPr>
          <w:t>May 28, 2024</w:t>
        </w:r>
      </w:hyperlink>
      <w:r>
        <w:rPr>
          <w:rFonts w:ascii="Times New Roman" w:cs="Times New Roman" w:eastAsia="Times New Roman" w:hAnsi="Times New Roman"/>
          <w:sz w:val="13"/>
          <w:szCs w:val="13"/>
          <w:color w:val="auto"/>
        </w:rPr>
        <w:t xml:space="preserve">, </w:t>
      </w:r>
      <w:hyperlink r:id="rId24">
        <w:r>
          <w:rPr>
            <w:rFonts w:ascii="Times New Roman" w:cs="Times New Roman" w:eastAsia="Times New Roman" w:hAnsi="Times New Roman"/>
            <w:sz w:val="13"/>
            <w:szCs w:val="13"/>
            <w:u w:val="single" w:color="auto"/>
            <w:color w:val="0000EE"/>
          </w:rPr>
          <w:t>June 20, 2024</w:t>
        </w:r>
      </w:hyperlink>
      <w:r>
        <w:rPr>
          <w:rFonts w:ascii="Times New Roman" w:cs="Times New Roman" w:eastAsia="Times New Roman" w:hAnsi="Times New Roman"/>
          <w:sz w:val="13"/>
          <w:szCs w:val="13"/>
          <w:color w:val="auto"/>
        </w:rPr>
        <w:t xml:space="preserve">, </w:t>
      </w:r>
      <w:hyperlink r:id="rId25">
        <w:r>
          <w:rPr>
            <w:rFonts w:ascii="Times New Roman" w:cs="Times New Roman" w:eastAsia="Times New Roman" w:hAnsi="Times New Roman"/>
            <w:sz w:val="13"/>
            <w:szCs w:val="13"/>
            <w:u w:val="single" w:color="auto"/>
            <w:color w:val="0000EE"/>
          </w:rPr>
          <w:t>June 27, 2024</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and </w:t>
      </w:r>
      <w:hyperlink r:id="rId26">
        <w:r>
          <w:rPr>
            <w:rFonts w:ascii="Times New Roman" w:cs="Times New Roman" w:eastAsia="Times New Roman" w:hAnsi="Times New Roman"/>
            <w:sz w:val="13"/>
            <w:szCs w:val="13"/>
            <w:u w:val="single" w:color="auto"/>
            <w:color w:val="0000EE"/>
          </w:rPr>
          <w:t>August 22, 2024</w:t>
        </w:r>
      </w:hyperlink>
      <w:r>
        <w:rPr>
          <w:rFonts w:ascii="Times New Roman" w:cs="Times New Roman" w:eastAsia="Times New Roman" w:hAnsi="Times New Roman"/>
          <w:sz w:val="13"/>
          <w:szCs w:val="13"/>
          <w:color w:val="000000"/>
        </w:rPr>
        <w:t>;</w:t>
      </w:r>
    </w:p>
    <w:p>
      <w:pPr>
        <w:spacing w:after="0" w:line="34" w:lineRule="exact"/>
        <w:rPr>
          <w:rFonts w:ascii="Times New Roman" w:cs="Times New Roman" w:eastAsia="Times New Roman" w:hAnsi="Times New Roman"/>
          <w:sz w:val="13"/>
          <w:szCs w:val="13"/>
          <w:color w:val="0000EE"/>
        </w:rPr>
      </w:pPr>
    </w:p>
    <w:p>
      <w:pPr>
        <w:ind w:left="1860" w:right="1499" w:hanging="124"/>
        <w:spacing w:after="0" w:line="286" w:lineRule="auto"/>
        <w:tabs>
          <w:tab w:leader="none" w:pos="1860" w:val="left"/>
        </w:tabs>
        <w:numPr>
          <w:ilvl w:val="0"/>
          <w:numId w:val="1"/>
        </w:numPr>
        <w:rPr>
          <w:rFonts w:ascii="Times New Roman" w:cs="Times New Roman" w:eastAsia="Times New Roman" w:hAnsi="Times New Roman"/>
          <w:sz w:val="13"/>
          <w:szCs w:val="13"/>
          <w:color w:val="0000EE"/>
        </w:rPr>
      </w:pPr>
      <w:hyperlink r:id="rId21">
        <w:r>
          <w:rPr>
            <w:rFonts w:ascii="Times New Roman" w:cs="Times New Roman" w:eastAsia="Times New Roman" w:hAnsi="Times New Roman"/>
            <w:sz w:val="13"/>
            <w:szCs w:val="13"/>
            <w:color w:val="auto"/>
          </w:rPr>
          <w:t xml:space="preserve">information specifically incorporated by reference into our </w:t>
        </w:r>
        <w:r>
          <w:rPr>
            <w:rFonts w:ascii="Times New Roman" w:cs="Times New Roman" w:eastAsia="Times New Roman" w:hAnsi="Times New Roman"/>
            <w:sz w:val="13"/>
            <w:szCs w:val="13"/>
            <w:u w:val="single" w:color="auto"/>
            <w:color w:val="0000EE"/>
          </w:rPr>
          <w:t>Annual Report on Form 10-K for the year</w:t>
        </w:r>
      </w:hyperlink>
      <w:r>
        <w:rPr>
          <w:rFonts w:ascii="Times New Roman" w:cs="Times New Roman" w:eastAsia="Times New Roman" w:hAnsi="Times New Roman"/>
          <w:sz w:val="13"/>
          <w:szCs w:val="13"/>
          <w:color w:val="auto"/>
        </w:rPr>
        <w:t xml:space="preserve"> </w:t>
      </w:r>
      <w:hyperlink r:id="rId27">
        <w:r>
          <w:rPr>
            <w:rFonts w:ascii="Times New Roman" w:cs="Times New Roman" w:eastAsia="Times New Roman" w:hAnsi="Times New Roman"/>
            <w:sz w:val="13"/>
            <w:szCs w:val="13"/>
            <w:u w:val="single" w:color="auto"/>
            <w:color w:val="0000EE"/>
          </w:rPr>
          <w:t>ended December 31, 2023</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from our</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u w:val="single" w:color="auto"/>
            <w:color w:val="0000EE"/>
          </w:rPr>
          <w:t>proxy statement, on Schedule 14A, filed with the SEC on</w:t>
        </w:r>
      </w:hyperlink>
      <w:r>
        <w:rPr>
          <w:rFonts w:ascii="Times New Roman" w:cs="Times New Roman" w:eastAsia="Times New Roman" w:hAnsi="Times New Roman"/>
          <w:sz w:val="13"/>
          <w:szCs w:val="13"/>
          <w:color w:val="0000EE"/>
        </w:rPr>
        <w:t xml:space="preserve"> </w:t>
      </w:r>
      <w:hyperlink r:id="rId27">
        <w:r>
          <w:rPr>
            <w:rFonts w:ascii="Times New Roman" w:cs="Times New Roman" w:eastAsia="Times New Roman" w:hAnsi="Times New Roman"/>
            <w:sz w:val="13"/>
            <w:szCs w:val="13"/>
            <w:u w:val="single" w:color="auto"/>
            <w:color w:val="0000EE"/>
          </w:rPr>
          <w:t>April 12, 2024</w:t>
        </w:r>
        <w:r>
          <w:rPr>
            <w:rFonts w:ascii="Times New Roman" w:cs="Times New Roman" w:eastAsia="Times New Roman" w:hAnsi="Times New Roman"/>
            <w:sz w:val="13"/>
            <w:szCs w:val="13"/>
            <w:color w:val="000000"/>
          </w:rPr>
          <w:t>; and</w:t>
        </w:r>
      </w:hyperlink>
    </w:p>
    <w:p>
      <w:pPr>
        <w:spacing w:after="0" w:line="202" w:lineRule="exact"/>
        <w:rPr>
          <w:rFonts w:ascii="Times New Roman" w:cs="Times New Roman" w:eastAsia="Times New Roman" w:hAnsi="Times New Roman"/>
          <w:sz w:val="13"/>
          <w:szCs w:val="13"/>
          <w:color w:val="0000EE"/>
        </w:rPr>
      </w:pPr>
    </w:p>
    <w:p>
      <w:pPr>
        <w:jc w:val="both"/>
        <w:ind w:left="1860" w:right="1619" w:hanging="124"/>
        <w:spacing w:after="0" w:line="272" w:lineRule="auto"/>
        <w:tabs>
          <w:tab w:leader="none" w:pos="1860" w:val="left"/>
        </w:tabs>
        <w:numPr>
          <w:ilvl w:val="0"/>
          <w:numId w:val="1"/>
        </w:numPr>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auto"/>
        </w:rPr>
        <w:t xml:space="preserve">the description of our common units contained in </w:t>
      </w:r>
      <w:hyperlink r:id="rId28">
        <w:r>
          <w:rPr>
            <w:rFonts w:ascii="Times New Roman" w:cs="Times New Roman" w:eastAsia="Times New Roman" w:hAnsi="Times New Roman"/>
            <w:sz w:val="13"/>
            <w:szCs w:val="13"/>
            <w:u w:val="single" w:color="auto"/>
            <w:color w:val="0000EE"/>
          </w:rPr>
          <w:t>Exhibit 4.16</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of our Annual Report on Form 10-K for the year ended December 31, 2023, Form 8-A/A dated </w:t>
      </w:r>
      <w:hyperlink r:id="rId29">
        <w:r>
          <w:rPr>
            <w:rFonts w:ascii="Times New Roman" w:cs="Times New Roman" w:eastAsia="Times New Roman" w:hAnsi="Times New Roman"/>
            <w:sz w:val="13"/>
            <w:szCs w:val="13"/>
            <w:u w:val="single" w:color="auto"/>
            <w:color w:val="0000EE"/>
          </w:rPr>
          <w:t>November 16, 2016</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and Form 8-A dated </w:t>
      </w:r>
      <w:hyperlink r:id="rId30">
        <w:r>
          <w:rPr>
            <w:rFonts w:ascii="Times New Roman" w:cs="Times New Roman" w:eastAsia="Times New Roman" w:hAnsi="Times New Roman"/>
            <w:sz w:val="13"/>
            <w:szCs w:val="13"/>
            <w:u w:val="single" w:color="auto"/>
            <w:color w:val="0000EE"/>
          </w:rPr>
          <w:t>December 11, 2020</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and any subsequent amendment thereto filed for the purpose of updating such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description.</w:t>
      </w:r>
    </w:p>
    <w:p>
      <w:pPr>
        <w:spacing w:after="0" w:line="230" w:lineRule="exact"/>
        <w:rPr>
          <w:rFonts w:ascii="Times New Roman" w:cs="Times New Roman" w:eastAsia="Times New Roman" w:hAnsi="Times New Roman"/>
          <w:sz w:val="13"/>
          <w:szCs w:val="13"/>
          <w:color w:val="auto"/>
        </w:rPr>
      </w:pPr>
    </w:p>
    <w:p>
      <w:pPr>
        <w:ind w:left="1480" w:right="1499" w:firstLine="266"/>
        <w:spacing w:after="0" w:line="274" w:lineRule="auto"/>
        <w:rPr>
          <w:sz w:val="20"/>
          <w:szCs w:val="20"/>
          <w:color w:val="auto"/>
        </w:rPr>
      </w:pPr>
      <w:r>
        <w:rPr>
          <w:rFonts w:ascii="Times New Roman" w:cs="Times New Roman" w:eastAsia="Times New Roman" w:hAnsi="Times New Roman"/>
          <w:sz w:val="13"/>
          <w:szCs w:val="13"/>
          <w:color w:val="auto"/>
        </w:rPr>
        <w:t>You may request a copy of any document incorporated by reference into this prospectus and any exhibit specifically incorporated by reference in those documents, at no cost, by writing or telephoning us at the following address or phone number:</w:t>
      </w:r>
    </w:p>
    <w:p>
      <w:pPr>
        <w:spacing w:after="0" w:line="77" w:lineRule="exact"/>
        <w:rPr>
          <w:rFonts w:ascii="Times New Roman" w:cs="Times New Roman" w:eastAsia="Times New Roman" w:hAnsi="Times New Roman"/>
          <w:sz w:val="13"/>
          <w:szCs w:val="13"/>
          <w:color w:val="auto"/>
        </w:rPr>
      </w:pPr>
    </w:p>
    <w:p>
      <w:pPr>
        <w:ind w:left="3520"/>
        <w:spacing w:after="0"/>
        <w:rPr>
          <w:sz w:val="20"/>
          <w:szCs w:val="20"/>
          <w:color w:val="auto"/>
        </w:rPr>
      </w:pPr>
      <w:r>
        <w:rPr>
          <w:rFonts w:ascii="Times New Roman" w:cs="Times New Roman" w:eastAsia="Times New Roman" w:hAnsi="Times New Roman"/>
          <w:sz w:val="13"/>
          <w:szCs w:val="13"/>
          <w:color w:val="auto"/>
        </w:rPr>
        <w:t>Plains All American Pipeline, L.P.</w:t>
      </w:r>
    </w:p>
    <w:p>
      <w:pPr>
        <w:spacing w:after="0" w:line="23" w:lineRule="exact"/>
        <w:rPr>
          <w:rFonts w:ascii="Times New Roman" w:cs="Times New Roman" w:eastAsia="Times New Roman" w:hAnsi="Times New Roman"/>
          <w:sz w:val="13"/>
          <w:szCs w:val="13"/>
          <w:color w:val="auto"/>
        </w:rPr>
      </w:pPr>
    </w:p>
    <w:p>
      <w:pPr>
        <w:ind w:left="3720"/>
        <w:spacing w:after="0"/>
        <w:rPr>
          <w:sz w:val="20"/>
          <w:szCs w:val="20"/>
          <w:color w:val="auto"/>
        </w:rPr>
      </w:pPr>
      <w:r>
        <w:rPr>
          <w:rFonts w:ascii="Times New Roman" w:cs="Times New Roman" w:eastAsia="Times New Roman" w:hAnsi="Times New Roman"/>
          <w:sz w:val="13"/>
          <w:szCs w:val="13"/>
          <w:color w:val="auto"/>
        </w:rPr>
        <w:t>333 Clay Street, Suite 1600</w:t>
      </w:r>
    </w:p>
    <w:p>
      <w:pPr>
        <w:spacing w:after="0" w:line="10" w:lineRule="exact"/>
        <w:rPr>
          <w:rFonts w:ascii="Times New Roman" w:cs="Times New Roman" w:eastAsia="Times New Roman" w:hAnsi="Times New Roman"/>
          <w:sz w:val="13"/>
          <w:szCs w:val="13"/>
          <w:color w:val="auto"/>
        </w:rPr>
      </w:pPr>
    </w:p>
    <w:p>
      <w:pPr>
        <w:ind w:left="3860"/>
        <w:spacing w:after="0"/>
        <w:rPr>
          <w:sz w:val="20"/>
          <w:szCs w:val="20"/>
          <w:color w:val="auto"/>
        </w:rPr>
      </w:pPr>
      <w:r>
        <w:rPr>
          <w:rFonts w:ascii="Times New Roman" w:cs="Times New Roman" w:eastAsia="Times New Roman" w:hAnsi="Times New Roman"/>
          <w:sz w:val="13"/>
          <w:szCs w:val="13"/>
          <w:color w:val="auto"/>
        </w:rPr>
        <w:t>Houston, Texas 77002</w:t>
      </w:r>
    </w:p>
    <w:p>
      <w:pPr>
        <w:spacing w:after="0" w:line="10" w:lineRule="exact"/>
        <w:rPr>
          <w:rFonts w:ascii="Times New Roman" w:cs="Times New Roman" w:eastAsia="Times New Roman" w:hAnsi="Times New Roman"/>
          <w:sz w:val="13"/>
          <w:szCs w:val="13"/>
          <w:color w:val="auto"/>
        </w:rPr>
      </w:pPr>
    </w:p>
    <w:p>
      <w:pPr>
        <w:ind w:left="3620"/>
        <w:spacing w:after="0"/>
        <w:rPr>
          <w:sz w:val="20"/>
          <w:szCs w:val="20"/>
          <w:color w:val="auto"/>
        </w:rPr>
      </w:pPr>
      <w:r>
        <w:rPr>
          <w:rFonts w:ascii="Times New Roman" w:cs="Times New Roman" w:eastAsia="Times New Roman" w:hAnsi="Times New Roman"/>
          <w:sz w:val="13"/>
          <w:szCs w:val="13"/>
          <w:color w:val="auto"/>
        </w:rPr>
        <w:t>Attention: Corporate Secretary</w:t>
      </w:r>
    </w:p>
    <w:p>
      <w:pPr>
        <w:spacing w:after="0" w:line="10" w:lineRule="exact"/>
        <w:rPr>
          <w:rFonts w:ascii="Times New Roman" w:cs="Times New Roman" w:eastAsia="Times New Roman" w:hAnsi="Times New Roman"/>
          <w:sz w:val="13"/>
          <w:szCs w:val="13"/>
          <w:color w:val="auto"/>
        </w:rPr>
      </w:pPr>
    </w:p>
    <w:p>
      <w:pPr>
        <w:ind w:left="3740"/>
        <w:spacing w:after="0"/>
        <w:rPr>
          <w:sz w:val="20"/>
          <w:szCs w:val="20"/>
          <w:color w:val="auto"/>
        </w:rPr>
      </w:pPr>
      <w:r>
        <w:rPr>
          <w:rFonts w:ascii="Times New Roman" w:cs="Times New Roman" w:eastAsia="Times New Roman" w:hAnsi="Times New Roman"/>
          <w:sz w:val="13"/>
          <w:szCs w:val="13"/>
          <w:color w:val="auto"/>
        </w:rPr>
        <w:t>Telephone: (713) 646-4100</w:t>
      </w:r>
    </w:p>
    <w:p>
      <w:pPr>
        <w:spacing w:after="0" w:line="107" w:lineRule="exact"/>
        <w:rPr>
          <w:rFonts w:ascii="Times New Roman" w:cs="Times New Roman" w:eastAsia="Times New Roman" w:hAnsi="Times New Roman"/>
          <w:sz w:val="13"/>
          <w:szCs w:val="13"/>
          <w:color w:val="auto"/>
        </w:rPr>
      </w:pPr>
    </w:p>
    <w:p>
      <w:pPr>
        <w:ind w:left="1480" w:right="1559" w:firstLine="266"/>
        <w:spacing w:after="0" w:line="263" w:lineRule="auto"/>
        <w:rPr>
          <w:sz w:val="20"/>
          <w:szCs w:val="20"/>
          <w:color w:val="auto"/>
        </w:rPr>
      </w:pPr>
      <w:r>
        <w:rPr>
          <w:rFonts w:ascii="Times New Roman" w:cs="Times New Roman" w:eastAsia="Times New Roman" w:hAnsi="Times New Roman"/>
          <w:sz w:val="13"/>
          <w:szCs w:val="13"/>
          <w:color w:val="auto"/>
        </w:rPr>
        <w:t>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www.plains.com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354" w:lineRule="exact"/>
        <w:rPr>
          <w:rFonts w:ascii="Times New Roman" w:cs="Times New Roman" w:eastAsia="Times New Roman" w:hAnsi="Times New Roman"/>
          <w:sz w:val="13"/>
          <w:szCs w:val="13"/>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 w:name="page5"/>
    <w:bookmarkEnd w:id="4"/>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22" w:lineRule="exact"/>
        <w:rPr>
          <w:sz w:val="20"/>
          <w:szCs w:val="20"/>
          <w:color w:val="auto"/>
        </w:rPr>
      </w:pPr>
    </w:p>
    <w:p>
      <w:pPr>
        <w:ind w:left="1480" w:right="1499" w:firstLine="266"/>
        <w:spacing w:after="0" w:line="250" w:lineRule="auto"/>
        <w:rPr>
          <w:sz w:val="20"/>
          <w:szCs w:val="20"/>
          <w:color w:val="auto"/>
        </w:rPr>
      </w:pPr>
      <w:r>
        <w:rPr>
          <w:rFonts w:ascii="Times New Roman" w:cs="Times New Roman" w:eastAsia="Times New Roman" w:hAnsi="Times New Roman"/>
          <w:sz w:val="13"/>
          <w:szCs w:val="13"/>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56" w:lineRule="exact"/>
        <w:rPr>
          <w:sz w:val="20"/>
          <w:szCs w:val="20"/>
          <w:color w:val="auto"/>
        </w:rPr>
      </w:pPr>
    </w:p>
    <w:p>
      <w:pPr>
        <w:ind w:left="1860" w:right="1579" w:hanging="124"/>
        <w:spacing w:after="0" w:line="263" w:lineRule="auto"/>
        <w:tabs>
          <w:tab w:leader="none" w:pos="1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35" w:lineRule="exact"/>
        <w:rPr>
          <w:rFonts w:ascii="Times New Roman" w:cs="Times New Roman" w:eastAsia="Times New Roman" w:hAnsi="Times New Roman"/>
          <w:sz w:val="13"/>
          <w:szCs w:val="13"/>
          <w:color w:val="auto"/>
        </w:rPr>
      </w:pPr>
    </w:p>
    <w:p>
      <w:pPr>
        <w:ind w:left="1860" w:right="1519" w:hanging="124"/>
        <w:spacing w:after="0" w:line="261" w:lineRule="auto"/>
        <w:tabs>
          <w:tab w:leader="none" w:pos="1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196" w:lineRule="exact"/>
        <w:rPr>
          <w:rFonts w:ascii="Times New Roman" w:cs="Times New Roman" w:eastAsia="Times New Roman" w:hAnsi="Times New Roman"/>
          <w:sz w:val="13"/>
          <w:szCs w:val="13"/>
          <w:color w:val="auto"/>
        </w:rPr>
      </w:pPr>
    </w:p>
    <w:p>
      <w:pPr>
        <w:ind w:left="1860" w:right="1659" w:hanging="124"/>
        <w:spacing w:after="0" w:line="293" w:lineRule="auto"/>
        <w:tabs>
          <w:tab w:leader="none" w:pos="1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refinery capacity and other factors affecting demand for various grades of crude oil and NGL and resulting changes in pricing conditions or transportation throughput requirements;</w:t>
      </w:r>
    </w:p>
    <w:p>
      <w:pPr>
        <w:spacing w:after="0" w:line="24" w:lineRule="exact"/>
        <w:rPr>
          <w:rFonts w:ascii="Times New Roman" w:cs="Times New Roman" w:eastAsia="Times New Roman" w:hAnsi="Times New Roman"/>
          <w:sz w:val="13"/>
          <w:szCs w:val="13"/>
          <w:color w:val="auto"/>
        </w:rPr>
      </w:pPr>
    </w:p>
    <w:p>
      <w:pPr>
        <w:ind w:left="1860" w:right="1679" w:hanging="124"/>
        <w:spacing w:after="0" w:line="293" w:lineRule="auto"/>
        <w:tabs>
          <w:tab w:leader="none" w:pos="1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unanticipated changes in crude oil and NGL market structure, grade differentials and volatility (or lack thereof);</w:t>
      </w:r>
    </w:p>
    <w:p>
      <w:pPr>
        <w:spacing w:after="0" w:line="14" w:lineRule="exact"/>
        <w:rPr>
          <w:rFonts w:ascii="Times New Roman" w:cs="Times New Roman" w:eastAsia="Times New Roman" w:hAnsi="Times New Roman"/>
          <w:sz w:val="13"/>
          <w:szCs w:val="13"/>
          <w:color w:val="auto"/>
        </w:rPr>
      </w:pPr>
    </w:p>
    <w:p>
      <w:pPr>
        <w:ind w:left="1860" w:right="1499" w:hanging="124"/>
        <w:spacing w:after="0" w:line="268" w:lineRule="auto"/>
        <w:tabs>
          <w:tab w:leader="none" w:pos="1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40" w:lineRule="exact"/>
        <w:rPr>
          <w:rFonts w:ascii="Times New Roman" w:cs="Times New Roman" w:eastAsia="Times New Roman" w:hAnsi="Times New Roman"/>
          <w:sz w:val="13"/>
          <w:szCs w:val="13"/>
          <w:color w:val="auto"/>
        </w:rPr>
      </w:pPr>
    </w:p>
    <w:p>
      <w:pPr>
        <w:ind w:left="1860" w:right="1699" w:hanging="124"/>
        <w:spacing w:after="0" w:line="274" w:lineRule="auto"/>
        <w:tabs>
          <w:tab w:leader="none" w:pos="1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26" w:lineRule="exact"/>
        <w:rPr>
          <w:rFonts w:ascii="Times New Roman" w:cs="Times New Roman" w:eastAsia="Times New Roman" w:hAnsi="Times New Roman"/>
          <w:sz w:val="13"/>
          <w:szCs w:val="13"/>
          <w:color w:val="auto"/>
        </w:rPr>
      </w:pPr>
    </w:p>
    <w:p>
      <w:pPr>
        <w:ind w:left="1860" w:right="1519" w:hanging="124"/>
        <w:spacing w:after="0" w:line="293" w:lineRule="auto"/>
        <w:tabs>
          <w:tab w:leader="none" w:pos="1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environmental liabilities, litigation or other events that are not covered by an indemnity, insurance or existing reserves;</w:t>
      </w:r>
    </w:p>
    <w:p>
      <w:pPr>
        <w:spacing w:after="0" w:line="14" w:lineRule="exact"/>
        <w:rPr>
          <w:rFonts w:ascii="Times New Roman" w:cs="Times New Roman" w:eastAsia="Times New Roman" w:hAnsi="Times New Roman"/>
          <w:sz w:val="13"/>
          <w:szCs w:val="13"/>
          <w:color w:val="auto"/>
        </w:rPr>
      </w:pPr>
    </w:p>
    <w:p>
      <w:pPr>
        <w:ind w:left="1860" w:right="1659" w:hanging="124"/>
        <w:spacing w:after="0" w:line="274" w:lineRule="auto"/>
        <w:tabs>
          <w:tab w:leader="none" w:pos="1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36" w:lineRule="exact"/>
        <w:rPr>
          <w:rFonts w:ascii="Times New Roman" w:cs="Times New Roman" w:eastAsia="Times New Roman" w:hAnsi="Times New Roman"/>
          <w:sz w:val="13"/>
          <w:szCs w:val="13"/>
          <w:color w:val="auto"/>
        </w:rPr>
      </w:pPr>
    </w:p>
    <w:p>
      <w:pPr>
        <w:ind w:left="1860" w:right="1939" w:hanging="124"/>
        <w:spacing w:after="0" w:line="293" w:lineRule="auto"/>
        <w:tabs>
          <w:tab w:leader="none" w:pos="1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weather interference with business operations or project construction, including the impact of extreme weather events or conditions (including wildfires and drought);</w:t>
      </w:r>
    </w:p>
    <w:p>
      <w:pPr>
        <w:spacing w:after="0" w:line="14" w:lineRule="exact"/>
        <w:rPr>
          <w:rFonts w:ascii="Times New Roman" w:cs="Times New Roman" w:eastAsia="Times New Roman" w:hAnsi="Times New Roman"/>
          <w:sz w:val="13"/>
          <w:szCs w:val="13"/>
          <w:color w:val="auto"/>
        </w:rPr>
      </w:pPr>
    </w:p>
    <w:p>
      <w:pPr>
        <w:ind w:left="1860" w:right="1879" w:hanging="124"/>
        <w:spacing w:after="0" w:line="266" w:lineRule="auto"/>
        <w:tabs>
          <w:tab w:leader="none" w:pos="1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current and future laws, rulings, legislation, governmental regulations, executive orders, trade policies, accounting standards and statements, and related interpretations that</w:t>
      </w:r>
    </w:p>
    <w:p>
      <w:pPr>
        <w:ind w:left="1860" w:right="1539"/>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prohibit, restrict or regulate the development of oil and gas resources and the related infrastructure on lands dedicated to or served by our pipelines or (ii) negatively impact our ability to develop, operate or repair midstream assets;</w:t>
      </w:r>
    </w:p>
    <w:p>
      <w:pPr>
        <w:spacing w:after="0" w:line="42" w:lineRule="exact"/>
        <w:rPr>
          <w:rFonts w:ascii="Times New Roman" w:cs="Times New Roman" w:eastAsia="Times New Roman" w:hAnsi="Times New Roman"/>
          <w:sz w:val="13"/>
          <w:szCs w:val="13"/>
          <w:color w:val="auto"/>
        </w:rPr>
      </w:pPr>
    </w:p>
    <w:p>
      <w:pPr>
        <w:ind w:left="1860" w:right="1659" w:hanging="124"/>
        <w:spacing w:after="0" w:line="274" w:lineRule="auto"/>
        <w:tabs>
          <w:tab w:leader="none" w:pos="1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 w:name="page6"/>
    <w:bookmarkEnd w:id="5"/>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60" w:hanging="124"/>
        <w:spacing w:after="0"/>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loss of key personnel and inability to attract and retain new talent;</w:t>
      </w:r>
    </w:p>
    <w:p>
      <w:pPr>
        <w:spacing w:after="0" w:line="80" w:lineRule="exact"/>
        <w:rPr>
          <w:rFonts w:ascii="Times New Roman" w:cs="Times New Roman" w:eastAsia="Times New Roman" w:hAnsi="Times New Roman"/>
          <w:sz w:val="13"/>
          <w:szCs w:val="13"/>
          <w:color w:val="auto"/>
        </w:rPr>
      </w:pPr>
    </w:p>
    <w:p>
      <w:pPr>
        <w:ind w:left="1860" w:right="1659" w:hanging="124"/>
        <w:spacing w:after="0" w:line="293"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disruptions to futures markets for crude oil, NGL and other petroleum products, which may impair our ability to execute our commercial or hedging strategies;</w:t>
      </w:r>
    </w:p>
    <w:p>
      <w:pPr>
        <w:spacing w:after="0" w:line="2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effectiveness of our risk management activities;</w:t>
      </w:r>
    </w:p>
    <w:p>
      <w:pPr>
        <w:spacing w:after="0" w:line="8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shortages or cost increases of supplies, materials or labor;</w:t>
      </w:r>
    </w:p>
    <w:p>
      <w:pPr>
        <w:spacing w:after="0" w:line="80" w:lineRule="exact"/>
        <w:rPr>
          <w:rFonts w:ascii="Times New Roman" w:cs="Times New Roman" w:eastAsia="Times New Roman" w:hAnsi="Times New Roman"/>
          <w:sz w:val="13"/>
          <w:szCs w:val="13"/>
          <w:color w:val="auto"/>
        </w:rPr>
      </w:pPr>
    </w:p>
    <w:p>
      <w:pPr>
        <w:ind w:left="1860" w:right="1819" w:hanging="124"/>
        <w:spacing w:after="0" w:line="293"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maintenance of our credit ratings and ability to receive open credit from our suppliers and trade counterparties;</w:t>
      </w:r>
    </w:p>
    <w:p>
      <w:pPr>
        <w:spacing w:after="0" w:line="14" w:lineRule="exact"/>
        <w:rPr>
          <w:rFonts w:ascii="Times New Roman" w:cs="Times New Roman" w:eastAsia="Times New Roman" w:hAnsi="Times New Roman"/>
          <w:sz w:val="13"/>
          <w:szCs w:val="13"/>
          <w:color w:val="auto"/>
        </w:rPr>
      </w:pPr>
    </w:p>
    <w:p>
      <w:pPr>
        <w:ind w:left="1860" w:right="1479" w:hanging="124"/>
        <w:spacing w:after="0" w:line="274"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6" w:lineRule="exact"/>
        <w:rPr>
          <w:rFonts w:ascii="Times New Roman" w:cs="Times New Roman" w:eastAsia="Times New Roman" w:hAnsi="Times New Roman"/>
          <w:sz w:val="13"/>
          <w:szCs w:val="13"/>
          <w:color w:val="auto"/>
        </w:rPr>
      </w:pPr>
    </w:p>
    <w:p>
      <w:pPr>
        <w:ind w:left="1860" w:right="1619" w:hanging="124"/>
        <w:spacing w:after="0" w:line="293"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and our ability to consummate, acquisitions, divestitures, joint ventures or other strategic opportunities;</w:t>
      </w:r>
    </w:p>
    <w:p>
      <w:pPr>
        <w:spacing w:after="0" w:line="24" w:lineRule="exact"/>
        <w:rPr>
          <w:rFonts w:ascii="Times New Roman" w:cs="Times New Roman" w:eastAsia="Times New Roman" w:hAnsi="Times New Roman"/>
          <w:sz w:val="13"/>
          <w:szCs w:val="13"/>
          <w:color w:val="auto"/>
        </w:rPr>
      </w:pPr>
    </w:p>
    <w:p>
      <w:pPr>
        <w:ind w:left="1860" w:right="1599" w:hanging="124"/>
        <w:spacing w:after="0" w:line="263"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45" w:lineRule="exact"/>
        <w:rPr>
          <w:rFonts w:ascii="Times New Roman" w:cs="Times New Roman" w:eastAsia="Times New Roman" w:hAnsi="Times New Roman"/>
          <w:sz w:val="13"/>
          <w:szCs w:val="13"/>
          <w:color w:val="auto"/>
        </w:rPr>
      </w:pPr>
    </w:p>
    <w:p>
      <w:pPr>
        <w:ind w:left="1860" w:right="1639" w:hanging="124"/>
        <w:spacing w:after="0" w:line="272"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200" w:lineRule="exact"/>
        <w:rPr>
          <w:rFonts w:ascii="Times New Roman" w:cs="Times New Roman" w:eastAsia="Times New Roman" w:hAnsi="Times New Roman"/>
          <w:sz w:val="13"/>
          <w:szCs w:val="13"/>
          <w:color w:val="auto"/>
        </w:rPr>
      </w:pPr>
    </w:p>
    <w:p>
      <w:pPr>
        <w:ind w:left="1860" w:right="1819" w:hanging="124"/>
        <w:spacing w:after="0" w:line="293"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incurrence of costs and expenses related to unexpected or unplanned capital or maintenance expenditures, third-party claims or other factors;</w:t>
      </w:r>
    </w:p>
    <w:p>
      <w:pPr>
        <w:spacing w:after="0" w:line="14" w:lineRule="exact"/>
        <w:rPr>
          <w:rFonts w:ascii="Times New Roman" w:cs="Times New Roman" w:eastAsia="Times New Roman" w:hAnsi="Times New Roman"/>
          <w:sz w:val="13"/>
          <w:szCs w:val="13"/>
          <w:color w:val="auto"/>
        </w:rPr>
      </w:pPr>
    </w:p>
    <w:p>
      <w:pPr>
        <w:ind w:left="1860" w:right="1659" w:hanging="124"/>
        <w:spacing w:after="0" w:line="293"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implement or capitalize, or delays in implementing or capitalizing, on investment capital projects, whether due to permitting delays, permitting withdrawals or other factors;</w:t>
      </w:r>
    </w:p>
    <w:p>
      <w:pPr>
        <w:spacing w:after="0" w:line="24" w:lineRule="exact"/>
        <w:rPr>
          <w:rFonts w:ascii="Times New Roman" w:cs="Times New Roman" w:eastAsia="Times New Roman" w:hAnsi="Times New Roman"/>
          <w:sz w:val="13"/>
          <w:szCs w:val="13"/>
          <w:color w:val="auto"/>
        </w:rPr>
      </w:pPr>
    </w:p>
    <w:p>
      <w:pPr>
        <w:ind w:left="1860" w:right="1759" w:hanging="124"/>
        <w:spacing w:after="0" w:line="274"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36" w:lineRule="exact"/>
        <w:rPr>
          <w:rFonts w:ascii="Times New Roman" w:cs="Times New Roman" w:eastAsia="Times New Roman" w:hAnsi="Times New Roman"/>
          <w:sz w:val="13"/>
          <w:szCs w:val="13"/>
          <w:color w:val="auto"/>
        </w:rPr>
      </w:pPr>
    </w:p>
    <w:p>
      <w:pPr>
        <w:ind w:left="1860" w:right="1719" w:hanging="124"/>
        <w:spacing w:after="0" w:line="293"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amplification of other risks caused by volatile or closed financial markets, capital constraints, liquidity concerns and inflation;</w:t>
      </w:r>
    </w:p>
    <w:p>
      <w:pPr>
        <w:spacing w:after="0" w:line="14" w:lineRule="exact"/>
        <w:rPr>
          <w:rFonts w:ascii="Times New Roman" w:cs="Times New Roman" w:eastAsia="Times New Roman" w:hAnsi="Times New Roman"/>
          <w:sz w:val="13"/>
          <w:szCs w:val="13"/>
          <w:color w:val="auto"/>
        </w:rPr>
      </w:pPr>
    </w:p>
    <w:p>
      <w:pPr>
        <w:ind w:left="1860" w:right="1739" w:hanging="124"/>
        <w:spacing w:after="0" w:line="293"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use or availability of third-party assets upon which our operations depend and over which we have little or no control;</w:t>
      </w:r>
    </w:p>
    <w:p>
      <w:pPr>
        <w:spacing w:after="0" w:line="2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exchange rate of the Canadian dollar to the United States dollar;</w:t>
      </w:r>
    </w:p>
    <w:p>
      <w:pPr>
        <w:spacing w:after="0" w:line="80" w:lineRule="exact"/>
        <w:rPr>
          <w:rFonts w:ascii="Times New Roman" w:cs="Times New Roman" w:eastAsia="Times New Roman" w:hAnsi="Times New Roman"/>
          <w:sz w:val="13"/>
          <w:szCs w:val="13"/>
          <w:color w:val="auto"/>
        </w:rPr>
      </w:pPr>
    </w:p>
    <w:p>
      <w:pPr>
        <w:jc w:val="both"/>
        <w:ind w:left="1860" w:right="1639" w:hanging="124"/>
        <w:spacing w:after="0" w:line="286"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recognize current revenue attributable to deficiency payments received from customers who fail to ship or move more than minimum contracted volumes until the related credits expire or are used;</w:t>
      </w:r>
    </w:p>
    <w:p>
      <w:pPr>
        <w:spacing w:after="0" w:line="182"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significant under-utilization of our assets and facilities;</w:t>
      </w:r>
    </w:p>
    <w:p>
      <w:pPr>
        <w:spacing w:after="0" w:line="8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costs, or lack of availability, of insurance;</w:t>
      </w:r>
    </w:p>
    <w:p>
      <w:pPr>
        <w:spacing w:after="0" w:line="80" w:lineRule="exact"/>
        <w:rPr>
          <w:rFonts w:ascii="Times New Roman" w:cs="Times New Roman" w:eastAsia="Times New Roman" w:hAnsi="Times New Roman"/>
          <w:sz w:val="13"/>
          <w:szCs w:val="13"/>
          <w:color w:val="auto"/>
        </w:rPr>
      </w:pPr>
    </w:p>
    <w:p>
      <w:pPr>
        <w:ind w:left="1860" w:right="1759" w:hanging="124"/>
        <w:spacing w:after="0" w:line="293"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the debt and equity markets, including the price of our units at the time of vesting under our long-term incentive plans;</w:t>
      </w:r>
    </w:p>
    <w:p>
      <w:pPr>
        <w:spacing w:after="0" w:line="1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the development and operation of our assets;</w:t>
      </w:r>
    </w:p>
    <w:p>
      <w:pPr>
        <w:spacing w:after="0" w:line="80" w:lineRule="exact"/>
        <w:rPr>
          <w:rFonts w:ascii="Times New Roman" w:cs="Times New Roman" w:eastAsia="Times New Roman" w:hAnsi="Times New Roman"/>
          <w:sz w:val="13"/>
          <w:szCs w:val="13"/>
          <w:color w:val="auto"/>
        </w:rPr>
      </w:pPr>
    </w:p>
    <w:p>
      <w:pPr>
        <w:ind w:left="1860" w:right="1519" w:hanging="124"/>
        <w:spacing w:after="0" w:line="293"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pace of development of natural gas infrastructure and its impact on expected crude oil production growth in the Permian Basin; and</w:t>
      </w:r>
    </w:p>
    <w:p>
      <w:pPr>
        <w:spacing w:after="0" w:line="24" w:lineRule="exact"/>
        <w:rPr>
          <w:rFonts w:ascii="Times New Roman" w:cs="Times New Roman" w:eastAsia="Times New Roman" w:hAnsi="Times New Roman"/>
          <w:sz w:val="13"/>
          <w:szCs w:val="13"/>
          <w:color w:val="auto"/>
        </w:rPr>
      </w:pPr>
    </w:p>
    <w:p>
      <w:pPr>
        <w:jc w:val="both"/>
        <w:ind w:left="1860" w:right="1599" w:hanging="124"/>
        <w:spacing w:after="0" w:line="293" w:lineRule="auto"/>
        <w:tabs>
          <w:tab w:leader="none" w:pos="1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factors and uncertainties inherent in the transportation, storage, terminalling and marketing of crude oil, as well as in the processing, transportation, fractionation, storage and marketing of NGL.</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6" w:name="page7"/>
    <w:bookmarkEnd w:id="6"/>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499" w:firstLine="266"/>
        <w:spacing w:after="0" w:line="262" w:lineRule="auto"/>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auto"/>
        </w:rPr>
        <w:t xml:space="preserve">Other factors described or incorporated by reference herein, as well as factors that are unknown or unpredictable, could also have a material adverse effect on future results. See “Risk Factors” beginning on </w:t>
      </w:r>
      <w:hyperlink r:id="rId21">
        <w:r>
          <w:rPr>
            <w:rFonts w:ascii="Times New Roman" w:cs="Times New Roman" w:eastAsia="Times New Roman" w:hAnsi="Times New Roman"/>
            <w:sz w:val="13"/>
            <w:szCs w:val="13"/>
            <w:color w:val="auto"/>
          </w:rPr>
          <w:t xml:space="preserve">page 3 of this prospectus and discussed in Item 1A. “Risk Factors” in our </w:t>
        </w:r>
        <w:r>
          <w:rPr>
            <w:rFonts w:ascii="Times New Roman" w:cs="Times New Roman" w:eastAsia="Times New Roman" w:hAnsi="Times New Roman"/>
            <w:sz w:val="13"/>
            <w:szCs w:val="13"/>
            <w:u w:val="single" w:color="auto"/>
            <w:color w:val="0000EE"/>
          </w:rPr>
          <w:t>Annual Report on Form 10-K for</w:t>
        </w:r>
      </w:hyperlink>
      <w:r>
        <w:rPr>
          <w:rFonts w:ascii="Times New Roman" w:cs="Times New Roman" w:eastAsia="Times New Roman" w:hAnsi="Times New Roman"/>
          <w:sz w:val="13"/>
          <w:szCs w:val="13"/>
          <w:color w:val="auto"/>
        </w:rPr>
        <w:t xml:space="preserve"> </w:t>
      </w:r>
      <w:hyperlink r:id="rId21">
        <w:r>
          <w:rPr>
            <w:rFonts w:ascii="Times New Roman" w:cs="Times New Roman" w:eastAsia="Times New Roman" w:hAnsi="Times New Roman"/>
            <w:sz w:val="13"/>
            <w:szCs w:val="13"/>
            <w:u w:val="single" w:color="auto"/>
            <w:color w:val="0000EE"/>
          </w:rPr>
          <w:t>the year ended December 31, 2023</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(File No. 001-14569) and in any of our subsequent quarterly or current</w:t>
        </w:r>
      </w:hyperlink>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reports, which are incorporated into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7" w:name="page8"/>
    <w:bookmarkEnd w:id="7"/>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ABOUT PLAINS ALL AMERICAN PIPELINE, L.P.</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22" w:lineRule="exact"/>
        <w:rPr>
          <w:sz w:val="20"/>
          <w:szCs w:val="20"/>
          <w:color w:val="auto"/>
        </w:rPr>
      </w:pPr>
    </w:p>
    <w:p>
      <w:pPr>
        <w:ind w:left="1480" w:right="1839" w:firstLine="266"/>
        <w:spacing w:after="0" w:line="293" w:lineRule="auto"/>
        <w:rPr>
          <w:sz w:val="20"/>
          <w:szCs w:val="20"/>
          <w:color w:val="auto"/>
        </w:rPr>
      </w:pPr>
      <w:r>
        <w:rPr>
          <w:rFonts w:ascii="Times New Roman" w:cs="Times New Roman" w:eastAsia="Times New Roman" w:hAnsi="Times New Roman"/>
          <w:sz w:val="13"/>
          <w:szCs w:val="13"/>
          <w:color w:val="auto"/>
        </w:rPr>
        <w:t>We are a Delaware limited partnership formed in 1998. Our operations are conducted directly and indirectly through our primary operating subsidiaries.</w:t>
      </w:r>
    </w:p>
    <w:p>
      <w:pPr>
        <w:spacing w:after="0" w:line="64" w:lineRule="exact"/>
        <w:rPr>
          <w:sz w:val="20"/>
          <w:szCs w:val="20"/>
          <w:color w:val="auto"/>
        </w:rPr>
      </w:pPr>
    </w:p>
    <w:p>
      <w:pPr>
        <w:ind w:left="1480" w:right="1479" w:firstLine="266"/>
        <w:spacing w:after="0" w:line="262" w:lineRule="auto"/>
        <w:rPr>
          <w:sz w:val="20"/>
          <w:szCs w:val="20"/>
          <w:color w:val="auto"/>
        </w:rPr>
      </w:pPr>
      <w:r>
        <w:rPr>
          <w:rFonts w:ascii="Times New Roman" w:cs="Times New Roman" w:eastAsia="Times New Roman" w:hAnsi="Times New Roman"/>
          <w:sz w:val="13"/>
          <w:szCs w:val="13"/>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and conducted through two operating segments: Crude Oil and NGL.</w:t>
      </w:r>
    </w:p>
    <w:p>
      <w:pPr>
        <w:spacing w:after="0" w:line="75" w:lineRule="exact"/>
        <w:rPr>
          <w:sz w:val="20"/>
          <w:szCs w:val="20"/>
          <w:color w:val="auto"/>
        </w:rPr>
      </w:pPr>
    </w:p>
    <w:p>
      <w:pPr>
        <w:ind w:left="1480" w:right="1519" w:firstLine="266"/>
        <w:spacing w:after="0" w:line="272" w:lineRule="auto"/>
        <w:rPr>
          <w:sz w:val="20"/>
          <w:szCs w:val="20"/>
          <w:color w:val="auto"/>
        </w:rPr>
      </w:pPr>
      <w:r>
        <w:rPr>
          <w:rFonts w:ascii="Times New Roman" w:cs="Times New Roman" w:eastAsia="Times New Roman" w:hAnsi="Times New Roman"/>
          <w:sz w:val="13"/>
          <w:szCs w:val="13"/>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240" w:lineRule="exact"/>
        <w:rPr>
          <w:sz w:val="20"/>
          <w:szCs w:val="20"/>
          <w:color w:val="auto"/>
        </w:rPr>
      </w:pPr>
    </w:p>
    <w:p>
      <w:pPr>
        <w:ind w:left="1480" w:right="1499" w:firstLine="266"/>
        <w:spacing w:after="0" w:line="263" w:lineRule="auto"/>
        <w:rPr>
          <w:sz w:val="20"/>
          <w:szCs w:val="20"/>
          <w:color w:val="auto"/>
        </w:rPr>
      </w:pPr>
      <w:r>
        <w:rPr>
          <w:rFonts w:ascii="Times New Roman" w:cs="Times New Roman" w:eastAsia="Times New Roman" w:hAnsi="Times New Roman"/>
          <w:sz w:val="13"/>
          <w:szCs w:val="13"/>
          <w:color w:val="auto"/>
        </w:rPr>
        <w:t>Our non-economic general partner interest is held by PAA GP, whose sole member is AAP. In addition to its ownership of PAA GP, as of June 30, 2024, AAP also owned a limited partner interest in us through its ownership of approximately 232.7 million of our common units (approximately 30% of our total outstanding common units and Series A preferred units combined). GP LLC is AAP’s general partner. PAGP is the sole and managing member of GP LLC, and, at June 30, 2024, owned an approximate 85% limited partner interest in AAP. PAGP GP is the general partner of PAGP.</w:t>
      </w:r>
    </w:p>
    <w:p>
      <w:pPr>
        <w:spacing w:after="0" w:line="85" w:lineRule="exact"/>
        <w:rPr>
          <w:sz w:val="20"/>
          <w:szCs w:val="20"/>
          <w:color w:val="auto"/>
        </w:rPr>
      </w:pPr>
    </w:p>
    <w:p>
      <w:pPr>
        <w:ind w:left="1480" w:right="1699" w:firstLine="266"/>
        <w:spacing w:after="0" w:line="268" w:lineRule="auto"/>
        <w:rPr>
          <w:sz w:val="20"/>
          <w:szCs w:val="20"/>
          <w:color w:val="auto"/>
        </w:rPr>
      </w:pPr>
      <w:r>
        <w:rPr>
          <w:rFonts w:ascii="Times New Roman" w:cs="Times New Roman" w:eastAsia="Times New Roman" w:hAnsi="Times New Roman"/>
          <w:sz w:val="13"/>
          <w:szCs w:val="13"/>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71" w:lineRule="exact"/>
        <w:rPr>
          <w:sz w:val="20"/>
          <w:szCs w:val="20"/>
          <w:color w:val="auto"/>
        </w:rPr>
      </w:pPr>
    </w:p>
    <w:p>
      <w:pPr>
        <w:ind w:left="1480" w:right="1539" w:firstLine="266"/>
        <w:spacing w:after="0" w:line="265" w:lineRule="auto"/>
        <w:rPr>
          <w:sz w:val="20"/>
          <w:szCs w:val="20"/>
          <w:color w:val="auto"/>
        </w:rPr>
      </w:pPr>
      <w:r>
        <w:rPr>
          <w:rFonts w:ascii="Times New Roman" w:cs="Times New Roman" w:eastAsia="Times New Roman" w:hAnsi="Times New Roman"/>
          <w:sz w:val="13"/>
          <w:szCs w:val="13"/>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Ongoing Activities Related to Strategic Transactions</w:t>
      </w:r>
    </w:p>
    <w:p>
      <w:pPr>
        <w:spacing w:after="0" w:line="122" w:lineRule="exact"/>
        <w:rPr>
          <w:sz w:val="20"/>
          <w:szCs w:val="20"/>
          <w:color w:val="auto"/>
        </w:rPr>
      </w:pPr>
    </w:p>
    <w:p>
      <w:pPr>
        <w:ind w:left="1480" w:right="1499" w:firstLine="266"/>
        <w:spacing w:after="0" w:line="262" w:lineRule="auto"/>
        <w:rPr>
          <w:sz w:val="20"/>
          <w:szCs w:val="20"/>
          <w:color w:val="auto"/>
        </w:rPr>
      </w:pPr>
      <w:r>
        <w:rPr>
          <w:rFonts w:ascii="Times New Roman" w:cs="Times New Roman" w:eastAsia="Times New Roman" w:hAnsi="Times New Roman"/>
          <w:sz w:val="13"/>
          <w:szCs w:val="13"/>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45" w:lineRule="exact"/>
        <w:rPr>
          <w:sz w:val="20"/>
          <w:szCs w:val="20"/>
          <w:color w:val="auto"/>
        </w:rPr>
      </w:pPr>
    </w:p>
    <w:p>
      <w:pPr>
        <w:ind w:left="1480" w:right="1479" w:firstLine="266"/>
        <w:spacing w:after="0" w:line="261" w:lineRule="auto"/>
        <w:rPr>
          <w:sz w:val="20"/>
          <w:szCs w:val="20"/>
          <w:color w:val="auto"/>
        </w:rPr>
      </w:pPr>
      <w:r>
        <w:rPr>
          <w:rFonts w:ascii="Times New Roman" w:cs="Times New Roman" w:eastAsia="Times New Roman" w:hAnsi="Times New Roman"/>
          <w:sz w:val="13"/>
          <w:szCs w:val="13"/>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8" w:name="page9"/>
    <w:bookmarkEnd w:id="8"/>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Principal Executive Offices and Internet Address</w:t>
      </w:r>
    </w:p>
    <w:p>
      <w:pPr>
        <w:spacing w:after="0" w:line="122" w:lineRule="exact"/>
        <w:rPr>
          <w:sz w:val="20"/>
          <w:szCs w:val="20"/>
          <w:color w:val="auto"/>
        </w:rPr>
      </w:pPr>
    </w:p>
    <w:p>
      <w:pPr>
        <w:ind w:left="1480" w:right="1499" w:firstLine="266"/>
        <w:spacing w:after="0" w:line="262" w:lineRule="auto"/>
        <w:rPr>
          <w:sz w:val="20"/>
          <w:szCs w:val="20"/>
          <w:color w:val="auto"/>
        </w:rPr>
      </w:pPr>
      <w:r>
        <w:rPr>
          <w:rFonts w:ascii="Times New Roman" w:cs="Times New Roman" w:eastAsia="Times New Roman" w:hAnsi="Times New Roman"/>
          <w:sz w:val="13"/>
          <w:szCs w:val="13"/>
          <w:color w:val="auto"/>
        </w:rPr>
        <w:t xml:space="preserve">Our principal executive offices are located at 333 Clay Street, Suite 1600, Houston, Texas 77002 and our telephone number is (713) 646-4100. We maintain a website at </w:t>
      </w:r>
      <w:r>
        <w:rPr>
          <w:rFonts w:ascii="Times New Roman" w:cs="Times New Roman" w:eastAsia="Times New Roman" w:hAnsi="Times New Roman"/>
          <w:sz w:val="13"/>
          <w:szCs w:val="13"/>
          <w:i w:val="1"/>
          <w:iCs w:val="1"/>
          <w:color w:val="auto"/>
        </w:rPr>
        <w:t>www.plains.com</w:t>
      </w:r>
      <w:r>
        <w:rPr>
          <w:rFonts w:ascii="Times New Roman" w:cs="Times New Roman" w:eastAsia="Times New Roman" w:hAnsi="Times New Roman"/>
          <w:sz w:val="13"/>
          <w:szCs w:val="13"/>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Additional Information</w:t>
      </w:r>
    </w:p>
    <w:p>
      <w:pPr>
        <w:spacing w:after="0" w:line="122" w:lineRule="exact"/>
        <w:rPr>
          <w:sz w:val="20"/>
          <w:szCs w:val="20"/>
          <w:color w:val="auto"/>
        </w:rPr>
      </w:pPr>
    </w:p>
    <w:p>
      <w:pPr>
        <w:ind w:left="1480" w:right="1499" w:firstLine="266"/>
        <w:spacing w:after="0" w:line="268" w:lineRule="auto"/>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auto"/>
        </w:rPr>
        <w:t xml:space="preserve">For additional information about us please refer to the documents set forth under “Where You Can Find </w:t>
      </w:r>
      <w:hyperlink r:id="rId21">
        <w:r>
          <w:rPr>
            <w:rFonts w:ascii="Times New Roman" w:cs="Times New Roman" w:eastAsia="Times New Roman" w:hAnsi="Times New Roman"/>
            <w:sz w:val="13"/>
            <w:szCs w:val="13"/>
            <w:color w:val="auto"/>
          </w:rPr>
          <w:t xml:space="preserve">More Information” in this prospectus, including our </w:t>
        </w:r>
        <w:r>
          <w:rPr>
            <w:rFonts w:ascii="Times New Roman" w:cs="Times New Roman" w:eastAsia="Times New Roman" w:hAnsi="Times New Roman"/>
            <w:sz w:val="13"/>
            <w:szCs w:val="13"/>
            <w:u w:val="single" w:color="auto"/>
            <w:color w:val="0000EE"/>
          </w:rPr>
          <w:t>Annual Report on Form 10-K for the fiscal year ended</w:t>
        </w:r>
      </w:hyperlink>
      <w:r>
        <w:rPr>
          <w:rFonts w:ascii="Times New Roman" w:cs="Times New Roman" w:eastAsia="Times New Roman" w:hAnsi="Times New Roman"/>
          <w:sz w:val="13"/>
          <w:szCs w:val="13"/>
          <w:color w:val="auto"/>
        </w:rPr>
        <w:t xml:space="preserve"> </w:t>
      </w:r>
      <w:hyperlink r:id="rId21">
        <w:r>
          <w:rPr>
            <w:rFonts w:ascii="Times New Roman" w:cs="Times New Roman" w:eastAsia="Times New Roman" w:hAnsi="Times New Roman"/>
            <w:sz w:val="13"/>
            <w:szCs w:val="13"/>
            <w:u w:val="single" w:color="auto"/>
            <w:color w:val="0000EE"/>
          </w:rPr>
          <w:t>December 31, 2023</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(File No. 001-14569) and any of our subsequent quarterly reports or current reports,</w:t>
        </w:r>
      </w:hyperlink>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which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9" w:name="page10"/>
    <w:bookmarkEnd w:id="9"/>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22" w:lineRule="exact"/>
        <w:rPr>
          <w:sz w:val="20"/>
          <w:szCs w:val="20"/>
          <w:color w:val="auto"/>
        </w:rPr>
      </w:pPr>
    </w:p>
    <w:p>
      <w:pPr>
        <w:ind w:left="1480" w:right="1479" w:firstLine="266"/>
        <w:spacing w:after="0" w:line="260" w:lineRule="auto"/>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auto"/>
        </w:rPr>
        <w:t xml:space="preserve">An investment in our securities involves a high degree of risk. Before you invest in our securities, you </w:t>
      </w:r>
      <w:hyperlink r:id="rId21">
        <w:r>
          <w:rPr>
            <w:rFonts w:ascii="Times New Roman" w:cs="Times New Roman" w:eastAsia="Times New Roman" w:hAnsi="Times New Roman"/>
            <w:sz w:val="13"/>
            <w:szCs w:val="13"/>
            <w:color w:val="auto"/>
          </w:rPr>
          <w:t xml:space="preserve">should carefully consider the risk factors included in Item 1A. “Risk Factors” in our </w:t>
        </w:r>
        <w:r>
          <w:rPr>
            <w:rFonts w:ascii="Times New Roman" w:cs="Times New Roman" w:eastAsia="Times New Roman" w:hAnsi="Times New Roman"/>
            <w:sz w:val="13"/>
            <w:szCs w:val="13"/>
            <w:u w:val="single" w:color="auto"/>
            <w:color w:val="0000EE"/>
          </w:rPr>
          <w:t>Annual Report on Form</w:t>
        </w:r>
      </w:hyperlink>
      <w:r>
        <w:rPr>
          <w:rFonts w:ascii="Times New Roman" w:cs="Times New Roman" w:eastAsia="Times New Roman" w:hAnsi="Times New Roman"/>
          <w:sz w:val="13"/>
          <w:szCs w:val="13"/>
          <w:color w:val="auto"/>
        </w:rPr>
        <w:t xml:space="preserve"> </w:t>
      </w:r>
      <w:hyperlink r:id="rId21">
        <w:r>
          <w:rPr>
            <w:rFonts w:ascii="Times New Roman" w:cs="Times New Roman" w:eastAsia="Times New Roman" w:hAnsi="Times New Roman"/>
            <w:sz w:val="13"/>
            <w:szCs w:val="13"/>
            <w:u w:val="single" w:color="auto"/>
            <w:color w:val="0000EE"/>
          </w:rPr>
          <w:t>10-K for the year ended December 31, 2023</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(File No. 001-14569) and in any of our subsequent quarterly</w:t>
        </w:r>
      </w:hyperlink>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reports or current reports, which are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0" w:name="page11"/>
    <w:bookmarkEnd w:id="10"/>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22"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w:t>
      </w:r>
    </w:p>
    <w:p>
      <w:pPr>
        <w:spacing w:after="0" w:line="81" w:lineRule="exact"/>
        <w:rPr>
          <w:sz w:val="20"/>
          <w:szCs w:val="20"/>
          <w:color w:val="auto"/>
        </w:rPr>
      </w:pPr>
    </w:p>
    <w:p>
      <w:pPr>
        <w:ind w:left="1480" w:right="1759" w:firstLine="266"/>
        <w:spacing w:after="0" w:line="293" w:lineRule="auto"/>
        <w:rPr>
          <w:sz w:val="20"/>
          <w:szCs w:val="20"/>
          <w:color w:val="auto"/>
        </w:rPr>
      </w:pPr>
      <w:r>
        <w:rPr>
          <w:rFonts w:ascii="Times New Roman" w:cs="Times New Roman" w:eastAsia="Times New Roman" w:hAnsi="Times New Roman"/>
          <w:sz w:val="13"/>
          <w:szCs w:val="13"/>
          <w:color w:val="auto"/>
        </w:rPr>
        <w:t>Any specific allocation of the net proceeds of an offering of securities to a specific purpose will be determined at the time of the offering and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1" w:name="page12"/>
    <w:bookmarkEnd w:id="11"/>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OUR DEBT SECURITIES</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The debt securities will be:</w:t>
      </w:r>
    </w:p>
    <w:p>
      <w:pPr>
        <w:spacing w:after="0" w:line="90" w:lineRule="exact"/>
        <w:rPr>
          <w:sz w:val="20"/>
          <w:szCs w:val="20"/>
          <w:color w:val="auto"/>
        </w:rPr>
      </w:pPr>
    </w:p>
    <w:p>
      <w:pPr>
        <w:ind w:left="1860" w:hanging="124"/>
        <w:spacing w:after="0"/>
        <w:tabs>
          <w:tab w:leader="none" w:pos="18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direct general obligations;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senior debt securities or subordinated debt securities; and</w:t>
      </w:r>
    </w:p>
    <w:p>
      <w:pPr>
        <w:spacing w:after="0" w:line="90" w:lineRule="exact"/>
        <w:rPr>
          <w:rFonts w:ascii="Times New Roman" w:cs="Times New Roman" w:eastAsia="Times New Roman" w:hAnsi="Times New Roman"/>
          <w:sz w:val="13"/>
          <w:szCs w:val="13"/>
          <w:color w:val="auto"/>
        </w:rPr>
      </w:pPr>
    </w:p>
    <w:p>
      <w:pPr>
        <w:ind w:left="1860" w:right="1659" w:hanging="124"/>
        <w:spacing w:after="0" w:line="293" w:lineRule="auto"/>
        <w:tabs>
          <w:tab w:leader="none" w:pos="18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issued under separate indentures (which may be existing indentures) among Plains All American Pipeline, PAA Finance and U.S. Bank Trust Company, National Association, as successor Trustee.</w:t>
      </w:r>
    </w:p>
    <w:p>
      <w:pPr>
        <w:spacing w:after="0" w:line="64" w:lineRule="exact"/>
        <w:rPr>
          <w:sz w:val="20"/>
          <w:szCs w:val="20"/>
          <w:color w:val="auto"/>
        </w:rPr>
      </w:pPr>
    </w:p>
    <w:p>
      <w:pPr>
        <w:ind w:left="1480" w:right="1479" w:firstLine="266"/>
        <w:spacing w:after="0" w:line="261" w:lineRule="auto"/>
        <w:rPr>
          <w:sz w:val="20"/>
          <w:szCs w:val="20"/>
          <w:color w:val="auto"/>
        </w:rPr>
      </w:pPr>
      <w:r>
        <w:rPr>
          <w:rFonts w:ascii="Times New Roman" w:cs="Times New Roman" w:eastAsia="Times New Roman" w:hAnsi="Times New Roman"/>
          <w:sz w:val="13"/>
          <w:szCs w:val="13"/>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87" w:lineRule="exact"/>
        <w:rPr>
          <w:sz w:val="20"/>
          <w:szCs w:val="20"/>
          <w:color w:val="auto"/>
        </w:rPr>
      </w:pPr>
    </w:p>
    <w:p>
      <w:pPr>
        <w:ind w:left="1480" w:right="1539" w:firstLine="266"/>
        <w:spacing w:after="0" w:line="263" w:lineRule="auto"/>
        <w:rPr>
          <w:sz w:val="20"/>
          <w:szCs w:val="20"/>
          <w:color w:val="auto"/>
        </w:rPr>
      </w:pPr>
      <w:r>
        <w:rPr>
          <w:rFonts w:ascii="Times New Roman" w:cs="Times New Roman" w:eastAsia="Times New Roman" w:hAnsi="Times New Roman"/>
          <w:sz w:val="13"/>
          <w:szCs w:val="13"/>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Specific Terms of Each Series of Debt Securities in the Prospectus Supplement</w:t>
      </w:r>
    </w:p>
    <w:p>
      <w:pPr>
        <w:spacing w:after="0" w:line="112" w:lineRule="exact"/>
        <w:rPr>
          <w:sz w:val="20"/>
          <w:szCs w:val="20"/>
          <w:color w:val="auto"/>
        </w:rPr>
      </w:pPr>
    </w:p>
    <w:p>
      <w:pPr>
        <w:jc w:val="both"/>
        <w:ind w:left="1480" w:right="1539" w:firstLine="266"/>
        <w:spacing w:after="0" w:line="274" w:lineRule="auto"/>
        <w:rPr>
          <w:sz w:val="20"/>
          <w:szCs w:val="20"/>
          <w:color w:val="auto"/>
        </w:rPr>
      </w:pPr>
      <w:r>
        <w:rPr>
          <w:rFonts w:ascii="Times New Roman" w:cs="Times New Roman" w:eastAsia="Times New Roman" w:hAnsi="Times New Roman"/>
          <w:sz w:val="13"/>
          <w:szCs w:val="13"/>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47" w:lineRule="exact"/>
        <w:rPr>
          <w:sz w:val="20"/>
          <w:szCs w:val="20"/>
          <w:color w:val="auto"/>
        </w:rPr>
      </w:pPr>
    </w:p>
    <w:p>
      <w:pPr>
        <w:ind w:left="1860" w:hanging="124"/>
        <w:spacing w:after="0"/>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PAA Finance will be a co-issuer of the debt securities;</w:t>
      </w:r>
    </w:p>
    <w:p>
      <w:pPr>
        <w:spacing w:after="0" w:line="10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are senior or subordinated debt securities;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debt securities;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principal amount of the debt securities;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assets, if any, that are pledged as security for the payment of the debt securities;</w:t>
      </w:r>
    </w:p>
    <w:p>
      <w:pPr>
        <w:spacing w:after="0" w:line="90" w:lineRule="exact"/>
        <w:rPr>
          <w:rFonts w:ascii="Times New Roman" w:cs="Times New Roman" w:eastAsia="Times New Roman" w:hAnsi="Times New Roman"/>
          <w:sz w:val="13"/>
          <w:szCs w:val="13"/>
          <w:color w:val="auto"/>
        </w:rPr>
      </w:pPr>
    </w:p>
    <w:p>
      <w:pPr>
        <w:ind w:left="1860" w:right="1539" w:hanging="124"/>
        <w:spacing w:after="0" w:line="293" w:lineRule="auto"/>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we will issue the debt securities in individual certificates to each holder in registered form, or in the form of temporary or permanent global securities held by a depository on behalf of holders;</w:t>
      </w:r>
    </w:p>
    <w:p>
      <w:pPr>
        <w:spacing w:after="0" w:line="3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prices at which we will issue the debt securities;</w:t>
      </w:r>
    </w:p>
    <w:p>
      <w:pPr>
        <w:spacing w:after="0" w:line="90" w:lineRule="exact"/>
        <w:rPr>
          <w:rFonts w:ascii="Times New Roman" w:cs="Times New Roman" w:eastAsia="Times New Roman" w:hAnsi="Times New Roman"/>
          <w:sz w:val="13"/>
          <w:szCs w:val="13"/>
          <w:color w:val="auto"/>
        </w:rPr>
      </w:pPr>
    </w:p>
    <w:p>
      <w:pPr>
        <w:ind w:left="1860" w:right="1899" w:hanging="124"/>
        <w:spacing w:after="0" w:line="293" w:lineRule="auto"/>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the principal amount that will be payable if the maturity of the debt securities is accelerated;</w:t>
      </w:r>
    </w:p>
    <w:p>
      <w:pPr>
        <w:spacing w:after="0" w:line="3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or currency unit in which the debt securities will be payable, if not U.S. dollars;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dates on which the principal of the debt securities will be payable;</w:t>
      </w:r>
    </w:p>
    <w:p>
      <w:pPr>
        <w:spacing w:after="0" w:line="90" w:lineRule="exact"/>
        <w:rPr>
          <w:rFonts w:ascii="Times New Roman" w:cs="Times New Roman" w:eastAsia="Times New Roman" w:hAnsi="Times New Roman"/>
          <w:sz w:val="13"/>
          <w:szCs w:val="13"/>
          <w:color w:val="auto"/>
        </w:rPr>
      </w:pPr>
    </w:p>
    <w:p>
      <w:pPr>
        <w:ind w:left="1860" w:right="2059" w:hanging="124"/>
        <w:spacing w:after="0" w:line="293" w:lineRule="auto"/>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that the debt securities will bear and the interest payment dates for the debt securities;</w:t>
      </w:r>
    </w:p>
    <w:p>
      <w:pPr>
        <w:spacing w:after="0" w:line="3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conversion or exchange provisions;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optional redemption provisions;</w:t>
      </w:r>
    </w:p>
    <w:p>
      <w:pPr>
        <w:spacing w:after="0" w:line="90" w:lineRule="exact"/>
        <w:rPr>
          <w:rFonts w:ascii="Times New Roman" w:cs="Times New Roman" w:eastAsia="Times New Roman" w:hAnsi="Times New Roman"/>
          <w:sz w:val="13"/>
          <w:szCs w:val="13"/>
          <w:color w:val="auto"/>
        </w:rPr>
      </w:pPr>
    </w:p>
    <w:p>
      <w:pPr>
        <w:ind w:left="1860" w:right="1679" w:hanging="124"/>
        <w:spacing w:after="0" w:line="293" w:lineRule="auto"/>
        <w:tabs>
          <w:tab w:leader="none" w:pos="18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sinking fund or other provisions that would obligate us to repurchase or otherwise redeem the debt securities;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2" w:name="page13"/>
    <w:bookmarkEnd w:id="12"/>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60" w:hanging="124"/>
        <w:spacing w:after="0"/>
        <w:tabs>
          <w:tab w:leader="none" w:pos="18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changes to or additional events of default or covenants; and</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debt securities.</w:t>
      </w:r>
    </w:p>
    <w:p>
      <w:pPr>
        <w:spacing w:after="0" w:line="120" w:lineRule="exact"/>
        <w:rPr>
          <w:sz w:val="20"/>
          <w:szCs w:val="20"/>
          <w:color w:val="auto"/>
        </w:rPr>
      </w:pPr>
    </w:p>
    <w:p>
      <w:pPr>
        <w:ind w:left="1480" w:right="1499" w:firstLine="266"/>
        <w:spacing w:after="0" w:line="253" w:lineRule="auto"/>
        <w:rPr>
          <w:sz w:val="20"/>
          <w:szCs w:val="20"/>
          <w:color w:val="auto"/>
        </w:rPr>
      </w:pPr>
      <w:r>
        <w:rPr>
          <w:rFonts w:ascii="Times New Roman" w:cs="Times New Roman" w:eastAsia="Times New Roman" w:hAnsi="Times New Roman"/>
          <w:sz w:val="13"/>
          <w:szCs w:val="13"/>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Possible Future Guarantees</w:t>
      </w:r>
    </w:p>
    <w:p>
      <w:pPr>
        <w:spacing w:after="0" w:line="122" w:lineRule="exact"/>
        <w:rPr>
          <w:sz w:val="20"/>
          <w:szCs w:val="20"/>
          <w:color w:val="auto"/>
        </w:rPr>
      </w:pPr>
    </w:p>
    <w:p>
      <w:pPr>
        <w:ind w:left="1480" w:right="1659" w:firstLine="266"/>
        <w:spacing w:after="0" w:line="253" w:lineRule="auto"/>
        <w:rPr>
          <w:sz w:val="20"/>
          <w:szCs w:val="20"/>
          <w:color w:val="auto"/>
        </w:rPr>
      </w:pPr>
      <w:r>
        <w:rPr>
          <w:rFonts w:ascii="Times New Roman" w:cs="Times New Roman" w:eastAsia="Times New Roman" w:hAnsi="Times New Roman"/>
          <w:sz w:val="13"/>
          <w:szCs w:val="13"/>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80" w:lineRule="exact"/>
        <w:rPr>
          <w:sz w:val="20"/>
          <w:szCs w:val="20"/>
          <w:color w:val="auto"/>
        </w:rPr>
      </w:pPr>
    </w:p>
    <w:p>
      <w:pPr>
        <w:ind w:left="1480" w:right="1679" w:firstLine="266"/>
        <w:spacing w:after="0" w:line="251" w:lineRule="auto"/>
        <w:rPr>
          <w:sz w:val="20"/>
          <w:szCs w:val="20"/>
          <w:color w:val="auto"/>
        </w:rPr>
      </w:pPr>
      <w:r>
        <w:rPr>
          <w:rFonts w:ascii="Times New Roman" w:cs="Times New Roman" w:eastAsia="Times New Roman" w:hAnsi="Times New Roman"/>
          <w:sz w:val="13"/>
          <w:szCs w:val="13"/>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83" w:lineRule="exact"/>
        <w:rPr>
          <w:sz w:val="20"/>
          <w:szCs w:val="20"/>
          <w:color w:val="auto"/>
        </w:rPr>
      </w:pPr>
    </w:p>
    <w:p>
      <w:pPr>
        <w:ind w:left="1480" w:right="1659" w:firstLine="266"/>
        <w:spacing w:after="0" w:line="266" w:lineRule="auto"/>
        <w:rPr>
          <w:sz w:val="20"/>
          <w:szCs w:val="20"/>
          <w:color w:val="auto"/>
        </w:rPr>
      </w:pPr>
      <w:r>
        <w:rPr>
          <w:rFonts w:ascii="Times New Roman" w:cs="Times New Roman" w:eastAsia="Times New Roman" w:hAnsi="Times New Roman"/>
          <w:sz w:val="13"/>
          <w:szCs w:val="13"/>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Consolidation, Merger or Asset Sale</w:t>
      </w:r>
    </w:p>
    <w:p>
      <w:pPr>
        <w:spacing w:after="0" w:line="122" w:lineRule="exact"/>
        <w:rPr>
          <w:sz w:val="20"/>
          <w:szCs w:val="20"/>
          <w:color w:val="auto"/>
        </w:rPr>
      </w:pPr>
    </w:p>
    <w:p>
      <w:pPr>
        <w:ind w:left="1480" w:right="1499" w:firstLine="266"/>
        <w:spacing w:after="0" w:line="253" w:lineRule="auto"/>
        <w:rPr>
          <w:sz w:val="20"/>
          <w:szCs w:val="20"/>
          <w:color w:val="auto"/>
        </w:rPr>
      </w:pPr>
      <w:r>
        <w:rPr>
          <w:rFonts w:ascii="Times New Roman" w:cs="Times New Roman" w:eastAsia="Times New Roman" w:hAnsi="Times New Roman"/>
          <w:sz w:val="13"/>
          <w:szCs w:val="13"/>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80" w:lineRule="exact"/>
        <w:rPr>
          <w:sz w:val="20"/>
          <w:szCs w:val="20"/>
          <w:color w:val="auto"/>
        </w:rPr>
      </w:pPr>
    </w:p>
    <w:p>
      <w:pPr>
        <w:jc w:val="both"/>
        <w:ind w:left="1480" w:right="1559" w:firstLine="266"/>
        <w:spacing w:after="0" w:line="266" w:lineRule="auto"/>
        <w:rPr>
          <w:sz w:val="20"/>
          <w:szCs w:val="20"/>
          <w:color w:val="auto"/>
        </w:rPr>
      </w:pPr>
      <w:r>
        <w:rPr>
          <w:rFonts w:ascii="Times New Roman" w:cs="Times New Roman" w:eastAsia="Times New Roman" w:hAnsi="Times New Roman"/>
          <w:sz w:val="13"/>
          <w:szCs w:val="13"/>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42" w:lineRule="exact"/>
        <w:rPr>
          <w:sz w:val="20"/>
          <w:szCs w:val="20"/>
          <w:color w:val="auto"/>
        </w:rPr>
      </w:pPr>
    </w:p>
    <w:p>
      <w:pPr>
        <w:ind w:left="1860" w:right="1499" w:hanging="124"/>
        <w:spacing w:after="0" w:line="268" w:lineRule="auto"/>
        <w:tabs>
          <w:tab w:leader="none" w:pos="18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4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remaining or acquiring entity must assume the issuer’s obligations under the indenture; and</w:t>
      </w:r>
    </w:p>
    <w:p>
      <w:pPr>
        <w:spacing w:after="0" w:line="90" w:lineRule="exact"/>
        <w:rPr>
          <w:rFonts w:ascii="Times New Roman" w:cs="Times New Roman" w:eastAsia="Times New Roman" w:hAnsi="Times New Roman"/>
          <w:sz w:val="13"/>
          <w:szCs w:val="13"/>
          <w:color w:val="auto"/>
        </w:rPr>
      </w:pPr>
    </w:p>
    <w:p>
      <w:pPr>
        <w:ind w:left="1860" w:right="1639" w:hanging="124"/>
        <w:spacing w:after="0" w:line="293" w:lineRule="auto"/>
        <w:tabs>
          <w:tab w:leader="none" w:pos="18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giving effect to the transaction, no Default or Event of Default (as defined under “— Events of Default and Remedies” below) may exist.</w:t>
      </w:r>
    </w:p>
    <w:p>
      <w:pPr>
        <w:spacing w:after="0" w:line="64" w:lineRule="exact"/>
        <w:rPr>
          <w:sz w:val="20"/>
          <w:szCs w:val="20"/>
          <w:color w:val="auto"/>
        </w:rPr>
      </w:pPr>
    </w:p>
    <w:p>
      <w:pPr>
        <w:ind w:left="1480" w:right="1499" w:firstLine="266"/>
        <w:spacing w:after="0" w:line="266" w:lineRule="auto"/>
        <w:rPr>
          <w:sz w:val="20"/>
          <w:szCs w:val="20"/>
          <w:color w:val="auto"/>
        </w:rPr>
      </w:pPr>
      <w:r>
        <w:rPr>
          <w:rFonts w:ascii="Times New Roman" w:cs="Times New Roman" w:eastAsia="Times New Roman" w:hAnsi="Times New Roman"/>
          <w:sz w:val="13"/>
          <w:szCs w:val="13"/>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No Protection in the Event of a Change of Control</w:t>
      </w:r>
    </w:p>
    <w:p>
      <w:pPr>
        <w:spacing w:after="0" w:line="1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Unless otherwise set forth in the prospectus supplement, the debt securities will not contain any</w:t>
      </w:r>
    </w:p>
    <w:p>
      <w:pPr>
        <w:spacing w:after="0" w:line="23" w:lineRule="exact"/>
        <w:rPr>
          <w:sz w:val="20"/>
          <w:szCs w:val="20"/>
          <w:color w:val="auto"/>
        </w:rPr>
      </w:pPr>
    </w:p>
    <w:p>
      <w:pPr>
        <w:ind w:left="1480" w:right="1559"/>
        <w:spacing w:after="0" w:line="256" w:lineRule="auto"/>
        <w:rPr>
          <w:sz w:val="20"/>
          <w:szCs w:val="20"/>
          <w:color w:val="auto"/>
        </w:rPr>
      </w:pPr>
      <w:r>
        <w:rPr>
          <w:rFonts w:ascii="Times New Roman" w:cs="Times New Roman" w:eastAsia="Times New Roman" w:hAnsi="Times New Roman"/>
          <w:sz w:val="13"/>
          <w:szCs w:val="13"/>
          <w:color w:val="auto"/>
        </w:rPr>
        <w:t>provisions that protect the holders of the debt securities in the event of a change of control of us or in the event of a highly leveraged transaction, whether or not such transaction results in a change of control of us.</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3" w:name="page14"/>
    <w:bookmarkEnd w:id="13"/>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Modification of Indentures</w:t>
      </w:r>
    </w:p>
    <w:p>
      <w:pPr>
        <w:spacing w:after="0" w:line="122" w:lineRule="exact"/>
        <w:rPr>
          <w:sz w:val="20"/>
          <w:szCs w:val="20"/>
          <w:color w:val="auto"/>
        </w:rPr>
      </w:pPr>
    </w:p>
    <w:p>
      <w:pPr>
        <w:ind w:left="1480" w:right="1519" w:firstLine="266"/>
        <w:spacing w:after="0" w:line="250" w:lineRule="auto"/>
        <w:rPr>
          <w:sz w:val="20"/>
          <w:szCs w:val="20"/>
          <w:color w:val="auto"/>
        </w:rPr>
      </w:pPr>
      <w:r>
        <w:rPr>
          <w:rFonts w:ascii="Times New Roman" w:cs="Times New Roman" w:eastAsia="Times New Roman" w:hAnsi="Times New Roman"/>
          <w:sz w:val="13"/>
          <w:szCs w:val="13"/>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52" w:lineRule="exact"/>
        <w:rPr>
          <w:sz w:val="20"/>
          <w:szCs w:val="20"/>
          <w:color w:val="auto"/>
        </w:rPr>
      </w:pPr>
    </w:p>
    <w:p>
      <w:pPr>
        <w:ind w:left="1860" w:right="1979" w:hanging="124"/>
        <w:spacing w:after="0" w:line="293" w:lineRule="auto"/>
        <w:tabs>
          <w:tab w:leader="none" w:pos="1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amount of debt securities whose holders must consent to an amendment, supplement or waiver;</w:t>
      </w:r>
    </w:p>
    <w:p>
      <w:pPr>
        <w:spacing w:after="0" w:line="3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of or change the fixed maturity of any debt security;</w:t>
      </w:r>
    </w:p>
    <w:p>
      <w:pPr>
        <w:spacing w:after="0" w:line="80" w:lineRule="exact"/>
        <w:rPr>
          <w:rFonts w:ascii="Times New Roman" w:cs="Times New Roman" w:eastAsia="Times New Roman" w:hAnsi="Times New Roman"/>
          <w:sz w:val="13"/>
          <w:szCs w:val="13"/>
          <w:color w:val="auto"/>
        </w:rPr>
      </w:pPr>
    </w:p>
    <w:p>
      <w:pPr>
        <w:jc w:val="both"/>
        <w:ind w:left="1860" w:right="1559" w:hanging="124"/>
        <w:spacing w:after="0" w:line="274" w:lineRule="auto"/>
        <w:tabs>
          <w:tab w:leader="none" w:pos="1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46"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rate of or change the time for payment of interest on any debt security;</w:t>
      </w:r>
    </w:p>
    <w:p>
      <w:pPr>
        <w:spacing w:after="0" w:line="90" w:lineRule="exact"/>
        <w:rPr>
          <w:rFonts w:ascii="Times New Roman" w:cs="Times New Roman" w:eastAsia="Times New Roman" w:hAnsi="Times New Roman"/>
          <w:sz w:val="13"/>
          <w:szCs w:val="13"/>
          <w:color w:val="auto"/>
        </w:rPr>
      </w:pPr>
    </w:p>
    <w:p>
      <w:pPr>
        <w:ind w:left="1860" w:right="1579" w:hanging="124"/>
        <w:spacing w:after="0" w:line="268" w:lineRule="auto"/>
        <w:tabs>
          <w:tab w:leader="none" w:pos="1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40" w:lineRule="exact"/>
        <w:rPr>
          <w:rFonts w:ascii="Times New Roman" w:cs="Times New Roman" w:eastAsia="Times New Roman" w:hAnsi="Times New Roman"/>
          <w:sz w:val="13"/>
          <w:szCs w:val="13"/>
          <w:color w:val="auto"/>
        </w:rPr>
      </w:pPr>
    </w:p>
    <w:p>
      <w:pPr>
        <w:ind w:left="1860" w:right="1619" w:hanging="124"/>
        <w:spacing w:after="0" w:line="293" w:lineRule="auto"/>
        <w:tabs>
          <w:tab w:leader="none" w:pos="1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under the indenture, release any security that may have been granted with respect to the debt securities;</w:t>
      </w:r>
    </w:p>
    <w:p>
      <w:pPr>
        <w:spacing w:after="0" w:line="3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debt security payable in currency other than that stated in the debt securities;</w:t>
      </w:r>
    </w:p>
    <w:p>
      <w:pPr>
        <w:spacing w:after="0" w:line="80" w:lineRule="exact"/>
        <w:rPr>
          <w:rFonts w:ascii="Times New Roman" w:cs="Times New Roman" w:eastAsia="Times New Roman" w:hAnsi="Times New Roman"/>
          <w:sz w:val="13"/>
          <w:szCs w:val="13"/>
          <w:color w:val="auto"/>
        </w:rPr>
      </w:pPr>
    </w:p>
    <w:p>
      <w:pPr>
        <w:ind w:left="1860" w:right="1619" w:hanging="124"/>
        <w:spacing w:after="0" w:line="293" w:lineRule="auto"/>
        <w:tabs>
          <w:tab w:leader="none" w:pos="1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any subordinated debt security, make any change in the subordination provisions that adversely affects the rights of any holder under those provisions;</w:t>
      </w:r>
    </w:p>
    <w:p>
      <w:pPr>
        <w:spacing w:after="0" w:line="34" w:lineRule="exact"/>
        <w:rPr>
          <w:rFonts w:ascii="Times New Roman" w:cs="Times New Roman" w:eastAsia="Times New Roman" w:hAnsi="Times New Roman"/>
          <w:sz w:val="13"/>
          <w:szCs w:val="13"/>
          <w:color w:val="auto"/>
        </w:rPr>
      </w:pPr>
    </w:p>
    <w:p>
      <w:pPr>
        <w:ind w:left="1860" w:right="1519" w:hanging="124"/>
        <w:spacing w:after="0" w:line="274" w:lineRule="auto"/>
        <w:tabs>
          <w:tab w:leader="none" w:pos="1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46" w:lineRule="exact"/>
        <w:rPr>
          <w:rFonts w:ascii="Times New Roman" w:cs="Times New Roman" w:eastAsia="Times New Roman" w:hAnsi="Times New Roman"/>
          <w:sz w:val="13"/>
          <w:szCs w:val="13"/>
          <w:color w:val="auto"/>
        </w:rPr>
      </w:pPr>
    </w:p>
    <w:p>
      <w:pPr>
        <w:ind w:left="1860" w:right="1739" w:hanging="124"/>
        <w:spacing w:after="0" w:line="293" w:lineRule="auto"/>
        <w:tabs>
          <w:tab w:leader="none" w:pos="1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 redemption payment with respect to any debt security (except as may be permitted in the case of a particular series of debt securities);</w:t>
      </w:r>
    </w:p>
    <w:p>
      <w:pPr>
        <w:spacing w:after="0" w:line="34" w:lineRule="exact"/>
        <w:rPr>
          <w:rFonts w:ascii="Times New Roman" w:cs="Times New Roman" w:eastAsia="Times New Roman" w:hAnsi="Times New Roman"/>
          <w:sz w:val="13"/>
          <w:szCs w:val="13"/>
          <w:color w:val="auto"/>
        </w:rPr>
      </w:pPr>
    </w:p>
    <w:p>
      <w:pPr>
        <w:ind w:left="1860" w:right="1659" w:hanging="124"/>
        <w:spacing w:after="0" w:line="274" w:lineRule="auto"/>
        <w:tabs>
          <w:tab w:leader="none" w:pos="1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36" w:lineRule="exact"/>
        <w:rPr>
          <w:rFonts w:ascii="Times New Roman" w:cs="Times New Roman" w:eastAsia="Times New Roman" w:hAnsi="Times New Roman"/>
          <w:sz w:val="13"/>
          <w:szCs w:val="13"/>
          <w:color w:val="auto"/>
        </w:rPr>
      </w:pPr>
    </w:p>
    <w:p>
      <w:pPr>
        <w:ind w:left="1860" w:right="1519" w:hanging="124"/>
        <w:spacing w:after="0" w:line="293" w:lineRule="auto"/>
        <w:tabs>
          <w:tab w:leader="none" w:pos="18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the preceding amendment, supplement and waiver provisions (except to increase any percentage set forth therein).</w:t>
      </w:r>
    </w:p>
    <w:p>
      <w:pPr>
        <w:spacing w:after="0" w:line="64" w:lineRule="exact"/>
        <w:rPr>
          <w:sz w:val="20"/>
          <w:szCs w:val="20"/>
          <w:color w:val="auto"/>
        </w:rPr>
      </w:pPr>
    </w:p>
    <w:p>
      <w:pPr>
        <w:ind w:left="1480" w:right="1559" w:firstLine="266"/>
        <w:spacing w:after="0" w:line="277" w:lineRule="auto"/>
        <w:rPr>
          <w:sz w:val="20"/>
          <w:szCs w:val="20"/>
          <w:color w:val="auto"/>
        </w:rPr>
      </w:pPr>
      <w:r>
        <w:rPr>
          <w:rFonts w:ascii="Times New Roman" w:cs="Times New Roman" w:eastAsia="Times New Roman" w:hAnsi="Times New Roman"/>
          <w:sz w:val="13"/>
          <w:szCs w:val="13"/>
          <w:color w:val="auto"/>
        </w:rPr>
        <w:t>We may supplement or amend an indenture without the consent of any holders of the debt securities in certain circumstances, including:</w:t>
      </w:r>
    </w:p>
    <w:p>
      <w:pPr>
        <w:spacing w:after="0" w:line="34" w:lineRule="exact"/>
        <w:rPr>
          <w:sz w:val="20"/>
          <w:szCs w:val="20"/>
          <w:color w:val="auto"/>
        </w:rPr>
      </w:pPr>
    </w:p>
    <w:p>
      <w:pPr>
        <w:ind w:left="1860" w:hanging="124"/>
        <w:spacing w:after="0"/>
        <w:tabs>
          <w:tab w:leader="none" w:pos="18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establish the form of terms of any series of debt securities;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cure any ambiguity, defect or inconsistency;</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uncertificated notes in addition to or in place of certificated notes;</w:t>
      </w:r>
    </w:p>
    <w:p>
      <w:pPr>
        <w:spacing w:after="0" w:line="80" w:lineRule="exact"/>
        <w:rPr>
          <w:rFonts w:ascii="Times New Roman" w:cs="Times New Roman" w:eastAsia="Times New Roman" w:hAnsi="Times New Roman"/>
          <w:sz w:val="13"/>
          <w:szCs w:val="13"/>
          <w:color w:val="auto"/>
        </w:rPr>
      </w:pPr>
    </w:p>
    <w:p>
      <w:pPr>
        <w:ind w:left="1860" w:right="1619" w:hanging="124"/>
        <w:spacing w:after="0" w:line="293" w:lineRule="auto"/>
        <w:tabs>
          <w:tab w:leader="none" w:pos="18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the assumption of an issuer’s obligations to holders of debt securities in the case of a merger or consolidation or disposition of all or substantially all of such issuer’s assets;</w:t>
      </w:r>
    </w:p>
    <w:p>
      <w:pPr>
        <w:spacing w:after="0" w:line="34" w:lineRule="exact"/>
        <w:rPr>
          <w:rFonts w:ascii="Times New Roman" w:cs="Times New Roman" w:eastAsia="Times New Roman" w:hAnsi="Times New Roman"/>
          <w:sz w:val="13"/>
          <w:szCs w:val="13"/>
          <w:color w:val="auto"/>
        </w:rPr>
      </w:pPr>
    </w:p>
    <w:p>
      <w:pPr>
        <w:jc w:val="both"/>
        <w:ind w:left="1860" w:right="1699" w:hanging="124"/>
        <w:spacing w:after="0" w:line="274" w:lineRule="auto"/>
        <w:tabs>
          <w:tab w:leader="none" w:pos="18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any subordinated debt security, to make any change in the subordination provisions that limits or terminates the benefits applicable to any holder of Senior Indebtedness of Plains All American Pipeline;</w:t>
      </w:r>
    </w:p>
    <w:p>
      <w:pPr>
        <w:spacing w:after="0" w:line="46"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or release any guarantors pursuant to the terms of the indenture;</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4" w:name="page15"/>
    <w:bookmarkEnd w:id="14"/>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60" w:right="1819" w:hanging="124"/>
        <w:spacing w:after="0" w:line="274" w:lineRule="auto"/>
        <w:tabs>
          <w:tab w:leader="none" w:pos="18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46" w:lineRule="exact"/>
        <w:rPr>
          <w:rFonts w:ascii="Times New Roman" w:cs="Times New Roman" w:eastAsia="Times New Roman" w:hAnsi="Times New Roman"/>
          <w:sz w:val="13"/>
          <w:szCs w:val="13"/>
          <w:color w:val="auto"/>
        </w:rPr>
      </w:pPr>
    </w:p>
    <w:p>
      <w:pPr>
        <w:ind w:left="1860" w:right="1939" w:hanging="124"/>
        <w:spacing w:after="0" w:line="293" w:lineRule="auto"/>
        <w:tabs>
          <w:tab w:leader="none" w:pos="18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comply with requirements of the SEC in order to effect or maintain the qualification of the Indenture under the Trust Indenture Act;</w:t>
      </w:r>
    </w:p>
    <w:p>
      <w:pPr>
        <w:spacing w:after="0" w:line="3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or provide for the acceptance of appointment under the indenture of a successor Trustee;</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any additional Events of Default; or</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secure the debt securities and/or any guarantees.</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Events of Default and Remedies</w:t>
      </w:r>
    </w:p>
    <w:p>
      <w:pPr>
        <w:spacing w:after="0" w:line="112" w:lineRule="exact"/>
        <w:rPr>
          <w:sz w:val="20"/>
          <w:szCs w:val="20"/>
          <w:color w:val="auto"/>
        </w:rPr>
      </w:pPr>
    </w:p>
    <w:p>
      <w:pPr>
        <w:ind w:left="1480" w:right="1559" w:firstLine="266"/>
        <w:spacing w:after="0" w:line="293" w:lineRule="auto"/>
        <w:rPr>
          <w:sz w:val="20"/>
          <w:szCs w:val="20"/>
          <w:color w:val="auto"/>
        </w:rPr>
      </w:pPr>
      <w:r>
        <w:rPr>
          <w:rFonts w:ascii="Times New Roman" w:cs="Times New Roman" w:eastAsia="Times New Roman" w:hAnsi="Times New Roman"/>
          <w:sz w:val="13"/>
          <w:szCs w:val="13"/>
          <w:color w:val="auto"/>
        </w:rPr>
        <w:t>“Event of Default,” when used in an indenture, will mean any of the following with respect to the debt securities of any series:</w:t>
      </w:r>
    </w:p>
    <w:p>
      <w:pPr>
        <w:spacing w:after="0" w:line="24" w:lineRule="exact"/>
        <w:rPr>
          <w:sz w:val="20"/>
          <w:szCs w:val="20"/>
          <w:color w:val="auto"/>
        </w:rPr>
      </w:pPr>
    </w:p>
    <w:p>
      <w:pPr>
        <w:ind w:left="1860" w:hanging="124"/>
        <w:spacing w:after="0"/>
        <w:tabs>
          <w:tab w:leader="none" w:pos="18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pay when due the principal of or any premium on any debt security of that series;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pay, within 60 days of the due date, interest on any debt security of that series;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pay when due any sinking fund payment with respect to any debt securities of that series;</w:t>
      </w:r>
    </w:p>
    <w:p>
      <w:pPr>
        <w:spacing w:after="0" w:line="90" w:lineRule="exact"/>
        <w:rPr>
          <w:rFonts w:ascii="Times New Roman" w:cs="Times New Roman" w:eastAsia="Times New Roman" w:hAnsi="Times New Roman"/>
          <w:sz w:val="13"/>
          <w:szCs w:val="13"/>
          <w:color w:val="auto"/>
        </w:rPr>
      </w:pPr>
    </w:p>
    <w:p>
      <w:pPr>
        <w:ind w:left="1860" w:right="1739" w:hanging="124"/>
        <w:spacing w:after="0" w:line="293" w:lineRule="auto"/>
        <w:tabs>
          <w:tab w:leader="none" w:pos="18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on the part of the issuers to comply with the covenant described under “— Consolidation, Merger or Asset Sale;”</w:t>
      </w:r>
    </w:p>
    <w:p>
      <w:pPr>
        <w:spacing w:after="0" w:line="34" w:lineRule="exact"/>
        <w:rPr>
          <w:rFonts w:ascii="Times New Roman" w:cs="Times New Roman" w:eastAsia="Times New Roman" w:hAnsi="Times New Roman"/>
          <w:sz w:val="13"/>
          <w:szCs w:val="13"/>
          <w:color w:val="auto"/>
        </w:rPr>
      </w:pPr>
    </w:p>
    <w:p>
      <w:pPr>
        <w:ind w:left="1860" w:right="1579" w:hanging="124"/>
        <w:spacing w:after="0" w:line="293" w:lineRule="auto"/>
        <w:tabs>
          <w:tab w:leader="none" w:pos="18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perform any other covenant in the indenture that continues for 30 days after written notice is given to the issuers;</w:t>
      </w:r>
    </w:p>
    <w:p>
      <w:pPr>
        <w:spacing w:after="0" w:line="3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events of bankruptcy, insolvency or reorganization of an issuer; or</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Event of Default provided under the terms of the debt securities of that series.</w:t>
      </w:r>
    </w:p>
    <w:p>
      <w:pPr>
        <w:spacing w:after="0" w:line="120" w:lineRule="exact"/>
        <w:rPr>
          <w:sz w:val="20"/>
          <w:szCs w:val="20"/>
          <w:color w:val="auto"/>
        </w:rPr>
      </w:pPr>
    </w:p>
    <w:p>
      <w:pPr>
        <w:jc w:val="both"/>
        <w:ind w:left="1480" w:right="1499" w:firstLine="266"/>
        <w:spacing w:after="0" w:line="268" w:lineRule="auto"/>
        <w:rPr>
          <w:sz w:val="20"/>
          <w:szCs w:val="20"/>
          <w:color w:val="auto"/>
        </w:rPr>
      </w:pPr>
      <w:r>
        <w:rPr>
          <w:rFonts w:ascii="Times New Roman" w:cs="Times New Roman" w:eastAsia="Times New Roman" w:hAnsi="Times New Roman"/>
          <w:sz w:val="13"/>
          <w:szCs w:val="13"/>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71" w:lineRule="exact"/>
        <w:rPr>
          <w:sz w:val="20"/>
          <w:szCs w:val="20"/>
          <w:color w:val="auto"/>
        </w:rPr>
      </w:pPr>
    </w:p>
    <w:p>
      <w:pPr>
        <w:ind w:left="1480" w:right="1519" w:firstLine="266"/>
        <w:spacing w:after="0" w:line="265" w:lineRule="auto"/>
        <w:rPr>
          <w:sz w:val="20"/>
          <w:szCs w:val="20"/>
          <w:color w:val="auto"/>
        </w:rPr>
      </w:pPr>
      <w:r>
        <w:rPr>
          <w:rFonts w:ascii="Times New Roman" w:cs="Times New Roman" w:eastAsia="Times New Roman" w:hAnsi="Times New Roman"/>
          <w:sz w:val="13"/>
          <w:szCs w:val="13"/>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83" w:lineRule="exact"/>
        <w:rPr>
          <w:sz w:val="20"/>
          <w:szCs w:val="20"/>
          <w:color w:val="auto"/>
        </w:rPr>
      </w:pPr>
    </w:p>
    <w:p>
      <w:pPr>
        <w:ind w:left="1480" w:right="1639" w:firstLine="266"/>
        <w:spacing w:after="0" w:line="263" w:lineRule="auto"/>
        <w:rPr>
          <w:sz w:val="20"/>
          <w:szCs w:val="20"/>
          <w:color w:val="auto"/>
        </w:rPr>
      </w:pPr>
      <w:r>
        <w:rPr>
          <w:rFonts w:ascii="Times New Roman" w:cs="Times New Roman" w:eastAsia="Times New Roman" w:hAnsi="Times New Roman"/>
          <w:sz w:val="13"/>
          <w:szCs w:val="13"/>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No Limit on Amount of Debt Securities</w:t>
      </w:r>
    </w:p>
    <w:p>
      <w:pPr>
        <w:spacing w:after="0" w:line="122" w:lineRule="exact"/>
        <w:rPr>
          <w:sz w:val="20"/>
          <w:szCs w:val="20"/>
          <w:color w:val="auto"/>
        </w:rPr>
      </w:pPr>
    </w:p>
    <w:p>
      <w:pPr>
        <w:ind w:left="1480" w:right="1579" w:firstLine="266"/>
        <w:spacing w:after="0" w:line="274" w:lineRule="auto"/>
        <w:rPr>
          <w:sz w:val="20"/>
          <w:szCs w:val="20"/>
          <w:color w:val="auto"/>
        </w:rPr>
      </w:pPr>
      <w:r>
        <w:rPr>
          <w:rFonts w:ascii="Times New Roman" w:cs="Times New Roman" w:eastAsia="Times New Roman" w:hAnsi="Times New Roman"/>
          <w:sz w:val="13"/>
          <w:szCs w:val="13"/>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Registration of Notes</w:t>
      </w:r>
    </w:p>
    <w:p>
      <w:pPr>
        <w:spacing w:after="0" w:line="112" w:lineRule="exact"/>
        <w:rPr>
          <w:sz w:val="20"/>
          <w:szCs w:val="20"/>
          <w:color w:val="auto"/>
        </w:rPr>
      </w:pPr>
    </w:p>
    <w:p>
      <w:pPr>
        <w:ind w:left="1480" w:right="1779" w:firstLine="266"/>
        <w:spacing w:after="0" w:line="293" w:lineRule="auto"/>
        <w:rPr>
          <w:sz w:val="20"/>
          <w:szCs w:val="20"/>
          <w:color w:val="auto"/>
        </w:rPr>
      </w:pPr>
      <w:r>
        <w:rPr>
          <w:rFonts w:ascii="Times New Roman" w:cs="Times New Roman" w:eastAsia="Times New Roman" w:hAnsi="Times New Roman"/>
          <w:sz w:val="13"/>
          <w:szCs w:val="13"/>
          <w:color w:val="auto"/>
        </w:rPr>
        <w:t>We will issue debt securities of a series only in registered form, without coupons, unless otherwise indicated in the prospectus supplement.</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5" w:name="page16"/>
    <w:bookmarkEnd w:id="15"/>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Minimum Denominations</w:t>
      </w:r>
    </w:p>
    <w:p>
      <w:pPr>
        <w:spacing w:after="0" w:line="122" w:lineRule="exact"/>
        <w:rPr>
          <w:sz w:val="20"/>
          <w:szCs w:val="20"/>
          <w:color w:val="auto"/>
        </w:rPr>
      </w:pPr>
    </w:p>
    <w:p>
      <w:pPr>
        <w:ind w:left="1480" w:right="1619" w:firstLine="266"/>
        <w:spacing w:after="0" w:line="277" w:lineRule="auto"/>
        <w:rPr>
          <w:sz w:val="20"/>
          <w:szCs w:val="20"/>
          <w:color w:val="auto"/>
        </w:rPr>
      </w:pPr>
      <w:r>
        <w:rPr>
          <w:rFonts w:ascii="Times New Roman" w:cs="Times New Roman" w:eastAsia="Times New Roman" w:hAnsi="Times New Roman"/>
          <w:sz w:val="13"/>
          <w:szCs w:val="13"/>
          <w:color w:val="auto"/>
        </w:rPr>
        <w:t>Unless the prospectus supplement states otherwise, the debt securities will be issued only in principal amounts of $1,000 each or integral multiples of $1,000.</w:t>
      </w:r>
    </w:p>
    <w:p>
      <w:pPr>
        <w:spacing w:after="0" w:line="10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No Personal Liability</w:t>
      </w:r>
    </w:p>
    <w:p>
      <w:pPr>
        <w:spacing w:after="0" w:line="122" w:lineRule="exact"/>
        <w:rPr>
          <w:sz w:val="20"/>
          <w:szCs w:val="20"/>
          <w:color w:val="auto"/>
        </w:rPr>
      </w:pPr>
    </w:p>
    <w:p>
      <w:pPr>
        <w:ind w:left="1480" w:right="1519" w:firstLine="266"/>
        <w:spacing w:after="0" w:line="251" w:lineRule="auto"/>
        <w:rPr>
          <w:sz w:val="20"/>
          <w:szCs w:val="20"/>
          <w:color w:val="auto"/>
        </w:rPr>
      </w:pPr>
      <w:r>
        <w:rPr>
          <w:rFonts w:ascii="Times New Roman" w:cs="Times New Roman" w:eastAsia="Times New Roman" w:hAnsi="Times New Roman"/>
          <w:sz w:val="13"/>
          <w:szCs w:val="13"/>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Payment and Transfer</w:t>
      </w:r>
    </w:p>
    <w:p>
      <w:pPr>
        <w:spacing w:after="0" w:line="122" w:lineRule="exact"/>
        <w:rPr>
          <w:sz w:val="20"/>
          <w:szCs w:val="20"/>
          <w:color w:val="auto"/>
        </w:rPr>
      </w:pPr>
    </w:p>
    <w:p>
      <w:pPr>
        <w:ind w:left="1480" w:right="1559" w:firstLine="266"/>
        <w:spacing w:after="0" w:line="258" w:lineRule="auto"/>
        <w:rPr>
          <w:sz w:val="20"/>
          <w:szCs w:val="20"/>
          <w:color w:val="auto"/>
        </w:rPr>
      </w:pPr>
      <w:r>
        <w:rPr>
          <w:rFonts w:ascii="Times New Roman" w:cs="Times New Roman" w:eastAsia="Times New Roman" w:hAnsi="Times New Roman"/>
          <w:sz w:val="13"/>
          <w:szCs w:val="13"/>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77" w:lineRule="exact"/>
        <w:rPr>
          <w:sz w:val="20"/>
          <w:szCs w:val="20"/>
          <w:color w:val="auto"/>
        </w:rPr>
      </w:pPr>
    </w:p>
    <w:p>
      <w:pPr>
        <w:ind w:left="1480" w:right="1519" w:firstLine="266"/>
        <w:spacing w:after="0" w:line="258" w:lineRule="auto"/>
        <w:rPr>
          <w:sz w:val="20"/>
          <w:szCs w:val="20"/>
          <w:color w:val="auto"/>
        </w:rPr>
      </w:pPr>
      <w:r>
        <w:rPr>
          <w:rFonts w:ascii="Times New Roman" w:cs="Times New Roman" w:eastAsia="Times New Roman" w:hAnsi="Times New Roman"/>
          <w:sz w:val="13"/>
          <w:szCs w:val="13"/>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66" w:lineRule="exact"/>
        <w:rPr>
          <w:sz w:val="20"/>
          <w:szCs w:val="20"/>
          <w:color w:val="auto"/>
        </w:rPr>
      </w:pPr>
    </w:p>
    <w:p>
      <w:pPr>
        <w:ind w:left="1480" w:right="1639" w:firstLine="266"/>
        <w:spacing w:after="0" w:line="260" w:lineRule="auto"/>
        <w:rPr>
          <w:sz w:val="20"/>
          <w:szCs w:val="20"/>
          <w:color w:val="auto"/>
        </w:rPr>
      </w:pPr>
      <w:r>
        <w:rPr>
          <w:rFonts w:ascii="Times New Roman" w:cs="Times New Roman" w:eastAsia="Times New Roman" w:hAnsi="Times New Roman"/>
          <w:sz w:val="13"/>
          <w:szCs w:val="13"/>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7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Exchange, Registration and Transfer</w:t>
      </w:r>
    </w:p>
    <w:p>
      <w:pPr>
        <w:spacing w:after="0" w:line="122" w:lineRule="exact"/>
        <w:rPr>
          <w:sz w:val="20"/>
          <w:szCs w:val="20"/>
          <w:color w:val="auto"/>
        </w:rPr>
      </w:pPr>
    </w:p>
    <w:p>
      <w:pPr>
        <w:ind w:left="1480" w:right="1539" w:firstLine="266"/>
        <w:spacing w:after="0" w:line="249" w:lineRule="auto"/>
        <w:rPr>
          <w:sz w:val="20"/>
          <w:szCs w:val="20"/>
          <w:color w:val="auto"/>
        </w:rPr>
      </w:pPr>
      <w:r>
        <w:rPr>
          <w:rFonts w:ascii="Times New Roman" w:cs="Times New Roman" w:eastAsia="Times New Roman" w:hAnsi="Times New Roman"/>
          <w:sz w:val="13"/>
          <w:szCs w:val="13"/>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We will not be required to:</w:t>
      </w:r>
    </w:p>
    <w:p>
      <w:pPr>
        <w:spacing w:after="0" w:line="60" w:lineRule="exact"/>
        <w:rPr>
          <w:sz w:val="20"/>
          <w:szCs w:val="20"/>
          <w:color w:val="auto"/>
        </w:rPr>
      </w:pPr>
    </w:p>
    <w:p>
      <w:pPr>
        <w:ind w:left="1860" w:right="1539" w:hanging="124"/>
        <w:spacing w:after="0" w:line="268" w:lineRule="auto"/>
        <w:tabs>
          <w:tab w:leader="none" w:pos="18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30" w:lineRule="exact"/>
        <w:rPr>
          <w:rFonts w:ascii="Times New Roman" w:cs="Times New Roman" w:eastAsia="Times New Roman" w:hAnsi="Times New Roman"/>
          <w:sz w:val="13"/>
          <w:szCs w:val="13"/>
          <w:color w:val="auto"/>
        </w:rPr>
      </w:pPr>
    </w:p>
    <w:p>
      <w:pPr>
        <w:ind w:left="1860" w:right="1539" w:hanging="124"/>
        <w:spacing w:after="0" w:line="293" w:lineRule="auto"/>
        <w:tabs>
          <w:tab w:leader="none" w:pos="18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register the transfer of or exchange any debt security called for redemption or repurchase, except the unredeemed portion of any debt security we are redeeming or repurchasing in part.</w:t>
      </w:r>
    </w:p>
    <w:p>
      <w:pPr>
        <w:spacing w:after="0" w:line="7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Provisions Relating only to the Senior Debt Securities</w:t>
      </w:r>
    </w:p>
    <w:p>
      <w:pPr>
        <w:spacing w:after="0" w:line="122" w:lineRule="exact"/>
        <w:rPr>
          <w:sz w:val="20"/>
          <w:szCs w:val="20"/>
          <w:color w:val="auto"/>
        </w:rPr>
      </w:pPr>
    </w:p>
    <w:p>
      <w:pPr>
        <w:ind w:left="1480" w:right="1779" w:firstLine="266"/>
        <w:spacing w:after="0" w:line="258" w:lineRule="auto"/>
        <w:rPr>
          <w:sz w:val="20"/>
          <w:szCs w:val="20"/>
          <w:color w:val="auto"/>
        </w:rPr>
      </w:pPr>
      <w:r>
        <w:rPr>
          <w:rFonts w:ascii="Times New Roman" w:cs="Times New Roman" w:eastAsia="Times New Roman" w:hAnsi="Times New Roman"/>
          <w:sz w:val="13"/>
          <w:szCs w:val="13"/>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Provisions Relating only to the Subordinated Debt Securities</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Subordinated Debt Securities Subordinated to Senior Indebtedness</w:t>
      </w:r>
    </w:p>
    <w:p>
      <w:pPr>
        <w:spacing w:after="0" w:line="124" w:lineRule="exact"/>
        <w:rPr>
          <w:sz w:val="20"/>
          <w:szCs w:val="20"/>
          <w:color w:val="auto"/>
        </w:rPr>
      </w:pPr>
    </w:p>
    <w:p>
      <w:pPr>
        <w:ind w:left="1480" w:right="1619" w:firstLine="266"/>
        <w:spacing w:after="0" w:line="277" w:lineRule="auto"/>
        <w:rPr>
          <w:sz w:val="20"/>
          <w:szCs w:val="20"/>
          <w:color w:val="auto"/>
        </w:rPr>
      </w:pPr>
      <w:r>
        <w:rPr>
          <w:rFonts w:ascii="Times New Roman" w:cs="Times New Roman" w:eastAsia="Times New Roman" w:hAnsi="Times New Roman"/>
          <w:sz w:val="13"/>
          <w:szCs w:val="13"/>
          <w:color w:val="auto"/>
        </w:rPr>
        <w:t>The subordinated debt securities will rank junior in right of payment to all of the Senior Indebtedness of Plains All American Pipeline. “Senior Indebtedness” will be defined in a supplemental indenture or</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6" w:name="page17"/>
    <w:bookmarkEnd w:id="16"/>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499"/>
        <w:spacing w:after="0" w:line="293" w:lineRule="auto"/>
        <w:rPr>
          <w:sz w:val="20"/>
          <w:szCs w:val="20"/>
          <w:color w:val="auto"/>
        </w:rPr>
      </w:pPr>
      <w:r>
        <w:rPr>
          <w:rFonts w:ascii="Times New Roman" w:cs="Times New Roman" w:eastAsia="Times New Roman" w:hAnsi="Times New Roman"/>
          <w:sz w:val="13"/>
          <w:szCs w:val="13"/>
          <w:color w:val="auto"/>
        </w:rPr>
        <w:t>authorizing resolutions respecting any issuance of a series of subordinated debt securities, and the definition will be set forth in the prospectus supplement.</w:t>
      </w:r>
    </w:p>
    <w:p>
      <w:pPr>
        <w:spacing w:after="0" w:line="11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Payment Blockages</w:t>
      </w:r>
    </w:p>
    <w:p>
      <w:pPr>
        <w:spacing w:after="0" w:line="124" w:lineRule="exact"/>
        <w:rPr>
          <w:sz w:val="20"/>
          <w:szCs w:val="20"/>
          <w:color w:val="auto"/>
        </w:rPr>
      </w:pPr>
    </w:p>
    <w:p>
      <w:pPr>
        <w:ind w:left="1480" w:right="1559" w:firstLine="266"/>
        <w:spacing w:after="0" w:line="293" w:lineRule="auto"/>
        <w:rPr>
          <w:sz w:val="20"/>
          <w:szCs w:val="20"/>
          <w:color w:val="auto"/>
        </w:rPr>
      </w:pPr>
      <w:r>
        <w:rPr>
          <w:rFonts w:ascii="Times New Roman" w:cs="Times New Roman" w:eastAsia="Times New Roman" w:hAnsi="Times New Roman"/>
          <w:sz w:val="13"/>
          <w:szCs w:val="13"/>
          <w:color w:val="auto"/>
        </w:rPr>
        <w:t>The subordinated indenture will provide that no payment of principal, interest and any premium on the subordinated debt securities may be made in the event:</w:t>
      </w:r>
    </w:p>
    <w:p>
      <w:pPr>
        <w:spacing w:after="0" w:line="34" w:lineRule="exact"/>
        <w:rPr>
          <w:sz w:val="20"/>
          <w:szCs w:val="20"/>
          <w:color w:val="auto"/>
        </w:rPr>
      </w:pPr>
    </w:p>
    <w:p>
      <w:pPr>
        <w:ind w:left="1860" w:hanging="124"/>
        <w:spacing w:after="0"/>
        <w:tabs>
          <w:tab w:leader="none" w:pos="18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or our property is involved in any voluntary or involuntary liquidation or bankruptcy;</w:t>
      </w:r>
    </w:p>
    <w:p>
      <w:pPr>
        <w:spacing w:after="0" w:line="90" w:lineRule="exact"/>
        <w:rPr>
          <w:rFonts w:ascii="Times New Roman" w:cs="Times New Roman" w:eastAsia="Times New Roman" w:hAnsi="Times New Roman"/>
          <w:sz w:val="13"/>
          <w:szCs w:val="13"/>
          <w:color w:val="auto"/>
        </w:rPr>
      </w:pPr>
    </w:p>
    <w:p>
      <w:pPr>
        <w:ind w:left="1860" w:right="1579" w:hanging="124"/>
        <w:spacing w:after="0" w:line="268" w:lineRule="auto"/>
        <w:tabs>
          <w:tab w:leader="none" w:pos="18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60" w:lineRule="exact"/>
        <w:rPr>
          <w:rFonts w:ascii="Times New Roman" w:cs="Times New Roman" w:eastAsia="Times New Roman" w:hAnsi="Times New Roman"/>
          <w:sz w:val="13"/>
          <w:szCs w:val="13"/>
          <w:color w:val="auto"/>
        </w:rPr>
      </w:pPr>
    </w:p>
    <w:p>
      <w:pPr>
        <w:ind w:left="1860" w:right="1639" w:hanging="124"/>
        <w:spacing w:after="0" w:line="274" w:lineRule="auto"/>
        <w:tabs>
          <w:tab w:leader="none" w:pos="18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No Limitation on Amount of Senior Debt</w:t>
      </w:r>
    </w:p>
    <w:p>
      <w:pPr>
        <w:spacing w:after="0" w:line="114"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The subordinated indenture will not limit the amount of Senior Indebtedness that Plains All American Pipeline may incur, unless otherwise indicated in the prospectus supplement.</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Book Entry, Delivery and Form</w:t>
      </w:r>
    </w:p>
    <w:p>
      <w:pPr>
        <w:spacing w:after="0" w:line="122" w:lineRule="exact"/>
        <w:rPr>
          <w:sz w:val="20"/>
          <w:szCs w:val="20"/>
          <w:color w:val="auto"/>
        </w:rPr>
      </w:pPr>
    </w:p>
    <w:p>
      <w:pPr>
        <w:ind w:left="1480" w:right="1479" w:firstLine="266"/>
        <w:spacing w:after="0" w:line="261" w:lineRule="auto"/>
        <w:rPr>
          <w:sz w:val="20"/>
          <w:szCs w:val="20"/>
          <w:color w:val="auto"/>
        </w:rPr>
      </w:pPr>
      <w:r>
        <w:rPr>
          <w:rFonts w:ascii="Times New Roman" w:cs="Times New Roman" w:eastAsia="Times New Roman" w:hAnsi="Times New Roman"/>
          <w:sz w:val="13"/>
          <w:szCs w:val="13"/>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87" w:lineRule="exact"/>
        <w:rPr>
          <w:sz w:val="20"/>
          <w:szCs w:val="20"/>
          <w:color w:val="auto"/>
        </w:rPr>
      </w:pPr>
    </w:p>
    <w:p>
      <w:pPr>
        <w:ind w:left="1480" w:right="1679" w:firstLine="266"/>
        <w:spacing w:after="0" w:line="293" w:lineRule="auto"/>
        <w:rPr>
          <w:sz w:val="20"/>
          <w:szCs w:val="20"/>
          <w:color w:val="auto"/>
        </w:rPr>
      </w:pPr>
      <w:r>
        <w:rPr>
          <w:rFonts w:ascii="Times New Roman" w:cs="Times New Roman" w:eastAsia="Times New Roman" w:hAnsi="Times New Roman"/>
          <w:sz w:val="13"/>
          <w:szCs w:val="13"/>
          <w:color w:val="auto"/>
        </w:rPr>
        <w:t>Beneficial interests in global debt securities will be shown on, and transfers of global debt securities will be made only through, records maintained by DTC and its participants.</w:t>
      </w:r>
    </w:p>
    <w:p>
      <w:pPr>
        <w:spacing w:after="0" w:line="54" w:lineRule="exact"/>
        <w:rPr>
          <w:sz w:val="20"/>
          <w:szCs w:val="20"/>
          <w:color w:val="auto"/>
        </w:rPr>
      </w:pPr>
    </w:p>
    <w:p>
      <w:pPr>
        <w:ind w:left="1480" w:right="1479" w:firstLine="266"/>
        <w:spacing w:after="0" w:line="261" w:lineRule="auto"/>
        <w:rPr>
          <w:sz w:val="20"/>
          <w:szCs w:val="20"/>
          <w:color w:val="auto"/>
        </w:rPr>
      </w:pPr>
      <w:r>
        <w:rPr>
          <w:rFonts w:ascii="Times New Roman" w:cs="Times New Roman" w:eastAsia="Times New Roman" w:hAnsi="Times New Roman"/>
          <w:sz w:val="13"/>
          <w:szCs w:val="13"/>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84" w:lineRule="exact"/>
        <w:rPr>
          <w:sz w:val="20"/>
          <w:szCs w:val="20"/>
          <w:color w:val="auto"/>
        </w:rPr>
      </w:pPr>
    </w:p>
    <w:p>
      <w:pPr>
        <w:ind w:left="1480" w:right="1719" w:firstLine="266"/>
        <w:spacing w:after="0" w:line="274" w:lineRule="auto"/>
        <w:rPr>
          <w:sz w:val="20"/>
          <w:szCs w:val="20"/>
          <w:color w:val="auto"/>
        </w:rPr>
      </w:pPr>
      <w:r>
        <w:rPr>
          <w:rFonts w:ascii="Times New Roman" w:cs="Times New Roman" w:eastAsia="Times New Roman" w:hAnsi="Times New Roman"/>
          <w:sz w:val="13"/>
          <w:szCs w:val="13"/>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77" w:lineRule="exact"/>
        <w:rPr>
          <w:sz w:val="20"/>
          <w:szCs w:val="20"/>
          <w:color w:val="auto"/>
        </w:rPr>
      </w:pPr>
    </w:p>
    <w:p>
      <w:pPr>
        <w:ind w:left="1480" w:right="1619" w:firstLine="266"/>
        <w:spacing w:after="0" w:line="293" w:lineRule="auto"/>
        <w:rPr>
          <w:sz w:val="20"/>
          <w:szCs w:val="20"/>
          <w:color w:val="auto"/>
        </w:rPr>
      </w:pPr>
      <w:r>
        <w:rPr>
          <w:rFonts w:ascii="Times New Roman" w:cs="Times New Roman" w:eastAsia="Times New Roman" w:hAnsi="Times New Roman"/>
          <w:sz w:val="13"/>
          <w:szCs w:val="13"/>
          <w:color w:val="auto"/>
        </w:rPr>
        <w:t>DTC is owned by a number of its Direct Participants and by the New York Stock Exchange, Inc., The American Stock Exchange, Inc. and the Financial Industry Regulatory Authority (“FINRA”).</w:t>
      </w:r>
    </w:p>
    <w:p>
      <w:pPr>
        <w:spacing w:after="0" w:line="54"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7" w:name="page18"/>
    <w:bookmarkEnd w:id="17"/>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539" w:firstLine="266"/>
        <w:spacing w:after="0" w:line="251" w:lineRule="auto"/>
        <w:rPr>
          <w:sz w:val="20"/>
          <w:szCs w:val="20"/>
          <w:color w:val="auto"/>
        </w:rPr>
      </w:pPr>
      <w:r>
        <w:rPr>
          <w:rFonts w:ascii="Times New Roman" w:cs="Times New Roman" w:eastAsia="Times New Roman" w:hAnsi="Times New Roman"/>
          <w:sz w:val="13"/>
          <w:szCs w:val="13"/>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236" w:lineRule="exact"/>
        <w:rPr>
          <w:sz w:val="20"/>
          <w:szCs w:val="20"/>
          <w:color w:val="auto"/>
        </w:rPr>
      </w:pPr>
    </w:p>
    <w:p>
      <w:pPr>
        <w:ind w:left="1480" w:right="2019" w:firstLine="266"/>
        <w:spacing w:after="0" w:line="277" w:lineRule="auto"/>
        <w:rPr>
          <w:sz w:val="20"/>
          <w:szCs w:val="20"/>
          <w:color w:val="auto"/>
        </w:rPr>
      </w:pPr>
      <w:r>
        <w:rPr>
          <w:rFonts w:ascii="Times New Roman" w:cs="Times New Roman" w:eastAsia="Times New Roman" w:hAnsi="Times New Roman"/>
          <w:sz w:val="13"/>
          <w:szCs w:val="13"/>
          <w:color w:val="auto"/>
        </w:rPr>
        <w:t>Debt securities represented by a global debt security will be exchangeable for certificated debt securities with the same terms in authorized denominations only if:</w:t>
      </w:r>
    </w:p>
    <w:p>
      <w:pPr>
        <w:spacing w:after="0" w:line="24" w:lineRule="exact"/>
        <w:rPr>
          <w:sz w:val="20"/>
          <w:szCs w:val="20"/>
          <w:color w:val="auto"/>
        </w:rPr>
      </w:pPr>
    </w:p>
    <w:p>
      <w:pPr>
        <w:jc w:val="both"/>
        <w:ind w:left="1860" w:right="1799" w:hanging="124"/>
        <w:spacing w:after="0" w:line="274" w:lineRule="auto"/>
        <w:tabs>
          <w:tab w:leader="none" w:pos="18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16" w:lineRule="exact"/>
        <w:rPr>
          <w:rFonts w:ascii="Times New Roman" w:cs="Times New Roman" w:eastAsia="Times New Roman" w:hAnsi="Times New Roman"/>
          <w:sz w:val="13"/>
          <w:szCs w:val="13"/>
          <w:color w:val="auto"/>
        </w:rPr>
      </w:pPr>
    </w:p>
    <w:p>
      <w:pPr>
        <w:ind w:left="1860" w:right="1699" w:hanging="124"/>
        <w:spacing w:after="0" w:line="293" w:lineRule="auto"/>
        <w:tabs>
          <w:tab w:leader="none" w:pos="18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determine not to require all of the debt securities of a series to be represented by a global debt security.</w:t>
      </w:r>
    </w:p>
    <w:p>
      <w:pPr>
        <w:spacing w:after="0" w:line="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Satisfaction and Discharge; Defeasance</w:t>
      </w:r>
    </w:p>
    <w:p>
      <w:pPr>
        <w:spacing w:after="0" w:line="112" w:lineRule="exact"/>
        <w:rPr>
          <w:sz w:val="20"/>
          <w:szCs w:val="20"/>
          <w:color w:val="auto"/>
        </w:rPr>
      </w:pPr>
    </w:p>
    <w:p>
      <w:pPr>
        <w:ind w:left="1480" w:right="1899" w:firstLine="266"/>
        <w:spacing w:after="0" w:line="293" w:lineRule="auto"/>
        <w:rPr>
          <w:sz w:val="20"/>
          <w:szCs w:val="20"/>
          <w:color w:val="auto"/>
        </w:rPr>
      </w:pPr>
      <w:r>
        <w:rPr>
          <w:rFonts w:ascii="Times New Roman" w:cs="Times New Roman" w:eastAsia="Times New Roman" w:hAnsi="Times New Roman"/>
          <w:sz w:val="13"/>
          <w:szCs w:val="13"/>
          <w:color w:val="auto"/>
        </w:rPr>
        <w:t>Each indenture will be discharged and will cease to be of further effect as to all outstanding debt securities of any series issued thereunder, when:</w:t>
      </w:r>
    </w:p>
    <w:p>
      <w:pPr>
        <w:spacing w:after="0" w:line="54" w:lineRule="exact"/>
        <w:rPr>
          <w:sz w:val="20"/>
          <w:szCs w:val="20"/>
          <w:color w:val="auto"/>
        </w:rPr>
      </w:pPr>
    </w:p>
    <w:p>
      <w:pPr>
        <w:ind w:left="2260" w:hanging="258"/>
        <w:spacing w:after="0"/>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w:t>
      </w:r>
    </w:p>
    <w:p>
      <w:pPr>
        <w:spacing w:after="0" w:line="110" w:lineRule="exact"/>
        <w:rPr>
          <w:rFonts w:ascii="Times New Roman" w:cs="Times New Roman" w:eastAsia="Times New Roman" w:hAnsi="Times New Roman"/>
          <w:sz w:val="13"/>
          <w:szCs w:val="13"/>
          <w:color w:val="auto"/>
        </w:rPr>
      </w:pPr>
    </w:p>
    <w:p>
      <w:pPr>
        <w:jc w:val="both"/>
        <w:ind w:left="2000" w:right="1679" w:firstLine="268"/>
        <w:spacing w:after="0" w:line="258" w:lineRule="auto"/>
        <w:tabs>
          <w:tab w:leader="none" w:pos="2537"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75" w:lineRule="exact"/>
        <w:rPr>
          <w:rFonts w:ascii="Times New Roman" w:cs="Times New Roman" w:eastAsia="Times New Roman" w:hAnsi="Times New Roman"/>
          <w:sz w:val="13"/>
          <w:szCs w:val="13"/>
          <w:color w:val="auto"/>
        </w:rPr>
      </w:pPr>
    </w:p>
    <w:p>
      <w:pPr>
        <w:ind w:left="2000" w:right="1519" w:firstLine="268"/>
        <w:spacing w:after="0" w:line="250" w:lineRule="auto"/>
        <w:tabs>
          <w:tab w:leader="none" w:pos="2537"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239" w:lineRule="exact"/>
        <w:rPr>
          <w:rFonts w:ascii="Times New Roman" w:cs="Times New Roman" w:eastAsia="Times New Roman" w:hAnsi="Times New Roman"/>
          <w:sz w:val="13"/>
          <w:szCs w:val="13"/>
          <w:color w:val="auto"/>
        </w:rPr>
      </w:pPr>
    </w:p>
    <w:p>
      <w:pPr>
        <w:ind w:left="2280" w:hanging="278"/>
        <w:spacing w:after="0"/>
        <w:tabs>
          <w:tab w:leader="none" w:pos="22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paid or caused to be paid all other sums payable by us under the indenture; and</w:t>
      </w:r>
    </w:p>
    <w:p>
      <w:pPr>
        <w:spacing w:after="0" w:line="110" w:lineRule="exact"/>
        <w:rPr>
          <w:rFonts w:ascii="Times New Roman" w:cs="Times New Roman" w:eastAsia="Times New Roman" w:hAnsi="Times New Roman"/>
          <w:sz w:val="13"/>
          <w:szCs w:val="13"/>
          <w:color w:val="auto"/>
        </w:rPr>
      </w:pPr>
    </w:p>
    <w:p>
      <w:pPr>
        <w:ind w:left="1740" w:right="1539" w:firstLine="262"/>
        <w:spacing w:after="0" w:line="293" w:lineRule="auto"/>
        <w:tabs>
          <w:tab w:leader="none" w:pos="2269"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delivered an officers’ certificate and an opinion of counsel to the Trustee stating that all conditions precedent to satisfaction and discharge have been satisfied.</w:t>
      </w:r>
    </w:p>
    <w:p>
      <w:pPr>
        <w:spacing w:after="0" w:line="54" w:lineRule="exact"/>
        <w:rPr>
          <w:sz w:val="20"/>
          <w:szCs w:val="20"/>
          <w:color w:val="auto"/>
        </w:rPr>
      </w:pPr>
    </w:p>
    <w:p>
      <w:pPr>
        <w:ind w:left="1480" w:right="1659" w:firstLine="266"/>
        <w:spacing w:after="0" w:line="277" w:lineRule="auto"/>
        <w:rPr>
          <w:sz w:val="20"/>
          <w:szCs w:val="20"/>
          <w:color w:val="auto"/>
        </w:rPr>
      </w:pPr>
      <w:r>
        <w:rPr>
          <w:rFonts w:ascii="Times New Roman" w:cs="Times New Roman" w:eastAsia="Times New Roman" w:hAnsi="Times New Roman"/>
          <w:sz w:val="13"/>
          <w:szCs w:val="13"/>
          <w:color w:val="auto"/>
        </w:rPr>
        <w:t>The debt securities of a particular series will be subject to legal or covenant defeasance to the extent, and upon the terms and conditions, set forth in the prospectus supplement.</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The Trustee</w:t>
      </w:r>
    </w:p>
    <w:p>
      <w:pPr>
        <w:spacing w:after="0" w:line="122" w:lineRule="exact"/>
        <w:rPr>
          <w:sz w:val="20"/>
          <w:szCs w:val="20"/>
          <w:color w:val="auto"/>
        </w:rPr>
      </w:pPr>
    </w:p>
    <w:p>
      <w:pPr>
        <w:ind w:left="1480" w:right="1639" w:firstLine="266"/>
        <w:spacing w:after="0" w:line="258" w:lineRule="auto"/>
        <w:rPr>
          <w:sz w:val="20"/>
          <w:szCs w:val="20"/>
          <w:color w:val="auto"/>
        </w:rPr>
      </w:pPr>
      <w:r>
        <w:rPr>
          <w:rFonts w:ascii="Times New Roman" w:cs="Times New Roman" w:eastAsia="Times New Roman" w:hAnsi="Times New Roman"/>
          <w:sz w:val="13"/>
          <w:szCs w:val="13"/>
          <w:color w:val="auto"/>
        </w:rPr>
        <w:t>U.S. Bank Trust Company, National Association is the Trustee under the senior indenture and will be the initial Trustee under the subordinated indenture. We maintain a banking relationship in the ordinary course of business with affiliates of U.S. Bank Trust Company, National Association.</w:t>
      </w:r>
    </w:p>
    <w:p>
      <w:pPr>
        <w:spacing w:after="0" w:line="1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Resignation or Removal of Trustee</w:t>
      </w:r>
    </w:p>
    <w:p>
      <w:pPr>
        <w:spacing w:after="0" w:line="114" w:lineRule="exact"/>
        <w:rPr>
          <w:sz w:val="20"/>
          <w:szCs w:val="20"/>
          <w:color w:val="auto"/>
        </w:rPr>
      </w:pPr>
    </w:p>
    <w:p>
      <w:pPr>
        <w:jc w:val="both"/>
        <w:ind w:left="1480" w:right="1599" w:firstLine="266"/>
        <w:spacing w:after="0" w:line="266" w:lineRule="auto"/>
        <w:rPr>
          <w:sz w:val="20"/>
          <w:szCs w:val="20"/>
          <w:color w:val="auto"/>
        </w:rPr>
      </w:pPr>
      <w:r>
        <w:rPr>
          <w:rFonts w:ascii="Times New Roman" w:cs="Times New Roman" w:eastAsia="Times New Roman" w:hAnsi="Times New Roman"/>
          <w:sz w:val="13"/>
          <w:szCs w:val="13"/>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191770</wp:posOffset>
            </wp:positionV>
            <wp:extent cx="505142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8" w:name="page19"/>
    <w:bookmarkEnd w:id="18"/>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659" w:firstLine="266"/>
        <w:spacing w:after="0" w:line="293" w:lineRule="auto"/>
        <w:rPr>
          <w:sz w:val="20"/>
          <w:szCs w:val="20"/>
          <w:color w:val="auto"/>
        </w:rPr>
      </w:pPr>
      <w:r>
        <w:rPr>
          <w:rFonts w:ascii="Times New Roman" w:cs="Times New Roman" w:eastAsia="Times New Roman" w:hAnsi="Times New Roman"/>
          <w:sz w:val="13"/>
          <w:szCs w:val="13"/>
          <w:color w:val="auto"/>
        </w:rPr>
        <w:t>Any resignation will require the appointment of a successor trustee under the applicable indenture in accordance with the terms and conditions of such indenture.</w:t>
      </w:r>
    </w:p>
    <w:p>
      <w:pPr>
        <w:spacing w:after="0" w:line="64" w:lineRule="exact"/>
        <w:rPr>
          <w:sz w:val="20"/>
          <w:szCs w:val="20"/>
          <w:color w:val="auto"/>
        </w:rPr>
      </w:pPr>
    </w:p>
    <w:p>
      <w:pPr>
        <w:ind w:left="1480" w:right="1559" w:firstLine="266"/>
        <w:spacing w:after="0" w:line="268" w:lineRule="auto"/>
        <w:rPr>
          <w:sz w:val="20"/>
          <w:szCs w:val="20"/>
          <w:color w:val="auto"/>
        </w:rPr>
      </w:pPr>
      <w:r>
        <w:rPr>
          <w:rFonts w:ascii="Times New Roman" w:cs="Times New Roman" w:eastAsia="Times New Roman" w:hAnsi="Times New Roman"/>
          <w:sz w:val="13"/>
          <w:szCs w:val="13"/>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Limitations on Trustee if it is a Creditor</w:t>
      </w:r>
    </w:p>
    <w:p>
      <w:pPr>
        <w:spacing w:after="0" w:line="124" w:lineRule="exact"/>
        <w:rPr>
          <w:sz w:val="20"/>
          <w:szCs w:val="20"/>
          <w:color w:val="auto"/>
        </w:rPr>
      </w:pPr>
    </w:p>
    <w:p>
      <w:pPr>
        <w:ind w:left="1480" w:right="1619" w:firstLine="266"/>
        <w:spacing w:after="0" w:line="274" w:lineRule="auto"/>
        <w:rPr>
          <w:sz w:val="20"/>
          <w:szCs w:val="20"/>
          <w:color w:val="auto"/>
        </w:rPr>
      </w:pPr>
      <w:r>
        <w:rPr>
          <w:rFonts w:ascii="Times New Roman" w:cs="Times New Roman" w:eastAsia="Times New Roman" w:hAnsi="Times New Roman"/>
          <w:sz w:val="13"/>
          <w:szCs w:val="13"/>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Certificates and Opinions to be Furnished to Trustee</w:t>
      </w:r>
    </w:p>
    <w:p>
      <w:pPr>
        <w:spacing w:after="0" w:line="114" w:lineRule="exact"/>
        <w:rPr>
          <w:sz w:val="20"/>
          <w:szCs w:val="20"/>
          <w:color w:val="auto"/>
        </w:rPr>
      </w:pPr>
    </w:p>
    <w:p>
      <w:pPr>
        <w:ind w:left="1480" w:right="1579" w:firstLine="266"/>
        <w:spacing w:after="0" w:line="267" w:lineRule="auto"/>
        <w:rPr>
          <w:sz w:val="20"/>
          <w:szCs w:val="20"/>
          <w:color w:val="auto"/>
        </w:rPr>
      </w:pPr>
      <w:r>
        <w:rPr>
          <w:rFonts w:ascii="Times New Roman" w:cs="Times New Roman" w:eastAsia="Times New Roman" w:hAnsi="Times New Roman"/>
          <w:sz w:val="13"/>
          <w:szCs w:val="13"/>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29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Governing Law</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Each indenture and all of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9" w:name="page20"/>
    <w:bookmarkEnd w:id="19"/>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OUR PREFERRED UNITS</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Series A Preferred Units</w:t>
      </w:r>
    </w:p>
    <w:p>
      <w:pPr>
        <w:spacing w:after="0" w:line="122" w:lineRule="exact"/>
        <w:rPr>
          <w:sz w:val="20"/>
          <w:szCs w:val="20"/>
          <w:color w:val="auto"/>
        </w:rPr>
      </w:pPr>
    </w:p>
    <w:p>
      <w:pPr>
        <w:ind w:left="1480" w:right="1499" w:firstLine="266"/>
        <w:spacing w:after="0" w:line="248" w:lineRule="auto"/>
        <w:rPr>
          <w:sz w:val="20"/>
          <w:szCs w:val="20"/>
          <w:color w:val="auto"/>
        </w:rPr>
      </w:pPr>
      <w:r>
        <w:rPr>
          <w:rFonts w:ascii="Times New Roman" w:cs="Times New Roman" w:eastAsia="Times New Roman" w:hAnsi="Times New Roman"/>
          <w:sz w:val="13"/>
          <w:szCs w:val="13"/>
          <w:color w:val="auto"/>
        </w:rPr>
        <w:t>On January 28, 2016, we completed a private placement of 61,030,127 Series A Convertible Preferred Units representing limited partner interests in us (the “Series A preferred units”) for a cash purchase price of $26.25 per unit (the “Issue Price”) .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within 45 days following the end of each quarter. The initial Series A preferred unit distribution was equal to an annual rate of 8% of the Issue Price ($2.10 per unit annualized). After the fifth anniversary of the January 28, 2016 issue date of the Series A preferred units, the holders of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Effective January 31, 2023, the new Series A preferred unit distribution rate is equal to 9.375% per annum of the original Issue Price (approximately $2.46 per unit annualized).</w:t>
      </w:r>
    </w:p>
    <w:p>
      <w:pPr>
        <w:spacing w:after="0" w:line="238" w:lineRule="exact"/>
        <w:rPr>
          <w:sz w:val="20"/>
          <w:szCs w:val="20"/>
          <w:color w:val="auto"/>
        </w:rPr>
      </w:pPr>
    </w:p>
    <w:p>
      <w:pPr>
        <w:ind w:left="1480" w:right="1519" w:firstLine="266"/>
        <w:spacing w:after="0" w:line="258" w:lineRule="auto"/>
        <w:rPr>
          <w:sz w:val="20"/>
          <w:szCs w:val="20"/>
          <w:color w:val="auto"/>
        </w:rPr>
      </w:pPr>
      <w:r>
        <w:rPr>
          <w:rFonts w:ascii="Times New Roman" w:cs="Times New Roman" w:eastAsia="Times New Roman" w:hAnsi="Times New Roman"/>
          <w:sz w:val="13"/>
          <w:szCs w:val="13"/>
          <w:color w:val="auto"/>
        </w:rPr>
        <w:t>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236" w:lineRule="exact"/>
        <w:rPr>
          <w:sz w:val="20"/>
          <w:szCs w:val="20"/>
          <w:color w:val="auto"/>
        </w:rPr>
      </w:pPr>
    </w:p>
    <w:p>
      <w:pPr>
        <w:ind w:left="1480" w:right="1499" w:firstLine="266"/>
        <w:spacing w:after="0" w:line="248" w:lineRule="auto"/>
        <w:rPr>
          <w:sz w:val="20"/>
          <w:szCs w:val="20"/>
          <w:color w:val="auto"/>
        </w:rPr>
      </w:pPr>
      <w:r>
        <w:rPr>
          <w:rFonts w:ascii="Times New Roman" w:cs="Times New Roman" w:eastAsia="Times New Roman" w:hAnsi="Times New Roman"/>
          <w:sz w:val="13"/>
          <w:szCs w:val="13"/>
          <w:color w:val="auto"/>
        </w:rPr>
        <w:t>The holders of Series A preferred units may convert such units into common units, generally on a one-for- one basis and subject to customary anti -dilution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w:t>
      </w:r>
    </w:p>
    <w:p>
      <w:pPr>
        <w:spacing w:after="0" w:line="242" w:lineRule="exact"/>
        <w:rPr>
          <w:sz w:val="20"/>
          <w:szCs w:val="20"/>
          <w:color w:val="auto"/>
        </w:rPr>
      </w:pPr>
    </w:p>
    <w:p>
      <w:pPr>
        <w:ind w:left="1480" w:right="1539" w:firstLine="266"/>
        <w:spacing w:after="0" w:line="250" w:lineRule="auto"/>
        <w:rPr>
          <w:sz w:val="20"/>
          <w:szCs w:val="20"/>
          <w:color w:val="auto"/>
        </w:rPr>
      </w:pPr>
      <w:r>
        <w:rPr>
          <w:rFonts w:ascii="Times New Roman" w:cs="Times New Roman" w:eastAsia="Times New Roman" w:hAnsi="Times New Roman"/>
          <w:sz w:val="13"/>
          <w:szCs w:val="13"/>
          <w:color w:val="auto"/>
        </w:rPr>
        <w:t>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Series B Preferred Units</w:t>
      </w:r>
    </w:p>
    <w:p>
      <w:pPr>
        <w:spacing w:after="0" w:line="112" w:lineRule="exact"/>
        <w:rPr>
          <w:sz w:val="20"/>
          <w:szCs w:val="20"/>
          <w:color w:val="auto"/>
        </w:rPr>
      </w:pPr>
    </w:p>
    <w:p>
      <w:pPr>
        <w:ind w:left="1480" w:right="1619" w:firstLine="266"/>
        <w:spacing w:after="0" w:line="258" w:lineRule="auto"/>
        <w:rPr>
          <w:sz w:val="20"/>
          <w:szCs w:val="20"/>
          <w:color w:val="auto"/>
        </w:rPr>
      </w:pPr>
      <w:r>
        <w:rPr>
          <w:rFonts w:ascii="Times New Roman" w:cs="Times New Roman" w:eastAsia="Times New Roman" w:hAnsi="Times New Roman"/>
          <w:sz w:val="13"/>
          <w:szCs w:val="13"/>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236" w:lineRule="exact"/>
        <w:rPr>
          <w:sz w:val="20"/>
          <w:szCs w:val="20"/>
          <w:color w:val="auto"/>
        </w:rPr>
      </w:pPr>
    </w:p>
    <w:p>
      <w:pPr>
        <w:ind w:left="1480" w:right="1519" w:firstLine="266"/>
        <w:spacing w:after="0" w:line="252" w:lineRule="auto"/>
        <w:rPr>
          <w:sz w:val="20"/>
          <w:szCs w:val="20"/>
          <w:color w:val="auto"/>
        </w:rPr>
      </w:pPr>
      <w:r>
        <w:rPr>
          <w:rFonts w:ascii="Times New Roman" w:cs="Times New Roman" w:eastAsia="Times New Roman" w:hAnsi="Times New Roman"/>
          <w:sz w:val="13"/>
          <w:szCs w:val="13"/>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0" w:name="page21"/>
    <w:bookmarkEnd w:id="20"/>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619"/>
        <w:spacing w:after="0" w:line="293" w:lineRule="auto"/>
        <w:rPr>
          <w:sz w:val="20"/>
          <w:szCs w:val="20"/>
          <w:color w:val="auto"/>
        </w:rPr>
      </w:pPr>
      <w:r>
        <w:rPr>
          <w:rFonts w:ascii="Times New Roman" w:cs="Times New Roman" w:eastAsia="Times New Roman" w:hAnsi="Times New Roman"/>
          <w:sz w:val="13"/>
          <w:szCs w:val="13"/>
          <w:color w:val="auto"/>
        </w:rPr>
        <w:t>in arrears, (iii) the creation or issuance of any senior securities and (iv) the payment of distributions to our common unitholders out of capital surplus.</w:t>
      </w:r>
    </w:p>
    <w:p>
      <w:pPr>
        <w:spacing w:after="0" w:line="64" w:lineRule="exact"/>
        <w:rPr>
          <w:sz w:val="20"/>
          <w:szCs w:val="20"/>
          <w:color w:val="auto"/>
        </w:rPr>
      </w:pPr>
    </w:p>
    <w:p>
      <w:pPr>
        <w:ind w:left="1480" w:right="1499" w:firstLine="266"/>
        <w:spacing w:after="0" w:line="259" w:lineRule="auto"/>
        <w:rPr>
          <w:sz w:val="20"/>
          <w:szCs w:val="20"/>
          <w:color w:val="auto"/>
        </w:rPr>
      </w:pPr>
      <w:r>
        <w:rPr>
          <w:rFonts w:ascii="Times New Roman" w:cs="Times New Roman" w:eastAsia="Times New Roman" w:hAnsi="Times New Roman"/>
          <w:sz w:val="13"/>
          <w:szCs w:val="13"/>
          <w:color w:val="auto"/>
        </w:rPr>
        <w:t>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on the Series B preferred units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Subsequently, distributions on the Series B preferred units accumulate based on the applicable three-month SOFR, plus a credit spread adjustment of 0.26161%, plus 4.11% per annum.</w:t>
      </w:r>
    </w:p>
    <w:p>
      <w:pPr>
        <w:spacing w:after="0" w:line="252" w:lineRule="exact"/>
        <w:rPr>
          <w:sz w:val="20"/>
          <w:szCs w:val="20"/>
          <w:color w:val="auto"/>
        </w:rPr>
      </w:pPr>
    </w:p>
    <w:p>
      <w:pPr>
        <w:ind w:left="1480" w:right="1559" w:firstLine="266"/>
        <w:spacing w:after="0" w:line="268" w:lineRule="auto"/>
        <w:rPr>
          <w:sz w:val="20"/>
          <w:szCs w:val="20"/>
          <w:color w:val="auto"/>
        </w:rPr>
      </w:pPr>
      <w:r>
        <w:rPr>
          <w:rFonts w:ascii="Times New Roman" w:cs="Times New Roman" w:eastAsia="Times New Roman" w:hAnsi="Times New Roman"/>
          <w:sz w:val="13"/>
          <w:szCs w:val="13"/>
          <w:color w:val="auto"/>
        </w:rPr>
        <w:t>The Series B preferred units have a liquidation preference of $1,000 per unit. We may, at any time,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Future Issuances of Preferred Units</w:t>
      </w:r>
    </w:p>
    <w:p>
      <w:pPr>
        <w:spacing w:after="0" w:line="112" w:lineRule="exact"/>
        <w:rPr>
          <w:sz w:val="20"/>
          <w:szCs w:val="20"/>
          <w:color w:val="auto"/>
        </w:rPr>
      </w:pPr>
    </w:p>
    <w:p>
      <w:pPr>
        <w:ind w:left="1480" w:right="1499" w:firstLine="266"/>
        <w:spacing w:after="0" w:line="261" w:lineRule="auto"/>
        <w:rPr>
          <w:sz w:val="20"/>
          <w:szCs w:val="20"/>
          <w:color w:val="auto"/>
        </w:rPr>
      </w:pPr>
      <w:r>
        <w:rPr>
          <w:rFonts w:ascii="Times New Roman" w:cs="Times New Roman" w:eastAsia="Times New Roman" w:hAnsi="Times New Roman"/>
          <w:sz w:val="13"/>
          <w:szCs w:val="13"/>
          <w:color w:val="auto"/>
        </w:rPr>
        <w:t>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pari passu with, the Series A</w:t>
      </w:r>
    </w:p>
    <w:p>
      <w:pPr>
        <w:spacing w:after="0" w:line="1" w:lineRule="exact"/>
        <w:rPr>
          <w:sz w:val="20"/>
          <w:szCs w:val="20"/>
          <w:color w:val="auto"/>
        </w:rPr>
      </w:pPr>
    </w:p>
    <w:p>
      <w:pPr>
        <w:ind w:left="1480" w:right="1539"/>
        <w:spacing w:after="0" w:line="261" w:lineRule="auto"/>
        <w:rPr>
          <w:sz w:val="20"/>
          <w:szCs w:val="20"/>
          <w:color w:val="auto"/>
        </w:rPr>
      </w:pPr>
      <w:r>
        <w:rPr>
          <w:rFonts w:ascii="Times New Roman" w:cs="Times New Roman" w:eastAsia="Times New Roman" w:hAnsi="Times New Roman"/>
          <w:sz w:val="13"/>
          <w:szCs w:val="13"/>
          <w:color w:val="auto"/>
        </w:rPr>
        <w:t>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w:t>
      </w:r>
    </w:p>
    <w:p>
      <w:pPr>
        <w:spacing w:after="0" w:line="85" w:lineRule="exact"/>
        <w:rPr>
          <w:sz w:val="20"/>
          <w:szCs w:val="20"/>
          <w:color w:val="auto"/>
        </w:rPr>
      </w:pPr>
    </w:p>
    <w:p>
      <w:pPr>
        <w:ind w:left="1480" w:right="1479" w:firstLine="266"/>
        <w:spacing w:after="0" w:line="274" w:lineRule="auto"/>
        <w:rPr>
          <w:sz w:val="20"/>
          <w:szCs w:val="20"/>
          <w:color w:val="auto"/>
        </w:rPr>
      </w:pPr>
      <w:r>
        <w:rPr>
          <w:rFonts w:ascii="Times New Roman" w:cs="Times New Roman" w:eastAsia="Times New Roman" w:hAnsi="Times New Roman"/>
          <w:sz w:val="13"/>
          <w:szCs w:val="13"/>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47" w:lineRule="exact"/>
        <w:rPr>
          <w:sz w:val="20"/>
          <w:szCs w:val="20"/>
          <w:color w:val="auto"/>
        </w:rPr>
      </w:pPr>
    </w:p>
    <w:p>
      <w:pPr>
        <w:ind w:left="1860" w:right="1759" w:hanging="124"/>
        <w:spacing w:after="0" w:line="293" w:lineRule="auto"/>
        <w:tabs>
          <w:tab w:leader="none" w:pos="18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stated value, and liquidation preference of the preferred units and the number of preferred units offered;</w:t>
      </w:r>
    </w:p>
    <w:p>
      <w:pPr>
        <w:spacing w:after="0" w:line="3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initial public offering price at which the preferred units will be issued;</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conversion or exchange provisions of the preferred units;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redemption or sinking fund provisions of the preferred units;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distribution rights of the preferred units, if any;</w:t>
      </w:r>
    </w:p>
    <w:p>
      <w:pPr>
        <w:spacing w:after="0" w:line="90" w:lineRule="exact"/>
        <w:rPr>
          <w:rFonts w:ascii="Times New Roman" w:cs="Times New Roman" w:eastAsia="Times New Roman" w:hAnsi="Times New Roman"/>
          <w:sz w:val="13"/>
          <w:szCs w:val="13"/>
          <w:color w:val="auto"/>
        </w:rPr>
      </w:pPr>
    </w:p>
    <w:p>
      <w:pPr>
        <w:ind w:left="1860" w:right="2299" w:hanging="124"/>
        <w:spacing w:after="0" w:line="293" w:lineRule="auto"/>
        <w:tabs>
          <w:tab w:leader="none" w:pos="18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discussion of any additional material federal income tax considerations regarding the preferred units; and</w:t>
      </w:r>
    </w:p>
    <w:p>
      <w:pPr>
        <w:spacing w:after="0" w:line="3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additional rights, preferences, privileges, limitations, and restrictions of the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1" w:name="page22"/>
    <w:bookmarkEnd w:id="21"/>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OUR COMMON UNITS</w:t>
      </w:r>
    </w:p>
    <w:p>
      <w:pPr>
        <w:spacing w:after="0" w:line="122" w:lineRule="exact"/>
        <w:rPr>
          <w:sz w:val="20"/>
          <w:szCs w:val="20"/>
          <w:color w:val="auto"/>
        </w:rPr>
      </w:pPr>
    </w:p>
    <w:p>
      <w:pPr>
        <w:ind w:left="1480" w:right="1479" w:firstLine="266"/>
        <w:spacing w:after="0" w:line="258" w:lineRule="auto"/>
        <w:rPr>
          <w:sz w:val="20"/>
          <w:szCs w:val="20"/>
          <w:color w:val="auto"/>
        </w:rPr>
      </w:pPr>
      <w:r>
        <w:rPr>
          <w:rFonts w:ascii="Times New Roman" w:cs="Times New Roman" w:eastAsia="Times New Roman" w:hAnsi="Times New Roman"/>
          <w:sz w:val="13"/>
          <w:szCs w:val="13"/>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76" w:lineRule="exact"/>
        <w:rPr>
          <w:sz w:val="20"/>
          <w:szCs w:val="20"/>
          <w:color w:val="auto"/>
        </w:rPr>
      </w:pPr>
    </w:p>
    <w:p>
      <w:pPr>
        <w:ind w:left="1480" w:right="1899" w:firstLine="266"/>
        <w:spacing w:after="0" w:line="277" w:lineRule="auto"/>
        <w:rPr>
          <w:sz w:val="20"/>
          <w:szCs w:val="20"/>
          <w:color w:val="auto"/>
        </w:rPr>
      </w:pPr>
      <w:r>
        <w:rPr>
          <w:rFonts w:ascii="Times New Roman" w:cs="Times New Roman" w:eastAsia="Times New Roman" w:hAnsi="Times New Roman"/>
          <w:sz w:val="13"/>
          <w:szCs w:val="13"/>
          <w:color w:val="auto"/>
        </w:rPr>
        <w:t>Our outstanding common units are listed on NASDAQ under the symbol “PAA.” Any additional common units we issue will also be listed on NASDAQ.</w:t>
      </w:r>
    </w:p>
    <w:p>
      <w:pPr>
        <w:spacing w:after="0" w:line="6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The transfer agent and registrar for our common units is Equiniti Trust Company, LLC.</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Voting</w:t>
      </w:r>
    </w:p>
    <w:p>
      <w:pPr>
        <w:spacing w:after="0" w:line="122" w:lineRule="exact"/>
        <w:rPr>
          <w:sz w:val="20"/>
          <w:szCs w:val="20"/>
          <w:color w:val="auto"/>
        </w:rPr>
      </w:pPr>
    </w:p>
    <w:p>
      <w:pPr>
        <w:ind w:left="1480" w:right="1499" w:firstLine="266"/>
        <w:spacing w:after="0" w:line="253" w:lineRule="auto"/>
        <w:rPr>
          <w:sz w:val="20"/>
          <w:szCs w:val="20"/>
          <w:color w:val="auto"/>
        </w:rPr>
      </w:pPr>
      <w:r>
        <w:rPr>
          <w:rFonts w:ascii="Times New Roman" w:cs="Times New Roman" w:eastAsia="Times New Roman" w:hAnsi="Times New Roman"/>
          <w:sz w:val="13"/>
          <w:szCs w:val="13"/>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w:t>
      </w:r>
    </w:p>
    <w:p>
      <w:pPr>
        <w:spacing w:after="0" w:line="80" w:lineRule="exact"/>
        <w:rPr>
          <w:sz w:val="20"/>
          <w:szCs w:val="20"/>
          <w:color w:val="auto"/>
        </w:rPr>
      </w:pPr>
    </w:p>
    <w:p>
      <w:pPr>
        <w:ind w:left="1480" w:right="1519" w:firstLine="266"/>
        <w:spacing w:after="0" w:line="258" w:lineRule="auto"/>
        <w:rPr>
          <w:sz w:val="20"/>
          <w:szCs w:val="20"/>
          <w:color w:val="auto"/>
        </w:rPr>
      </w:pPr>
      <w:r>
        <w:rPr>
          <w:rFonts w:ascii="Times New Roman" w:cs="Times New Roman" w:eastAsia="Times New Roman" w:hAnsi="Times New Roman"/>
          <w:sz w:val="13"/>
          <w:szCs w:val="13"/>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w:t>
      </w:r>
    </w:p>
    <w:p>
      <w:pPr>
        <w:spacing w:after="0" w:line="76" w:lineRule="exact"/>
        <w:rPr>
          <w:sz w:val="20"/>
          <w:szCs w:val="20"/>
          <w:color w:val="auto"/>
        </w:rPr>
      </w:pPr>
    </w:p>
    <w:p>
      <w:pPr>
        <w:ind w:left="1480" w:right="1519" w:firstLine="266"/>
        <w:spacing w:after="0" w:line="253" w:lineRule="auto"/>
        <w:rPr>
          <w:sz w:val="20"/>
          <w:szCs w:val="20"/>
          <w:color w:val="auto"/>
        </w:rPr>
      </w:pPr>
      <w:r>
        <w:rPr>
          <w:rFonts w:ascii="Times New Roman" w:cs="Times New Roman" w:eastAsia="Times New Roman" w:hAnsi="Times New Roman"/>
          <w:sz w:val="13"/>
          <w:szCs w:val="13"/>
          <w:color w:val="auto"/>
        </w:rPr>
        <w:t>Subject to limited exceptions, PAGP GP’s Fourth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80" w:lineRule="exact"/>
        <w:rPr>
          <w:sz w:val="20"/>
          <w:szCs w:val="20"/>
          <w:color w:val="auto"/>
        </w:rPr>
      </w:pPr>
    </w:p>
    <w:p>
      <w:pPr>
        <w:ind w:left="1480" w:right="1479" w:firstLine="266"/>
        <w:spacing w:after="0" w:line="258" w:lineRule="auto"/>
        <w:rPr>
          <w:sz w:val="20"/>
          <w:szCs w:val="20"/>
          <w:color w:val="auto"/>
        </w:rPr>
      </w:pPr>
      <w:r>
        <w:rPr>
          <w:rFonts w:ascii="Times New Roman" w:cs="Times New Roman" w:eastAsia="Times New Roman" w:hAnsi="Times New Roman"/>
          <w:sz w:val="13"/>
          <w:szCs w:val="13"/>
          <w:color w:val="auto"/>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236" w:lineRule="exact"/>
        <w:rPr>
          <w:sz w:val="20"/>
          <w:szCs w:val="20"/>
          <w:color w:val="auto"/>
        </w:rPr>
      </w:pPr>
    </w:p>
    <w:p>
      <w:pPr>
        <w:ind w:left="1480" w:right="1519" w:firstLine="266"/>
        <w:spacing w:after="0" w:line="248" w:lineRule="auto"/>
        <w:rPr>
          <w:sz w:val="20"/>
          <w:szCs w:val="20"/>
          <w:color w:val="auto"/>
        </w:rPr>
      </w:pPr>
      <w:r>
        <w:rPr>
          <w:rFonts w:ascii="Times New Roman" w:cs="Times New Roman" w:eastAsia="Times New Roman" w:hAnsi="Times New Roman"/>
          <w:sz w:val="13"/>
          <w:szCs w:val="13"/>
          <w:color w:val="auto"/>
        </w:rPr>
        <w:t>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Status as Limited Partner or Assignee</w:t>
      </w:r>
    </w:p>
    <w:p>
      <w:pPr>
        <w:spacing w:after="0" w:line="112" w:lineRule="exact"/>
        <w:rPr>
          <w:sz w:val="20"/>
          <w:szCs w:val="20"/>
          <w:color w:val="auto"/>
        </w:rPr>
      </w:pPr>
    </w:p>
    <w:p>
      <w:pPr>
        <w:ind w:left="1480" w:right="1699" w:firstLine="266"/>
        <w:spacing w:after="0" w:line="266" w:lineRule="auto"/>
        <w:rPr>
          <w:sz w:val="20"/>
          <w:szCs w:val="20"/>
          <w:color w:val="auto"/>
        </w:rPr>
      </w:pPr>
      <w:r>
        <w:rPr>
          <w:rFonts w:ascii="Times New Roman" w:cs="Times New Roman" w:eastAsia="Times New Roman" w:hAnsi="Times New Roman"/>
          <w:sz w:val="13"/>
          <w:szCs w:val="13"/>
          <w:color w:val="auto"/>
        </w:rPr>
        <w:t>Except as described under “Description of Our Partnership Agreement — Limited Liability,” the common units will be fully paid, and common unitholders will not be required to make additional capital contributions to us.</w:t>
      </w:r>
    </w:p>
    <w:p>
      <w:pPr>
        <w:spacing w:after="0" w:line="72" w:lineRule="exact"/>
        <w:rPr>
          <w:sz w:val="20"/>
          <w:szCs w:val="20"/>
          <w:color w:val="auto"/>
        </w:rPr>
      </w:pPr>
    </w:p>
    <w:p>
      <w:pPr>
        <w:ind w:left="1480" w:right="1599" w:firstLine="266"/>
        <w:spacing w:after="0" w:line="253" w:lineRule="auto"/>
        <w:rPr>
          <w:sz w:val="20"/>
          <w:szCs w:val="20"/>
          <w:color w:val="auto"/>
        </w:rPr>
      </w:pPr>
      <w:r>
        <w:rPr>
          <w:rFonts w:ascii="Times New Roman" w:cs="Times New Roman" w:eastAsia="Times New Roman" w:hAnsi="Times New Roman"/>
          <w:sz w:val="13"/>
          <w:szCs w:val="13"/>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80" w:lineRule="exact"/>
        <w:rPr>
          <w:sz w:val="20"/>
          <w:szCs w:val="20"/>
          <w:color w:val="auto"/>
        </w:rPr>
      </w:pPr>
    </w:p>
    <w:p>
      <w:pPr>
        <w:ind w:left="1480" w:right="1839" w:firstLine="266"/>
        <w:spacing w:after="0" w:line="293" w:lineRule="auto"/>
        <w:rPr>
          <w:sz w:val="20"/>
          <w:szCs w:val="20"/>
          <w:color w:val="auto"/>
        </w:rPr>
      </w:pPr>
      <w:r>
        <w:rPr>
          <w:rFonts w:ascii="Times New Roman" w:cs="Times New Roman" w:eastAsia="Times New Roman" w:hAnsi="Times New Roman"/>
          <w:sz w:val="13"/>
          <w:szCs w:val="13"/>
          <w:color w:val="auto"/>
        </w:rPr>
        <w:t>An assignee, pending its admission as a substituted limited partner, is entitled to an interest in us equivalent to that of a limited partner with respect to the right to share in allocations and distributions,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2" w:name="page23"/>
    <w:bookmarkEnd w:id="22"/>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639"/>
        <w:spacing w:after="0" w:line="267" w:lineRule="auto"/>
        <w:rPr>
          <w:sz w:val="20"/>
          <w:szCs w:val="20"/>
          <w:color w:val="auto"/>
        </w:rPr>
      </w:pPr>
      <w:r>
        <w:rPr>
          <w:rFonts w:ascii="Times New Roman" w:cs="Times New Roman" w:eastAsia="Times New Roman" w:hAnsi="Times New Roman"/>
          <w:sz w:val="13"/>
          <w:szCs w:val="13"/>
          <w:color w:val="auto"/>
        </w:rPr>
        <w:t>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29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Redemption Right</w:t>
      </w:r>
    </w:p>
    <w:p>
      <w:pPr>
        <w:spacing w:after="0" w:line="122" w:lineRule="exact"/>
        <w:rPr>
          <w:sz w:val="20"/>
          <w:szCs w:val="20"/>
          <w:color w:val="auto"/>
        </w:rPr>
      </w:pPr>
    </w:p>
    <w:p>
      <w:pPr>
        <w:ind w:left="1480" w:right="1499" w:firstLine="266"/>
        <w:spacing w:after="0" w:line="262" w:lineRule="auto"/>
        <w:rPr>
          <w:sz w:val="20"/>
          <w:szCs w:val="20"/>
          <w:color w:val="auto"/>
        </w:rPr>
      </w:pPr>
      <w:r>
        <w:rPr>
          <w:rFonts w:ascii="Times New Roman" w:cs="Times New Roman" w:eastAsia="Times New Roman" w:hAnsi="Times New Roman"/>
          <w:sz w:val="13"/>
          <w:szCs w:val="13"/>
          <w:color w:val="auto"/>
        </w:rPr>
        <w:t>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 ownership percentage in PAGP GP.</w:t>
      </w:r>
    </w:p>
    <w:p>
      <w:pPr>
        <w:spacing w:after="0" w:line="245" w:lineRule="exact"/>
        <w:rPr>
          <w:sz w:val="20"/>
          <w:szCs w:val="20"/>
          <w:color w:val="auto"/>
        </w:rPr>
      </w:pPr>
    </w:p>
    <w:p>
      <w:pPr>
        <w:ind w:left="1480" w:right="1659" w:firstLine="266"/>
        <w:spacing w:after="0" w:line="293" w:lineRule="auto"/>
        <w:rPr>
          <w:sz w:val="20"/>
          <w:szCs w:val="20"/>
          <w:color w:val="auto"/>
        </w:rPr>
      </w:pPr>
      <w:r>
        <w:rPr>
          <w:rFonts w:ascii="Times New Roman" w:cs="Times New Roman" w:eastAsia="Times New Roman" w:hAnsi="Times New Roman"/>
          <w:sz w:val="13"/>
          <w:szCs w:val="13"/>
          <w:color w:val="auto"/>
        </w:rPr>
        <w:t>The above mechanisms are subject to customary conversion rate adjustments for equity splits, equity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3" w:name="page24"/>
    <w:bookmarkEnd w:id="23"/>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CASH DISTRIBUTION POLICY</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Distributions of Available Cash</w:t>
      </w:r>
    </w:p>
    <w:p>
      <w:pPr>
        <w:spacing w:after="0" w:line="120" w:lineRule="exact"/>
        <w:rPr>
          <w:sz w:val="20"/>
          <w:szCs w:val="20"/>
          <w:color w:val="auto"/>
        </w:rPr>
      </w:pPr>
    </w:p>
    <w:p>
      <w:pPr>
        <w:ind w:left="1480" w:right="1739" w:firstLine="266"/>
        <w:spacing w:after="0" w:line="280" w:lineRule="auto"/>
        <w:rPr>
          <w:sz w:val="20"/>
          <w:szCs w:val="20"/>
          <w:color w:val="auto"/>
        </w:rPr>
      </w:pPr>
      <w:r>
        <w:rPr>
          <w:rFonts w:ascii="Times New Roman" w:cs="Times New Roman" w:eastAsia="Times New Roman" w:hAnsi="Times New Roman"/>
          <w:sz w:val="13"/>
          <w:szCs w:val="13"/>
          <w:i w:val="1"/>
          <w:iCs w:val="1"/>
          <w:color w:val="auto"/>
        </w:rPr>
        <w:t>General</w:t>
      </w:r>
      <w:r>
        <w:rPr>
          <w:rFonts w:ascii="Times New Roman" w:cs="Times New Roman" w:eastAsia="Times New Roman" w:hAnsi="Times New Roman"/>
          <w:sz w:val="13"/>
          <w:szCs w:val="13"/>
          <w:color w:val="auto"/>
        </w:rPr>
        <w:t>. We will distribute to our unitholders, on a quarterly basis, all of our available cash in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manner described below.</w:t>
      </w:r>
    </w:p>
    <w:p>
      <w:pPr>
        <w:spacing w:after="0" w:line="60" w:lineRule="exact"/>
        <w:rPr>
          <w:sz w:val="20"/>
          <w:szCs w:val="20"/>
          <w:color w:val="auto"/>
        </w:rPr>
      </w:pPr>
    </w:p>
    <w:p>
      <w:pPr>
        <w:ind w:left="1480" w:right="1619" w:firstLine="266"/>
        <w:spacing w:after="0" w:line="268" w:lineRule="auto"/>
        <w:rPr>
          <w:sz w:val="20"/>
          <w:szCs w:val="20"/>
          <w:color w:val="auto"/>
        </w:rPr>
      </w:pPr>
      <w:r>
        <w:rPr>
          <w:rFonts w:ascii="Times New Roman" w:cs="Times New Roman" w:eastAsia="Times New Roman" w:hAnsi="Times New Roman"/>
          <w:sz w:val="13"/>
          <w:szCs w:val="13"/>
          <w:i w:val="1"/>
          <w:iCs w:val="1"/>
          <w:color w:val="auto"/>
        </w:rPr>
        <w:t>Definition of Available Cash</w:t>
      </w:r>
      <w:r>
        <w:rPr>
          <w:rFonts w:ascii="Times New Roman" w:cs="Times New Roman" w:eastAsia="Times New Roman" w:hAnsi="Times New Roman"/>
          <w:sz w:val="13"/>
          <w:szCs w:val="13"/>
          <w:color w:val="auto"/>
        </w:rPr>
        <w:t>. Available cash generally means, for any quarter ending prior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liquidation, all cash and cash equivalents on hand at the end of that quarter less reserves established in the reasonable discretion of the general partner to:</w:t>
      </w:r>
    </w:p>
    <w:p>
      <w:pPr>
        <w:spacing w:after="0" w:line="40" w:lineRule="exact"/>
        <w:rPr>
          <w:sz w:val="20"/>
          <w:szCs w:val="20"/>
          <w:color w:val="auto"/>
        </w:rPr>
      </w:pPr>
    </w:p>
    <w:p>
      <w:pPr>
        <w:ind w:left="1860" w:right="1899" w:hanging="124"/>
        <w:spacing w:after="0" w:line="293" w:lineRule="auto"/>
        <w:tabs>
          <w:tab w:leader="none" w:pos="18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for the proper conduct of our business and the business of our operating partnerships (including reserves for future capital expenditures and for our anticipated future credit needs);</w:t>
      </w:r>
    </w:p>
    <w:p>
      <w:pPr>
        <w:spacing w:after="0" w:line="34" w:lineRule="exact"/>
        <w:rPr>
          <w:rFonts w:ascii="Times New Roman" w:cs="Times New Roman" w:eastAsia="Times New Roman" w:hAnsi="Times New Roman"/>
          <w:sz w:val="13"/>
          <w:szCs w:val="13"/>
          <w:color w:val="auto"/>
        </w:rPr>
      </w:pPr>
    </w:p>
    <w:p>
      <w:pPr>
        <w:ind w:left="1860" w:right="1519" w:hanging="124"/>
        <w:spacing w:after="0" w:line="293" w:lineRule="auto"/>
        <w:tabs>
          <w:tab w:leader="none" w:pos="18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comply with applicable law or any loan agreement, security agreement, mortgage, debt instrument or other agreement or obligation; or</w:t>
      </w:r>
    </w:p>
    <w:p>
      <w:pPr>
        <w:spacing w:after="0" w:line="24" w:lineRule="exact"/>
        <w:rPr>
          <w:rFonts w:ascii="Times New Roman" w:cs="Times New Roman" w:eastAsia="Times New Roman" w:hAnsi="Times New Roman"/>
          <w:sz w:val="13"/>
          <w:szCs w:val="13"/>
          <w:color w:val="auto"/>
        </w:rPr>
      </w:pPr>
    </w:p>
    <w:p>
      <w:pPr>
        <w:ind w:left="1860" w:right="2099" w:hanging="124"/>
        <w:spacing w:after="0" w:line="293" w:lineRule="auto"/>
        <w:tabs>
          <w:tab w:leader="none" w:pos="18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funds for future distributions to our Series A and Series B preferred unitholders or distributions to our common unitholders for any one or more of the next four quarters.</w:t>
      </w:r>
    </w:p>
    <w:p>
      <w:pPr>
        <w:spacing w:after="0" w:line="64" w:lineRule="exact"/>
        <w:rPr>
          <w:sz w:val="20"/>
          <w:szCs w:val="20"/>
          <w:color w:val="auto"/>
        </w:rPr>
      </w:pPr>
    </w:p>
    <w:p>
      <w:pPr>
        <w:ind w:left="1480" w:right="1799" w:firstLine="266"/>
        <w:spacing w:after="0" w:line="277" w:lineRule="auto"/>
        <w:rPr>
          <w:sz w:val="20"/>
          <w:szCs w:val="20"/>
          <w:color w:val="auto"/>
        </w:rPr>
      </w:pPr>
      <w:r>
        <w:rPr>
          <w:rFonts w:ascii="Times New Roman" w:cs="Times New Roman" w:eastAsia="Times New Roman" w:hAnsi="Times New Roman"/>
          <w:sz w:val="13"/>
          <w:szCs w:val="13"/>
          <w:color w:val="auto"/>
        </w:rPr>
        <w:t>Our available cash also includes cash on hand resulting from borrowings made after the end of the quarter.</w:t>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Operating Surplus and Capital Surplus</w:t>
      </w:r>
    </w:p>
    <w:p>
      <w:pPr>
        <w:spacing w:after="0" w:line="110" w:lineRule="exact"/>
        <w:rPr>
          <w:sz w:val="20"/>
          <w:szCs w:val="20"/>
          <w:color w:val="auto"/>
        </w:rPr>
      </w:pPr>
    </w:p>
    <w:p>
      <w:pPr>
        <w:ind w:left="1480" w:right="1759" w:firstLine="266"/>
        <w:spacing w:after="0" w:line="268" w:lineRule="auto"/>
        <w:rPr>
          <w:sz w:val="20"/>
          <w:szCs w:val="20"/>
          <w:color w:val="auto"/>
        </w:rPr>
      </w:pPr>
      <w:r>
        <w:rPr>
          <w:rFonts w:ascii="Times New Roman" w:cs="Times New Roman" w:eastAsia="Times New Roman" w:hAnsi="Times New Roman"/>
          <w:sz w:val="13"/>
          <w:szCs w:val="13"/>
          <w:i w:val="1"/>
          <w:iCs w:val="1"/>
          <w:color w:val="auto"/>
        </w:rPr>
        <w:t>General</w:t>
      </w:r>
      <w:r>
        <w:rPr>
          <w:rFonts w:ascii="Times New Roman" w:cs="Times New Roman" w:eastAsia="Times New Roman" w:hAnsi="Times New Roman"/>
          <w:sz w:val="13"/>
          <w:szCs w:val="13"/>
          <w:color w:val="auto"/>
        </w:rPr>
        <w:t>. Cash distributions to our common unitholders will be characterized as either operating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surplus or capital surplus. We distribute available cash from operating surplus differently than available cash from capital surplus. See “— Quarterly Distributions of Available Cash.”</w:t>
      </w:r>
    </w:p>
    <w:p>
      <w:pPr>
        <w:spacing w:after="0" w:line="68" w:lineRule="exact"/>
        <w:rPr>
          <w:sz w:val="20"/>
          <w:szCs w:val="20"/>
          <w:color w:val="auto"/>
        </w:rPr>
      </w:pPr>
    </w:p>
    <w:p>
      <w:pPr>
        <w:ind w:left="1740"/>
        <w:spacing w:after="0"/>
        <w:tabs>
          <w:tab w:leader="none" w:pos="3640" w:val="left"/>
        </w:tabs>
        <w:rPr>
          <w:sz w:val="20"/>
          <w:szCs w:val="20"/>
          <w:color w:val="auto"/>
        </w:rPr>
      </w:pPr>
      <w:r>
        <w:rPr>
          <w:rFonts w:ascii="Times New Roman" w:cs="Times New Roman" w:eastAsia="Times New Roman" w:hAnsi="Times New Roman"/>
          <w:sz w:val="13"/>
          <w:szCs w:val="13"/>
          <w:i w:val="1"/>
          <w:iCs w:val="1"/>
          <w:color w:val="auto"/>
        </w:rPr>
        <w:t>Definition of Operating Surplus</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Operating surplus refers generally to:</w:t>
      </w:r>
    </w:p>
    <w:p>
      <w:pPr>
        <w:spacing w:after="0" w:line="92" w:lineRule="exact"/>
        <w:rPr>
          <w:sz w:val="20"/>
          <w:szCs w:val="20"/>
          <w:color w:val="auto"/>
        </w:rPr>
      </w:pPr>
    </w:p>
    <w:p>
      <w:pPr>
        <w:ind w:left="1860" w:hanging="124"/>
        <w:spacing w:after="0"/>
        <w:tabs>
          <w:tab w:leader="none" w:pos="18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cash balances on the closing date of our initial public offering; plus</w:t>
      </w:r>
    </w:p>
    <w:p>
      <w:pPr>
        <w:spacing w:after="0" w:line="8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 million; plus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our cash receipts from operations, excluding cash that is capital surplus; less</w:t>
      </w:r>
    </w:p>
    <w:p>
      <w:pPr>
        <w:spacing w:after="0" w:line="90" w:lineRule="exact"/>
        <w:rPr>
          <w:rFonts w:ascii="Times New Roman" w:cs="Times New Roman" w:eastAsia="Times New Roman" w:hAnsi="Times New Roman"/>
          <w:sz w:val="13"/>
          <w:szCs w:val="13"/>
          <w:color w:val="auto"/>
        </w:rPr>
      </w:pPr>
    </w:p>
    <w:p>
      <w:pPr>
        <w:ind w:left="1860" w:right="1639" w:hanging="124"/>
        <w:spacing w:after="0" w:line="274" w:lineRule="auto"/>
        <w:tabs>
          <w:tab w:leader="none" w:pos="18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75" w:lineRule="exact"/>
        <w:rPr>
          <w:sz w:val="20"/>
          <w:szCs w:val="20"/>
          <w:color w:val="auto"/>
        </w:rPr>
      </w:pPr>
    </w:p>
    <w:p>
      <w:pPr>
        <w:ind w:left="1740"/>
        <w:spacing w:after="0"/>
        <w:tabs>
          <w:tab w:leader="none" w:pos="3480" w:val="left"/>
        </w:tabs>
        <w:rPr>
          <w:sz w:val="20"/>
          <w:szCs w:val="20"/>
          <w:color w:val="auto"/>
        </w:rPr>
      </w:pPr>
      <w:r>
        <w:rPr>
          <w:rFonts w:ascii="Times New Roman" w:cs="Times New Roman" w:eastAsia="Times New Roman" w:hAnsi="Times New Roman"/>
          <w:sz w:val="13"/>
          <w:szCs w:val="13"/>
          <w:i w:val="1"/>
          <w:iCs w:val="1"/>
          <w:color w:val="auto"/>
        </w:rPr>
        <w:t>Definition of Capital Surplus</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Capital surplus will generally be generated only by:</w:t>
      </w:r>
    </w:p>
    <w:p>
      <w:pPr>
        <w:spacing w:after="0" w:line="82" w:lineRule="exact"/>
        <w:rPr>
          <w:sz w:val="20"/>
          <w:szCs w:val="20"/>
          <w:color w:val="auto"/>
        </w:rPr>
      </w:pPr>
    </w:p>
    <w:p>
      <w:pPr>
        <w:ind w:left="1860" w:hanging="124"/>
        <w:spacing w:after="0"/>
        <w:tabs>
          <w:tab w:leader="none" w:pos="18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borrowings other than working capital borrowings;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of debt and equity securities; and</w:t>
      </w:r>
    </w:p>
    <w:p>
      <w:pPr>
        <w:spacing w:after="0" w:line="90" w:lineRule="exact"/>
        <w:rPr>
          <w:rFonts w:ascii="Times New Roman" w:cs="Times New Roman" w:eastAsia="Times New Roman" w:hAnsi="Times New Roman"/>
          <w:sz w:val="13"/>
          <w:szCs w:val="13"/>
          <w:color w:val="auto"/>
        </w:rPr>
      </w:pPr>
    </w:p>
    <w:p>
      <w:pPr>
        <w:ind w:left="1860" w:right="1779" w:hanging="124"/>
        <w:spacing w:after="0" w:line="293" w:lineRule="auto"/>
        <w:tabs>
          <w:tab w:leader="none" w:pos="18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or other dispositions of assets for cash, other than inventory, accounts receivable and other assets in the ordinary course of business.</w:t>
      </w:r>
    </w:p>
    <w:p>
      <w:pPr>
        <w:spacing w:after="0" w:line="54" w:lineRule="exact"/>
        <w:rPr>
          <w:sz w:val="20"/>
          <w:szCs w:val="20"/>
          <w:color w:val="auto"/>
        </w:rPr>
      </w:pPr>
    </w:p>
    <w:p>
      <w:pPr>
        <w:ind w:left="1480" w:right="1559" w:firstLine="266"/>
        <w:spacing w:after="0" w:line="258" w:lineRule="auto"/>
        <w:rPr>
          <w:sz w:val="20"/>
          <w:szCs w:val="20"/>
          <w:color w:val="auto"/>
        </w:rPr>
      </w:pPr>
      <w:r>
        <w:rPr>
          <w:rFonts w:ascii="Times New Roman" w:cs="Times New Roman" w:eastAsia="Times New Roman" w:hAnsi="Times New Roman"/>
          <w:sz w:val="13"/>
          <w:szCs w:val="13"/>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76" w:lineRule="exact"/>
        <w:rPr>
          <w:sz w:val="20"/>
          <w:szCs w:val="20"/>
          <w:color w:val="auto"/>
        </w:rPr>
      </w:pPr>
    </w:p>
    <w:p>
      <w:pPr>
        <w:ind w:left="1480" w:right="1639" w:firstLine="266"/>
        <w:spacing w:after="0" w:line="258" w:lineRule="auto"/>
        <w:rPr>
          <w:sz w:val="20"/>
          <w:szCs w:val="20"/>
          <w:color w:val="auto"/>
        </w:rPr>
      </w:pPr>
      <w:r>
        <w:rPr>
          <w:rFonts w:ascii="Times New Roman" w:cs="Times New Roman" w:eastAsia="Times New Roman" w:hAnsi="Times New Roman"/>
          <w:sz w:val="13"/>
          <w:szCs w:val="13"/>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Effect of Issuance of Additional Units</w:t>
      </w:r>
    </w:p>
    <w:p>
      <w:pPr>
        <w:spacing w:after="0" w:line="112" w:lineRule="exact"/>
        <w:rPr>
          <w:sz w:val="20"/>
          <w:szCs w:val="20"/>
          <w:color w:val="auto"/>
        </w:rPr>
      </w:pPr>
    </w:p>
    <w:p>
      <w:pPr>
        <w:ind w:left="1480" w:right="1479" w:firstLine="266"/>
        <w:spacing w:after="0" w:line="293" w:lineRule="auto"/>
        <w:rPr>
          <w:sz w:val="20"/>
          <w:szCs w:val="20"/>
          <w:color w:val="auto"/>
        </w:rPr>
      </w:pPr>
      <w:r>
        <w:rPr>
          <w:rFonts w:ascii="Times New Roman" w:cs="Times New Roman" w:eastAsia="Times New Roman" w:hAnsi="Times New Roman"/>
          <w:sz w:val="13"/>
          <w:szCs w:val="13"/>
          <w:color w:val="auto"/>
        </w:rPr>
        <w:t>We can issue additional common units or other equity securities for consideration and under terms and conditions approved by our general partner in its sole discretion and without the approval of our unitholders,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4" w:name="page25"/>
    <w:bookmarkEnd w:id="24"/>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639"/>
        <w:spacing w:after="0" w:line="286" w:lineRule="auto"/>
        <w:rPr>
          <w:sz w:val="20"/>
          <w:szCs w:val="20"/>
          <w:color w:val="auto"/>
        </w:rPr>
      </w:pPr>
      <w:r>
        <w:rPr>
          <w:rFonts w:ascii="Times New Roman" w:cs="Times New Roman" w:eastAsia="Times New Roman" w:hAnsi="Times New Roman"/>
          <w:sz w:val="13"/>
          <w:szCs w:val="13"/>
          <w:color w:val="auto"/>
        </w:rPr>
        <w:t>other than current holders of our Series A preferred units and Series B preferred units in certain circumstances. We may fund acquisitions through the issuance of additional common units or other equity securities.</w:t>
      </w:r>
    </w:p>
    <w:p>
      <w:pPr>
        <w:spacing w:after="0" w:line="233" w:lineRule="exact"/>
        <w:rPr>
          <w:sz w:val="20"/>
          <w:szCs w:val="20"/>
          <w:color w:val="auto"/>
        </w:rPr>
      </w:pPr>
    </w:p>
    <w:p>
      <w:pPr>
        <w:ind w:left="1480" w:right="1659" w:firstLine="266"/>
        <w:spacing w:after="0" w:line="274" w:lineRule="auto"/>
        <w:rPr>
          <w:sz w:val="20"/>
          <w:szCs w:val="20"/>
          <w:color w:val="auto"/>
        </w:rPr>
      </w:pPr>
      <w:r>
        <w:rPr>
          <w:rFonts w:ascii="Times New Roman" w:cs="Times New Roman" w:eastAsia="Times New Roman" w:hAnsi="Times New Roman"/>
          <w:sz w:val="13"/>
          <w:szCs w:val="13"/>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Series A Preferred Units</w:t>
      </w:r>
    </w:p>
    <w:p>
      <w:pPr>
        <w:spacing w:after="0" w:line="122" w:lineRule="exact"/>
        <w:rPr>
          <w:sz w:val="20"/>
          <w:szCs w:val="20"/>
          <w:color w:val="auto"/>
        </w:rPr>
      </w:pPr>
    </w:p>
    <w:p>
      <w:pPr>
        <w:ind w:left="1480" w:right="1719" w:firstLine="266"/>
        <w:spacing w:after="0" w:line="286" w:lineRule="auto"/>
        <w:rPr>
          <w:sz w:val="20"/>
          <w:szCs w:val="20"/>
          <w:color w:val="auto"/>
        </w:rPr>
      </w:pPr>
      <w:r>
        <w:rPr>
          <w:rFonts w:ascii="Times New Roman" w:cs="Times New Roman" w:eastAsia="Times New Roman" w:hAnsi="Times New Roman"/>
          <w:sz w:val="13"/>
          <w:szCs w:val="13"/>
          <w:color w:val="auto"/>
        </w:rPr>
        <w:t>The terms of our Series A preferred units and notable provisions with respect to distributions on the Series A preferred units are described under “Description of Our Preferred Units — Series A Preferred Units.”</w:t>
      </w:r>
    </w:p>
    <w:p>
      <w:pPr>
        <w:spacing w:after="0" w:line="2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Series B Preferred Units</w:t>
      </w:r>
    </w:p>
    <w:p>
      <w:pPr>
        <w:spacing w:after="0" w:line="112" w:lineRule="exact"/>
        <w:rPr>
          <w:sz w:val="20"/>
          <w:szCs w:val="20"/>
          <w:color w:val="auto"/>
        </w:rPr>
      </w:pPr>
    </w:p>
    <w:p>
      <w:pPr>
        <w:ind w:left="1480" w:right="1719" w:firstLine="266"/>
        <w:spacing w:after="0" w:line="286" w:lineRule="auto"/>
        <w:rPr>
          <w:sz w:val="20"/>
          <w:szCs w:val="20"/>
          <w:color w:val="auto"/>
        </w:rPr>
      </w:pPr>
      <w:r>
        <w:rPr>
          <w:rFonts w:ascii="Times New Roman" w:cs="Times New Roman" w:eastAsia="Times New Roman" w:hAnsi="Times New Roman"/>
          <w:sz w:val="13"/>
          <w:szCs w:val="13"/>
          <w:color w:val="auto"/>
        </w:rPr>
        <w:t>The terms of our Series B preferred units and notable provisions with respect to distributions on the Series B preferred units are described under “Description of Our Preferred Units — Series B Preferred Units.”</w:t>
      </w:r>
    </w:p>
    <w:p>
      <w:pPr>
        <w:spacing w:after="0" w:line="2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Quarterly Distributions of Available Cash</w:t>
      </w:r>
    </w:p>
    <w:p>
      <w:pPr>
        <w:spacing w:after="0" w:line="122" w:lineRule="exact"/>
        <w:rPr>
          <w:sz w:val="20"/>
          <w:szCs w:val="20"/>
          <w:color w:val="auto"/>
        </w:rPr>
      </w:pPr>
    </w:p>
    <w:p>
      <w:pPr>
        <w:ind w:left="1480" w:right="1619" w:firstLine="266"/>
        <w:spacing w:after="0" w:line="268" w:lineRule="auto"/>
        <w:rPr>
          <w:sz w:val="20"/>
          <w:szCs w:val="20"/>
          <w:color w:val="auto"/>
        </w:rPr>
      </w:pPr>
      <w:r>
        <w:rPr>
          <w:rFonts w:ascii="Times New Roman" w:cs="Times New Roman" w:eastAsia="Times New Roman" w:hAnsi="Times New Roman"/>
          <w:sz w:val="13"/>
          <w:szCs w:val="13"/>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Distributions from Operating Surplus</w:t>
      </w:r>
    </w:p>
    <w:p>
      <w:pPr>
        <w:spacing w:after="0" w:line="122" w:lineRule="exact"/>
        <w:rPr>
          <w:sz w:val="20"/>
          <w:szCs w:val="20"/>
          <w:color w:val="auto"/>
        </w:rPr>
      </w:pPr>
    </w:p>
    <w:p>
      <w:pPr>
        <w:ind w:left="1480" w:right="1499" w:firstLine="266"/>
        <w:spacing w:after="0" w:line="272" w:lineRule="auto"/>
        <w:rPr>
          <w:sz w:val="20"/>
          <w:szCs w:val="20"/>
          <w:color w:val="auto"/>
        </w:rPr>
      </w:pPr>
      <w:r>
        <w:rPr>
          <w:rFonts w:ascii="Times New Roman" w:cs="Times New Roman" w:eastAsia="Times New Roman" w:hAnsi="Times New Roman"/>
          <w:sz w:val="13"/>
          <w:szCs w:val="13"/>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2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Distributions from Capital Surplus</w:t>
      </w:r>
    </w:p>
    <w:p>
      <w:pPr>
        <w:spacing w:after="0" w:line="112" w:lineRule="exact"/>
        <w:rPr>
          <w:sz w:val="20"/>
          <w:szCs w:val="20"/>
          <w:color w:val="auto"/>
        </w:rPr>
      </w:pPr>
    </w:p>
    <w:p>
      <w:pPr>
        <w:ind w:left="1480" w:right="1619" w:firstLine="266"/>
        <w:spacing w:after="0" w:line="268" w:lineRule="auto"/>
        <w:rPr>
          <w:sz w:val="20"/>
          <w:szCs w:val="20"/>
          <w:color w:val="auto"/>
        </w:rPr>
      </w:pPr>
      <w:r>
        <w:rPr>
          <w:rFonts w:ascii="Times New Roman" w:cs="Times New Roman" w:eastAsia="Times New Roman" w:hAnsi="Times New Roman"/>
          <w:sz w:val="13"/>
          <w:szCs w:val="13"/>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 2∕3% of the outstanding Series B preferred units.</w:t>
      </w:r>
    </w:p>
    <w:p>
      <w:pPr>
        <w:spacing w:after="0" w:line="1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Distribution of Cash upon Liquidation</w:t>
      </w:r>
    </w:p>
    <w:p>
      <w:pPr>
        <w:spacing w:after="0" w:line="122" w:lineRule="exact"/>
        <w:rPr>
          <w:sz w:val="20"/>
          <w:szCs w:val="20"/>
          <w:color w:val="auto"/>
        </w:rPr>
      </w:pPr>
    </w:p>
    <w:p>
      <w:pPr>
        <w:ind w:left="1480" w:right="1759" w:firstLine="266"/>
        <w:spacing w:after="0" w:line="266" w:lineRule="auto"/>
        <w:rPr>
          <w:sz w:val="20"/>
          <w:szCs w:val="20"/>
          <w:color w:val="auto"/>
        </w:rPr>
      </w:pPr>
      <w:r>
        <w:rPr>
          <w:rFonts w:ascii="Times New Roman" w:cs="Times New Roman" w:eastAsia="Times New Roman" w:hAnsi="Times New Roman"/>
          <w:sz w:val="13"/>
          <w:szCs w:val="13"/>
          <w:color w:val="auto"/>
        </w:rPr>
        <w:t>If we dissolve and liquidate, we will sell or otherwise dispose of our assets and adjust the partners’ capital account balances to reflect any resulting gain or loss. We will apply the proceeds of liquidation</w:t>
      </w:r>
    </w:p>
    <w:p>
      <w:pPr>
        <w:spacing w:after="0" w:line="1" w:lineRule="exact"/>
        <w:rPr>
          <w:sz w:val="20"/>
          <w:szCs w:val="20"/>
          <w:color w:val="auto"/>
        </w:rPr>
      </w:pPr>
    </w:p>
    <w:p>
      <w:pPr>
        <w:ind w:left="1480" w:right="1519" w:hanging="10"/>
        <w:spacing w:after="0" w:line="264" w:lineRule="auto"/>
        <w:tabs>
          <w:tab w:leader="none" w:pos="1649"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5" w:name="page26"/>
    <w:bookmarkEnd w:id="25"/>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OUR PARTNERSHIP AGREEMENT</w:t>
      </w:r>
    </w:p>
    <w:p>
      <w:pPr>
        <w:spacing w:after="0" w:line="122" w:lineRule="exact"/>
        <w:rPr>
          <w:sz w:val="20"/>
          <w:szCs w:val="20"/>
          <w:color w:val="auto"/>
        </w:rPr>
      </w:pPr>
    </w:p>
    <w:p>
      <w:pPr>
        <w:ind w:left="1480" w:right="1519" w:firstLine="266"/>
        <w:spacing w:after="0" w:line="293" w:lineRule="auto"/>
        <w:rPr>
          <w:sz w:val="20"/>
          <w:szCs w:val="20"/>
          <w:color w:val="auto"/>
        </w:rPr>
      </w:pPr>
      <w:r>
        <w:rPr>
          <w:rFonts w:ascii="Times New Roman" w:cs="Times New Roman" w:eastAsia="Times New Roman" w:hAnsi="Times New Roman"/>
          <w:sz w:val="13"/>
          <w:szCs w:val="13"/>
          <w:color w:val="auto"/>
        </w:rPr>
        <w:t>The following is a summary of certain material provisions of our partnership agreement. The following provisions of our partnership agreement are summarized elsewhere in this prospectus:</w:t>
      </w:r>
    </w:p>
    <w:p>
      <w:pPr>
        <w:spacing w:after="0" w:line="44" w:lineRule="exact"/>
        <w:rPr>
          <w:sz w:val="20"/>
          <w:szCs w:val="20"/>
          <w:color w:val="auto"/>
        </w:rPr>
      </w:pPr>
    </w:p>
    <w:p>
      <w:pPr>
        <w:ind w:left="1860" w:hanging="124"/>
        <w:spacing w:after="0"/>
        <w:tabs>
          <w:tab w:leader="none" w:pos="18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distributions of our available cash are described under “Cash Distribution Policy”;</w:t>
      </w:r>
    </w:p>
    <w:p>
      <w:pPr>
        <w:spacing w:after="0" w:line="110" w:lineRule="exact"/>
        <w:rPr>
          <w:rFonts w:ascii="Times New Roman" w:cs="Times New Roman" w:eastAsia="Times New Roman" w:hAnsi="Times New Roman"/>
          <w:sz w:val="13"/>
          <w:szCs w:val="13"/>
          <w:color w:val="auto"/>
        </w:rPr>
      </w:pPr>
    </w:p>
    <w:p>
      <w:pPr>
        <w:ind w:left="1860" w:right="1859" w:hanging="124"/>
        <w:spacing w:after="0" w:line="293" w:lineRule="auto"/>
        <w:tabs>
          <w:tab w:leader="none" w:pos="18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allocations of taxable income and other tax matters are described under “Material U.S. Federal Income Tax Consequences”;</w:t>
      </w:r>
    </w:p>
    <w:p>
      <w:pPr>
        <w:spacing w:after="0" w:line="4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rights of holders of our preferred units are described under “Description of Our Preferred Units”; and</w:t>
      </w:r>
    </w:p>
    <w:p>
      <w:pPr>
        <w:spacing w:after="0" w:line="10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rights of holders of our common units are described under “Description of Our Common Units.”</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Purpose</w:t>
      </w:r>
    </w:p>
    <w:p>
      <w:pPr>
        <w:spacing w:after="0" w:line="122" w:lineRule="exact"/>
        <w:rPr>
          <w:sz w:val="20"/>
          <w:szCs w:val="20"/>
          <w:color w:val="auto"/>
        </w:rPr>
      </w:pPr>
    </w:p>
    <w:p>
      <w:pPr>
        <w:ind w:left="1480" w:right="1519" w:firstLine="266"/>
        <w:spacing w:after="0" w:line="265" w:lineRule="auto"/>
        <w:rPr>
          <w:sz w:val="20"/>
          <w:szCs w:val="20"/>
          <w:color w:val="auto"/>
        </w:rPr>
      </w:pPr>
      <w:r>
        <w:rPr>
          <w:rFonts w:ascii="Times New Roman" w:cs="Times New Roman" w:eastAsia="Times New Roman" w:hAnsi="Times New Roman"/>
          <w:sz w:val="13"/>
          <w:szCs w:val="13"/>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Applicable Law; Forum, Venue and Jurisdiction</w:t>
      </w:r>
    </w:p>
    <w:p>
      <w:pPr>
        <w:spacing w:after="0" w:line="122" w:lineRule="exact"/>
        <w:rPr>
          <w:sz w:val="20"/>
          <w:szCs w:val="20"/>
          <w:color w:val="auto"/>
        </w:rPr>
      </w:pPr>
    </w:p>
    <w:p>
      <w:pPr>
        <w:ind w:left="1480" w:right="1619" w:firstLine="266"/>
        <w:spacing w:after="0" w:line="293" w:lineRule="auto"/>
        <w:rPr>
          <w:sz w:val="20"/>
          <w:szCs w:val="20"/>
          <w:color w:val="auto"/>
        </w:rPr>
      </w:pPr>
      <w:r>
        <w:rPr>
          <w:rFonts w:ascii="Times New Roman" w:cs="Times New Roman" w:eastAsia="Times New Roman" w:hAnsi="Times New Roman"/>
          <w:sz w:val="13"/>
          <w:szCs w:val="13"/>
          <w:color w:val="auto"/>
        </w:rPr>
        <w:t>Our partnership agreement is governed by Delaware law. Our partnership agreement requires that any claims, suits, actions or proceedings:</w:t>
      </w:r>
    </w:p>
    <w:p>
      <w:pPr>
        <w:spacing w:after="0" w:line="44" w:lineRule="exact"/>
        <w:rPr>
          <w:sz w:val="20"/>
          <w:szCs w:val="20"/>
          <w:color w:val="auto"/>
        </w:rPr>
      </w:pPr>
    </w:p>
    <w:p>
      <w:pPr>
        <w:ind w:left="1860" w:right="1799" w:hanging="124"/>
        <w:spacing w:after="0" w:line="268" w:lineRule="auto"/>
        <w:tabs>
          <w:tab w:leader="none" w:pos="18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spacing w:after="0" w:line="6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brought in a derivative manner on our behalf;</w:t>
      </w:r>
    </w:p>
    <w:p>
      <w:pPr>
        <w:spacing w:after="0" w:line="110" w:lineRule="exact"/>
        <w:rPr>
          <w:rFonts w:ascii="Times New Roman" w:cs="Times New Roman" w:eastAsia="Times New Roman" w:hAnsi="Times New Roman"/>
          <w:sz w:val="13"/>
          <w:szCs w:val="13"/>
          <w:color w:val="auto"/>
        </w:rPr>
      </w:pPr>
    </w:p>
    <w:p>
      <w:pPr>
        <w:ind w:left="1860" w:right="1559" w:hanging="124"/>
        <w:spacing w:after="0" w:line="293" w:lineRule="auto"/>
        <w:tabs>
          <w:tab w:leader="none" w:pos="18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asserting a claim of breach of a fiduciary duty owed by any director, officer or other employee of us or our generally partner, or owed by our general partner to us or the unitholders;</w:t>
      </w:r>
    </w:p>
    <w:p>
      <w:pPr>
        <w:spacing w:after="0" w:line="44" w:lineRule="exact"/>
        <w:rPr>
          <w:rFonts w:ascii="Times New Roman" w:cs="Times New Roman" w:eastAsia="Times New Roman" w:hAnsi="Times New Roman"/>
          <w:sz w:val="13"/>
          <w:szCs w:val="13"/>
          <w:color w:val="auto"/>
        </w:rPr>
      </w:pPr>
    </w:p>
    <w:p>
      <w:pPr>
        <w:ind w:left="1860" w:right="1939" w:hanging="124"/>
        <w:spacing w:after="0" w:line="293" w:lineRule="auto"/>
        <w:tabs>
          <w:tab w:leader="none" w:pos="18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asserting a claim arising pursuant to any provision of the Delaware Revised Uniform Limited Partnership Act (the “Delaware Act”); or</w:t>
      </w:r>
    </w:p>
    <w:p>
      <w:pPr>
        <w:spacing w:after="0" w:line="4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asserting a claim governed by the internal affairs doctrine;</w:t>
      </w:r>
    </w:p>
    <w:p>
      <w:pPr>
        <w:spacing w:after="0" w:line="120" w:lineRule="exact"/>
        <w:rPr>
          <w:sz w:val="20"/>
          <w:szCs w:val="20"/>
          <w:color w:val="auto"/>
        </w:rPr>
      </w:pPr>
    </w:p>
    <w:p>
      <w:pPr>
        <w:ind w:left="1480" w:right="1519"/>
        <w:spacing w:after="0" w:line="267" w:lineRule="auto"/>
        <w:rPr>
          <w:sz w:val="20"/>
          <w:szCs w:val="20"/>
          <w:color w:val="auto"/>
        </w:rPr>
      </w:pPr>
      <w:r>
        <w:rPr>
          <w:rFonts w:ascii="Times New Roman" w:cs="Times New Roman" w:eastAsia="Times New Roman" w:hAnsi="Times New Roman"/>
          <w:sz w:val="13"/>
          <w:szCs w:val="13"/>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w:t>
      </w:r>
    </w:p>
    <w:p>
      <w:pPr>
        <w:spacing w:after="0" w:line="233" w:lineRule="exact"/>
        <w:rPr>
          <w:sz w:val="20"/>
          <w:szCs w:val="20"/>
          <w:color w:val="auto"/>
        </w:rPr>
      </w:pPr>
    </w:p>
    <w:p>
      <w:pPr>
        <w:ind w:left="1480" w:right="1479" w:firstLine="266"/>
        <w:spacing w:after="0" w:line="260" w:lineRule="auto"/>
        <w:rPr>
          <w:sz w:val="20"/>
          <w:szCs w:val="20"/>
          <w:color w:val="auto"/>
        </w:rPr>
      </w:pPr>
      <w:r>
        <w:rPr>
          <w:rFonts w:ascii="Times New Roman" w:cs="Times New Roman" w:eastAsia="Times New Roman" w:hAnsi="Times New Roman"/>
          <w:sz w:val="13"/>
          <w:szCs w:val="13"/>
          <w:color w:val="auto"/>
        </w:rPr>
        <w:t>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6" w:name="page27"/>
    <w:bookmarkEnd w:id="26"/>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22" w:lineRule="exact"/>
        <w:rPr>
          <w:sz w:val="20"/>
          <w:szCs w:val="20"/>
          <w:color w:val="auto"/>
        </w:rPr>
      </w:pPr>
    </w:p>
    <w:p>
      <w:pPr>
        <w:ind w:left="1480" w:right="1479" w:firstLine="266"/>
        <w:spacing w:after="0" w:line="267" w:lineRule="auto"/>
        <w:rPr>
          <w:sz w:val="20"/>
          <w:szCs w:val="20"/>
          <w:color w:val="auto"/>
        </w:rPr>
      </w:pPr>
      <w:r>
        <w:rPr>
          <w:rFonts w:ascii="Times New Roman" w:cs="Times New Roman" w:eastAsia="Times New Roman" w:hAnsi="Times New Roman"/>
          <w:sz w:val="13"/>
          <w:szCs w:val="13"/>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29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Issuance of Additional Securities</w:t>
      </w:r>
    </w:p>
    <w:p>
      <w:pPr>
        <w:spacing w:after="0" w:line="122" w:lineRule="exact"/>
        <w:rPr>
          <w:sz w:val="20"/>
          <w:szCs w:val="20"/>
          <w:color w:val="auto"/>
        </w:rPr>
      </w:pPr>
    </w:p>
    <w:p>
      <w:pPr>
        <w:ind w:left="1480" w:right="1599" w:firstLine="266"/>
        <w:spacing w:after="0" w:line="272" w:lineRule="auto"/>
        <w:rPr>
          <w:sz w:val="20"/>
          <w:szCs w:val="20"/>
          <w:color w:val="auto"/>
        </w:rPr>
      </w:pPr>
      <w:r>
        <w:rPr>
          <w:rFonts w:ascii="Times New Roman" w:cs="Times New Roman" w:eastAsia="Times New Roman" w:hAnsi="Times New Roman"/>
          <w:sz w:val="13"/>
          <w:szCs w:val="13"/>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230" w:lineRule="exact"/>
        <w:rPr>
          <w:sz w:val="20"/>
          <w:szCs w:val="20"/>
          <w:color w:val="auto"/>
        </w:rPr>
      </w:pPr>
    </w:p>
    <w:p>
      <w:pPr>
        <w:ind w:left="1480" w:right="1519" w:firstLine="266"/>
        <w:spacing w:after="0" w:line="267" w:lineRule="auto"/>
        <w:rPr>
          <w:sz w:val="20"/>
          <w:szCs w:val="20"/>
          <w:color w:val="auto"/>
        </w:rPr>
      </w:pPr>
      <w:r>
        <w:rPr>
          <w:rFonts w:ascii="Times New Roman" w:cs="Times New Roman" w:eastAsia="Times New Roman" w:hAnsi="Times New Roman"/>
          <w:sz w:val="13"/>
          <w:szCs w:val="13"/>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243" w:lineRule="exact"/>
        <w:rPr>
          <w:sz w:val="20"/>
          <w:szCs w:val="20"/>
          <w:color w:val="auto"/>
        </w:rPr>
      </w:pPr>
    </w:p>
    <w:p>
      <w:pPr>
        <w:jc w:val="both"/>
        <w:ind w:left="1480" w:right="1639" w:firstLine="266"/>
        <w:spacing w:after="0" w:line="274" w:lineRule="auto"/>
        <w:rPr>
          <w:sz w:val="20"/>
          <w:szCs w:val="20"/>
          <w:color w:val="auto"/>
        </w:rPr>
      </w:pPr>
      <w:r>
        <w:rPr>
          <w:rFonts w:ascii="Times New Roman" w:cs="Times New Roman" w:eastAsia="Times New Roman" w:hAnsi="Times New Roman"/>
          <w:sz w:val="13"/>
          <w:szCs w:val="13"/>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77" w:lineRule="exact"/>
        <w:rPr>
          <w:sz w:val="20"/>
          <w:szCs w:val="20"/>
          <w:color w:val="auto"/>
        </w:rPr>
      </w:pPr>
    </w:p>
    <w:p>
      <w:pPr>
        <w:ind w:left="1480" w:right="1499" w:firstLine="266"/>
        <w:spacing w:after="0" w:line="264" w:lineRule="auto"/>
        <w:rPr>
          <w:sz w:val="20"/>
          <w:szCs w:val="20"/>
          <w:color w:val="auto"/>
        </w:rPr>
      </w:pPr>
      <w:r>
        <w:rPr>
          <w:rFonts w:ascii="Times New Roman" w:cs="Times New Roman" w:eastAsia="Times New Roman" w:hAnsi="Times New Roman"/>
          <w:sz w:val="13"/>
          <w:szCs w:val="13"/>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2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Amendments to Our Partnership Agreement</w:t>
      </w:r>
    </w:p>
    <w:p>
      <w:pPr>
        <w:spacing w:after="0" w:line="112" w:lineRule="exact"/>
        <w:rPr>
          <w:sz w:val="20"/>
          <w:szCs w:val="20"/>
          <w:color w:val="auto"/>
        </w:rPr>
      </w:pPr>
    </w:p>
    <w:p>
      <w:pPr>
        <w:ind w:left="1480" w:right="1519" w:firstLine="266"/>
        <w:spacing w:after="0" w:line="263" w:lineRule="auto"/>
        <w:rPr>
          <w:sz w:val="20"/>
          <w:szCs w:val="20"/>
          <w:color w:val="auto"/>
        </w:rPr>
      </w:pPr>
      <w:r>
        <w:rPr>
          <w:rFonts w:ascii="Times New Roman" w:cs="Times New Roman" w:eastAsia="Times New Roman" w:hAnsi="Times New Roman"/>
          <w:sz w:val="13"/>
          <w:szCs w:val="13"/>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Withdrawal or Removal of Our General Partner</w:t>
      </w:r>
    </w:p>
    <w:p>
      <w:pPr>
        <w:spacing w:after="0" w:line="122" w:lineRule="exact"/>
        <w:rPr>
          <w:sz w:val="20"/>
          <w:szCs w:val="20"/>
          <w:color w:val="auto"/>
        </w:rPr>
      </w:pPr>
    </w:p>
    <w:p>
      <w:pPr>
        <w:ind w:left="1480" w:right="1539" w:firstLine="266"/>
        <w:spacing w:after="0" w:line="265" w:lineRule="auto"/>
        <w:rPr>
          <w:sz w:val="20"/>
          <w:szCs w:val="20"/>
          <w:color w:val="auto"/>
        </w:rPr>
      </w:pPr>
      <w:r>
        <w:rPr>
          <w:rFonts w:ascii="Times New Roman" w:cs="Times New Roman" w:eastAsia="Times New Roman" w:hAnsi="Times New Roman"/>
          <w:sz w:val="13"/>
          <w:szCs w:val="13"/>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83" w:lineRule="exact"/>
        <w:rPr>
          <w:sz w:val="20"/>
          <w:szCs w:val="20"/>
          <w:color w:val="auto"/>
        </w:rPr>
      </w:pPr>
    </w:p>
    <w:p>
      <w:pPr>
        <w:ind w:left="1480" w:right="1619" w:firstLine="266"/>
        <w:spacing w:after="0" w:line="261" w:lineRule="auto"/>
        <w:rPr>
          <w:sz w:val="20"/>
          <w:szCs w:val="20"/>
          <w:color w:val="auto"/>
        </w:rPr>
      </w:pPr>
      <w:r>
        <w:rPr>
          <w:rFonts w:ascii="Times New Roman" w:cs="Times New Roman" w:eastAsia="Times New Roman" w:hAnsi="Times New Roman"/>
          <w:sz w:val="13"/>
          <w:szCs w:val="13"/>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7" w:name="page28"/>
    <w:bookmarkEnd w:id="27"/>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559" w:firstLine="266"/>
        <w:spacing w:after="0" w:line="254" w:lineRule="auto"/>
        <w:rPr>
          <w:sz w:val="20"/>
          <w:szCs w:val="20"/>
          <w:color w:val="auto"/>
        </w:rPr>
      </w:pPr>
      <w:r>
        <w:rPr>
          <w:rFonts w:ascii="Times New Roman" w:cs="Times New Roman" w:eastAsia="Times New Roman" w:hAnsi="Times New Roman"/>
          <w:sz w:val="13"/>
          <w:szCs w:val="13"/>
          <w:color w:val="auto"/>
        </w:rPr>
        <w:t>Our general partner may not be removed unless that removal is approved by the vote of the holders of not less than two- 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237" w:lineRule="exact"/>
        <w:rPr>
          <w:sz w:val="20"/>
          <w:szCs w:val="20"/>
          <w:color w:val="auto"/>
        </w:rPr>
      </w:pPr>
    </w:p>
    <w:p>
      <w:pPr>
        <w:ind w:left="1480" w:right="1719" w:firstLine="266"/>
        <w:spacing w:after="0" w:line="266" w:lineRule="auto"/>
        <w:rPr>
          <w:sz w:val="20"/>
          <w:szCs w:val="20"/>
          <w:color w:val="auto"/>
        </w:rPr>
      </w:pPr>
      <w:r>
        <w:rPr>
          <w:rFonts w:ascii="Times New Roman" w:cs="Times New Roman" w:eastAsia="Times New Roman" w:hAnsi="Times New Roman"/>
          <w:sz w:val="13"/>
          <w:szCs w:val="13"/>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72" w:lineRule="exact"/>
        <w:rPr>
          <w:sz w:val="20"/>
          <w:szCs w:val="20"/>
          <w:color w:val="auto"/>
        </w:rPr>
      </w:pPr>
    </w:p>
    <w:p>
      <w:pPr>
        <w:jc w:val="both"/>
        <w:ind w:left="1480" w:right="1539" w:firstLine="266"/>
        <w:spacing w:after="0" w:line="277" w:lineRule="auto"/>
        <w:rPr>
          <w:sz w:val="20"/>
          <w:szCs w:val="20"/>
          <w:color w:val="auto"/>
        </w:rPr>
      </w:pPr>
      <w:r>
        <w:rPr>
          <w:rFonts w:ascii="Times New Roman" w:cs="Times New Roman" w:eastAsia="Times New Roman" w:hAnsi="Times New Roman"/>
          <w:sz w:val="13"/>
          <w:szCs w:val="13"/>
          <w:color w:val="auto"/>
        </w:rPr>
        <w:t>In addition, our partnership agreement expressly permits the sale, in whole or in part, of the ownership of our general partner. Our general partner may also transfer, in whole or in part, the common units it owns.</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Merger, Sale or Other Disposition of Assets</w:t>
      </w:r>
    </w:p>
    <w:p>
      <w:pPr>
        <w:spacing w:after="0" w:line="122" w:lineRule="exact"/>
        <w:rPr>
          <w:sz w:val="20"/>
          <w:szCs w:val="20"/>
          <w:color w:val="auto"/>
        </w:rPr>
      </w:pPr>
    </w:p>
    <w:p>
      <w:pPr>
        <w:ind w:left="1480" w:right="1599" w:firstLine="266"/>
        <w:spacing w:after="0" w:line="250" w:lineRule="auto"/>
        <w:rPr>
          <w:sz w:val="20"/>
          <w:szCs w:val="20"/>
          <w:color w:val="auto"/>
        </w:rPr>
      </w:pPr>
      <w:r>
        <w:rPr>
          <w:rFonts w:ascii="Times New Roman" w:cs="Times New Roman" w:eastAsia="Times New Roman" w:hAnsi="Times New Roman"/>
          <w:sz w:val="13"/>
          <w:szCs w:val="13"/>
          <w:color w:val="auto"/>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unitholder approval. Our general partner may also sell all or substantially all of our assets under a foreclosure or other realization upon any such mortgage, pledge, hypothecate or security interest without that approval.</w:t>
      </w:r>
    </w:p>
    <w:p>
      <w:pPr>
        <w:spacing w:after="0" w:line="237" w:lineRule="exact"/>
        <w:rPr>
          <w:sz w:val="20"/>
          <w:szCs w:val="20"/>
          <w:color w:val="auto"/>
        </w:rPr>
      </w:pPr>
    </w:p>
    <w:p>
      <w:pPr>
        <w:ind w:left="1480" w:right="1499" w:firstLine="266"/>
        <w:spacing w:after="0" w:line="252" w:lineRule="auto"/>
        <w:rPr>
          <w:sz w:val="20"/>
          <w:szCs w:val="20"/>
          <w:color w:val="auto"/>
        </w:rPr>
      </w:pPr>
      <w:r>
        <w:rPr>
          <w:rFonts w:ascii="Times New Roman" w:cs="Times New Roman" w:eastAsia="Times New Roman" w:hAnsi="Times New Roman"/>
          <w:sz w:val="13"/>
          <w:szCs w:val="13"/>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spacing w:after="0" w:line="2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Liquidation and Distribution of Proceeds</w:t>
      </w:r>
    </w:p>
    <w:p>
      <w:pPr>
        <w:spacing w:after="0" w:line="122" w:lineRule="exact"/>
        <w:rPr>
          <w:sz w:val="20"/>
          <w:szCs w:val="20"/>
          <w:color w:val="auto"/>
        </w:rPr>
      </w:pPr>
    </w:p>
    <w:p>
      <w:pPr>
        <w:ind w:left="1480" w:right="1559" w:firstLine="266"/>
        <w:spacing w:after="0" w:line="258" w:lineRule="auto"/>
        <w:rPr>
          <w:sz w:val="20"/>
          <w:szCs w:val="20"/>
          <w:color w:val="auto"/>
        </w:rPr>
      </w:pPr>
      <w:r>
        <w:rPr>
          <w:rFonts w:ascii="Times New Roman" w:cs="Times New Roman" w:eastAsia="Times New Roman" w:hAnsi="Times New Roman"/>
          <w:sz w:val="13"/>
          <w:szCs w:val="13"/>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46" w:lineRule="exact"/>
        <w:rPr>
          <w:sz w:val="20"/>
          <w:szCs w:val="20"/>
          <w:color w:val="auto"/>
        </w:rPr>
      </w:pPr>
    </w:p>
    <w:p>
      <w:pPr>
        <w:ind w:left="1860" w:right="2019" w:hanging="124"/>
        <w:spacing w:after="0" w:line="293" w:lineRule="auto"/>
        <w:tabs>
          <w:tab w:leader="none" w:pos="18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 towards the payment of all of our creditors and the creation of a reserve for contingent liabilities;</w:t>
      </w:r>
    </w:p>
    <w:p>
      <w:pPr>
        <w:spacing w:after="0" w:line="24" w:lineRule="exact"/>
        <w:rPr>
          <w:rFonts w:ascii="Times New Roman" w:cs="Times New Roman" w:eastAsia="Times New Roman" w:hAnsi="Times New Roman"/>
          <w:sz w:val="13"/>
          <w:szCs w:val="13"/>
          <w:color w:val="auto"/>
        </w:rPr>
      </w:pPr>
    </w:p>
    <w:p>
      <w:pPr>
        <w:ind w:left="1860" w:right="1839" w:hanging="124"/>
        <w:spacing w:after="0" w:line="274" w:lineRule="auto"/>
        <w:tabs>
          <w:tab w:leader="none" w:pos="18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36"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finally, to all partners in accordance with the positive balance in their respective capital accounts.</w:t>
      </w:r>
    </w:p>
    <w:p>
      <w:pPr>
        <w:spacing w:after="0" w:line="110" w:lineRule="exact"/>
        <w:rPr>
          <w:sz w:val="20"/>
          <w:szCs w:val="20"/>
          <w:color w:val="auto"/>
        </w:rPr>
      </w:pPr>
    </w:p>
    <w:p>
      <w:pPr>
        <w:ind w:left="1480" w:right="1679" w:firstLine="266"/>
        <w:spacing w:after="0" w:line="258" w:lineRule="auto"/>
        <w:rPr>
          <w:sz w:val="20"/>
          <w:szCs w:val="20"/>
          <w:color w:val="auto"/>
        </w:rPr>
      </w:pPr>
      <w:r>
        <w:rPr>
          <w:rFonts w:ascii="Times New Roman" w:cs="Times New Roman" w:eastAsia="Times New Roman" w:hAnsi="Times New Roman"/>
          <w:sz w:val="13"/>
          <w:szCs w:val="13"/>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Change of Management Provisions</w:t>
      </w:r>
    </w:p>
    <w:p>
      <w:pPr>
        <w:spacing w:after="0" w:line="112" w:lineRule="exact"/>
        <w:rPr>
          <w:sz w:val="20"/>
          <w:szCs w:val="20"/>
          <w:color w:val="auto"/>
        </w:rPr>
      </w:pPr>
    </w:p>
    <w:p>
      <w:pPr>
        <w:ind w:left="1480" w:right="1579" w:firstLine="266"/>
        <w:spacing w:after="0" w:line="293" w:lineRule="auto"/>
        <w:rPr>
          <w:sz w:val="20"/>
          <w:szCs w:val="20"/>
          <w:color w:val="auto"/>
        </w:rPr>
      </w:pPr>
      <w:r>
        <w:rPr>
          <w:rFonts w:ascii="Times New Roman" w:cs="Times New Roman" w:eastAsia="Times New Roman" w:hAnsi="Times New Roman"/>
          <w:sz w:val="13"/>
          <w:szCs w:val="13"/>
          <w:color w:val="auto"/>
        </w:rPr>
        <w:t>Our partnership agreement contains the following specific provisions that are intended to discourage a person or group from attempting to remove our general partner or otherwise change management:</w:t>
      </w:r>
    </w:p>
    <w:p>
      <w:pPr>
        <w:spacing w:after="0" w:line="14" w:lineRule="exact"/>
        <w:rPr>
          <w:sz w:val="20"/>
          <w:szCs w:val="20"/>
          <w:color w:val="auto"/>
        </w:rPr>
      </w:pPr>
    </w:p>
    <w:p>
      <w:pPr>
        <w:jc w:val="both"/>
        <w:ind w:left="1860" w:right="1659" w:hanging="124"/>
        <w:spacing w:after="0" w:line="286" w:lineRule="auto"/>
        <w:tabs>
          <w:tab w:leader="none" w:pos="18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generally, if a person acquires 20% or more of any class of units then outstanding other than from our general partner or its affiliates, the units owned by such person cannot be voted on any matter; and</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8" w:name="page29"/>
    <w:bookmarkEnd w:id="28"/>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860" w:right="1719" w:hanging="124"/>
        <w:spacing w:after="0" w:line="274" w:lineRule="auto"/>
        <w:tabs>
          <w:tab w:leader="none" w:pos="18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Limited Call Right</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If at any time our general partner and its affiliates (other than, with respect to the Series A</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preferred units, such affiliates that originally purchased Series A preferred units) own 80% or more of the</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issued and outstanding limited partner interests of any class, our general partner will have the right to</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purchase all, but not less than all, of the outstanding limited partner interests of that class that are held by</w:t>
      </w:r>
    </w:p>
    <w:p>
      <w:pPr>
        <w:ind w:left="1480"/>
        <w:spacing w:after="0"/>
        <w:rPr>
          <w:sz w:val="20"/>
          <w:szCs w:val="20"/>
          <w:color w:val="auto"/>
        </w:rPr>
      </w:pPr>
      <w:r>
        <w:rPr>
          <w:rFonts w:ascii="Times New Roman" w:cs="Times New Roman" w:eastAsia="Times New Roman" w:hAnsi="Times New Roman"/>
          <w:sz w:val="13"/>
          <w:szCs w:val="13"/>
          <w:color w:val="auto"/>
        </w:rPr>
        <w:t>non-affiliated persons. The record date for determining ownership of the limited partner interests would be</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selected by our general partner on at least 10 but not more than 60 days’ notice. The purchase price in the</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event of a purchase under these provisions would be the greater of (1) the current market price (as defined</w:t>
      </w:r>
    </w:p>
    <w:p>
      <w:pPr>
        <w:ind w:left="1480"/>
        <w:spacing w:after="0"/>
        <w:rPr>
          <w:sz w:val="20"/>
          <w:szCs w:val="20"/>
          <w:color w:val="auto"/>
        </w:rPr>
      </w:pPr>
      <w:r>
        <w:rPr>
          <w:rFonts w:ascii="Times New Roman" w:cs="Times New Roman" w:eastAsia="Times New Roman" w:hAnsi="Times New Roman"/>
          <w:sz w:val="13"/>
          <w:szCs w:val="13"/>
          <w:color w:val="auto"/>
        </w:rPr>
        <w:t>in our partnership agreement) of the limited partner interests of the class as of the date three days prior to</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the date that notice is mailed to the limited partners as provided in our partnership agreement and (2) the</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highest cash price paid by our general partner or any of its affiliates for any limited partner interest of the</w:t>
      </w:r>
    </w:p>
    <w:p>
      <w:pPr>
        <w:ind w:left="1480"/>
        <w:spacing w:after="0"/>
        <w:rPr>
          <w:sz w:val="20"/>
          <w:szCs w:val="20"/>
          <w:color w:val="auto"/>
        </w:rPr>
      </w:pPr>
      <w:r>
        <w:rPr>
          <w:rFonts w:ascii="Times New Roman" w:cs="Times New Roman" w:eastAsia="Times New Roman" w:hAnsi="Times New Roman"/>
          <w:sz w:val="13"/>
          <w:szCs w:val="13"/>
          <w:color w:val="auto"/>
        </w:rPr>
        <w:t>class purchased within the 90 days preceding the date our general partner mails notice of its election to</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purchase the units.</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Indemnification</w:t>
      </w:r>
    </w:p>
    <w:p>
      <w:pPr>
        <w:spacing w:after="0" w:line="122" w:lineRule="exact"/>
        <w:rPr>
          <w:sz w:val="20"/>
          <w:szCs w:val="20"/>
          <w:color w:val="auto"/>
        </w:rPr>
      </w:pPr>
    </w:p>
    <w:p>
      <w:pPr>
        <w:ind w:left="1480" w:right="1519" w:firstLine="266"/>
        <w:spacing w:after="0" w:line="250" w:lineRule="auto"/>
        <w:rPr>
          <w:sz w:val="20"/>
          <w:szCs w:val="20"/>
          <w:color w:val="auto"/>
        </w:rPr>
      </w:pPr>
      <w:r>
        <w:rPr>
          <w:rFonts w:ascii="Times New Roman" w:cs="Times New Roman" w:eastAsia="Times New Roman" w:hAnsi="Times New Roman"/>
          <w:sz w:val="13"/>
          <w:szCs w:val="13"/>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237" w:lineRule="exact"/>
        <w:rPr>
          <w:sz w:val="20"/>
          <w:szCs w:val="20"/>
          <w:color w:val="auto"/>
        </w:rPr>
      </w:pPr>
    </w:p>
    <w:p>
      <w:pPr>
        <w:jc w:val="both"/>
        <w:ind w:left="1480" w:right="1639" w:firstLine="266"/>
        <w:spacing w:after="0" w:line="266" w:lineRule="auto"/>
        <w:rPr>
          <w:sz w:val="20"/>
          <w:szCs w:val="20"/>
          <w:color w:val="auto"/>
        </w:rPr>
      </w:pPr>
      <w:r>
        <w:rPr>
          <w:rFonts w:ascii="Times New Roman" w:cs="Times New Roman" w:eastAsia="Times New Roman" w:hAnsi="Times New Roman"/>
          <w:sz w:val="13"/>
          <w:szCs w:val="13"/>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Registration Rights</w:t>
      </w:r>
    </w:p>
    <w:p>
      <w:pPr>
        <w:spacing w:after="0" w:line="112" w:lineRule="exact"/>
        <w:rPr>
          <w:sz w:val="20"/>
          <w:szCs w:val="20"/>
          <w:color w:val="auto"/>
        </w:rPr>
      </w:pPr>
    </w:p>
    <w:p>
      <w:pPr>
        <w:ind w:left="1480" w:right="1519" w:firstLine="266"/>
        <w:spacing w:after="0" w:line="257" w:lineRule="auto"/>
        <w:rPr>
          <w:sz w:val="20"/>
          <w:szCs w:val="20"/>
          <w:color w:val="auto"/>
        </w:rPr>
      </w:pPr>
      <w:r>
        <w:rPr>
          <w:rFonts w:ascii="Times New Roman" w:cs="Times New Roman" w:eastAsia="Times New Roman" w:hAnsi="Times New Roman"/>
          <w:sz w:val="13"/>
          <w:szCs w:val="13"/>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Limited Liability</w:t>
      </w:r>
    </w:p>
    <w:p>
      <w:pPr>
        <w:spacing w:after="0" w:line="122" w:lineRule="exact"/>
        <w:rPr>
          <w:sz w:val="20"/>
          <w:szCs w:val="20"/>
          <w:color w:val="auto"/>
        </w:rPr>
      </w:pPr>
    </w:p>
    <w:p>
      <w:pPr>
        <w:ind w:left="1480" w:right="1579" w:firstLine="266"/>
        <w:spacing w:after="0" w:line="251" w:lineRule="auto"/>
        <w:rPr>
          <w:sz w:val="20"/>
          <w:szCs w:val="20"/>
          <w:color w:val="auto"/>
        </w:rPr>
      </w:pPr>
      <w:r>
        <w:rPr>
          <w:rFonts w:ascii="Times New Roman" w:cs="Times New Roman" w:eastAsia="Times New Roman" w:hAnsi="Times New Roman"/>
          <w:sz w:val="13"/>
          <w:szCs w:val="13"/>
          <w:color w:val="auto"/>
        </w:rPr>
        <w:t>Assuming that a limited partner does not participate in the control of our business within the meaning of the Delaware Act and that such limited partner otherwise acts in conformity with the provisions of our partnership agreement, such limited partner’s liability under the Delaware Act will be limited, subject to some possible exceptions, generally to the amount of capital such limited partner is obligated to contribute to us in respect of such limited partner’s units plus such limited partner’s share of any undistributed profits and assets.</w:t>
      </w:r>
    </w:p>
    <w:p>
      <w:pPr>
        <w:spacing w:after="0" w:line="236" w:lineRule="exact"/>
        <w:rPr>
          <w:sz w:val="20"/>
          <w:szCs w:val="20"/>
          <w:color w:val="auto"/>
        </w:rPr>
      </w:pPr>
    </w:p>
    <w:p>
      <w:pPr>
        <w:ind w:left="1480" w:right="1539" w:firstLine="266"/>
        <w:spacing w:after="0" w:line="252" w:lineRule="auto"/>
        <w:rPr>
          <w:sz w:val="20"/>
          <w:szCs w:val="20"/>
          <w:color w:val="auto"/>
        </w:rPr>
      </w:pPr>
      <w:r>
        <w:rPr>
          <w:rFonts w:ascii="Times New Roman" w:cs="Times New Roman" w:eastAsia="Times New Roman" w:hAnsi="Times New Roman"/>
          <w:sz w:val="13"/>
          <w:szCs w:val="13"/>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9" w:name="page30"/>
    <w:bookmarkEnd w:id="29"/>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619"/>
        <w:spacing w:after="0" w:line="272" w:lineRule="auto"/>
        <w:rPr>
          <w:sz w:val="20"/>
          <w:szCs w:val="20"/>
          <w:color w:val="auto"/>
        </w:rPr>
      </w:pPr>
      <w:r>
        <w:rPr>
          <w:rFonts w:ascii="Times New Roman" w:cs="Times New Roman" w:eastAsia="Times New Roman" w:hAnsi="Times New Roman"/>
          <w:sz w:val="13"/>
          <w:szCs w:val="13"/>
          <w:color w:val="auto"/>
        </w:rPr>
        <w:t>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240" w:lineRule="exact"/>
        <w:rPr>
          <w:sz w:val="20"/>
          <w:szCs w:val="20"/>
          <w:color w:val="auto"/>
        </w:rPr>
      </w:pPr>
    </w:p>
    <w:p>
      <w:pPr>
        <w:ind w:left="1480" w:right="1479" w:firstLine="266"/>
        <w:spacing w:after="0" w:line="263" w:lineRule="auto"/>
        <w:rPr>
          <w:sz w:val="20"/>
          <w:szCs w:val="20"/>
          <w:color w:val="auto"/>
        </w:rPr>
      </w:pPr>
      <w:r>
        <w:rPr>
          <w:rFonts w:ascii="Times New Roman" w:cs="Times New Roman" w:eastAsia="Times New Roman" w:hAnsi="Times New Roman"/>
          <w:sz w:val="13"/>
          <w:szCs w:val="13"/>
          <w:color w:val="auto"/>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0" w:name="page31"/>
    <w:bookmarkEnd w:id="30"/>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MATERIAL U.S. FEDERAL INCOME TAX CONSEQUENCES</w:t>
      </w:r>
    </w:p>
    <w:p>
      <w:pPr>
        <w:spacing w:after="0" w:line="122" w:lineRule="exact"/>
        <w:rPr>
          <w:sz w:val="20"/>
          <w:szCs w:val="20"/>
          <w:color w:val="auto"/>
        </w:rPr>
      </w:pPr>
    </w:p>
    <w:p>
      <w:pPr>
        <w:ind w:left="1480" w:right="1499" w:firstLine="266"/>
        <w:spacing w:after="0" w:line="262" w:lineRule="auto"/>
        <w:rPr>
          <w:sz w:val="20"/>
          <w:szCs w:val="20"/>
          <w:color w:val="auto"/>
        </w:rPr>
      </w:pPr>
      <w:r>
        <w:rPr>
          <w:rFonts w:ascii="Times New Roman" w:cs="Times New Roman" w:eastAsia="Times New Roman" w:hAnsi="Times New Roman"/>
          <w:sz w:val="13"/>
          <w:szCs w:val="13"/>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245" w:lineRule="exact"/>
        <w:rPr>
          <w:sz w:val="20"/>
          <w:szCs w:val="20"/>
          <w:color w:val="auto"/>
        </w:rPr>
      </w:pPr>
    </w:p>
    <w:p>
      <w:pPr>
        <w:ind w:left="1480" w:right="1499" w:firstLine="266"/>
        <w:spacing w:after="0" w:line="258" w:lineRule="auto"/>
        <w:rPr>
          <w:sz w:val="20"/>
          <w:szCs w:val="20"/>
          <w:color w:val="auto"/>
        </w:rPr>
      </w:pPr>
      <w:r>
        <w:rPr>
          <w:rFonts w:ascii="Times New Roman" w:cs="Times New Roman" w:eastAsia="Times New Roman" w:hAnsi="Times New Roman"/>
          <w:sz w:val="13"/>
          <w:szCs w:val="13"/>
          <w:color w:val="auto"/>
        </w:rPr>
        <w:t>Legal conclusions contained in this section, unless otherwise noted, are the opinion of Vinson &amp; Elkins L.L.P. insofar as they relate to matters of federal income tax law and are based on the accuracy of representations made by us to them for this purpose. However, this section does not address all federal income tax matters that may affect us or our unitholders, such as the application of the alternative minimum tax that may be applicable to certain unitholders.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240" w:lineRule="exact"/>
        <w:rPr>
          <w:sz w:val="20"/>
          <w:szCs w:val="20"/>
          <w:color w:val="auto"/>
        </w:rPr>
      </w:pPr>
    </w:p>
    <w:p>
      <w:pPr>
        <w:ind w:left="1480" w:right="1879" w:firstLine="266"/>
        <w:spacing w:after="0" w:line="278" w:lineRule="auto"/>
        <w:rPr>
          <w:sz w:val="20"/>
          <w:szCs w:val="20"/>
          <w:color w:val="auto"/>
        </w:rPr>
      </w:pPr>
      <w:r>
        <w:rPr>
          <w:rFonts w:ascii="Times New Roman" w:cs="Times New Roman" w:eastAsia="Times New Roman" w:hAnsi="Times New Roman"/>
          <w:sz w:val="13"/>
          <w:szCs w:val="13"/>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73" w:lineRule="exact"/>
        <w:rPr>
          <w:sz w:val="20"/>
          <w:szCs w:val="20"/>
          <w:color w:val="auto"/>
        </w:rPr>
      </w:pPr>
    </w:p>
    <w:p>
      <w:pPr>
        <w:ind w:left="1480" w:right="1499" w:firstLine="266"/>
        <w:spacing w:after="0" w:line="260" w:lineRule="auto"/>
        <w:rPr>
          <w:sz w:val="20"/>
          <w:szCs w:val="20"/>
          <w:color w:val="auto"/>
        </w:rPr>
      </w:pPr>
      <w:r>
        <w:rPr>
          <w:rFonts w:ascii="Times New Roman" w:cs="Times New Roman" w:eastAsia="Times New Roman" w:hAnsi="Times New Roman"/>
          <w:sz w:val="13"/>
          <w:szCs w:val="13"/>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85" w:lineRule="exact"/>
        <w:rPr>
          <w:sz w:val="20"/>
          <w:szCs w:val="20"/>
          <w:color w:val="auto"/>
        </w:rPr>
      </w:pPr>
    </w:p>
    <w:p>
      <w:pPr>
        <w:ind w:left="1480" w:right="1679" w:firstLine="266"/>
        <w:spacing w:after="0" w:line="293" w:lineRule="auto"/>
        <w:rPr>
          <w:sz w:val="20"/>
          <w:szCs w:val="20"/>
          <w:color w:val="auto"/>
        </w:rPr>
      </w:pPr>
      <w:r>
        <w:rPr>
          <w:rFonts w:ascii="Times New Roman" w:cs="Times New Roman" w:eastAsia="Times New Roman" w:hAnsi="Times New Roman"/>
          <w:sz w:val="13"/>
          <w:szCs w:val="13"/>
          <w:color w:val="auto"/>
        </w:rPr>
        <w:t>For the reasons described below, Vinson &amp; Elkins L.L.P. has not rendered an opinion with respect to the following federal income tax issues:</w:t>
      </w:r>
    </w:p>
    <w:p>
      <w:pPr>
        <w:spacing w:after="0" w:line="34" w:lineRule="exact"/>
        <w:rPr>
          <w:sz w:val="20"/>
          <w:szCs w:val="20"/>
          <w:color w:val="auto"/>
        </w:rPr>
      </w:pPr>
    </w:p>
    <w:p>
      <w:pPr>
        <w:ind w:left="1860" w:right="1679" w:hanging="124"/>
        <w:spacing w:after="0" w:line="274" w:lineRule="auto"/>
        <w:tabs>
          <w:tab w:leader="none" w:pos="18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treatment of a unitholder whose units are the subject of a securities loan (e.g., a loan to a short seller to cover a short sale of units) (please read “— Tax Consequences of Unit Ownership — Treatment of Securities Loans”);</w:t>
      </w:r>
    </w:p>
    <w:p>
      <w:pPr>
        <w:spacing w:after="0" w:line="46" w:lineRule="exact"/>
        <w:rPr>
          <w:rFonts w:ascii="Times New Roman" w:cs="Times New Roman" w:eastAsia="Times New Roman" w:hAnsi="Times New Roman"/>
          <w:sz w:val="13"/>
          <w:szCs w:val="13"/>
          <w:color w:val="auto"/>
        </w:rPr>
      </w:pPr>
    </w:p>
    <w:p>
      <w:pPr>
        <w:ind w:left="1860" w:right="1599" w:hanging="124"/>
        <w:spacing w:after="0" w:line="274" w:lineRule="auto"/>
        <w:tabs>
          <w:tab w:leader="none" w:pos="18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our monthly convention for allocating taxable income and losses is permitted by existing Treasury Regulations (please read “— Disposition of Units — Allocations Between Transferors and Transferees”);</w:t>
      </w:r>
    </w:p>
    <w:p>
      <w:pPr>
        <w:spacing w:after="0" w:line="46" w:lineRule="exact"/>
        <w:rPr>
          <w:rFonts w:ascii="Times New Roman" w:cs="Times New Roman" w:eastAsia="Times New Roman" w:hAnsi="Times New Roman"/>
          <w:sz w:val="13"/>
          <w:szCs w:val="13"/>
          <w:color w:val="auto"/>
        </w:rPr>
      </w:pPr>
    </w:p>
    <w:p>
      <w:pPr>
        <w:ind w:left="1860" w:right="1539" w:hanging="124"/>
        <w:spacing w:after="0" w:line="274" w:lineRule="auto"/>
        <w:tabs>
          <w:tab w:leader="none" w:pos="18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our method for taking into account Section 743 adjustments is sustainable in certain cases (please read “— Tax Consequences of Unit Ownership — Section 754 Election” and “— Disposition of Units — Uniformity of Units”);</w:t>
      </w: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1" w:name="page32"/>
    <w:bookmarkEnd w:id="31"/>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60" w:right="1519" w:hanging="124"/>
        <w:spacing w:after="0" w:line="274" w:lineRule="auto"/>
        <w:tabs>
          <w:tab w:leader="none" w:pos="18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our use of simplifying conventions for making adjustments to “book” basis and relevant allocations is permitted by existing Treasury Regulations (please read “— Tax Consequences of Unit Ownership — Allocation of Income, Gain, Loss and Deduction” and “— Uniformity of Units”); and</w:t>
      </w:r>
    </w:p>
    <w:p>
      <w:pPr>
        <w:spacing w:after="0" w:line="46" w:lineRule="exact"/>
        <w:rPr>
          <w:rFonts w:ascii="Times New Roman" w:cs="Times New Roman" w:eastAsia="Times New Roman" w:hAnsi="Times New Roman"/>
          <w:sz w:val="13"/>
          <w:szCs w:val="13"/>
          <w:color w:val="auto"/>
        </w:rPr>
      </w:pPr>
    </w:p>
    <w:p>
      <w:pPr>
        <w:jc w:val="both"/>
        <w:ind w:left="1860" w:right="1599" w:hanging="124"/>
        <w:spacing w:after="0" w:line="274" w:lineRule="auto"/>
        <w:tabs>
          <w:tab w:leader="none" w:pos="18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our allocations of income, gain, loss and deduction will be given effect for federal income tax purposes (please read “— Tax Consequences of Unit Ownership — Allocation of Income, Gain, Loss and Deduction”).</w:t>
      </w:r>
    </w:p>
    <w:p>
      <w:pPr>
        <w:spacing w:after="0" w:line="1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Taxation of the Partnership</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Partnership Status</w:t>
      </w:r>
    </w:p>
    <w:p>
      <w:pPr>
        <w:spacing w:after="0" w:line="124" w:lineRule="exact"/>
        <w:rPr>
          <w:sz w:val="20"/>
          <w:szCs w:val="20"/>
          <w:color w:val="auto"/>
        </w:rPr>
      </w:pPr>
    </w:p>
    <w:p>
      <w:pPr>
        <w:ind w:left="1480" w:right="1639" w:firstLine="266"/>
        <w:spacing w:after="0" w:line="249" w:lineRule="auto"/>
        <w:rPr>
          <w:sz w:val="20"/>
          <w:szCs w:val="20"/>
          <w:color w:val="auto"/>
        </w:rPr>
      </w:pPr>
      <w:r>
        <w:rPr>
          <w:rFonts w:ascii="Times New Roman" w:cs="Times New Roman" w:eastAsia="Times New Roman" w:hAnsi="Times New Roman"/>
          <w:sz w:val="13"/>
          <w:szCs w:val="13"/>
          <w:color w:val="auto"/>
        </w:rPr>
        <w:t>We expect to be treated as a partnership for federal income tax purposes and, therefore, subject to the discussion below under “— Administrative Matters —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w:t>
      </w:r>
    </w:p>
    <w:p>
      <w:pPr>
        <w:spacing w:after="0" w:line="236" w:lineRule="exact"/>
        <w:rPr>
          <w:sz w:val="20"/>
          <w:szCs w:val="20"/>
          <w:color w:val="auto"/>
        </w:rPr>
      </w:pPr>
    </w:p>
    <w:p>
      <w:pPr>
        <w:ind w:left="1480" w:right="1479" w:firstLine="266"/>
        <w:spacing w:after="0" w:line="249" w:lineRule="auto"/>
        <w:rPr>
          <w:sz w:val="20"/>
          <w:szCs w:val="20"/>
          <w:color w:val="auto"/>
        </w:rPr>
      </w:pPr>
      <w:r>
        <w:rPr>
          <w:rFonts w:ascii="Times New Roman" w:cs="Times New Roman" w:eastAsia="Times New Roman" w:hAnsi="Times New Roman"/>
          <w:sz w:val="13"/>
          <w:szCs w:val="13"/>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240" w:lineRule="exact"/>
        <w:rPr>
          <w:sz w:val="20"/>
          <w:szCs w:val="20"/>
          <w:color w:val="auto"/>
        </w:rPr>
      </w:pPr>
    </w:p>
    <w:p>
      <w:pPr>
        <w:ind w:left="1480" w:right="1479" w:firstLine="266"/>
        <w:spacing w:after="0" w:line="253" w:lineRule="auto"/>
        <w:rPr>
          <w:sz w:val="20"/>
          <w:szCs w:val="20"/>
          <w:color w:val="auto"/>
        </w:rPr>
      </w:pPr>
      <w:r>
        <w:rPr>
          <w:rFonts w:ascii="Times New Roman" w:cs="Times New Roman" w:eastAsia="Times New Roman" w:hAnsi="Times New Roman"/>
          <w:sz w:val="13"/>
          <w:szCs w:val="13"/>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80" w:lineRule="exact"/>
        <w:rPr>
          <w:sz w:val="20"/>
          <w:szCs w:val="20"/>
          <w:color w:val="auto"/>
        </w:rPr>
      </w:pPr>
    </w:p>
    <w:p>
      <w:pPr>
        <w:ind w:left="1740" w:right="1519" w:firstLine="262"/>
        <w:spacing w:after="0" w:line="266" w:lineRule="auto"/>
        <w:tabs>
          <w:tab w:leader="none" w:pos="226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we nor any of our partnership or limited liability company operating subsidiaries, other than those that have been identified as corporations to Vinson &amp; Elkins L.L.P., has elected or will elect to be treated as a corporation for federal income tax purposes;</w:t>
      </w:r>
    </w:p>
    <w:p>
      <w:pPr>
        <w:spacing w:after="0" w:line="71" w:lineRule="exact"/>
        <w:rPr>
          <w:rFonts w:ascii="Times New Roman" w:cs="Times New Roman" w:eastAsia="Times New Roman" w:hAnsi="Times New Roman"/>
          <w:sz w:val="13"/>
          <w:szCs w:val="13"/>
          <w:color w:val="auto"/>
        </w:rPr>
      </w:pPr>
    </w:p>
    <w:p>
      <w:pPr>
        <w:jc w:val="both"/>
        <w:ind w:left="1740" w:right="1659" w:firstLine="262"/>
        <w:spacing w:after="0" w:line="258" w:lineRule="auto"/>
        <w:tabs>
          <w:tab w:leader="none" w:pos="227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76" w:lineRule="exact"/>
        <w:rPr>
          <w:rFonts w:ascii="Times New Roman" w:cs="Times New Roman" w:eastAsia="Times New Roman" w:hAnsi="Times New Roman"/>
          <w:sz w:val="13"/>
          <w:szCs w:val="13"/>
          <w:color w:val="auto"/>
        </w:rPr>
      </w:pPr>
    </w:p>
    <w:p>
      <w:pPr>
        <w:jc w:val="both"/>
        <w:ind w:left="1740" w:right="1539" w:firstLine="262"/>
        <w:spacing w:after="0" w:line="258" w:lineRule="auto"/>
        <w:tabs>
          <w:tab w:leader="none" w:pos="226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7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We believe that these representations are true and will be true in the future.</w:t>
      </w:r>
    </w:p>
    <w:p>
      <w:pPr>
        <w:spacing w:after="0" w:line="120" w:lineRule="exact"/>
        <w:rPr>
          <w:sz w:val="20"/>
          <w:szCs w:val="20"/>
          <w:color w:val="auto"/>
        </w:rPr>
      </w:pPr>
    </w:p>
    <w:p>
      <w:pPr>
        <w:ind w:left="1480" w:right="1559" w:firstLine="266"/>
        <w:spacing w:after="0" w:line="277" w:lineRule="auto"/>
        <w:rPr>
          <w:sz w:val="20"/>
          <w:szCs w:val="20"/>
          <w:color w:val="auto"/>
        </w:rPr>
      </w:pPr>
      <w:r>
        <w:rPr>
          <w:rFonts w:ascii="Times New Roman" w:cs="Times New Roman" w:eastAsia="Times New Roman" w:hAnsi="Times New Roman"/>
          <w:sz w:val="13"/>
          <w:szCs w:val="13"/>
          <w:color w:val="auto"/>
        </w:rPr>
        <w:t>If we fail to meet the Qualifying Income Exception, other than a failure that is determined by the IRS to be inadvertent and that is cured within a reasonable time after discovery (in which case the IRS may also</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2" w:name="page33"/>
    <w:bookmarkEnd w:id="32"/>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519"/>
        <w:spacing w:after="0" w:line="250" w:lineRule="auto"/>
        <w:rPr>
          <w:sz w:val="20"/>
          <w:szCs w:val="20"/>
          <w:color w:val="auto"/>
        </w:rPr>
      </w:pPr>
      <w:r>
        <w:rPr>
          <w:rFonts w:ascii="Times New Roman" w:cs="Times New Roman" w:eastAsia="Times New Roman" w:hAnsi="Times New Roman"/>
          <w:sz w:val="13"/>
          <w:szCs w:val="13"/>
          <w:color w:val="auto"/>
        </w:rPr>
        <w:t>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(i) to us (which would be allocated to our unitholders) so long as the aggregate amount of our liabilities does not exceed the adjusted tax basis of our assets or (ii) by our unitholders so long as their respective shares of our liabilities do not exceed their adjusted tax basis in their units. Thereafter, we would be treated as an association taxable as a corporation for federal income tax purposes.</w:t>
      </w:r>
    </w:p>
    <w:p>
      <w:pPr>
        <w:spacing w:after="0" w:line="86" w:lineRule="exact"/>
        <w:rPr>
          <w:sz w:val="20"/>
          <w:szCs w:val="20"/>
          <w:color w:val="auto"/>
        </w:rPr>
      </w:pPr>
    </w:p>
    <w:p>
      <w:pPr>
        <w:ind w:left="1480" w:right="1499" w:firstLine="266"/>
        <w:spacing w:after="0" w:line="251" w:lineRule="auto"/>
        <w:rPr>
          <w:sz w:val="20"/>
          <w:szCs w:val="20"/>
          <w:color w:val="auto"/>
        </w:rPr>
      </w:pPr>
      <w:r>
        <w:rPr>
          <w:rFonts w:ascii="Times New Roman" w:cs="Times New Roman" w:eastAsia="Times New Roman" w:hAnsi="Times New Roman"/>
          <w:sz w:val="13"/>
          <w:szCs w:val="13"/>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and certain presidential administrations have proposed and considered substantive changes to the existing federal income tax laws that would affect publicly traded partnerships. Recent proposals have provided for the expansion of the Qualifying Income Exception in certain circumstances and other proposals have provided for the total elimination of the Qualifying Income Exception upon which we rely for our treatment as a partnership for federal income tax purposes.</w:t>
      </w:r>
    </w:p>
    <w:p>
      <w:pPr>
        <w:spacing w:after="0" w:line="83" w:lineRule="exact"/>
        <w:rPr>
          <w:sz w:val="20"/>
          <w:szCs w:val="20"/>
          <w:color w:val="auto"/>
        </w:rPr>
      </w:pPr>
    </w:p>
    <w:p>
      <w:pPr>
        <w:ind w:left="1480" w:right="1579" w:firstLine="266"/>
        <w:spacing w:after="0" w:line="254" w:lineRule="auto"/>
        <w:rPr>
          <w:sz w:val="20"/>
          <w:szCs w:val="20"/>
          <w:color w:val="auto"/>
        </w:rPr>
      </w:pPr>
      <w:r>
        <w:rPr>
          <w:rFonts w:ascii="Times New Roman" w:cs="Times New Roman" w:eastAsia="Times New Roman" w:hAnsi="Times New Roman"/>
          <w:sz w:val="13"/>
          <w:szCs w:val="13"/>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236" w:lineRule="exact"/>
        <w:rPr>
          <w:sz w:val="20"/>
          <w:szCs w:val="20"/>
          <w:color w:val="auto"/>
        </w:rPr>
      </w:pPr>
    </w:p>
    <w:p>
      <w:pPr>
        <w:ind w:left="1480" w:right="1619" w:firstLine="266"/>
        <w:spacing w:after="0" w:line="258" w:lineRule="auto"/>
        <w:rPr>
          <w:sz w:val="20"/>
          <w:szCs w:val="20"/>
          <w:color w:val="auto"/>
        </w:rPr>
      </w:pPr>
      <w:r>
        <w:rPr>
          <w:rFonts w:ascii="Times New Roman" w:cs="Times New Roman" w:eastAsia="Times New Roman" w:hAnsi="Times New Roman"/>
          <w:sz w:val="13"/>
          <w:szCs w:val="13"/>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76" w:lineRule="exact"/>
        <w:rPr>
          <w:sz w:val="20"/>
          <w:szCs w:val="20"/>
          <w:color w:val="auto"/>
        </w:rPr>
      </w:pPr>
    </w:p>
    <w:p>
      <w:pPr>
        <w:ind w:left="1480" w:right="1519" w:firstLine="266"/>
        <w:spacing w:after="0" w:line="261" w:lineRule="auto"/>
        <w:rPr>
          <w:sz w:val="20"/>
          <w:szCs w:val="20"/>
          <w:color w:val="auto"/>
        </w:rPr>
      </w:pPr>
      <w:r>
        <w:rPr>
          <w:rFonts w:ascii="Times New Roman" w:cs="Times New Roman" w:eastAsia="Times New Roman" w:hAnsi="Times New Roman"/>
          <w:sz w:val="13"/>
          <w:szCs w:val="13"/>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87" w:lineRule="exact"/>
        <w:rPr>
          <w:sz w:val="20"/>
          <w:szCs w:val="20"/>
          <w:color w:val="auto"/>
        </w:rPr>
      </w:pPr>
    </w:p>
    <w:p>
      <w:pPr>
        <w:ind w:left="1480" w:right="1799" w:firstLine="266"/>
        <w:spacing w:after="0" w:line="293" w:lineRule="auto"/>
        <w:rPr>
          <w:sz w:val="20"/>
          <w:szCs w:val="20"/>
          <w:color w:val="auto"/>
        </w:rPr>
      </w:pPr>
      <w:r>
        <w:rPr>
          <w:rFonts w:ascii="Times New Roman" w:cs="Times New Roman" w:eastAsia="Times New Roman" w:hAnsi="Times New Roman"/>
          <w:sz w:val="13"/>
          <w:szCs w:val="13"/>
          <w:color w:val="auto"/>
        </w:rPr>
        <w:t>The remainder of this discussion is based on the opinion of Vinson &amp; Elkins L.L.P. that we will be treated as a partnership for federal income tax purposes.</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Tax Consequences of Unit Ownership</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Limited Partner Status</w:t>
      </w:r>
    </w:p>
    <w:p>
      <w:pPr>
        <w:spacing w:after="0" w:line="114" w:lineRule="exact"/>
        <w:rPr>
          <w:sz w:val="20"/>
          <w:szCs w:val="20"/>
          <w:color w:val="auto"/>
        </w:rPr>
      </w:pPr>
    </w:p>
    <w:p>
      <w:pPr>
        <w:ind w:left="1480" w:right="1519" w:firstLine="266"/>
        <w:spacing w:after="0" w:line="267" w:lineRule="auto"/>
        <w:rPr>
          <w:sz w:val="20"/>
          <w:szCs w:val="20"/>
          <w:color w:val="auto"/>
        </w:rPr>
      </w:pPr>
      <w:r>
        <w:rPr>
          <w:rFonts w:ascii="Times New Roman" w:cs="Times New Roman" w:eastAsia="Times New Roman" w:hAnsi="Times New Roman"/>
          <w:sz w:val="13"/>
          <w:szCs w:val="13"/>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243" w:lineRule="exact"/>
        <w:rPr>
          <w:sz w:val="20"/>
          <w:szCs w:val="20"/>
          <w:color w:val="auto"/>
        </w:rPr>
      </w:pPr>
    </w:p>
    <w:p>
      <w:pPr>
        <w:ind w:left="1480" w:right="1619" w:firstLine="266"/>
        <w:spacing w:after="0" w:line="262" w:lineRule="auto"/>
        <w:rPr>
          <w:sz w:val="20"/>
          <w:szCs w:val="20"/>
          <w:color w:val="auto"/>
        </w:rPr>
      </w:pPr>
      <w:r>
        <w:rPr>
          <w:rFonts w:ascii="Times New Roman" w:cs="Times New Roman" w:eastAsia="Times New Roman" w:hAnsi="Times New Roman"/>
          <w:sz w:val="13"/>
          <w:szCs w:val="13"/>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191770</wp:posOffset>
            </wp:positionV>
            <wp:extent cx="505142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3" w:name="page34"/>
    <w:bookmarkEnd w:id="33"/>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659" w:firstLine="266"/>
        <w:spacing w:after="0" w:line="293" w:lineRule="auto"/>
        <w:rPr>
          <w:sz w:val="20"/>
          <w:szCs w:val="20"/>
          <w:color w:val="auto"/>
        </w:rPr>
      </w:pPr>
      <w:r>
        <w:rPr>
          <w:rFonts w:ascii="Times New Roman" w:cs="Times New Roman" w:eastAsia="Times New Roman" w:hAnsi="Times New Roman"/>
          <w:sz w:val="13"/>
          <w:szCs w:val="13"/>
          <w:color w:val="auto"/>
        </w:rPr>
        <w:t>For a discussion related to the risks of losing partner status as a result of securities loans, please read “— Tax Consequences of Unit Ownership — Treatment of Securities Loans.”</w:t>
      </w:r>
    </w:p>
    <w:p>
      <w:pPr>
        <w:spacing w:after="0" w:line="54" w:lineRule="exact"/>
        <w:rPr>
          <w:sz w:val="20"/>
          <w:szCs w:val="20"/>
          <w:color w:val="auto"/>
        </w:rPr>
      </w:pPr>
    </w:p>
    <w:p>
      <w:pPr>
        <w:ind w:left="1480" w:right="1759" w:firstLine="266"/>
        <w:spacing w:after="0" w:line="265" w:lineRule="auto"/>
        <w:rPr>
          <w:sz w:val="20"/>
          <w:szCs w:val="20"/>
          <w:color w:val="auto"/>
        </w:rPr>
      </w:pPr>
      <w:r>
        <w:rPr>
          <w:rFonts w:ascii="Times New Roman" w:cs="Times New Roman" w:eastAsia="Times New Roman" w:hAnsi="Times New Roman"/>
          <w:sz w:val="13"/>
          <w:szCs w:val="13"/>
          <w:color w:val="auto"/>
        </w:rPr>
        <w:t>A unitholder who is not treated as a partner in us as described above is urged to consult its own tax advisors with respect to the tax consequences applicable to such unitholder under its particular circumstances.</w:t>
      </w:r>
    </w:p>
    <w:p>
      <w:pPr>
        <w:spacing w:after="0" w:line="2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Flow-Through of Taxable Income</w:t>
      </w:r>
    </w:p>
    <w:p>
      <w:pPr>
        <w:spacing w:after="0" w:line="11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Subject to the discussion below under “— Entity-Level Collections of Unitholder Taxes” and</w:t>
      </w:r>
    </w:p>
    <w:p>
      <w:pPr>
        <w:spacing w:after="0" w:line="23" w:lineRule="exact"/>
        <w:rPr>
          <w:sz w:val="20"/>
          <w:szCs w:val="20"/>
          <w:color w:val="auto"/>
        </w:rPr>
      </w:pPr>
    </w:p>
    <w:p>
      <w:pPr>
        <w:ind w:left="1480" w:right="1599"/>
        <w:spacing w:after="0" w:line="246" w:lineRule="auto"/>
        <w:rPr>
          <w:sz w:val="20"/>
          <w:szCs w:val="20"/>
          <w:color w:val="auto"/>
        </w:rPr>
      </w:pPr>
      <w:r>
        <w:rPr>
          <w:rFonts w:ascii="Times New Roman" w:cs="Times New Roman" w:eastAsia="Times New Roman" w:hAnsi="Times New Roman"/>
          <w:sz w:val="13"/>
          <w:szCs w:val="13"/>
          <w:color w:val="auto"/>
        </w:rPr>
        <w:t>“—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Basis of Units</w:t>
      </w:r>
    </w:p>
    <w:p>
      <w:pPr>
        <w:spacing w:after="0" w:line="114" w:lineRule="exact"/>
        <w:rPr>
          <w:sz w:val="20"/>
          <w:szCs w:val="20"/>
          <w:color w:val="auto"/>
        </w:rPr>
      </w:pPr>
    </w:p>
    <w:p>
      <w:pPr>
        <w:ind w:left="1480" w:right="1679" w:firstLine="266"/>
        <w:spacing w:after="0" w:line="259" w:lineRule="auto"/>
        <w:rPr>
          <w:sz w:val="20"/>
          <w:szCs w:val="20"/>
          <w:color w:val="auto"/>
        </w:rPr>
      </w:pPr>
      <w:r>
        <w:rPr>
          <w:rFonts w:ascii="Times New Roman" w:cs="Times New Roman" w:eastAsia="Times New Roman" w:hAnsi="Times New Roman"/>
          <w:sz w:val="13"/>
          <w:szCs w:val="13"/>
          <w:color w:val="auto"/>
        </w:rPr>
        <w:t>A unitholder’s tax basis in its units initially will be the amount paid or treated as paid for those units increased by the unitholder’s initial allocable share of our liabilities. That basis generally will be</w:t>
      </w:r>
    </w:p>
    <w:p>
      <w:pPr>
        <w:spacing w:after="0" w:line="1" w:lineRule="exact"/>
        <w:rPr>
          <w:sz w:val="20"/>
          <w:szCs w:val="20"/>
          <w:color w:val="auto"/>
        </w:rPr>
      </w:pPr>
    </w:p>
    <w:p>
      <w:pPr>
        <w:ind w:left="1480" w:right="1479" w:hanging="10"/>
        <w:spacing w:after="0" w:line="250" w:lineRule="auto"/>
        <w:tabs>
          <w:tab w:leader="none" w:pos="1649"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28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Treatment of Distributions</w:t>
      </w:r>
    </w:p>
    <w:p>
      <w:pPr>
        <w:spacing w:after="0" w:line="124" w:lineRule="exact"/>
        <w:rPr>
          <w:sz w:val="20"/>
          <w:szCs w:val="20"/>
          <w:color w:val="auto"/>
        </w:rPr>
      </w:pPr>
    </w:p>
    <w:p>
      <w:pPr>
        <w:ind w:left="1480" w:right="1539" w:firstLine="266"/>
        <w:spacing w:after="0" w:line="252" w:lineRule="auto"/>
        <w:rPr>
          <w:sz w:val="20"/>
          <w:szCs w:val="20"/>
          <w:color w:val="auto"/>
        </w:rPr>
      </w:pPr>
      <w:r>
        <w:rPr>
          <w:rFonts w:ascii="Times New Roman" w:cs="Times New Roman" w:eastAsia="Times New Roman" w:hAnsi="Times New Roman"/>
          <w:sz w:val="13"/>
          <w:szCs w:val="13"/>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w:t>
      </w:r>
    </w:p>
    <w:p>
      <w:pPr>
        <w:spacing w:after="0" w:line="81" w:lineRule="exact"/>
        <w:rPr>
          <w:sz w:val="20"/>
          <w:szCs w:val="20"/>
          <w:color w:val="auto"/>
        </w:rPr>
      </w:pPr>
    </w:p>
    <w:p>
      <w:pPr>
        <w:ind w:left="1480" w:right="1559" w:firstLine="266"/>
        <w:spacing w:after="0" w:line="251" w:lineRule="auto"/>
        <w:rPr>
          <w:sz w:val="20"/>
          <w:szCs w:val="20"/>
          <w:color w:val="auto"/>
        </w:rPr>
      </w:pPr>
      <w:r>
        <w:rPr>
          <w:rFonts w:ascii="Times New Roman" w:cs="Times New Roman" w:eastAsia="Times New Roman" w:hAnsi="Times New Roman"/>
          <w:sz w:val="13"/>
          <w:szCs w:val="13"/>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w:t>
      </w:r>
    </w:p>
    <w:p>
      <w:pPr>
        <w:spacing w:after="0" w:line="83" w:lineRule="exact"/>
        <w:rPr>
          <w:sz w:val="20"/>
          <w:szCs w:val="20"/>
          <w:color w:val="auto"/>
        </w:rPr>
      </w:pPr>
    </w:p>
    <w:p>
      <w:pPr>
        <w:ind w:left="1480" w:right="1499" w:firstLine="266"/>
        <w:spacing w:after="0" w:line="258" w:lineRule="auto"/>
        <w:rPr>
          <w:sz w:val="20"/>
          <w:szCs w:val="20"/>
          <w:color w:val="auto"/>
        </w:rPr>
      </w:pPr>
      <w:r>
        <w:rPr>
          <w:rFonts w:ascii="Times New Roman" w:cs="Times New Roman" w:eastAsia="Times New Roman" w:hAnsi="Times New Roman"/>
          <w:sz w:val="13"/>
          <w:szCs w:val="13"/>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w:t>
      </w:r>
    </w:p>
    <w:p>
      <w:pPr>
        <w:spacing w:after="0" w:line="5" w:lineRule="exact"/>
        <w:rPr>
          <w:sz w:val="20"/>
          <w:szCs w:val="20"/>
          <w:color w:val="auto"/>
        </w:rPr>
      </w:pPr>
    </w:p>
    <w:p>
      <w:pPr>
        <w:ind w:left="1480" w:right="1759" w:hanging="10"/>
        <w:spacing w:after="0" w:line="272" w:lineRule="auto"/>
        <w:tabs>
          <w:tab w:leader="none" w:pos="1679"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unitholder’s tax basis (typically zero) in the Section 751 Assets deemed to be relinquished in the exchange.</w:t>
      </w:r>
    </w:p>
    <w:p>
      <w:pPr>
        <w:spacing w:after="0" w:line="1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Limitations on Deductibility of Losses</w:t>
      </w:r>
    </w:p>
    <w:p>
      <w:pPr>
        <w:spacing w:after="0" w:line="124" w:lineRule="exact"/>
        <w:rPr>
          <w:sz w:val="20"/>
          <w:szCs w:val="20"/>
          <w:color w:val="auto"/>
        </w:rPr>
      </w:pPr>
    </w:p>
    <w:p>
      <w:pPr>
        <w:ind w:left="1480" w:right="1559" w:firstLine="266"/>
        <w:spacing w:after="0" w:line="272" w:lineRule="auto"/>
        <w:rPr>
          <w:sz w:val="20"/>
          <w:szCs w:val="20"/>
          <w:color w:val="auto"/>
        </w:rPr>
      </w:pPr>
      <w:r>
        <w:rPr>
          <w:rFonts w:ascii="Times New Roman" w:cs="Times New Roman" w:eastAsia="Times New Roman" w:hAnsi="Times New Roman"/>
          <w:sz w:val="13"/>
          <w:szCs w:val="13"/>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191770</wp:posOffset>
            </wp:positionV>
            <wp:extent cx="505142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4" w:name="page35"/>
    <w:bookmarkEnd w:id="34"/>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559"/>
        <w:spacing w:after="0" w:line="253" w:lineRule="auto"/>
        <w:rPr>
          <w:sz w:val="20"/>
          <w:szCs w:val="20"/>
          <w:color w:val="auto"/>
        </w:rPr>
      </w:pPr>
      <w:r>
        <w:rPr>
          <w:rFonts w:ascii="Times New Roman" w:cs="Times New Roman" w:eastAsia="Times New Roman" w:hAnsi="Times New Roman"/>
          <w:sz w:val="13"/>
          <w:szCs w:val="13"/>
          <w:color w:val="auto"/>
        </w:rPr>
        <w:t>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w:t>
      </w:r>
    </w:p>
    <w:p>
      <w:pPr>
        <w:spacing w:after="0" w:line="1" w:lineRule="exact"/>
        <w:rPr>
          <w:sz w:val="20"/>
          <w:szCs w:val="20"/>
          <w:color w:val="auto"/>
        </w:rPr>
      </w:pPr>
    </w:p>
    <w:p>
      <w:pPr>
        <w:ind w:left="1480" w:right="1499" w:hanging="10"/>
        <w:spacing w:after="0" w:line="247" w:lineRule="auto"/>
        <w:tabs>
          <w:tab w:leader="none" w:pos="1679"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236" w:lineRule="exact"/>
        <w:rPr>
          <w:sz w:val="20"/>
          <w:szCs w:val="20"/>
          <w:color w:val="auto"/>
        </w:rPr>
      </w:pPr>
    </w:p>
    <w:p>
      <w:pPr>
        <w:ind w:left="1480" w:right="1579" w:firstLine="266"/>
        <w:spacing w:after="0" w:line="251" w:lineRule="auto"/>
        <w:rPr>
          <w:sz w:val="20"/>
          <w:szCs w:val="20"/>
          <w:color w:val="auto"/>
        </w:rPr>
      </w:pPr>
      <w:r>
        <w:rPr>
          <w:rFonts w:ascii="Times New Roman" w:cs="Times New Roman" w:eastAsia="Times New Roman" w:hAnsi="Times New Roman"/>
          <w:sz w:val="13"/>
          <w:szCs w:val="13"/>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83" w:lineRule="exact"/>
        <w:rPr>
          <w:sz w:val="20"/>
          <w:szCs w:val="20"/>
          <w:color w:val="auto"/>
        </w:rPr>
      </w:pPr>
    </w:p>
    <w:p>
      <w:pPr>
        <w:ind w:left="1480" w:right="1519" w:firstLine="266"/>
        <w:spacing w:after="0" w:line="259" w:lineRule="auto"/>
        <w:rPr>
          <w:sz w:val="20"/>
          <w:szCs w:val="20"/>
          <w:color w:val="auto"/>
        </w:rPr>
      </w:pPr>
      <w:r>
        <w:rPr>
          <w:rFonts w:ascii="Times New Roman" w:cs="Times New Roman" w:eastAsia="Times New Roman" w:hAnsi="Times New Roman"/>
          <w:sz w:val="13"/>
          <w:szCs w:val="13"/>
          <w:color w:val="auto"/>
        </w:rPr>
        <w:t>In addition to the basis and at risk limitations, passive activity loss limitations limit the deductibility of losses incurred by individuals, estates, trusts, some closely-held corporations and personal service</w:t>
      </w:r>
    </w:p>
    <w:p>
      <w:pPr>
        <w:spacing w:after="0" w:line="1" w:lineRule="exact"/>
        <w:rPr>
          <w:sz w:val="20"/>
          <w:szCs w:val="20"/>
          <w:color w:val="auto"/>
        </w:rPr>
      </w:pPr>
    </w:p>
    <w:p>
      <w:pPr>
        <w:ind w:left="1480" w:right="1539"/>
        <w:spacing w:after="0" w:line="247" w:lineRule="auto"/>
        <w:rPr>
          <w:sz w:val="20"/>
          <w:szCs w:val="20"/>
          <w:color w:val="auto"/>
        </w:rPr>
      </w:pPr>
      <w:r>
        <w:rPr>
          <w:rFonts w:ascii="Times New Roman" w:cs="Times New Roman" w:eastAsia="Times New Roman" w:hAnsi="Times New Roman"/>
          <w:sz w:val="13"/>
          <w:szCs w:val="13"/>
          <w:color w:val="auto"/>
        </w:rPr>
        <w:t>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84" w:lineRule="exact"/>
        <w:rPr>
          <w:sz w:val="20"/>
          <w:szCs w:val="20"/>
          <w:color w:val="auto"/>
        </w:rPr>
      </w:pPr>
    </w:p>
    <w:p>
      <w:pPr>
        <w:ind w:left="1480" w:right="1499" w:firstLine="266"/>
        <w:spacing w:after="0" w:line="258" w:lineRule="auto"/>
        <w:rPr>
          <w:sz w:val="20"/>
          <w:szCs w:val="20"/>
          <w:color w:val="auto"/>
        </w:rPr>
      </w:pPr>
      <w:r>
        <w:rPr>
          <w:rFonts w:ascii="Times New Roman" w:cs="Times New Roman" w:eastAsia="Times New Roman" w:hAnsi="Times New Roman"/>
          <w:sz w:val="13"/>
          <w:szCs w:val="13"/>
          <w:color w:val="auto"/>
        </w:rPr>
        <w:t>For taxpayers other than corporations in taxable years beginning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for 2024 is equal to $305,000, or $610,000 (increased annually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30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Limitations on Interest Deductions</w:t>
      </w:r>
    </w:p>
    <w:p>
      <w:pPr>
        <w:spacing w:after="0" w:line="114" w:lineRule="exact"/>
        <w:rPr>
          <w:sz w:val="20"/>
          <w:szCs w:val="20"/>
          <w:color w:val="auto"/>
        </w:rPr>
      </w:pPr>
    </w:p>
    <w:p>
      <w:pPr>
        <w:ind w:left="1480" w:right="1479" w:firstLine="266"/>
        <w:spacing w:after="0" w:line="263" w:lineRule="auto"/>
        <w:rPr>
          <w:sz w:val="20"/>
          <w:szCs w:val="20"/>
          <w:color w:val="auto"/>
        </w:rPr>
      </w:pPr>
      <w:r>
        <w:rPr>
          <w:rFonts w:ascii="Times New Roman" w:cs="Times New Roman" w:eastAsia="Times New Roman" w:hAnsi="Times New Roman"/>
          <w:sz w:val="13"/>
          <w:szCs w:val="13"/>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5" w:name="page36"/>
    <w:bookmarkEnd w:id="35"/>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479"/>
        <w:spacing w:after="0" w:line="265" w:lineRule="auto"/>
        <w:rPr>
          <w:sz w:val="20"/>
          <w:szCs w:val="20"/>
          <w:color w:val="auto"/>
        </w:rPr>
      </w:pPr>
      <w:r>
        <w:rPr>
          <w:rFonts w:ascii="Times New Roman" w:cs="Times New Roman" w:eastAsia="Times New Roman" w:hAnsi="Times New Roman"/>
          <w:sz w:val="13"/>
          <w:szCs w:val="13"/>
          <w:color w:val="auto"/>
        </w:rPr>
        <w:t>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83" w:lineRule="exact"/>
        <w:rPr>
          <w:sz w:val="20"/>
          <w:szCs w:val="20"/>
          <w:color w:val="auto"/>
        </w:rPr>
      </w:pPr>
    </w:p>
    <w:p>
      <w:pPr>
        <w:ind w:left="1480" w:right="1499" w:firstLine="266"/>
        <w:spacing w:after="0" w:line="261" w:lineRule="auto"/>
        <w:rPr>
          <w:sz w:val="20"/>
          <w:szCs w:val="20"/>
          <w:color w:val="auto"/>
        </w:rPr>
      </w:pPr>
      <w:r>
        <w:rPr>
          <w:rFonts w:ascii="Times New Roman" w:cs="Times New Roman" w:eastAsia="Times New Roman" w:hAnsi="Times New Roman"/>
          <w:sz w:val="13"/>
          <w:szCs w:val="13"/>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87" w:lineRule="exact"/>
        <w:rPr>
          <w:sz w:val="20"/>
          <w:szCs w:val="20"/>
          <w:color w:val="auto"/>
        </w:rPr>
      </w:pPr>
    </w:p>
    <w:p>
      <w:pPr>
        <w:ind w:left="1480" w:right="1479" w:firstLine="266"/>
        <w:spacing w:after="0" w:line="274" w:lineRule="auto"/>
        <w:rPr>
          <w:sz w:val="20"/>
          <w:szCs w:val="20"/>
          <w:color w:val="auto"/>
        </w:rPr>
      </w:pPr>
      <w:r>
        <w:rPr>
          <w:rFonts w:ascii="Times New Roman" w:cs="Times New Roman" w:eastAsia="Times New Roman" w:hAnsi="Times New Roman"/>
          <w:sz w:val="13"/>
          <w:szCs w:val="13"/>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47" w:lineRule="exact"/>
        <w:rPr>
          <w:sz w:val="20"/>
          <w:szCs w:val="20"/>
          <w:color w:val="auto"/>
        </w:rPr>
      </w:pPr>
    </w:p>
    <w:p>
      <w:pPr>
        <w:ind w:left="1860" w:hanging="124"/>
        <w:spacing w:after="0"/>
        <w:tabs>
          <w:tab w:leader="none" w:pos="186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on indebtedness allocable to property held for investment;</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expense allocated against portfolio income; and</w:t>
      </w:r>
    </w:p>
    <w:p>
      <w:pPr>
        <w:spacing w:after="0" w:line="90" w:lineRule="exact"/>
        <w:rPr>
          <w:rFonts w:ascii="Times New Roman" w:cs="Times New Roman" w:eastAsia="Times New Roman" w:hAnsi="Times New Roman"/>
          <w:sz w:val="13"/>
          <w:szCs w:val="13"/>
          <w:color w:val="auto"/>
        </w:rPr>
      </w:pPr>
    </w:p>
    <w:p>
      <w:pPr>
        <w:ind w:left="1860" w:right="1699" w:hanging="124"/>
        <w:spacing w:after="0" w:line="293" w:lineRule="auto"/>
        <w:tabs>
          <w:tab w:leader="none" w:pos="186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interest expense incurred to purchase or carry an interest in a passive activity to the extent allocable against portfolio income.</w:t>
      </w:r>
    </w:p>
    <w:p>
      <w:pPr>
        <w:spacing w:after="0" w:line="64" w:lineRule="exact"/>
        <w:rPr>
          <w:sz w:val="20"/>
          <w:szCs w:val="20"/>
          <w:color w:val="auto"/>
        </w:rPr>
      </w:pPr>
    </w:p>
    <w:p>
      <w:pPr>
        <w:ind w:left="1480" w:right="1539" w:firstLine="266"/>
        <w:spacing w:after="0" w:line="261" w:lineRule="auto"/>
        <w:rPr>
          <w:sz w:val="20"/>
          <w:szCs w:val="20"/>
          <w:color w:val="auto"/>
        </w:rPr>
      </w:pPr>
      <w:r>
        <w:rPr>
          <w:rFonts w:ascii="Times New Roman" w:cs="Times New Roman" w:eastAsia="Times New Roman" w:hAnsi="Times New Roman"/>
          <w:sz w:val="13"/>
          <w:szCs w:val="13"/>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Entity-Level Collections of Unitholder Taxes</w:t>
      </w:r>
    </w:p>
    <w:p>
      <w:pPr>
        <w:spacing w:after="0" w:line="124" w:lineRule="exact"/>
        <w:rPr>
          <w:sz w:val="20"/>
          <w:szCs w:val="20"/>
          <w:color w:val="auto"/>
        </w:rPr>
      </w:pPr>
    </w:p>
    <w:p>
      <w:pPr>
        <w:ind w:left="1480" w:right="1519" w:firstLine="266"/>
        <w:spacing w:after="0" w:line="260" w:lineRule="auto"/>
        <w:rPr>
          <w:sz w:val="20"/>
          <w:szCs w:val="20"/>
          <w:color w:val="auto"/>
        </w:rPr>
      </w:pPr>
      <w:r>
        <w:rPr>
          <w:rFonts w:ascii="Times New Roman" w:cs="Times New Roman" w:eastAsia="Times New Roman" w:hAnsi="Times New Roman"/>
          <w:sz w:val="13"/>
          <w:szCs w:val="13"/>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w:t>
      </w:r>
    </w:p>
    <w:p>
      <w:pPr>
        <w:spacing w:after="0" w:line="2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Allocation of Income, Gain, Loss and Deduction</w:t>
      </w:r>
    </w:p>
    <w:p>
      <w:pPr>
        <w:spacing w:after="0" w:line="114" w:lineRule="exact"/>
        <w:rPr>
          <w:sz w:val="20"/>
          <w:szCs w:val="20"/>
          <w:color w:val="auto"/>
        </w:rPr>
      </w:pPr>
    </w:p>
    <w:p>
      <w:pPr>
        <w:ind w:left="1480" w:right="1499" w:firstLine="266"/>
        <w:spacing w:after="0" w:line="261" w:lineRule="auto"/>
        <w:rPr>
          <w:sz w:val="20"/>
          <w:szCs w:val="20"/>
          <w:color w:val="auto"/>
        </w:rPr>
      </w:pPr>
      <w:r>
        <w:rPr>
          <w:rFonts w:ascii="Times New Roman" w:cs="Times New Roman" w:eastAsia="Times New Roman" w:hAnsi="Times New Roman"/>
          <w:sz w:val="13"/>
          <w:szCs w:val="13"/>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6" w:name="page37"/>
    <w:bookmarkEnd w:id="36"/>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719"/>
        <w:spacing w:after="0" w:line="293" w:lineRule="auto"/>
        <w:rPr>
          <w:sz w:val="20"/>
          <w:szCs w:val="20"/>
          <w:color w:val="auto"/>
        </w:rPr>
      </w:pPr>
      <w:r>
        <w:rPr>
          <w:rFonts w:ascii="Times New Roman" w:cs="Times New Roman" w:eastAsia="Times New Roman" w:hAnsi="Times New Roman"/>
          <w:sz w:val="13"/>
          <w:szCs w:val="13"/>
          <w:color w:val="auto"/>
        </w:rPr>
        <w:t>above) to the unitholder who was allocated the deduction giving rise to that recapture income in order to minimize the recognition of ordinary income by other unitholders.</w:t>
      </w:r>
    </w:p>
    <w:p>
      <w:pPr>
        <w:spacing w:after="0" w:line="54" w:lineRule="exact"/>
        <w:rPr>
          <w:sz w:val="20"/>
          <w:szCs w:val="20"/>
          <w:color w:val="auto"/>
        </w:rPr>
      </w:pPr>
    </w:p>
    <w:p>
      <w:pPr>
        <w:ind w:left="1480" w:right="1619" w:firstLine="266"/>
        <w:spacing w:after="0" w:line="253" w:lineRule="auto"/>
        <w:rPr>
          <w:sz w:val="20"/>
          <w:szCs w:val="20"/>
          <w:color w:val="auto"/>
        </w:rPr>
      </w:pPr>
      <w:r>
        <w:rPr>
          <w:rFonts w:ascii="Times New Roman" w:cs="Times New Roman" w:eastAsia="Times New Roman" w:hAnsi="Times New Roman"/>
          <w:sz w:val="13"/>
          <w:szCs w:val="13"/>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80" w:lineRule="exact"/>
        <w:rPr>
          <w:sz w:val="20"/>
          <w:szCs w:val="20"/>
          <w:color w:val="auto"/>
        </w:rPr>
      </w:pPr>
    </w:p>
    <w:p>
      <w:pPr>
        <w:ind w:left="1480" w:right="1479" w:firstLine="266"/>
        <w:spacing w:after="0" w:line="248" w:lineRule="auto"/>
        <w:rPr>
          <w:sz w:val="20"/>
          <w:szCs w:val="20"/>
          <w:color w:val="auto"/>
        </w:rPr>
      </w:pPr>
      <w:r>
        <w:rPr>
          <w:rFonts w:ascii="Times New Roman" w:cs="Times New Roman" w:eastAsia="Times New Roman" w:hAnsi="Times New Roman"/>
          <w:sz w:val="13"/>
          <w:szCs w:val="13"/>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2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Treatment of Securities Loans</w:t>
      </w:r>
    </w:p>
    <w:p>
      <w:pPr>
        <w:spacing w:after="0" w:line="114" w:lineRule="exact"/>
        <w:rPr>
          <w:sz w:val="20"/>
          <w:szCs w:val="20"/>
          <w:color w:val="auto"/>
        </w:rPr>
      </w:pPr>
    </w:p>
    <w:p>
      <w:pPr>
        <w:ind w:left="1480" w:right="1499" w:firstLine="266"/>
        <w:spacing w:after="0" w:line="252" w:lineRule="auto"/>
        <w:rPr>
          <w:sz w:val="20"/>
          <w:szCs w:val="20"/>
          <w:color w:val="auto"/>
        </w:rPr>
      </w:pPr>
      <w:r>
        <w:rPr>
          <w:rFonts w:ascii="Times New Roman" w:cs="Times New Roman" w:eastAsia="Times New Roman" w:hAnsi="Times New Roman"/>
          <w:sz w:val="13"/>
          <w:szCs w:val="13"/>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236" w:lineRule="exact"/>
        <w:rPr>
          <w:sz w:val="20"/>
          <w:szCs w:val="20"/>
          <w:color w:val="auto"/>
        </w:rPr>
      </w:pPr>
    </w:p>
    <w:p>
      <w:pPr>
        <w:ind w:left="1480" w:right="1519" w:firstLine="266"/>
        <w:spacing w:after="0" w:line="254" w:lineRule="auto"/>
        <w:rPr>
          <w:sz w:val="20"/>
          <w:szCs w:val="20"/>
          <w:color w:val="auto"/>
        </w:rPr>
      </w:pPr>
      <w:r>
        <w:rPr>
          <w:rFonts w:ascii="Times New Roman" w:cs="Times New Roman" w:eastAsia="Times New Roman" w:hAnsi="Times New Roman"/>
          <w:sz w:val="13"/>
          <w:szCs w:val="13"/>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w:t>
      </w:r>
    </w:p>
    <w:p>
      <w:pPr>
        <w:spacing w:after="0" w:line="1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Tax Rates</w:t>
      </w:r>
    </w:p>
    <w:p>
      <w:pPr>
        <w:spacing w:after="0" w:line="124" w:lineRule="exact"/>
        <w:rPr>
          <w:sz w:val="20"/>
          <w:szCs w:val="20"/>
          <w:color w:val="auto"/>
        </w:rPr>
      </w:pPr>
    </w:p>
    <w:p>
      <w:pPr>
        <w:ind w:left="1480" w:right="1579" w:firstLine="266"/>
        <w:spacing w:after="0" w:line="268" w:lineRule="auto"/>
        <w:rPr>
          <w:sz w:val="20"/>
          <w:szCs w:val="20"/>
          <w:color w:val="auto"/>
        </w:rPr>
      </w:pPr>
      <w:r>
        <w:rPr>
          <w:rFonts w:ascii="Times New Roman" w:cs="Times New Roman" w:eastAsia="Times New Roman" w:hAnsi="Times New Roman"/>
          <w:sz w:val="13"/>
          <w:szCs w:val="13"/>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71" w:lineRule="exact"/>
        <w:rPr>
          <w:sz w:val="20"/>
          <w:szCs w:val="20"/>
          <w:color w:val="auto"/>
        </w:rPr>
      </w:pPr>
    </w:p>
    <w:p>
      <w:pPr>
        <w:ind w:left="1480" w:right="1499" w:firstLine="266"/>
        <w:spacing w:after="0" w:line="260" w:lineRule="auto"/>
        <w:rPr>
          <w:sz w:val="20"/>
          <w:szCs w:val="20"/>
          <w:color w:val="auto"/>
        </w:rPr>
      </w:pPr>
      <w:r>
        <w:rPr>
          <w:rFonts w:ascii="Times New Roman" w:cs="Times New Roman" w:eastAsia="Times New Roman" w:hAnsi="Times New Roman"/>
          <w:sz w:val="13"/>
          <w:szCs w:val="13"/>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87" w:lineRule="exact"/>
        <w:rPr>
          <w:sz w:val="20"/>
          <w:szCs w:val="20"/>
          <w:color w:val="auto"/>
        </w:rPr>
      </w:pPr>
    </w:p>
    <w:p>
      <w:pPr>
        <w:ind w:left="1480" w:right="1639" w:firstLine="266"/>
        <w:spacing w:after="0" w:line="293" w:lineRule="auto"/>
        <w:rPr>
          <w:sz w:val="20"/>
          <w:szCs w:val="20"/>
          <w:color w:val="auto"/>
        </w:rPr>
      </w:pPr>
      <w:r>
        <w:rPr>
          <w:rFonts w:ascii="Times New Roman" w:cs="Times New Roman" w:eastAsia="Times New Roman" w:hAnsi="Times New Roman"/>
          <w:sz w:val="13"/>
          <w:szCs w:val="13"/>
          <w:color w:val="auto"/>
        </w:rPr>
        <w:t>For taxable years beginning after December 31, 2017 and ending on or before December 31, 2025, subject to certain limitations, an individual unitholder is entitled to a deduction equal to 20% of his or her</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191770</wp:posOffset>
            </wp:positionV>
            <wp:extent cx="505142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7" w:name="page38"/>
    <w:bookmarkEnd w:id="37"/>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599"/>
        <w:spacing w:after="0" w:line="293" w:lineRule="auto"/>
        <w:rPr>
          <w:sz w:val="20"/>
          <w:szCs w:val="20"/>
          <w:color w:val="auto"/>
        </w:rPr>
      </w:pPr>
      <w:r>
        <w:rPr>
          <w:rFonts w:ascii="Times New Roman" w:cs="Times New Roman" w:eastAsia="Times New Roman" w:hAnsi="Times New Roman"/>
          <w:sz w:val="13"/>
          <w:szCs w:val="13"/>
          <w:color w:val="auto"/>
        </w:rPr>
        <w:t>allocable share of our “qualified business income.” For purposes of this deduction, our “qualified business income” is equal to the sum of:</w:t>
      </w:r>
    </w:p>
    <w:p>
      <w:pPr>
        <w:spacing w:after="0" w:line="24" w:lineRule="exact"/>
        <w:rPr>
          <w:sz w:val="20"/>
          <w:szCs w:val="20"/>
          <w:color w:val="auto"/>
        </w:rPr>
      </w:pPr>
    </w:p>
    <w:p>
      <w:pPr>
        <w:ind w:left="1860" w:right="1559" w:hanging="124"/>
        <w:spacing w:after="0" w:line="268" w:lineRule="auto"/>
        <w:tabs>
          <w:tab w:leader="none" w:pos="18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40" w:lineRule="exact"/>
        <w:rPr>
          <w:rFonts w:ascii="Times New Roman" w:cs="Times New Roman" w:eastAsia="Times New Roman" w:hAnsi="Times New Roman"/>
          <w:sz w:val="13"/>
          <w:szCs w:val="13"/>
          <w:color w:val="auto"/>
        </w:rPr>
      </w:pPr>
    </w:p>
    <w:p>
      <w:pPr>
        <w:ind w:left="1860" w:right="1599" w:hanging="124"/>
        <w:spacing w:after="0" w:line="274" w:lineRule="auto"/>
        <w:tabs>
          <w:tab w:leader="none" w:pos="18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77" w:lineRule="exact"/>
        <w:rPr>
          <w:sz w:val="20"/>
          <w:szCs w:val="20"/>
          <w:color w:val="auto"/>
        </w:rPr>
      </w:pPr>
    </w:p>
    <w:p>
      <w:pPr>
        <w:ind w:left="1480" w:right="1539" w:firstLine="266"/>
        <w:spacing w:after="0" w:line="266" w:lineRule="auto"/>
        <w:rPr>
          <w:sz w:val="20"/>
          <w:szCs w:val="20"/>
          <w:color w:val="auto"/>
        </w:rPr>
      </w:pPr>
      <w:r>
        <w:rPr>
          <w:rFonts w:ascii="Times New Roman" w:cs="Times New Roman" w:eastAsia="Times New Roman" w:hAnsi="Times New Roman"/>
          <w:sz w:val="13"/>
          <w:szCs w:val="13"/>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Section 754 Election</w:t>
      </w:r>
    </w:p>
    <w:p>
      <w:pPr>
        <w:spacing w:after="0" w:line="124" w:lineRule="exact"/>
        <w:rPr>
          <w:sz w:val="20"/>
          <w:szCs w:val="20"/>
          <w:color w:val="auto"/>
        </w:rPr>
      </w:pPr>
    </w:p>
    <w:p>
      <w:pPr>
        <w:ind w:left="1480" w:right="1519" w:firstLine="266"/>
        <w:spacing w:after="0" w:line="247" w:lineRule="auto"/>
        <w:rPr>
          <w:sz w:val="20"/>
          <w:szCs w:val="20"/>
          <w:color w:val="auto"/>
        </w:rPr>
      </w:pPr>
      <w:r>
        <w:rPr>
          <w:rFonts w:ascii="Times New Roman" w:cs="Times New Roman" w:eastAsia="Times New Roman" w:hAnsi="Times New Roman"/>
          <w:sz w:val="13"/>
          <w:szCs w:val="13"/>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w:t>
      </w:r>
    </w:p>
    <w:p>
      <w:pPr>
        <w:spacing w:after="0" w:line="6" w:lineRule="exact"/>
        <w:rPr>
          <w:sz w:val="20"/>
          <w:szCs w:val="20"/>
          <w:color w:val="auto"/>
        </w:rPr>
      </w:pPr>
    </w:p>
    <w:p>
      <w:pPr>
        <w:ind w:left="1480" w:right="1639" w:hanging="10"/>
        <w:spacing w:after="0" w:line="256" w:lineRule="auto"/>
        <w:tabs>
          <w:tab w:leader="none" w:pos="1679"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its share of the tax basis in our assets as to all unitholders and (2) its Section 743(b) adjustment to that tax basis (which may be positive or negative).</w:t>
      </w:r>
    </w:p>
    <w:p>
      <w:pPr>
        <w:spacing w:after="0" w:line="77" w:lineRule="exact"/>
        <w:rPr>
          <w:sz w:val="20"/>
          <w:szCs w:val="20"/>
          <w:color w:val="auto"/>
        </w:rPr>
      </w:pPr>
    </w:p>
    <w:p>
      <w:pPr>
        <w:ind w:left="1480" w:right="1559" w:firstLine="266"/>
        <w:spacing w:after="0" w:line="254" w:lineRule="auto"/>
        <w:rPr>
          <w:sz w:val="20"/>
          <w:szCs w:val="20"/>
          <w:color w:val="auto"/>
        </w:rPr>
      </w:pPr>
      <w:r>
        <w:rPr>
          <w:rFonts w:ascii="Times New Roman" w:cs="Times New Roman" w:eastAsia="Times New Roman" w:hAnsi="Times New Roman"/>
          <w:sz w:val="13"/>
          <w:szCs w:val="13"/>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Under our partnership agreement, we are authorized to take a position to preserve the uniformity</w:t>
      </w:r>
    </w:p>
    <w:p>
      <w:pPr>
        <w:spacing w:after="0" w:line="14" w:lineRule="exact"/>
        <w:rPr>
          <w:sz w:val="20"/>
          <w:szCs w:val="20"/>
          <w:color w:val="auto"/>
        </w:rPr>
      </w:pPr>
    </w:p>
    <w:p>
      <w:pPr>
        <w:ind w:left="1480" w:right="1539"/>
        <w:spacing w:after="0" w:line="248" w:lineRule="auto"/>
        <w:rPr>
          <w:sz w:val="20"/>
          <w:szCs w:val="20"/>
          <w:color w:val="auto"/>
        </w:rPr>
      </w:pPr>
      <w:r>
        <w:rPr>
          <w:rFonts w:ascii="Times New Roman" w:cs="Times New Roman" w:eastAsia="Times New Roman" w:hAnsi="Times New Roman"/>
          <w:sz w:val="13"/>
          <w:szCs w:val="13"/>
          <w:color w:val="auto"/>
        </w:rPr>
        <w:t>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82" w:lineRule="exact"/>
        <w:rPr>
          <w:sz w:val="20"/>
          <w:szCs w:val="20"/>
          <w:color w:val="auto"/>
        </w:rPr>
      </w:pPr>
    </w:p>
    <w:p>
      <w:pPr>
        <w:ind w:left="1480" w:right="1519" w:firstLine="266"/>
        <w:spacing w:after="0" w:line="251" w:lineRule="auto"/>
        <w:rPr>
          <w:sz w:val="20"/>
          <w:szCs w:val="20"/>
          <w:color w:val="auto"/>
        </w:rPr>
      </w:pPr>
      <w:r>
        <w:rPr>
          <w:rFonts w:ascii="Times New Roman" w:cs="Times New Roman" w:eastAsia="Times New Roman" w:hAnsi="Times New Roman"/>
          <w:sz w:val="13"/>
          <w:szCs w:val="13"/>
          <w:color w:val="auto"/>
        </w:rPr>
        <w:t>The IRS may challenge the positions we adopt with respect to depreciating or amortizing the Section 743(b) or Section 734(b)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tax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83" w:lineRule="exact"/>
        <w:rPr>
          <w:sz w:val="20"/>
          <w:szCs w:val="20"/>
          <w:color w:val="auto"/>
        </w:rPr>
      </w:pPr>
    </w:p>
    <w:p>
      <w:pPr>
        <w:ind w:left="1480" w:right="1579" w:firstLine="266"/>
        <w:spacing w:after="0" w:line="253" w:lineRule="auto"/>
        <w:rPr>
          <w:sz w:val="20"/>
          <w:szCs w:val="20"/>
          <w:color w:val="auto"/>
        </w:rPr>
      </w:pPr>
      <w:r>
        <w:rPr>
          <w:rFonts w:ascii="Times New Roman" w:cs="Times New Roman" w:eastAsia="Times New Roman" w:hAnsi="Times New Roman"/>
          <w:sz w:val="13"/>
          <w:szCs w:val="13"/>
          <w:color w:val="auto"/>
        </w:rPr>
        <w:t>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8" w:name="page39"/>
    <w:bookmarkEnd w:id="38"/>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659"/>
        <w:spacing w:after="0" w:line="254" w:lineRule="auto"/>
        <w:rPr>
          <w:sz w:val="20"/>
          <w:szCs w:val="20"/>
          <w:color w:val="auto"/>
        </w:rPr>
      </w:pPr>
      <w:r>
        <w:rPr>
          <w:rFonts w:ascii="Times New Roman" w:cs="Times New Roman" w:eastAsia="Times New Roman" w:hAnsi="Times New Roman"/>
          <w:sz w:val="13"/>
          <w:szCs w:val="13"/>
          <w:color w:val="auto"/>
        </w:rPr>
        <w:t>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Tax Treatment of Operations</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Accounting Method and Taxable Year</w:t>
      </w:r>
    </w:p>
    <w:p>
      <w:pPr>
        <w:spacing w:after="0" w:line="124" w:lineRule="exact"/>
        <w:rPr>
          <w:sz w:val="20"/>
          <w:szCs w:val="20"/>
          <w:color w:val="auto"/>
        </w:rPr>
      </w:pPr>
    </w:p>
    <w:p>
      <w:pPr>
        <w:ind w:left="1480" w:right="1539" w:firstLine="266"/>
        <w:spacing w:after="0" w:line="249" w:lineRule="auto"/>
        <w:rPr>
          <w:sz w:val="20"/>
          <w:szCs w:val="20"/>
          <w:color w:val="auto"/>
        </w:rPr>
      </w:pPr>
      <w:r>
        <w:rPr>
          <w:rFonts w:ascii="Times New Roman" w:cs="Times New Roman" w:eastAsia="Times New Roman" w:hAnsi="Times New Roman"/>
          <w:sz w:val="13"/>
          <w:szCs w:val="13"/>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w:t>
      </w:r>
    </w:p>
    <w:p>
      <w:pPr>
        <w:spacing w:after="0" w:line="2" w:lineRule="exact"/>
        <w:rPr>
          <w:sz w:val="20"/>
          <w:szCs w:val="20"/>
          <w:color w:val="auto"/>
        </w:rPr>
      </w:pPr>
    </w:p>
    <w:p>
      <w:pPr>
        <w:ind w:left="1480" w:right="1499"/>
        <w:spacing w:after="0" w:line="250" w:lineRule="auto"/>
        <w:rPr>
          <w:sz w:val="20"/>
          <w:szCs w:val="20"/>
          <w:color w:val="auto"/>
        </w:rPr>
      </w:pPr>
      <w:r>
        <w:rPr>
          <w:rFonts w:ascii="Times New Roman" w:cs="Times New Roman" w:eastAsia="Times New Roman" w:hAnsi="Times New Roman"/>
          <w:sz w:val="13"/>
          <w:szCs w:val="13"/>
          <w:color w:val="auto"/>
        </w:rPr>
        <w:t>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w:t>
      </w:r>
    </w:p>
    <w:p>
      <w:pPr>
        <w:spacing w:after="0" w:line="1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Tax Basis, Depreciation and Amortization</w:t>
      </w:r>
    </w:p>
    <w:p>
      <w:pPr>
        <w:spacing w:after="0" w:line="114" w:lineRule="exact"/>
        <w:rPr>
          <w:sz w:val="20"/>
          <w:szCs w:val="20"/>
          <w:color w:val="auto"/>
        </w:rPr>
      </w:pPr>
    </w:p>
    <w:p>
      <w:pPr>
        <w:ind w:left="1480" w:right="1559" w:firstLine="266"/>
        <w:spacing w:after="0" w:line="251" w:lineRule="auto"/>
        <w:rPr>
          <w:sz w:val="20"/>
          <w:szCs w:val="20"/>
          <w:color w:val="auto"/>
        </w:rPr>
      </w:pPr>
      <w:r>
        <w:rPr>
          <w:rFonts w:ascii="Times New Roman" w:cs="Times New Roman" w:eastAsia="Times New Roman" w:hAnsi="Times New Roman"/>
          <w:sz w:val="13"/>
          <w:szCs w:val="13"/>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236" w:lineRule="exact"/>
        <w:rPr>
          <w:sz w:val="20"/>
          <w:szCs w:val="20"/>
          <w:color w:val="auto"/>
        </w:rPr>
      </w:pPr>
    </w:p>
    <w:p>
      <w:pPr>
        <w:ind w:left="1480" w:right="1519" w:firstLine="266"/>
        <w:spacing w:after="0" w:line="251" w:lineRule="auto"/>
        <w:rPr>
          <w:sz w:val="20"/>
          <w:szCs w:val="20"/>
          <w:color w:val="auto"/>
        </w:rPr>
      </w:pPr>
      <w:r>
        <w:rPr>
          <w:rFonts w:ascii="Times New Roman" w:cs="Times New Roman" w:eastAsia="Times New Roman" w:hAnsi="Times New Roman"/>
          <w:sz w:val="13"/>
          <w:szCs w:val="13"/>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w:t>
      </w:r>
    </w:p>
    <w:p>
      <w:pPr>
        <w:spacing w:after="0" w:line="236" w:lineRule="exact"/>
        <w:rPr>
          <w:sz w:val="20"/>
          <w:szCs w:val="20"/>
          <w:color w:val="auto"/>
        </w:rPr>
      </w:pPr>
    </w:p>
    <w:p>
      <w:pPr>
        <w:ind w:left="1480" w:right="1499" w:firstLine="266"/>
        <w:spacing w:after="0" w:line="251" w:lineRule="auto"/>
        <w:rPr>
          <w:sz w:val="20"/>
          <w:szCs w:val="20"/>
          <w:color w:val="auto"/>
        </w:rPr>
      </w:pPr>
      <w:r>
        <w:rPr>
          <w:rFonts w:ascii="Times New Roman" w:cs="Times New Roman" w:eastAsia="Times New Roman" w:hAnsi="Times New Roman"/>
          <w:sz w:val="13"/>
          <w:szCs w:val="13"/>
          <w:color w:val="auto"/>
        </w:rPr>
        <w:t>We are allowed a first-year bonus depreciation deduction equal to 60% of the adjusted basis of certain depreciable property acquired and placed in service in 2024.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w:t>
      </w:r>
    </w:p>
    <w:p>
      <w:pPr>
        <w:spacing w:after="0" w:line="1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Valuation and Tax Basis of Each of Our Properties</w:t>
      </w:r>
    </w:p>
    <w:p>
      <w:pPr>
        <w:spacing w:after="0" w:line="114" w:lineRule="exact"/>
        <w:rPr>
          <w:sz w:val="20"/>
          <w:szCs w:val="20"/>
          <w:color w:val="auto"/>
        </w:rPr>
      </w:pPr>
    </w:p>
    <w:p>
      <w:pPr>
        <w:ind w:left="1480" w:right="1519" w:firstLine="266"/>
        <w:spacing w:after="0" w:line="252" w:lineRule="auto"/>
        <w:rPr>
          <w:sz w:val="20"/>
          <w:szCs w:val="20"/>
          <w:color w:val="auto"/>
        </w:rPr>
      </w:pPr>
      <w:r>
        <w:rPr>
          <w:rFonts w:ascii="Times New Roman" w:cs="Times New Roman" w:eastAsia="Times New Roman" w:hAnsi="Times New Roman"/>
          <w:sz w:val="13"/>
          <w:szCs w:val="13"/>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9" w:name="page40"/>
    <w:bookmarkEnd w:id="39"/>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Disposition of Units</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Recognition of Gain or Loss</w:t>
      </w:r>
    </w:p>
    <w:p>
      <w:pPr>
        <w:spacing w:after="0" w:line="124" w:lineRule="exact"/>
        <w:rPr>
          <w:sz w:val="20"/>
          <w:szCs w:val="20"/>
          <w:color w:val="auto"/>
        </w:rPr>
      </w:pPr>
    </w:p>
    <w:p>
      <w:pPr>
        <w:ind w:left="1480" w:right="1499" w:firstLine="266"/>
        <w:spacing w:after="0" w:line="250" w:lineRule="auto"/>
        <w:rPr>
          <w:sz w:val="20"/>
          <w:szCs w:val="20"/>
          <w:color w:val="auto"/>
        </w:rPr>
      </w:pPr>
      <w:r>
        <w:rPr>
          <w:rFonts w:ascii="Times New Roman" w:cs="Times New Roman" w:eastAsia="Times New Roman" w:hAnsi="Times New Roman"/>
          <w:sz w:val="13"/>
          <w:szCs w:val="13"/>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237" w:lineRule="exact"/>
        <w:rPr>
          <w:sz w:val="20"/>
          <w:szCs w:val="20"/>
          <w:color w:val="auto"/>
        </w:rPr>
      </w:pPr>
    </w:p>
    <w:p>
      <w:pPr>
        <w:ind w:left="1480" w:right="1479" w:firstLine="266"/>
        <w:spacing w:after="0" w:line="260" w:lineRule="auto"/>
        <w:rPr>
          <w:sz w:val="20"/>
          <w:szCs w:val="20"/>
          <w:color w:val="auto"/>
        </w:rPr>
      </w:pPr>
      <w:r>
        <w:rPr>
          <w:rFonts w:ascii="Times New Roman" w:cs="Times New Roman" w:eastAsia="Times New Roman" w:hAnsi="Times New Roman"/>
          <w:sz w:val="13"/>
          <w:szCs w:val="13"/>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49" w:lineRule="exact"/>
        <w:rPr>
          <w:sz w:val="20"/>
          <w:szCs w:val="20"/>
          <w:color w:val="auto"/>
        </w:rPr>
      </w:pPr>
    </w:p>
    <w:p>
      <w:pPr>
        <w:ind w:left="1480" w:right="1479" w:firstLine="266"/>
        <w:spacing w:after="0" w:line="261" w:lineRule="auto"/>
        <w:rPr>
          <w:sz w:val="20"/>
          <w:szCs w:val="20"/>
          <w:color w:val="auto"/>
        </w:rPr>
      </w:pPr>
      <w:r>
        <w:rPr>
          <w:rFonts w:ascii="Times New Roman" w:cs="Times New Roman" w:eastAsia="Times New Roman" w:hAnsi="Times New Roman"/>
          <w:sz w:val="13"/>
          <w:szCs w:val="13"/>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246" w:lineRule="exact"/>
        <w:rPr>
          <w:sz w:val="20"/>
          <w:szCs w:val="20"/>
          <w:color w:val="auto"/>
        </w:rPr>
      </w:pPr>
    </w:p>
    <w:p>
      <w:pPr>
        <w:ind w:left="1480" w:right="1519" w:firstLine="266"/>
        <w:spacing w:after="0" w:line="259" w:lineRule="auto"/>
        <w:rPr>
          <w:sz w:val="20"/>
          <w:szCs w:val="20"/>
          <w:color w:val="auto"/>
        </w:rPr>
      </w:pPr>
      <w:r>
        <w:rPr>
          <w:rFonts w:ascii="Times New Roman" w:cs="Times New Roman" w:eastAsia="Times New Roman" w:hAnsi="Times New Roman"/>
          <w:sz w:val="13"/>
          <w:szCs w:val="13"/>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w:t>
      </w:r>
    </w:p>
    <w:p>
      <w:pPr>
        <w:spacing w:after="0" w:line="1" w:lineRule="exact"/>
        <w:rPr>
          <w:sz w:val="20"/>
          <w:szCs w:val="20"/>
          <w:color w:val="auto"/>
        </w:rPr>
      </w:pPr>
    </w:p>
    <w:p>
      <w:pPr>
        <w:jc w:val="both"/>
        <w:ind w:left="1480" w:right="1519"/>
        <w:spacing w:after="0" w:line="264" w:lineRule="auto"/>
        <w:rPr>
          <w:sz w:val="20"/>
          <w:szCs w:val="20"/>
          <w:color w:val="auto"/>
        </w:rPr>
      </w:pPr>
      <w:r>
        <w:rPr>
          <w:rFonts w:ascii="Times New Roman" w:cs="Times New Roman" w:eastAsia="Times New Roman" w:hAnsi="Times New Roman"/>
          <w:sz w:val="13"/>
          <w:szCs w:val="13"/>
          <w:color w:val="auto"/>
        </w:rPr>
        <w:t>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73" w:lineRule="exact"/>
        <w:rPr>
          <w:sz w:val="20"/>
          <w:szCs w:val="20"/>
          <w:color w:val="auto"/>
        </w:rPr>
      </w:pPr>
    </w:p>
    <w:p>
      <w:pPr>
        <w:ind w:left="1480" w:right="1479" w:firstLine="266"/>
        <w:spacing w:after="0" w:line="268" w:lineRule="auto"/>
        <w:rPr>
          <w:sz w:val="20"/>
          <w:szCs w:val="20"/>
          <w:color w:val="auto"/>
        </w:rPr>
      </w:pPr>
      <w:r>
        <w:rPr>
          <w:rFonts w:ascii="Times New Roman" w:cs="Times New Roman" w:eastAsia="Times New Roman" w:hAnsi="Times New Roman"/>
          <w:sz w:val="13"/>
          <w:szCs w:val="13"/>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1" w:lineRule="exact"/>
        <w:rPr>
          <w:sz w:val="20"/>
          <w:szCs w:val="20"/>
          <w:color w:val="auto"/>
        </w:rPr>
      </w:pPr>
    </w:p>
    <w:p>
      <w:pPr>
        <w:ind w:left="1860" w:hanging="124"/>
        <w:spacing w:after="0"/>
        <w:tabs>
          <w:tab w:leader="none" w:pos="18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short sale;</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offsetting notional principal contract; or</w:t>
      </w:r>
    </w:p>
    <w:p>
      <w:pPr>
        <w:spacing w:after="0" w:line="90" w:lineRule="exact"/>
        <w:rPr>
          <w:rFonts w:ascii="Times New Roman" w:cs="Times New Roman" w:eastAsia="Times New Roman" w:hAnsi="Times New Roman"/>
          <w:sz w:val="13"/>
          <w:szCs w:val="13"/>
          <w:color w:val="auto"/>
        </w:rPr>
      </w:pPr>
    </w:p>
    <w:p>
      <w:pPr>
        <w:ind w:left="1860" w:right="1959" w:hanging="124"/>
        <w:spacing w:after="0" w:line="293" w:lineRule="auto"/>
        <w:tabs>
          <w:tab w:leader="none" w:pos="18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futures or forward contract with respect to the partnership interest or substantially identical property.</w:t>
      </w:r>
    </w:p>
    <w:p>
      <w:pPr>
        <w:spacing w:after="0" w:line="64" w:lineRule="exact"/>
        <w:rPr>
          <w:sz w:val="20"/>
          <w:szCs w:val="20"/>
          <w:color w:val="auto"/>
        </w:rPr>
      </w:pPr>
    </w:p>
    <w:p>
      <w:pPr>
        <w:ind w:left="1480" w:right="1959" w:firstLine="266"/>
        <w:spacing w:after="0" w:line="293" w:lineRule="auto"/>
        <w:rPr>
          <w:sz w:val="20"/>
          <w:szCs w:val="20"/>
          <w:color w:val="auto"/>
        </w:rPr>
      </w:pPr>
      <w:r>
        <w:rPr>
          <w:rFonts w:ascii="Times New Roman" w:cs="Times New Roman" w:eastAsia="Times New Roman" w:hAnsi="Times New Roman"/>
          <w:sz w:val="13"/>
          <w:szCs w:val="13"/>
          <w:color w:val="auto"/>
        </w:rPr>
        <w:t>Moreover, if a taxpayer has previously entered into a short sale, an offsetting notional principal contract or a futures or forward contract with respect to the partnership interest, the taxpayer will be</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0" w:name="page41"/>
    <w:bookmarkEnd w:id="40"/>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499"/>
        <w:spacing w:after="0" w:line="257" w:lineRule="auto"/>
        <w:rPr>
          <w:sz w:val="20"/>
          <w:szCs w:val="20"/>
          <w:color w:val="auto"/>
        </w:rPr>
      </w:pPr>
      <w:r>
        <w:rPr>
          <w:rFonts w:ascii="Times New Roman" w:cs="Times New Roman" w:eastAsia="Times New Roman" w:hAnsi="Times New Roman"/>
          <w:sz w:val="13"/>
          <w:szCs w:val="13"/>
          <w:color w:val="auto"/>
        </w:rPr>
        <w:t>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w:t>
      </w:r>
    </w:p>
    <w:p>
      <w:pPr>
        <w:spacing w:after="0" w:line="1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Allocations Between Transferors and Transferees</w:t>
      </w:r>
    </w:p>
    <w:p>
      <w:pPr>
        <w:spacing w:after="0" w:line="124" w:lineRule="exact"/>
        <w:rPr>
          <w:sz w:val="20"/>
          <w:szCs w:val="20"/>
          <w:color w:val="auto"/>
        </w:rPr>
      </w:pPr>
    </w:p>
    <w:p>
      <w:pPr>
        <w:ind w:left="1480" w:right="1519" w:firstLine="266"/>
        <w:spacing w:after="0" w:line="248" w:lineRule="auto"/>
        <w:rPr>
          <w:sz w:val="20"/>
          <w:szCs w:val="20"/>
          <w:color w:val="auto"/>
        </w:rPr>
      </w:pPr>
      <w:r>
        <w:rPr>
          <w:rFonts w:ascii="Times New Roman" w:cs="Times New Roman" w:eastAsia="Times New Roman" w:hAnsi="Times New Roman"/>
          <w:sz w:val="13"/>
          <w:szCs w:val="13"/>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87" w:lineRule="exact"/>
        <w:rPr>
          <w:sz w:val="20"/>
          <w:szCs w:val="20"/>
          <w:color w:val="auto"/>
        </w:rPr>
      </w:pPr>
    </w:p>
    <w:p>
      <w:pPr>
        <w:ind w:left="1480" w:right="1499" w:firstLine="266"/>
        <w:spacing w:after="0" w:line="251" w:lineRule="auto"/>
        <w:rPr>
          <w:sz w:val="20"/>
          <w:szCs w:val="20"/>
          <w:color w:val="auto"/>
        </w:rPr>
      </w:pPr>
      <w:r>
        <w:rPr>
          <w:rFonts w:ascii="Times New Roman" w:cs="Times New Roman" w:eastAsia="Times New Roman" w:hAnsi="Times New Roman"/>
          <w:sz w:val="13"/>
          <w:szCs w:val="13"/>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236" w:lineRule="exact"/>
        <w:rPr>
          <w:sz w:val="20"/>
          <w:szCs w:val="20"/>
          <w:color w:val="auto"/>
        </w:rPr>
      </w:pPr>
    </w:p>
    <w:p>
      <w:pPr>
        <w:ind w:left="1480" w:right="1499" w:firstLine="266"/>
        <w:spacing w:after="0" w:line="258" w:lineRule="auto"/>
        <w:rPr>
          <w:sz w:val="20"/>
          <w:szCs w:val="20"/>
          <w:color w:val="auto"/>
        </w:rPr>
      </w:pPr>
      <w:r>
        <w:rPr>
          <w:rFonts w:ascii="Times New Roman" w:cs="Times New Roman" w:eastAsia="Times New Roman" w:hAnsi="Times New Roman"/>
          <w:sz w:val="13"/>
          <w:szCs w:val="13"/>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Notification Requirements</w:t>
      </w:r>
    </w:p>
    <w:p>
      <w:pPr>
        <w:spacing w:after="0" w:line="124" w:lineRule="exact"/>
        <w:rPr>
          <w:sz w:val="20"/>
          <w:szCs w:val="20"/>
          <w:color w:val="auto"/>
        </w:rPr>
      </w:pPr>
    </w:p>
    <w:p>
      <w:pPr>
        <w:ind w:left="1480" w:right="1539" w:firstLine="266"/>
        <w:spacing w:after="0" w:line="251" w:lineRule="auto"/>
        <w:rPr>
          <w:sz w:val="20"/>
          <w:szCs w:val="20"/>
          <w:color w:val="auto"/>
        </w:rPr>
      </w:pPr>
      <w:r>
        <w:rPr>
          <w:rFonts w:ascii="Times New Roman" w:cs="Times New Roman" w:eastAsia="Times New Roman" w:hAnsi="Times New Roman"/>
          <w:sz w:val="13"/>
          <w:szCs w:val="13"/>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Uniformity of Units</w:t>
      </w:r>
    </w:p>
    <w:p>
      <w:pPr>
        <w:spacing w:after="0" w:line="124" w:lineRule="exact"/>
        <w:rPr>
          <w:sz w:val="20"/>
          <w:szCs w:val="20"/>
          <w:color w:val="auto"/>
        </w:rPr>
      </w:pPr>
    </w:p>
    <w:p>
      <w:pPr>
        <w:jc w:val="both"/>
        <w:ind w:left="1480" w:right="1599" w:firstLine="266"/>
        <w:spacing w:after="0" w:line="253" w:lineRule="auto"/>
        <w:rPr>
          <w:sz w:val="20"/>
          <w:szCs w:val="20"/>
          <w:color w:val="auto"/>
        </w:rPr>
      </w:pPr>
      <w:r>
        <w:rPr>
          <w:rFonts w:ascii="Times New Roman" w:cs="Times New Roman" w:eastAsia="Times New Roman" w:hAnsi="Times New Roman"/>
          <w:sz w:val="13"/>
          <w:szCs w:val="13"/>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w:t>
      </w:r>
    </w:p>
    <w:p>
      <w:pPr>
        <w:spacing w:after="0" w:line="80" w:lineRule="exact"/>
        <w:rPr>
          <w:sz w:val="20"/>
          <w:szCs w:val="20"/>
          <w:color w:val="auto"/>
        </w:rPr>
      </w:pPr>
    </w:p>
    <w:p>
      <w:pPr>
        <w:ind w:left="1480" w:right="1519" w:firstLine="266"/>
        <w:spacing w:after="0" w:line="253" w:lineRule="auto"/>
        <w:rPr>
          <w:sz w:val="20"/>
          <w:szCs w:val="20"/>
          <w:color w:val="auto"/>
        </w:rPr>
      </w:pPr>
      <w:r>
        <w:rPr>
          <w:rFonts w:ascii="Times New Roman" w:cs="Times New Roman" w:eastAsia="Times New Roman" w:hAnsi="Times New Roman"/>
          <w:sz w:val="13"/>
          <w:szCs w:val="13"/>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80" w:lineRule="exact"/>
        <w:rPr>
          <w:sz w:val="20"/>
          <w:szCs w:val="20"/>
          <w:color w:val="auto"/>
        </w:rPr>
      </w:pPr>
    </w:p>
    <w:p>
      <w:pPr>
        <w:ind w:left="1480" w:right="1519" w:firstLine="266"/>
        <w:spacing w:after="0" w:line="293" w:lineRule="auto"/>
        <w:rPr>
          <w:sz w:val="20"/>
          <w:szCs w:val="20"/>
          <w:color w:val="auto"/>
        </w:rPr>
      </w:pPr>
      <w:r>
        <w:rPr>
          <w:rFonts w:ascii="Times New Roman" w:cs="Times New Roman" w:eastAsia="Times New Roman" w:hAnsi="Times New Roman"/>
          <w:sz w:val="13"/>
          <w:szCs w:val="13"/>
          <w:color w:val="auto"/>
        </w:rPr>
        <w:t>A unitholder’s adjusted tax basis in units is reduced by its share of our deductions (whether or not such deductions were claimed on an individual income tax return) so that any position that we take that</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1" w:name="page42"/>
    <w:bookmarkEnd w:id="41"/>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539"/>
        <w:spacing w:after="0" w:line="252" w:lineRule="auto"/>
        <w:rPr>
          <w:sz w:val="20"/>
          <w:szCs w:val="20"/>
          <w:color w:val="auto"/>
        </w:rPr>
      </w:pPr>
      <w:r>
        <w:rPr>
          <w:rFonts w:ascii="Times New Roman" w:cs="Times New Roman" w:eastAsia="Times New Roman" w:hAnsi="Times New Roman"/>
          <w:sz w:val="13"/>
          <w:szCs w:val="13"/>
          <w:color w:val="auto"/>
        </w:rPr>
        <w:t>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236" w:lineRule="exact"/>
        <w:rPr>
          <w:sz w:val="20"/>
          <w:szCs w:val="20"/>
          <w:color w:val="auto"/>
        </w:rPr>
      </w:pPr>
    </w:p>
    <w:p>
      <w:pPr>
        <w:jc w:val="both"/>
        <w:ind w:left="1480" w:right="1559" w:firstLine="266"/>
        <w:spacing w:after="0" w:line="253" w:lineRule="auto"/>
        <w:rPr>
          <w:sz w:val="20"/>
          <w:szCs w:val="20"/>
          <w:color w:val="auto"/>
        </w:rPr>
      </w:pPr>
      <w:r>
        <w:rPr>
          <w:rFonts w:ascii="Times New Roman" w:cs="Times New Roman" w:eastAsia="Times New Roman" w:hAnsi="Times New Roman"/>
          <w:sz w:val="13"/>
          <w:szCs w:val="13"/>
          <w:color w:val="auto"/>
        </w:rPr>
        <w:t>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w:t>
      </w:r>
    </w:p>
    <w:p>
      <w:pPr>
        <w:jc w:val="both"/>
        <w:ind w:left="1480" w:right="1519"/>
        <w:spacing w:after="0" w:line="250" w:lineRule="auto"/>
        <w:rPr>
          <w:sz w:val="20"/>
          <w:szCs w:val="20"/>
          <w:color w:val="auto"/>
        </w:rPr>
      </w:pPr>
      <w:r>
        <w:rPr>
          <w:rFonts w:ascii="Times New Roman" w:cs="Times New Roman" w:eastAsia="Times New Roman" w:hAnsi="Times New Roman"/>
          <w:sz w:val="13"/>
          <w:szCs w:val="13"/>
          <w:color w:val="auto"/>
        </w:rPr>
        <w:t>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Tax-Exempt Organizations and Other Investors</w:t>
      </w:r>
    </w:p>
    <w:p>
      <w:pPr>
        <w:spacing w:after="0" w:line="112" w:lineRule="exact"/>
        <w:rPr>
          <w:sz w:val="20"/>
          <w:szCs w:val="20"/>
          <w:color w:val="auto"/>
        </w:rPr>
      </w:pPr>
    </w:p>
    <w:p>
      <w:pPr>
        <w:jc w:val="both"/>
        <w:ind w:left="1480" w:right="1539" w:firstLine="266"/>
        <w:spacing w:after="0" w:line="257" w:lineRule="auto"/>
        <w:rPr>
          <w:sz w:val="20"/>
          <w:szCs w:val="20"/>
          <w:color w:val="auto"/>
        </w:rPr>
      </w:pPr>
      <w:r>
        <w:rPr>
          <w:rFonts w:ascii="Times New Roman" w:cs="Times New Roman" w:eastAsia="Times New Roman" w:hAnsi="Times New Roman"/>
          <w:sz w:val="13"/>
          <w:szCs w:val="13"/>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78" w:lineRule="exact"/>
        <w:rPr>
          <w:sz w:val="20"/>
          <w:szCs w:val="20"/>
          <w:color w:val="auto"/>
        </w:rPr>
      </w:pPr>
    </w:p>
    <w:p>
      <w:pPr>
        <w:ind w:left="1480" w:right="1499" w:firstLine="266"/>
        <w:spacing w:after="0" w:line="248" w:lineRule="auto"/>
        <w:rPr>
          <w:sz w:val="20"/>
          <w:szCs w:val="20"/>
          <w:color w:val="auto"/>
        </w:rPr>
      </w:pPr>
      <w:r>
        <w:rPr>
          <w:rFonts w:ascii="Times New Roman" w:cs="Times New Roman" w:eastAsia="Times New Roman" w:hAnsi="Times New Roman"/>
          <w:sz w:val="13"/>
          <w:szCs w:val="13"/>
          <w:color w:val="auto"/>
        </w:rPr>
        <w:t>Employee benefit plans and most other tax-exempt organizations, including IRAs and other retirement plans, are subject to federal income tax on unrelated business taxable income. Virtually all of our income allocated to tax-exempt organizations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 -exempt unitholders to utilize losses from an investment in the Partnership to offset unrelated business taxable income from another unrelated trade or business and vice versa. Additionally, all or part of any gain recognized by a tax exempt organization upon a sale or other disposition of our units may be unrelated business taxable income and may be taxable to them.</w:t>
      </w:r>
    </w:p>
    <w:p>
      <w:pPr>
        <w:spacing w:after="0" w:line="87" w:lineRule="exact"/>
        <w:rPr>
          <w:sz w:val="20"/>
          <w:szCs w:val="20"/>
          <w:color w:val="auto"/>
        </w:rPr>
      </w:pPr>
    </w:p>
    <w:p>
      <w:pPr>
        <w:jc w:val="both"/>
        <w:ind w:left="1480" w:right="1519" w:firstLine="266"/>
        <w:spacing w:after="0" w:line="252" w:lineRule="auto"/>
        <w:rPr>
          <w:sz w:val="20"/>
          <w:szCs w:val="20"/>
          <w:color w:val="auto"/>
        </w:rPr>
      </w:pPr>
      <w:r>
        <w:rPr>
          <w:rFonts w:ascii="Times New Roman" w:cs="Times New Roman" w:eastAsia="Times New Roman" w:hAnsi="Times New Roman"/>
          <w:sz w:val="13"/>
          <w:szCs w:val="13"/>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w:t>
      </w:r>
    </w:p>
    <w:p>
      <w:pPr>
        <w:spacing w:after="0" w:line="1" w:lineRule="exact"/>
        <w:rPr>
          <w:sz w:val="20"/>
          <w:szCs w:val="20"/>
          <w:color w:val="auto"/>
        </w:rPr>
      </w:pPr>
    </w:p>
    <w:p>
      <w:pPr>
        <w:ind w:left="1480" w:right="1519"/>
        <w:spacing w:after="0" w:line="246" w:lineRule="auto"/>
        <w:rPr>
          <w:sz w:val="20"/>
          <w:szCs w:val="20"/>
          <w:color w:val="auto"/>
        </w:rPr>
      </w:pPr>
      <w:r>
        <w:rPr>
          <w:rFonts w:ascii="Times New Roman" w:cs="Times New Roman" w:eastAsia="Times New Roman" w:hAnsi="Times New Roman"/>
          <w:sz w:val="13"/>
          <w:szCs w:val="13"/>
          <w:color w:val="auto"/>
        </w:rPr>
        <w:t>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 Each Non-U.S. Unitholder must obtain a taxpayer identification number from the IRS and submit that number to our transfer agent on a Form W- 8BEN or W-8BEN-E (or other applicable or successor form) in order to obtain credit for these withholding taxes.</w:t>
      </w:r>
    </w:p>
    <w:p>
      <w:pPr>
        <w:spacing w:after="0" w:line="237" w:lineRule="exact"/>
        <w:rPr>
          <w:sz w:val="20"/>
          <w:szCs w:val="20"/>
          <w:color w:val="auto"/>
        </w:rPr>
      </w:pPr>
    </w:p>
    <w:p>
      <w:pPr>
        <w:ind w:left="1480" w:right="1599" w:firstLine="266"/>
        <w:spacing w:after="0" w:line="258" w:lineRule="auto"/>
        <w:rPr>
          <w:sz w:val="20"/>
          <w:szCs w:val="20"/>
          <w:color w:val="auto"/>
        </w:rPr>
      </w:pPr>
      <w:r>
        <w:rPr>
          <w:rFonts w:ascii="Times New Roman" w:cs="Times New Roman" w:eastAsia="Times New Roman" w:hAnsi="Times New Roman"/>
          <w:sz w:val="13"/>
          <w:szCs w:val="13"/>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2" w:name="page43"/>
    <w:bookmarkEnd w:id="42"/>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519"/>
        <w:spacing w:after="0" w:line="266" w:lineRule="auto"/>
        <w:rPr>
          <w:sz w:val="20"/>
          <w:szCs w:val="20"/>
          <w:color w:val="auto"/>
        </w:rPr>
      </w:pPr>
      <w:r>
        <w:rPr>
          <w:rFonts w:ascii="Times New Roman" w:cs="Times New Roman" w:eastAsia="Times New Roman" w:hAnsi="Times New Roman"/>
          <w:sz w:val="13"/>
          <w:szCs w:val="13"/>
          <w:color w:val="auto"/>
        </w:rPr>
        <w:t>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72" w:lineRule="exact"/>
        <w:rPr>
          <w:sz w:val="20"/>
          <w:szCs w:val="20"/>
          <w:color w:val="auto"/>
        </w:rPr>
      </w:pPr>
    </w:p>
    <w:p>
      <w:pPr>
        <w:ind w:left="1480" w:right="1499" w:firstLine="266"/>
        <w:spacing w:after="0" w:line="248" w:lineRule="auto"/>
        <w:rPr>
          <w:sz w:val="20"/>
          <w:szCs w:val="20"/>
          <w:color w:val="auto"/>
        </w:rPr>
      </w:pPr>
      <w:r>
        <w:rPr>
          <w:rFonts w:ascii="Times New Roman" w:cs="Times New Roman" w:eastAsia="Times New Roman" w:hAnsi="Times New Roman"/>
          <w:sz w:val="13"/>
          <w:szCs w:val="13"/>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243" w:lineRule="exact"/>
        <w:rPr>
          <w:sz w:val="20"/>
          <w:szCs w:val="20"/>
          <w:color w:val="auto"/>
        </w:rPr>
      </w:pPr>
    </w:p>
    <w:p>
      <w:pPr>
        <w:ind w:left="1480" w:right="1619" w:firstLine="266"/>
        <w:spacing w:after="0" w:line="248" w:lineRule="auto"/>
        <w:rPr>
          <w:sz w:val="20"/>
          <w:szCs w:val="20"/>
          <w:color w:val="auto"/>
        </w:rPr>
      </w:pPr>
      <w:r>
        <w:rPr>
          <w:rFonts w:ascii="Times New Roman" w:cs="Times New Roman" w:eastAsia="Times New Roman" w:hAnsi="Times New Roman"/>
          <w:sz w:val="13"/>
          <w:szCs w:val="13"/>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Current and prospective foreign unitholders should consult their tax advisors regarding the impact of these rules on an investment in our units.</w:t>
      </w:r>
    </w:p>
    <w:p>
      <w:pPr>
        <w:spacing w:after="0" w:line="2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Administrative Matters</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Information Returns and Audit Procedures</w:t>
      </w:r>
    </w:p>
    <w:p>
      <w:pPr>
        <w:spacing w:after="0" w:line="124" w:lineRule="exact"/>
        <w:rPr>
          <w:sz w:val="20"/>
          <w:szCs w:val="20"/>
          <w:color w:val="auto"/>
        </w:rPr>
      </w:pPr>
    </w:p>
    <w:p>
      <w:pPr>
        <w:ind w:left="1480" w:right="1499" w:firstLine="266"/>
        <w:spacing w:after="0" w:line="251" w:lineRule="auto"/>
        <w:rPr>
          <w:sz w:val="20"/>
          <w:szCs w:val="20"/>
          <w:color w:val="auto"/>
        </w:rPr>
      </w:pPr>
      <w:r>
        <w:rPr>
          <w:rFonts w:ascii="Times New Roman" w:cs="Times New Roman" w:eastAsia="Times New Roman" w:hAnsi="Times New Roman"/>
          <w:sz w:val="13"/>
          <w:szCs w:val="13"/>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83" w:lineRule="exact"/>
        <w:rPr>
          <w:sz w:val="20"/>
          <w:szCs w:val="20"/>
          <w:color w:val="auto"/>
        </w:rPr>
      </w:pPr>
    </w:p>
    <w:p>
      <w:pPr>
        <w:ind w:left="1480" w:right="1519" w:firstLine="266"/>
        <w:spacing w:after="0" w:line="253" w:lineRule="auto"/>
        <w:rPr>
          <w:sz w:val="20"/>
          <w:szCs w:val="20"/>
          <w:color w:val="auto"/>
        </w:rPr>
      </w:pPr>
      <w:r>
        <w:rPr>
          <w:rFonts w:ascii="Times New Roman" w:cs="Times New Roman" w:eastAsia="Times New Roman" w:hAnsi="Times New Roman"/>
          <w:sz w:val="13"/>
          <w:szCs w:val="13"/>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80" w:lineRule="exact"/>
        <w:rPr>
          <w:sz w:val="20"/>
          <w:szCs w:val="20"/>
          <w:color w:val="auto"/>
        </w:rPr>
      </w:pPr>
    </w:p>
    <w:p>
      <w:pPr>
        <w:ind w:left="1480" w:right="1539" w:firstLine="266"/>
        <w:spacing w:after="0" w:line="258" w:lineRule="auto"/>
        <w:rPr>
          <w:sz w:val="20"/>
          <w:szCs w:val="20"/>
          <w:color w:val="auto"/>
        </w:rPr>
      </w:pPr>
      <w:r>
        <w:rPr>
          <w:rFonts w:ascii="Times New Roman" w:cs="Times New Roman" w:eastAsia="Times New Roman" w:hAnsi="Times New Roman"/>
          <w:sz w:val="13"/>
          <w:szCs w:val="13"/>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76" w:lineRule="exact"/>
        <w:rPr>
          <w:sz w:val="20"/>
          <w:szCs w:val="20"/>
          <w:color w:val="auto"/>
        </w:rPr>
      </w:pPr>
    </w:p>
    <w:p>
      <w:pPr>
        <w:ind w:left="1480" w:right="1699" w:firstLine="266"/>
        <w:spacing w:after="0" w:line="266" w:lineRule="auto"/>
        <w:rPr>
          <w:sz w:val="20"/>
          <w:szCs w:val="20"/>
          <w:color w:val="auto"/>
        </w:rPr>
      </w:pPr>
      <w:r>
        <w:rPr>
          <w:rFonts w:ascii="Times New Roman" w:cs="Times New Roman" w:eastAsia="Times New Roman" w:hAnsi="Times New Roman"/>
          <w:sz w:val="13"/>
          <w:szCs w:val="13"/>
          <w:color w:val="auto"/>
        </w:rPr>
        <w:t>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3" w:name="page44"/>
    <w:bookmarkEnd w:id="43"/>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480" w:right="1519"/>
        <w:spacing w:after="0" w:line="258" w:lineRule="auto"/>
        <w:rPr>
          <w:sz w:val="20"/>
          <w:szCs w:val="20"/>
          <w:color w:val="auto"/>
        </w:rPr>
      </w:pPr>
      <w:r>
        <w:rPr>
          <w:rFonts w:ascii="Times New Roman" w:cs="Times New Roman" w:eastAsia="Times New Roman" w:hAnsi="Times New Roman"/>
          <w:sz w:val="13"/>
          <w:szCs w:val="13"/>
          <w:color w:val="auto"/>
        </w:rPr>
        <w:t>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76" w:lineRule="exact"/>
        <w:rPr>
          <w:sz w:val="20"/>
          <w:szCs w:val="20"/>
          <w:color w:val="auto"/>
        </w:rPr>
      </w:pPr>
    </w:p>
    <w:p>
      <w:pPr>
        <w:ind w:left="1480" w:right="1519" w:firstLine="266"/>
        <w:spacing w:after="0" w:line="251" w:lineRule="auto"/>
        <w:rPr>
          <w:sz w:val="20"/>
          <w:szCs w:val="20"/>
          <w:color w:val="auto"/>
        </w:rPr>
      </w:pPr>
      <w:r>
        <w:rPr>
          <w:rFonts w:ascii="Times New Roman" w:cs="Times New Roman" w:eastAsia="Times New Roman" w:hAnsi="Times New Roman"/>
          <w:sz w:val="13"/>
          <w:szCs w:val="13"/>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w:t>
      </w:r>
    </w:p>
    <w:p>
      <w:pPr>
        <w:spacing w:after="0" w:line="236" w:lineRule="exact"/>
        <w:rPr>
          <w:sz w:val="20"/>
          <w:szCs w:val="20"/>
          <w:color w:val="auto"/>
        </w:rPr>
      </w:pPr>
    </w:p>
    <w:p>
      <w:pPr>
        <w:ind w:left="1480" w:right="1519" w:firstLine="266"/>
        <w:spacing w:after="0" w:line="251" w:lineRule="auto"/>
        <w:rPr>
          <w:sz w:val="20"/>
          <w:szCs w:val="20"/>
          <w:color w:val="auto"/>
        </w:rPr>
      </w:pPr>
      <w:r>
        <w:rPr>
          <w:rFonts w:ascii="Times New Roman" w:cs="Times New Roman" w:eastAsia="Times New Roman" w:hAnsi="Times New Roman"/>
          <w:sz w:val="13"/>
          <w:szCs w:val="13"/>
          <w:color w:val="auto"/>
        </w:rPr>
        <w:t>The Code requires us to designate a partner, or other person, with a substantial presence in the United States as the partnership representative (“Partnership Representative”). The Partnership Representative has the sole authority to act on our behalf for purposes of, among other things, federal income tax audits and judicial review of administrative adjustments by the IRS. We have designated our general partner as the Partnership Representative.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Additional Withholding Requirements</w:t>
      </w:r>
    </w:p>
    <w:p>
      <w:pPr>
        <w:spacing w:after="0" w:line="124" w:lineRule="exact"/>
        <w:rPr>
          <w:sz w:val="20"/>
          <w:szCs w:val="20"/>
          <w:color w:val="auto"/>
        </w:rPr>
      </w:pPr>
    </w:p>
    <w:p>
      <w:pPr>
        <w:ind w:left="1480" w:right="1559" w:firstLine="266"/>
        <w:spacing w:after="0" w:line="248" w:lineRule="auto"/>
        <w:rPr>
          <w:sz w:val="20"/>
          <w:szCs w:val="20"/>
          <w:color w:val="auto"/>
        </w:rPr>
      </w:pPr>
      <w:r>
        <w:rPr>
          <w:rFonts w:ascii="Times New Roman" w:cs="Times New Roman" w:eastAsia="Times New Roman" w:hAnsi="Times New Roman"/>
          <w:sz w:val="13"/>
          <w:szCs w:val="13"/>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w:t>
      </w:r>
    </w:p>
    <w:p>
      <w:pPr>
        <w:ind w:left="1480" w:right="1519" w:hanging="10"/>
        <w:spacing w:after="0" w:line="248" w:lineRule="auto"/>
        <w:tabs>
          <w:tab w:leader="none" w:pos="1649"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83" w:lineRule="exact"/>
        <w:rPr>
          <w:sz w:val="20"/>
          <w:szCs w:val="20"/>
          <w:color w:val="auto"/>
        </w:rPr>
      </w:pPr>
    </w:p>
    <w:p>
      <w:pPr>
        <w:ind w:left="1480" w:right="1539" w:firstLine="266"/>
        <w:spacing w:after="0" w:line="251" w:lineRule="auto"/>
        <w:rPr>
          <w:sz w:val="20"/>
          <w:szCs w:val="20"/>
          <w:color w:val="auto"/>
        </w:rPr>
      </w:pPr>
      <w:r>
        <w:rPr>
          <w:rFonts w:ascii="Times New Roman" w:cs="Times New Roman" w:eastAsia="Times New Roman" w:hAnsi="Times New Roman"/>
          <w:sz w:val="13"/>
          <w:szCs w:val="13"/>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83" w:lineRule="exact"/>
        <w:rPr>
          <w:sz w:val="20"/>
          <w:szCs w:val="20"/>
          <w:color w:val="auto"/>
        </w:rPr>
      </w:pPr>
    </w:p>
    <w:p>
      <w:pPr>
        <w:ind w:left="1480" w:right="1559" w:firstLine="266"/>
        <w:spacing w:after="0" w:line="254" w:lineRule="auto"/>
        <w:rPr>
          <w:sz w:val="20"/>
          <w:szCs w:val="20"/>
          <w:color w:val="auto"/>
        </w:rPr>
      </w:pPr>
      <w:r>
        <w:rPr>
          <w:rFonts w:ascii="Times New Roman" w:cs="Times New Roman" w:eastAsia="Times New Roman" w:hAnsi="Times New Roman"/>
          <w:sz w:val="13"/>
          <w:szCs w:val="13"/>
          <w:color w:val="auto"/>
        </w:rPr>
        <w:t>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 Each prospective unitholder should consult its own tax advisors regarding the potential application of these withholding provisions to its investment in our units.</w:t>
      </w:r>
    </w:p>
    <w:p>
      <w:pPr>
        <w:spacing w:after="0" w:line="1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Nominee Reporting</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Persons who hold an interest in us as a nominee for another person are required to furnish to us:</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4" w:name="page45"/>
    <w:bookmarkEnd w:id="44"/>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60" w:hanging="124"/>
        <w:spacing w:after="0"/>
        <w:tabs>
          <w:tab w:leader="none" w:pos="18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address and taxpayer identification number of the beneficial owner and the nominee;</w:t>
      </w:r>
    </w:p>
    <w:p>
      <w:pPr>
        <w:spacing w:after="0" w:line="7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regarding whether the beneficial owner is:</w:t>
      </w:r>
    </w:p>
    <w:p>
      <w:pPr>
        <w:spacing w:after="0" w:line="70" w:lineRule="exact"/>
        <w:rPr>
          <w:rFonts w:ascii="Times New Roman" w:cs="Times New Roman" w:eastAsia="Times New Roman" w:hAnsi="Times New Roman"/>
          <w:sz w:val="13"/>
          <w:szCs w:val="13"/>
          <w:color w:val="auto"/>
        </w:rPr>
      </w:pPr>
    </w:p>
    <w:p>
      <w:pPr>
        <w:ind w:left="2140" w:hanging="138"/>
        <w:spacing w:after="0"/>
        <w:tabs>
          <w:tab w:leader="none" w:pos="214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non-U.S. person;</w:t>
      </w:r>
    </w:p>
    <w:p>
      <w:pPr>
        <w:spacing w:after="0" w:line="70" w:lineRule="exact"/>
        <w:rPr>
          <w:rFonts w:ascii="Times New Roman" w:cs="Times New Roman" w:eastAsia="Times New Roman" w:hAnsi="Times New Roman"/>
          <w:sz w:val="13"/>
          <w:szCs w:val="13"/>
          <w:color w:val="auto"/>
        </w:rPr>
      </w:pPr>
    </w:p>
    <w:p>
      <w:pPr>
        <w:ind w:left="2140" w:right="2099" w:hanging="138"/>
        <w:spacing w:after="0" w:line="293" w:lineRule="auto"/>
        <w:tabs>
          <w:tab w:leader="none" w:pos="214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non-U.S. government, an international organization or any wholly-owned agency or instrumentality of either of the foregoing; or</w:t>
      </w:r>
    </w:p>
    <w:p>
      <w:pPr>
        <w:spacing w:after="0" w:line="14" w:lineRule="exact"/>
        <w:rPr>
          <w:rFonts w:ascii="Times New Roman" w:cs="Times New Roman" w:eastAsia="Times New Roman" w:hAnsi="Times New Roman"/>
          <w:sz w:val="13"/>
          <w:szCs w:val="13"/>
          <w:color w:val="auto"/>
        </w:rPr>
      </w:pPr>
    </w:p>
    <w:p>
      <w:pPr>
        <w:ind w:left="2140" w:hanging="138"/>
        <w:spacing w:after="0"/>
        <w:tabs>
          <w:tab w:leader="none" w:pos="214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tax-exempt entity;</w:t>
      </w:r>
    </w:p>
    <w:p>
      <w:pPr>
        <w:spacing w:after="0" w:line="7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and description of units held, acquired or transferred for the beneficial owner; and</w:t>
      </w:r>
    </w:p>
    <w:p>
      <w:pPr>
        <w:spacing w:after="0" w:line="70" w:lineRule="exact"/>
        <w:rPr>
          <w:rFonts w:ascii="Times New Roman" w:cs="Times New Roman" w:eastAsia="Times New Roman" w:hAnsi="Times New Roman"/>
          <w:sz w:val="13"/>
          <w:szCs w:val="13"/>
          <w:color w:val="auto"/>
        </w:rPr>
      </w:pPr>
    </w:p>
    <w:p>
      <w:pPr>
        <w:ind w:left="1860" w:right="1799" w:hanging="124"/>
        <w:spacing w:after="0" w:line="293" w:lineRule="auto"/>
        <w:tabs>
          <w:tab w:leader="none" w:pos="18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specific information including the dates of acquisitions and transfers, means of acquisitions and transfers, and acquisition cost for purchases, as well as the amount of net proceeds from sales.</w:t>
      </w:r>
    </w:p>
    <w:p>
      <w:pPr>
        <w:spacing w:after="0" w:line="64" w:lineRule="exact"/>
        <w:rPr>
          <w:sz w:val="20"/>
          <w:szCs w:val="20"/>
          <w:color w:val="auto"/>
        </w:rPr>
      </w:pPr>
    </w:p>
    <w:p>
      <w:pPr>
        <w:ind w:left="1480" w:right="1519" w:firstLine="266"/>
        <w:spacing w:after="0" w:line="253" w:lineRule="auto"/>
        <w:rPr>
          <w:sz w:val="20"/>
          <w:szCs w:val="20"/>
          <w:color w:val="auto"/>
        </w:rPr>
      </w:pPr>
      <w:r>
        <w:rPr>
          <w:rFonts w:ascii="Times New Roman" w:cs="Times New Roman" w:eastAsia="Times New Roman" w:hAnsi="Times New Roman"/>
          <w:sz w:val="13"/>
          <w:szCs w:val="13"/>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Accuracy-Related Penalties</w:t>
      </w:r>
    </w:p>
    <w:p>
      <w:pPr>
        <w:spacing w:after="0" w:line="114" w:lineRule="exact"/>
        <w:rPr>
          <w:sz w:val="20"/>
          <w:szCs w:val="20"/>
          <w:color w:val="auto"/>
        </w:rPr>
      </w:pPr>
    </w:p>
    <w:p>
      <w:pPr>
        <w:ind w:left="1480" w:right="1499" w:firstLine="266"/>
        <w:spacing w:after="0" w:line="254" w:lineRule="auto"/>
        <w:rPr>
          <w:sz w:val="20"/>
          <w:szCs w:val="20"/>
          <w:color w:val="auto"/>
        </w:rPr>
      </w:pPr>
      <w:r>
        <w:rPr>
          <w:rFonts w:ascii="Times New Roman" w:cs="Times New Roman" w:eastAsia="Times New Roman" w:hAnsi="Times New Roman"/>
          <w:sz w:val="13"/>
          <w:szCs w:val="13"/>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State, Local and Other Tax Considerations</w:t>
      </w:r>
    </w:p>
    <w:p>
      <w:pPr>
        <w:spacing w:after="0" w:line="124" w:lineRule="exact"/>
        <w:rPr>
          <w:sz w:val="20"/>
          <w:szCs w:val="20"/>
          <w:color w:val="auto"/>
        </w:rPr>
      </w:pPr>
    </w:p>
    <w:p>
      <w:pPr>
        <w:ind w:left="1480" w:right="1519" w:firstLine="266"/>
        <w:spacing w:after="0" w:line="250" w:lineRule="auto"/>
        <w:rPr>
          <w:sz w:val="20"/>
          <w:szCs w:val="20"/>
          <w:color w:val="auto"/>
        </w:rPr>
      </w:pPr>
      <w:r>
        <w:rPr>
          <w:rFonts w:ascii="Times New Roman" w:cs="Times New Roman" w:eastAsia="Times New Roman" w:hAnsi="Times New Roman"/>
          <w:sz w:val="13"/>
          <w:szCs w:val="13"/>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82" w:lineRule="exact"/>
        <w:rPr>
          <w:sz w:val="20"/>
          <w:szCs w:val="20"/>
          <w:color w:val="auto"/>
        </w:rPr>
      </w:pPr>
    </w:p>
    <w:p>
      <w:pPr>
        <w:ind w:left="1480" w:right="1499" w:firstLine="266"/>
        <w:spacing w:after="0" w:line="250" w:lineRule="auto"/>
        <w:rPr>
          <w:sz w:val="20"/>
          <w:szCs w:val="20"/>
          <w:color w:val="auto"/>
        </w:rPr>
      </w:pPr>
      <w:r>
        <w:rPr>
          <w:rFonts w:ascii="Times New Roman" w:cs="Times New Roman" w:eastAsia="Times New Roman" w:hAnsi="Times New Roman"/>
          <w:sz w:val="13"/>
          <w:szCs w:val="13"/>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Tax Consequences of Ownership of Preferred Units</w:t>
      </w:r>
    </w:p>
    <w:p>
      <w:pPr>
        <w:spacing w:after="0" w:line="122" w:lineRule="exact"/>
        <w:rPr>
          <w:sz w:val="20"/>
          <w:szCs w:val="20"/>
          <w:color w:val="auto"/>
        </w:rPr>
      </w:pPr>
    </w:p>
    <w:p>
      <w:pPr>
        <w:ind w:left="1480" w:right="1599" w:firstLine="266"/>
        <w:spacing w:after="0" w:line="258" w:lineRule="auto"/>
        <w:rPr>
          <w:sz w:val="20"/>
          <w:szCs w:val="20"/>
          <w:color w:val="auto"/>
        </w:rPr>
      </w:pPr>
      <w:r>
        <w:rPr>
          <w:rFonts w:ascii="Times New Roman" w:cs="Times New Roman" w:eastAsia="Times New Roman" w:hAnsi="Times New Roman"/>
          <w:sz w:val="13"/>
          <w:szCs w:val="13"/>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Tax Consequences of Ownership of Debt Securities</w:t>
      </w:r>
    </w:p>
    <w:p>
      <w:pPr>
        <w:spacing w:after="0" w:line="112" w:lineRule="exact"/>
        <w:rPr>
          <w:sz w:val="20"/>
          <w:szCs w:val="20"/>
          <w:color w:val="auto"/>
        </w:rPr>
      </w:pPr>
    </w:p>
    <w:p>
      <w:pPr>
        <w:ind w:left="1480" w:right="1599" w:firstLine="266"/>
        <w:spacing w:after="0" w:line="266" w:lineRule="auto"/>
        <w:rPr>
          <w:sz w:val="20"/>
          <w:szCs w:val="20"/>
          <w:color w:val="auto"/>
        </w:rPr>
      </w:pPr>
      <w:r>
        <w:rPr>
          <w:rFonts w:ascii="Times New Roman" w:cs="Times New Roman" w:eastAsia="Times New Roman" w:hAnsi="Times New Roman"/>
          <w:sz w:val="13"/>
          <w:szCs w:val="13"/>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5" w:name="page46"/>
    <w:bookmarkEnd w:id="45"/>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80" w:right="1499" w:firstLine="266"/>
        <w:spacing w:after="0" w:line="285" w:lineRule="auto"/>
        <w:rPr>
          <w:sz w:val="20"/>
          <w:szCs w:val="20"/>
          <w:color w:val="auto"/>
        </w:rPr>
      </w:pPr>
      <w:r>
        <w:rPr>
          <w:rFonts w:ascii="Times New Roman" w:cs="Times New Roman" w:eastAsia="Times New Roman" w:hAnsi="Times New Roman"/>
          <w:sz w:val="12"/>
          <w:szCs w:val="12"/>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w:t>
      </w:r>
    </w:p>
    <w:p>
      <w:pPr>
        <w:ind w:left="1480" w:right="2099" w:hanging="10"/>
        <w:spacing w:after="0" w:line="272" w:lineRule="auto"/>
        <w:tabs>
          <w:tab w:leader="none" w:pos="1611" w:val="left"/>
        </w:tabs>
        <w:numPr>
          <w:ilvl w:val="0"/>
          <w:numId w:val="3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Elkins L.L.P. has not rendered an opinion on the state, local, alternative minimum tax or non-U.S. tax consequences of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6" w:name="page47"/>
    <w:bookmarkEnd w:id="46"/>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Under this prospectus, we intend to offer our securities to the public:</w:t>
      </w:r>
    </w:p>
    <w:p>
      <w:pPr>
        <w:spacing w:after="0" w:line="90" w:lineRule="exact"/>
        <w:rPr>
          <w:sz w:val="20"/>
          <w:szCs w:val="20"/>
          <w:color w:val="auto"/>
        </w:rPr>
      </w:pPr>
    </w:p>
    <w:p>
      <w:pPr>
        <w:ind w:left="1860" w:hanging="124"/>
        <w:spacing w:after="0"/>
        <w:tabs>
          <w:tab w:leader="none" w:pos="18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one or more underwriters for public offering and sale;</w:t>
      </w:r>
    </w:p>
    <w:p>
      <w:pPr>
        <w:spacing w:after="0" w:line="100" w:lineRule="exact"/>
        <w:rPr>
          <w:rFonts w:ascii="Times New Roman" w:cs="Times New Roman" w:eastAsia="Times New Roman" w:hAnsi="Times New Roman"/>
          <w:sz w:val="13"/>
          <w:szCs w:val="13"/>
          <w:color w:val="auto"/>
        </w:rPr>
      </w:pPr>
    </w:p>
    <w:p>
      <w:pPr>
        <w:ind w:left="1860" w:right="1499" w:hanging="124"/>
        <w:spacing w:after="0" w:line="293" w:lineRule="auto"/>
        <w:tabs>
          <w:tab w:leader="none" w:pos="18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one or more broker-dealers who may act as agent or may purchase securities as principal and thereafter resell the securities from time to time;</w:t>
      </w:r>
    </w:p>
    <w:p>
      <w:pPr>
        <w:spacing w:after="0" w:line="44" w:lineRule="exact"/>
        <w:rPr>
          <w:rFonts w:ascii="Times New Roman" w:cs="Times New Roman" w:eastAsia="Times New Roman" w:hAnsi="Times New Roman"/>
          <w:sz w:val="13"/>
          <w:szCs w:val="13"/>
          <w:color w:val="auto"/>
        </w:rPr>
      </w:pPr>
    </w:p>
    <w:p>
      <w:pPr>
        <w:ind w:left="1860" w:right="1619" w:hanging="124"/>
        <w:spacing w:after="0" w:line="274" w:lineRule="auto"/>
        <w:tabs>
          <w:tab w:leader="none" w:pos="18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or through one or more transactions (which may involve crosses and block transactions) or distributions, including exchange distributions, distributions to beneficial owners and/or secondary distributions;</w:t>
      </w:r>
    </w:p>
    <w:p>
      <w:pPr>
        <w:spacing w:after="0" w:line="46"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NASDAQ;</w:t>
      </w:r>
    </w:p>
    <w:p>
      <w:pPr>
        <w:spacing w:after="0" w:line="10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over-the-counter market;</w:t>
      </w:r>
    </w:p>
    <w:p>
      <w:pPr>
        <w:spacing w:after="0" w:line="10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private transactions;</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investors directly;</w:t>
      </w:r>
    </w:p>
    <w:p>
      <w:pPr>
        <w:spacing w:after="0" w:line="10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short sales and delivery of such securities to close out short positions;</w:t>
      </w:r>
    </w:p>
    <w:p>
      <w:pPr>
        <w:spacing w:after="0" w:line="90" w:lineRule="exact"/>
        <w:rPr>
          <w:rFonts w:ascii="Times New Roman" w:cs="Times New Roman" w:eastAsia="Times New Roman" w:hAnsi="Times New Roman"/>
          <w:sz w:val="13"/>
          <w:szCs w:val="13"/>
          <w:color w:val="auto"/>
        </w:rPr>
      </w:pPr>
    </w:p>
    <w:p>
      <w:pPr>
        <w:ind w:left="1860" w:right="1559" w:hanging="124"/>
        <w:spacing w:after="0" w:line="293" w:lineRule="auto"/>
        <w:tabs>
          <w:tab w:leader="none" w:pos="18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“at the market” offerings into an existing trading market in accordance with Rule 415(a)(4) under the Securities Act;</w:t>
      </w:r>
    </w:p>
    <w:p>
      <w:pPr>
        <w:spacing w:after="0" w:line="44"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combination of any such methods of sale; or</w:t>
      </w:r>
    </w:p>
    <w:p>
      <w:pPr>
        <w:spacing w:after="0" w:line="10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any other method permitted pursuant to applicable law.</w:t>
      </w:r>
    </w:p>
    <w:p>
      <w:pPr>
        <w:spacing w:after="0" w:line="11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We will price our securities at:</w:t>
      </w:r>
    </w:p>
    <w:p>
      <w:pPr>
        <w:spacing w:after="0" w:line="100" w:lineRule="exact"/>
        <w:rPr>
          <w:sz w:val="20"/>
          <w:szCs w:val="20"/>
          <w:color w:val="auto"/>
        </w:rPr>
      </w:pPr>
    </w:p>
    <w:p>
      <w:pPr>
        <w:ind w:left="1860" w:hanging="124"/>
        <w:spacing w:after="0"/>
        <w:tabs>
          <w:tab w:leader="none" w:pos="18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prices prevailing at the time of any sale under this registration statement;</w:t>
      </w:r>
    </w:p>
    <w:p>
      <w:pPr>
        <w:spacing w:after="0" w:line="9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prices related to then-current market prices;</w:t>
      </w:r>
    </w:p>
    <w:p>
      <w:pPr>
        <w:spacing w:after="0" w:line="10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fixed price; or</w:t>
      </w:r>
    </w:p>
    <w:p>
      <w:pPr>
        <w:spacing w:after="0" w:line="100" w:lineRule="exact"/>
        <w:rPr>
          <w:rFonts w:ascii="Times New Roman" w:cs="Times New Roman" w:eastAsia="Times New Roman" w:hAnsi="Times New Roman"/>
          <w:sz w:val="13"/>
          <w:szCs w:val="13"/>
          <w:color w:val="auto"/>
        </w:rPr>
      </w:pPr>
    </w:p>
    <w:p>
      <w:pPr>
        <w:ind w:left="1860" w:hanging="124"/>
        <w:spacing w:after="0"/>
        <w:tabs>
          <w:tab w:leader="none" w:pos="18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negotiated prices.</w:t>
      </w:r>
    </w:p>
    <w:p>
      <w:pPr>
        <w:spacing w:after="0" w:line="11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We may change the price of the securities offered from time to time.</w:t>
      </w:r>
    </w:p>
    <w:p>
      <w:pPr>
        <w:spacing w:after="0" w:line="120" w:lineRule="exact"/>
        <w:rPr>
          <w:sz w:val="20"/>
          <w:szCs w:val="20"/>
          <w:color w:val="auto"/>
        </w:rPr>
      </w:pPr>
    </w:p>
    <w:p>
      <w:pPr>
        <w:ind w:left="1480" w:right="1619" w:firstLine="266"/>
        <w:spacing w:after="0" w:line="293" w:lineRule="auto"/>
        <w:rPr>
          <w:sz w:val="20"/>
          <w:szCs w:val="20"/>
          <w:color w:val="auto"/>
        </w:rPr>
      </w:pPr>
      <w:r>
        <w:rPr>
          <w:rFonts w:ascii="Times New Roman" w:cs="Times New Roman" w:eastAsia="Times New Roman" w:hAnsi="Times New Roman"/>
          <w:sz w:val="13"/>
          <w:szCs w:val="13"/>
          <w:color w:val="auto"/>
        </w:rPr>
        <w:t>We will pay or allow distributors’ or sellers’ commissions that will not exceed those customary in the types of transactions involved.</w:t>
      </w:r>
    </w:p>
    <w:p>
      <w:pPr>
        <w:spacing w:after="0" w:line="64" w:lineRule="exact"/>
        <w:rPr>
          <w:sz w:val="20"/>
          <w:szCs w:val="20"/>
          <w:color w:val="auto"/>
        </w:rPr>
      </w:pPr>
    </w:p>
    <w:p>
      <w:pPr>
        <w:ind w:left="1480" w:right="1539" w:firstLine="266"/>
        <w:spacing w:after="0" w:line="265" w:lineRule="auto"/>
        <w:rPr>
          <w:sz w:val="20"/>
          <w:szCs w:val="20"/>
          <w:color w:val="auto"/>
        </w:rPr>
      </w:pPr>
      <w:r>
        <w:rPr>
          <w:rFonts w:ascii="Times New Roman" w:cs="Times New Roman" w:eastAsia="Times New Roman" w:hAnsi="Times New Roman"/>
          <w:sz w:val="13"/>
          <w:szCs w:val="13"/>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73" w:lineRule="exact"/>
        <w:rPr>
          <w:sz w:val="20"/>
          <w:szCs w:val="20"/>
          <w:color w:val="auto"/>
        </w:rPr>
      </w:pPr>
    </w:p>
    <w:p>
      <w:pPr>
        <w:ind w:left="1480" w:right="1579" w:firstLine="266"/>
        <w:spacing w:after="0" w:line="261" w:lineRule="auto"/>
        <w:rPr>
          <w:sz w:val="20"/>
          <w:szCs w:val="20"/>
          <w:color w:val="auto"/>
        </w:rPr>
      </w:pPr>
      <w:r>
        <w:rPr>
          <w:rFonts w:ascii="Times New Roman" w:cs="Times New Roman" w:eastAsia="Times New Roman" w:hAnsi="Times New Roman"/>
          <w:sz w:val="13"/>
          <w:szCs w:val="13"/>
          <w:color w:val="auto"/>
        </w:rPr>
        <w:t>To the extent required, the names of the specific managing underwriter or underwriters, if any, as well as other important information, will be set forth in an applicable prospectus supplement. In that event, the discounts and commissions we will allow or pay to the underwriters, if any, and the discounts and commissions the underwriters may allow or pay to dealers or agents, if any, will be set forth in, or may be calculated from, the applicable prospectus supplement.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87" w:lineRule="exact"/>
        <w:rPr>
          <w:sz w:val="20"/>
          <w:szCs w:val="20"/>
          <w:color w:val="auto"/>
        </w:rPr>
      </w:pPr>
    </w:p>
    <w:p>
      <w:pPr>
        <w:jc w:val="both"/>
        <w:ind w:left="1480" w:right="1679" w:firstLine="266"/>
        <w:spacing w:after="0" w:line="268" w:lineRule="auto"/>
        <w:rPr>
          <w:sz w:val="20"/>
          <w:szCs w:val="20"/>
          <w:color w:val="auto"/>
        </w:rPr>
      </w:pPr>
      <w:r>
        <w:rPr>
          <w:rFonts w:ascii="Times New Roman" w:cs="Times New Roman" w:eastAsia="Times New Roman" w:hAnsi="Times New Roman"/>
          <w:sz w:val="13"/>
          <w:szCs w:val="13"/>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7" w:name="page48"/>
    <w:bookmarkEnd w:id="47"/>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679" w:firstLine="266"/>
        <w:spacing w:after="0" w:line="274" w:lineRule="auto"/>
        <w:rPr>
          <w:sz w:val="20"/>
          <w:szCs w:val="20"/>
          <w:color w:val="auto"/>
        </w:rPr>
      </w:pPr>
      <w:r>
        <w:rPr>
          <w:rFonts w:ascii="Times New Roman" w:cs="Times New Roman" w:eastAsia="Times New Roman" w:hAnsi="Times New Roman"/>
          <w:sz w:val="13"/>
          <w:szCs w:val="13"/>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77" w:lineRule="exact"/>
        <w:rPr>
          <w:sz w:val="20"/>
          <w:szCs w:val="20"/>
          <w:color w:val="auto"/>
        </w:rPr>
      </w:pPr>
    </w:p>
    <w:p>
      <w:pPr>
        <w:jc w:val="both"/>
        <w:ind w:left="1480" w:right="1499" w:firstLine="266"/>
        <w:spacing w:after="0" w:line="274" w:lineRule="auto"/>
        <w:rPr>
          <w:sz w:val="20"/>
          <w:szCs w:val="20"/>
          <w:color w:val="auto"/>
        </w:rPr>
      </w:pPr>
      <w:r>
        <w:rPr>
          <w:rFonts w:ascii="Times New Roman" w:cs="Times New Roman" w:eastAsia="Times New Roman" w:hAnsi="Times New Roman"/>
          <w:sz w:val="13"/>
          <w:szCs w:val="13"/>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77" w:lineRule="exact"/>
        <w:rPr>
          <w:sz w:val="20"/>
          <w:szCs w:val="20"/>
          <w:color w:val="auto"/>
        </w:rPr>
      </w:pPr>
    </w:p>
    <w:p>
      <w:pPr>
        <w:ind w:left="1480" w:right="1559" w:firstLine="266"/>
        <w:spacing w:after="0" w:line="274" w:lineRule="auto"/>
        <w:rPr>
          <w:sz w:val="20"/>
          <w:szCs w:val="20"/>
          <w:color w:val="auto"/>
        </w:rPr>
      </w:pPr>
      <w:r>
        <w:rPr>
          <w:rFonts w:ascii="Times New Roman" w:cs="Times New Roman" w:eastAsia="Times New Roman" w:hAnsi="Times New Roman"/>
          <w:sz w:val="13"/>
          <w:szCs w:val="13"/>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67" w:lineRule="exact"/>
        <w:rPr>
          <w:sz w:val="20"/>
          <w:szCs w:val="20"/>
          <w:color w:val="auto"/>
        </w:rPr>
      </w:pPr>
    </w:p>
    <w:p>
      <w:pPr>
        <w:ind w:left="1480" w:right="1559" w:firstLine="266"/>
        <w:spacing w:after="0" w:line="274" w:lineRule="auto"/>
        <w:rPr>
          <w:sz w:val="20"/>
          <w:szCs w:val="20"/>
          <w:color w:val="auto"/>
        </w:rPr>
      </w:pPr>
      <w:r>
        <w:rPr>
          <w:rFonts w:ascii="Times New Roman" w:cs="Times New Roman" w:eastAsia="Times New Roman" w:hAnsi="Times New Roman"/>
          <w:sz w:val="13"/>
          <w:szCs w:val="13"/>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77" w:lineRule="exact"/>
        <w:rPr>
          <w:sz w:val="20"/>
          <w:szCs w:val="20"/>
          <w:color w:val="auto"/>
        </w:rPr>
      </w:pPr>
    </w:p>
    <w:p>
      <w:pPr>
        <w:ind w:left="1480" w:right="1539" w:firstLine="266"/>
        <w:spacing w:after="0" w:line="259" w:lineRule="auto"/>
        <w:rPr>
          <w:sz w:val="20"/>
          <w:szCs w:val="20"/>
          <w:color w:val="auto"/>
        </w:rPr>
      </w:pPr>
      <w:r>
        <w:rPr>
          <w:rFonts w:ascii="Times New Roman" w:cs="Times New Roman" w:eastAsia="Times New Roman" w:hAnsi="Times New Roman"/>
          <w:sz w:val="13"/>
          <w:szCs w:val="13"/>
          <w:color w:val="auto"/>
        </w:rPr>
        <w:t>In connection with offerings under this shelf registration statement and in compliance with applicable law, underwriters, brokers or dealers may engage in transactions that stabilize or maintain the market price of the securities at levels above those that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the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8" w:name="page49"/>
    <w:bookmarkEnd w:id="48"/>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22" w:lineRule="exact"/>
        <w:rPr>
          <w:sz w:val="20"/>
          <w:szCs w:val="20"/>
          <w:color w:val="auto"/>
        </w:rPr>
      </w:pPr>
    </w:p>
    <w:p>
      <w:pPr>
        <w:jc w:val="both"/>
        <w:ind w:left="1480" w:right="1519" w:firstLine="266"/>
        <w:spacing w:after="0" w:line="264" w:lineRule="auto"/>
        <w:rPr>
          <w:sz w:val="20"/>
          <w:szCs w:val="20"/>
          <w:color w:val="auto"/>
        </w:rPr>
      </w:pPr>
      <w:r>
        <w:rPr>
          <w:rFonts w:ascii="Times New Roman" w:cs="Times New Roman" w:eastAsia="Times New Roman" w:hAnsi="Times New Roman"/>
          <w:sz w:val="13"/>
          <w:szCs w:val="13"/>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22" w:lineRule="exact"/>
        <w:rPr>
          <w:sz w:val="20"/>
          <w:szCs w:val="20"/>
          <w:color w:val="auto"/>
        </w:rPr>
      </w:pPr>
    </w:p>
    <w:p>
      <w:pPr>
        <w:ind w:left="1480" w:right="1659" w:firstLine="266"/>
        <w:spacing w:after="0" w:line="264" w:lineRule="auto"/>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auto"/>
        </w:rPr>
        <w:t xml:space="preserve">The financial statements and management’s assessment of the effectiveness of internal control over financial reporting (which is included in Management’s Report on Internal Control Over Financial </w:t>
      </w:r>
      <w:hyperlink r:id="rId76">
        <w:r>
          <w:rPr>
            <w:rFonts w:ascii="Times New Roman" w:cs="Times New Roman" w:eastAsia="Times New Roman" w:hAnsi="Times New Roman"/>
            <w:sz w:val="13"/>
            <w:szCs w:val="13"/>
            <w:color w:val="auto"/>
          </w:rPr>
          <w:t xml:space="preserve">Reporting) incorporated in this Prospectus by reference to the </w:t>
        </w:r>
        <w:r>
          <w:rPr>
            <w:rFonts w:ascii="Times New Roman" w:cs="Times New Roman" w:eastAsia="Times New Roman" w:hAnsi="Times New Roman"/>
            <w:sz w:val="13"/>
            <w:szCs w:val="13"/>
            <w:u w:val="single" w:color="auto"/>
            <w:color w:val="0000EE"/>
          </w:rPr>
          <w:t>Annual Report on Form 10-K for the year</w:t>
        </w:r>
      </w:hyperlink>
      <w:r>
        <w:rPr>
          <w:rFonts w:ascii="Times New Roman" w:cs="Times New Roman" w:eastAsia="Times New Roman" w:hAnsi="Times New Roman"/>
          <w:sz w:val="13"/>
          <w:szCs w:val="13"/>
          <w:color w:val="auto"/>
        </w:rPr>
        <w:t xml:space="preserve"> </w:t>
      </w:r>
      <w:hyperlink r:id="rId76">
        <w:r>
          <w:rPr>
            <w:rFonts w:ascii="Times New Roman" w:cs="Times New Roman" w:eastAsia="Times New Roman" w:hAnsi="Times New Roman"/>
            <w:sz w:val="13"/>
            <w:szCs w:val="13"/>
            <w:u w:val="single" w:color="auto"/>
            <w:color w:val="0000EE"/>
          </w:rPr>
          <w:t>ended December 31, 2023</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have been so incorporated in reliance on the report of PricewaterhouseCoopers</w:t>
        </w:r>
      </w:hyperlink>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9" w:name="page50"/>
    <w:bookmarkEnd w:id="49"/>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Item 14. Other Expenses of Issuance and Distribution</w:t>
      </w:r>
    </w:p>
    <w:p>
      <w:pPr>
        <w:spacing w:after="0" w:line="122" w:lineRule="exact"/>
        <w:rPr>
          <w:sz w:val="20"/>
          <w:szCs w:val="20"/>
          <w:color w:val="auto"/>
        </w:rPr>
      </w:pPr>
    </w:p>
    <w:p>
      <w:pPr>
        <w:ind w:left="1480" w:right="1619" w:firstLine="266"/>
        <w:spacing w:after="0" w:line="258" w:lineRule="auto"/>
        <w:rPr>
          <w:sz w:val="20"/>
          <w:szCs w:val="20"/>
          <w:color w:val="auto"/>
        </w:rPr>
      </w:pPr>
      <w:r>
        <w:rPr>
          <w:rFonts w:ascii="Times New Roman" w:cs="Times New Roman" w:eastAsia="Times New Roman" w:hAnsi="Times New Roman"/>
          <w:sz w:val="13"/>
          <w:szCs w:val="13"/>
          <w:color w:val="auto"/>
        </w:rPr>
        <w:t>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w:t>
      </w:r>
    </w:p>
    <w:p>
      <w:pPr>
        <w:spacing w:after="0" w:line="110" w:lineRule="exact"/>
        <w:rPr>
          <w:sz w:val="20"/>
          <w:szCs w:val="20"/>
          <w:color w:val="auto"/>
        </w:rPr>
      </w:pPr>
    </w:p>
    <w:tbl>
      <w:tblPr>
        <w:tblLayout w:type="fixed"/>
        <w:tblInd w:w="148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 registration fee</w:t>
            </w:r>
          </w:p>
        </w:tc>
        <w:tc>
          <w:tcPr>
            <w:tcW w:w="1780" w:type="dxa"/>
            <w:vAlign w:val="bottom"/>
            <w:gridSpan w:val="3"/>
            <w:shd w:val="clear" w:color="auto" w:fill="CCEEFF"/>
          </w:tcPr>
          <w:p>
            <w:pPr>
              <w:ind w:left="154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​Legal fees and expenses</w:t>
            </w:r>
          </w:p>
        </w:tc>
        <w:tc>
          <w:tcPr>
            <w:tcW w:w="2240" w:type="dxa"/>
            <w:vAlign w:val="bottom"/>
            <w:gridSpan w:val="5"/>
          </w:tcPr>
          <w:p>
            <w:pPr>
              <w:ind w:left="1540"/>
              <w:spacing w:after="0"/>
              <w:rPr>
                <w:sz w:val="20"/>
                <w:szCs w:val="20"/>
                <w:color w:val="auto"/>
              </w:rPr>
            </w:pPr>
            <w:r>
              <w:rPr>
                <w:rFonts w:ascii="Times New Roman" w:cs="Times New Roman" w:eastAsia="Times New Roman" w:hAnsi="Times New Roman"/>
                <w:sz w:val="13"/>
                <w:szCs w:val="13"/>
                <w:color w:val="auto"/>
              </w:rPr>
              <w:t>​ ​​ ​275,000​*</w:t>
            </w: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​Accounting fees and expenses</w:t>
            </w:r>
          </w:p>
        </w:tc>
        <w:tc>
          <w:tcPr>
            <w:tcW w:w="2160" w:type="dxa"/>
            <w:vAlign w:val="bottom"/>
            <w:gridSpan w:val="4"/>
            <w:shd w:val="clear" w:color="auto" w:fill="CCEEFF"/>
          </w:tcPr>
          <w:p>
            <w:pPr>
              <w:ind w:left="1540"/>
              <w:spacing w:after="0"/>
              <w:rPr>
                <w:sz w:val="20"/>
                <w:szCs w:val="20"/>
                <w:color w:val="auto"/>
              </w:rPr>
            </w:pPr>
            <w:r>
              <w:rPr>
                <w:rFonts w:ascii="Times New Roman" w:cs="Times New Roman" w:eastAsia="Times New Roman" w:hAnsi="Times New Roman"/>
                <w:sz w:val="13"/>
                <w:szCs w:val="13"/>
                <w:color w:val="auto"/>
              </w:rPr>
              <w:t>​ ​​ ​150,000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​Printing and engraving expenses</w:t>
            </w:r>
          </w:p>
        </w:tc>
        <w:tc>
          <w:tcPr>
            <w:tcW w:w="1780" w:type="dxa"/>
            <w:vAlign w:val="bottom"/>
            <w:gridSpan w:val="3"/>
          </w:tcPr>
          <w:p>
            <w:pPr>
              <w:ind w:left="1540"/>
              <w:spacing w:after="0"/>
              <w:rPr>
                <w:sz w:val="20"/>
                <w:szCs w:val="20"/>
                <w:color w:val="auto"/>
              </w:rPr>
            </w:pPr>
            <w:r>
              <w:rPr>
                <w:rFonts w:ascii="Times New Roman" w:cs="Times New Roman" w:eastAsia="Times New Roman" w:hAnsi="Times New Roman"/>
                <w:sz w:val="13"/>
                <w:szCs w:val="13"/>
                <w:color w:val="auto"/>
              </w:rPr>
              <w:t>​ ​​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​Listing expenses</w:t>
            </w:r>
          </w:p>
        </w:tc>
        <w:tc>
          <w:tcPr>
            <w:tcW w:w="1780" w:type="dxa"/>
            <w:vAlign w:val="bottom"/>
            <w:gridSpan w:val="3"/>
            <w:shd w:val="clear" w:color="auto" w:fill="CCEEFF"/>
          </w:tcPr>
          <w:p>
            <w:pPr>
              <w:ind w:left="154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Miscellaneous</w:t>
            </w:r>
          </w:p>
        </w:tc>
        <w:tc>
          <w:tcPr>
            <w:tcW w:w="170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0"/>
        </w:trPr>
        <w:tc>
          <w:tcPr>
            <w:tcW w:w="260" w:type="dxa"/>
            <w:vAlign w:val="bottom"/>
          </w:tcPr>
          <w:p>
            <w:pPr>
              <w:spacing w:after="0"/>
              <w:rPr>
                <w:sz w:val="4"/>
                <w:szCs w:val="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w:t>
            </w:r>
          </w:p>
        </w:tc>
        <w:tc>
          <w:tcPr>
            <w:tcW w:w="17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0" w:type="dxa"/>
            <w:vAlign w:val="bottom"/>
          </w:tcPr>
          <w:p>
            <w:pPr>
              <w:spacing w:after="0"/>
              <w:rPr>
                <w:sz w:val="13"/>
                <w:szCs w:val="13"/>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2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517,350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60"/>
        </w:trPr>
        <w:tc>
          <w:tcPr>
            <w:tcW w:w="260" w:type="dxa"/>
            <w:vAlign w:val="bottom"/>
          </w:tcPr>
          <w:p>
            <w:pPr>
              <w:spacing w:after="0"/>
              <w:rPr>
                <w:sz w:val="5"/>
                <w:szCs w:val="5"/>
                <w:color w:val="auto"/>
              </w:rPr>
            </w:pPr>
          </w:p>
        </w:tc>
        <w:tc>
          <w:tcPr>
            <w:tcW w:w="3360" w:type="dxa"/>
            <w:vAlign w:val="bottom"/>
            <w:gridSpan w:val="2"/>
            <w:shd w:val="clear" w:color="auto" w:fill="CCEEFF"/>
          </w:tcPr>
          <w:p>
            <w:pPr>
              <w:spacing w:after="0" w:line="20" w:lineRule="exact"/>
              <w:rPr>
                <w:sz w:val="20"/>
                <w:szCs w:val="20"/>
                <w:color w:val="auto"/>
              </w:rPr>
            </w:pPr>
            <w:r>
              <w:rPr>
                <w:rFonts w:ascii="Times New Roman" w:cs="Times New Roman" w:eastAsia="Times New Roman" w:hAnsi="Times New Roman"/>
                <w:sz w:val="2"/>
                <w:szCs w:val="2"/>
                <w:color w:val="auto"/>
              </w:rPr>
              <w:t>​</w:t>
            </w:r>
          </w:p>
        </w:tc>
        <w:tc>
          <w:tcPr>
            <w:tcW w:w="1700" w:type="dxa"/>
            <w:vAlign w:val="bottom"/>
            <w:gridSpan w:val="2"/>
            <w:shd w:val="clear" w:color="auto" w:fill="CCEEFF"/>
          </w:tcPr>
          <w:p>
            <w:pPr>
              <w:ind w:left="1540"/>
              <w:spacing w:after="0" w:line="20" w:lineRule="exact"/>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tcPr>
          <w:p>
            <w:pPr>
              <w:jc w:val="right"/>
              <w:spacing w:after="0" w:line="20"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rPr>
                <w:sz w:val="1"/>
                <w:szCs w:val="1"/>
                <w:color w:val="auto"/>
              </w:rPr>
            </w:pPr>
          </w:p>
        </w:tc>
      </w:tr>
      <w:tr>
        <w:trPr>
          <w:trHeight w:val="70"/>
        </w:trPr>
        <w:tc>
          <w:tcPr>
            <w:tcW w:w="260" w:type="dxa"/>
            <w:vAlign w:val="bottom"/>
            <w:tcBorders>
              <w:bottom w:val="single" w:sz="8" w:color="auto"/>
            </w:tcBorders>
          </w:tcPr>
          <w:p>
            <w:pPr>
              <w:spacing w:after="0"/>
              <w:rPr>
                <w:sz w:val="6"/>
                <w:szCs w:val="6"/>
                <w:color w:val="auto"/>
              </w:rPr>
            </w:pPr>
          </w:p>
        </w:tc>
        <w:tc>
          <w:tcPr>
            <w:tcW w:w="1180" w:type="dxa"/>
            <w:vAlign w:val="bottom"/>
            <w:tcBorders>
              <w:top w:val="single" w:sz="8" w:color="CCEEFF"/>
              <w:bottom w:val="single" w:sz="8" w:color="auto"/>
            </w:tcBorders>
          </w:tcPr>
          <w:p>
            <w:pPr>
              <w:spacing w:after="0"/>
              <w:rPr>
                <w:sz w:val="6"/>
                <w:szCs w:val="6"/>
                <w:color w:val="auto"/>
              </w:rPr>
            </w:pPr>
          </w:p>
        </w:tc>
        <w:tc>
          <w:tcPr>
            <w:tcW w:w="2180" w:type="dxa"/>
            <w:vAlign w:val="bottom"/>
            <w:tcBorders>
              <w:top w:val="single" w:sz="8" w:color="CCEEFF"/>
            </w:tcBorders>
          </w:tcPr>
          <w:p>
            <w:pPr>
              <w:spacing w:after="0"/>
              <w:rPr>
                <w:sz w:val="6"/>
                <w:szCs w:val="6"/>
                <w:color w:val="auto"/>
              </w:rPr>
            </w:pPr>
          </w:p>
        </w:tc>
        <w:tc>
          <w:tcPr>
            <w:tcW w:w="1660" w:type="dxa"/>
            <w:vAlign w:val="bottom"/>
            <w:tcBorders>
              <w:top w:val="single" w:sz="8" w:color="CCEEFF"/>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-208280</wp:posOffset>
            </wp:positionV>
            <wp:extent cx="3187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187700" cy="6350"/>
                    </a:xfrm>
                    <a:prstGeom prst="rect">
                      <a:avLst/>
                    </a:prstGeom>
                    <a:noFill/>
                  </pic:spPr>
                </pic:pic>
              </a:graphicData>
            </a:graphic>
          </wp:anchor>
        </w:drawing>
      </w:r>
    </w:p>
    <w:p>
      <w:pPr>
        <w:spacing w:after="0" w:line="77" w:lineRule="exact"/>
        <w:rPr>
          <w:sz w:val="20"/>
          <w:szCs w:val="20"/>
          <w:color w:val="auto"/>
        </w:rPr>
      </w:pPr>
    </w:p>
    <w:p>
      <w:pPr>
        <w:ind w:left="1740" w:right="1899" w:hanging="270"/>
        <w:spacing w:after="0" w:line="293" w:lineRule="auto"/>
        <w:tabs>
          <w:tab w:leader="none" w:pos="17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fees are calculated based on the number of issuances and amount of securities offered and accordingly cannot be definitively estimated at this time.</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Item 15. Indemnification of Directors and Officers</w:t>
      </w:r>
    </w:p>
    <w:p>
      <w:pPr>
        <w:spacing w:after="0" w:line="122" w:lineRule="exact"/>
        <w:rPr>
          <w:sz w:val="20"/>
          <w:szCs w:val="20"/>
          <w:color w:val="auto"/>
        </w:rPr>
      </w:pPr>
    </w:p>
    <w:p>
      <w:pPr>
        <w:ind w:left="1480" w:right="1479" w:firstLine="266"/>
        <w:spacing w:after="0" w:line="247" w:lineRule="auto"/>
        <w:rPr>
          <w:sz w:val="20"/>
          <w:szCs w:val="20"/>
          <w:color w:val="auto"/>
        </w:rPr>
      </w:pPr>
      <w:r>
        <w:rPr>
          <w:rFonts w:ascii="Times New Roman" w:cs="Times New Roman" w:eastAsia="Times New Roman" w:hAnsi="Times New Roman"/>
          <w:sz w:val="13"/>
          <w:szCs w:val="13"/>
          <w:color w:val="auto"/>
        </w:rPr>
        <w:t>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or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spacing w:after="0" w:line="391" w:lineRule="exact"/>
        <w:rPr>
          <w:sz w:val="20"/>
          <w:szCs w:val="20"/>
          <w:color w:val="auto"/>
        </w:rPr>
      </w:pPr>
    </w:p>
    <w:p>
      <w:pPr>
        <w:ind w:left="1480" w:right="1519" w:firstLine="266"/>
        <w:spacing w:after="0" w:line="262" w:lineRule="auto"/>
        <w:rPr>
          <w:sz w:val="20"/>
          <w:szCs w:val="20"/>
          <w:color w:val="auto"/>
        </w:rPr>
      </w:pPr>
      <w:r>
        <w:rPr>
          <w:rFonts w:ascii="Times New Roman" w:cs="Times New Roman" w:eastAsia="Times New Roman" w:hAnsi="Times New Roman"/>
          <w:sz w:val="13"/>
          <w:szCs w:val="13"/>
          <w:color w:val="auto"/>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PAA GP Holdings LLC or its affiliates for the cost of) insurance against liabilities asserted against and expenses incurred by such persons in connection with Plains All American Pipeline, L.P.’s activities, regardless of whether Plains All American Pipeline, L.P. would have the power to indemnify such person against such liabilities under the provisions described above.</w:t>
      </w:r>
    </w:p>
    <w:p>
      <w:pPr>
        <w:spacing w:after="0" w:line="245" w:lineRule="exact"/>
        <w:rPr>
          <w:sz w:val="20"/>
          <w:szCs w:val="20"/>
          <w:color w:val="auto"/>
        </w:rPr>
      </w:pPr>
    </w:p>
    <w:p>
      <w:pPr>
        <w:ind w:left="1480" w:right="1479" w:firstLine="266"/>
        <w:spacing w:after="0" w:line="274" w:lineRule="auto"/>
        <w:rPr>
          <w:sz w:val="20"/>
          <w:szCs w:val="20"/>
          <w:color w:val="auto"/>
        </w:rPr>
      </w:pPr>
      <w:r>
        <w:rPr>
          <w:rFonts w:ascii="Times New Roman" w:cs="Times New Roman" w:eastAsia="Times New Roman" w:hAnsi="Times New Roman"/>
          <w:sz w:val="13"/>
          <w:szCs w:val="13"/>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0" w:name="page51"/>
    <w:bookmarkEnd w:id="50"/>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639"/>
        <w:spacing w:after="0" w:line="251" w:lineRule="auto"/>
        <w:rPr>
          <w:sz w:val="20"/>
          <w:szCs w:val="20"/>
          <w:color w:val="auto"/>
        </w:rPr>
      </w:pPr>
      <w:r>
        <w:rPr>
          <w:rFonts w:ascii="Times New Roman" w:cs="Times New Roman" w:eastAsia="Times New Roman" w:hAnsi="Times New Roman"/>
          <w:sz w:val="13"/>
          <w:szCs w:val="13"/>
          <w:color w:val="auto"/>
        </w:rPr>
        <w:t>person from and against any and all claims and demands whatsoever. The limited liability company agreement of PAA GP Holdings LLC provides for the indemnification of (a) any of its original members (“Existing Owner”), (b) any person who is or was an affiliate of PAA GP Holdings LLC or any Existing Owner, (c) any person who is or was a managing member, manager, general partner, shareholder, director, officer, fiduciary, agent or trustee of PAA GP Holdings LLC, any Existing Owner or any affiliate thereof,</w:t>
      </w:r>
    </w:p>
    <w:p>
      <w:pPr>
        <w:spacing w:after="0" w:line="1" w:lineRule="exact"/>
        <w:rPr>
          <w:sz w:val="20"/>
          <w:szCs w:val="20"/>
          <w:color w:val="auto"/>
        </w:rPr>
      </w:pPr>
    </w:p>
    <w:p>
      <w:pPr>
        <w:ind w:left="1480" w:right="1479" w:hanging="10"/>
        <w:spacing w:after="0" w:line="246" w:lineRule="auto"/>
        <w:tabs>
          <w:tab w:leader="none" w:pos="1679"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person who is or was serving at the request of PAA GP Holdings LLC, any Existing Owner or any affiliate of thereof as a member, manager, partner, director, officer, fiduciary, agent or trustee of another person in furtherance of the business or affairs of PAA GP Holdings LLC or its subsidiaries (provided, that a person shall not be indemnified by reason of providing, on a fee-for-services basis, trustee, fiduciary or custodial services), and (e) any person the board of directors of PAA GP Holdings LLC designates an indemnitee (collectively, the “Indemnitees”),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an Indemnitee, if such Indemnitee acted in good faith and in a manner he, she or it subjectively believed to be in, or not opposed to, the interests of PAA GP Holdings LLC and with respect to any criminal proceeding, had no reason to believe his, her or its conduct was unlawful. Expenses incurred by an Indemnitee in defending any such claim, demand, action, suit or proceeding will, from time to time, be advanced by PAA GP Holdings LLC prior to the final disposition of such claim, demand, action, suit or proceeding upon receipt by PAA GP Holdings LLC of an undertaking by or on behalf of the Indemnitee to repay such amounts if it is ultimately determined that the Indemnitee is not entitled to be indemnified. PAA GP Holdings LLC is authorized to purchase and maintain directors and officers insurance or similar coverage for its directors and officers in such amounts and with such deductibles or self-insured retentions as determined by its Board of Directors.</w:t>
      </w:r>
    </w:p>
    <w:p>
      <w:pPr>
        <w:spacing w:after="0" w:line="242" w:lineRule="exact"/>
        <w:rPr>
          <w:sz w:val="20"/>
          <w:szCs w:val="20"/>
          <w:color w:val="auto"/>
        </w:rPr>
      </w:pPr>
    </w:p>
    <w:p>
      <w:pPr>
        <w:ind w:left="1480" w:right="1639" w:firstLine="266"/>
        <w:spacing w:after="0" w:line="261" w:lineRule="auto"/>
        <w:rPr>
          <w:sz w:val="20"/>
          <w:szCs w:val="20"/>
          <w:color w:val="auto"/>
        </w:rPr>
      </w:pPr>
      <w:r>
        <w:rPr>
          <w:rFonts w:ascii="Times New Roman" w:cs="Times New Roman" w:eastAsia="Times New Roman" w:hAnsi="Times New Roman"/>
          <w:sz w:val="13"/>
          <w:szCs w:val="13"/>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w:t>
      </w:r>
    </w:p>
    <w:p>
      <w:pPr>
        <w:spacing w:after="0" w:line="1" w:lineRule="exact"/>
        <w:rPr>
          <w:sz w:val="20"/>
          <w:szCs w:val="20"/>
          <w:color w:val="auto"/>
        </w:rPr>
      </w:pPr>
    </w:p>
    <w:p>
      <w:pPr>
        <w:ind w:left="1480" w:right="1499"/>
        <w:spacing w:after="0" w:line="257" w:lineRule="auto"/>
        <w:rPr>
          <w:sz w:val="20"/>
          <w:szCs w:val="20"/>
          <w:color w:val="auto"/>
        </w:rPr>
      </w:pPr>
      <w:r>
        <w:rPr>
          <w:rFonts w:ascii="Times New Roman" w:cs="Times New Roman" w:eastAsia="Times New Roman" w:hAnsi="Times New Roman"/>
          <w:sz w:val="13"/>
          <w:szCs w:val="13"/>
          <w:color w:val="auto"/>
        </w:rPr>
        <w:t>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 PAA Finance Corp.’s certificate of incorporation and bylaws provide that indemnification shall be to the fullest extent permitted by the DGCL for all its current or former directors or officers. As permitted by the DGCL, PAA Finance Corp.’s certificate of incorporation provides that PAA Finance Corp. will indemnify its directors against liability to PAA Finance Corp. or its stockholders for monetary damages for breach of fiduciary duty as a director, except (1) for any breach of the director’s duty of loyalty to PAA Finance Corp. or its stockholders, (2) for acts or omissions not in good faith or which involve intentional misconduct or knowing violation of law, (3) under</w:t>
      </w:r>
    </w:p>
    <w:p>
      <w:pPr>
        <w:spacing w:after="0" w:line="150" w:lineRule="exact"/>
        <w:rPr>
          <w:sz w:val="20"/>
          <w:szCs w:val="20"/>
          <w:color w:val="auto"/>
        </w:rPr>
      </w:pPr>
    </w:p>
    <w:p>
      <w:pPr>
        <w:ind w:left="1480" w:right="1759"/>
        <w:spacing w:after="0" w:line="272" w:lineRule="auto"/>
        <w:rPr>
          <w:sz w:val="20"/>
          <w:szCs w:val="20"/>
          <w:color w:val="auto"/>
        </w:rPr>
      </w:pPr>
      <w:r>
        <w:rPr>
          <w:rFonts w:ascii="Times New Roman" w:cs="Times New Roman" w:eastAsia="Times New Roman" w:hAnsi="Times New Roman"/>
          <w:sz w:val="13"/>
          <w:szCs w:val="13"/>
          <w:color w:val="auto"/>
        </w:rPr>
        <w:t>Section 174 of the DGCL or (4) for any transaction from which a director derived an improper personal benefit.</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1" w:name="page52"/>
    <w:bookmarkEnd w:id="51"/>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80" w:right="1479" w:firstLine="266"/>
        <w:spacing w:after="0" w:line="266" w:lineRule="auto"/>
        <w:rPr>
          <w:sz w:val="20"/>
          <w:szCs w:val="20"/>
          <w:color w:val="auto"/>
        </w:rPr>
      </w:pPr>
      <w:r>
        <w:rPr>
          <w:rFonts w:ascii="Times New Roman" w:cs="Times New Roman" w:eastAsia="Times New Roman" w:hAnsi="Times New Roman"/>
          <w:sz w:val="13"/>
          <w:szCs w:val="13"/>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Item 16. Exhibits and Financial Statement Schedules</w:t>
      </w:r>
    </w:p>
    <w:p>
      <w:pPr>
        <w:spacing w:after="0" w:line="122" w:lineRule="exact"/>
        <w:rPr>
          <w:sz w:val="20"/>
          <w:szCs w:val="20"/>
          <w:color w:val="auto"/>
        </w:rPr>
      </w:pPr>
    </w:p>
    <w:p>
      <w:pPr>
        <w:ind w:left="1740"/>
        <w:spacing w:after="0"/>
        <w:tabs>
          <w:tab w:leader="none" w:pos="1980" w:val="left"/>
        </w:tabs>
        <w:rPr>
          <w:sz w:val="20"/>
          <w:szCs w:val="20"/>
          <w:color w:val="auto"/>
        </w:rPr>
      </w:pPr>
      <w:r>
        <w:rPr>
          <w:rFonts w:ascii="Times New Roman" w:cs="Times New Roman" w:eastAsia="Times New Roman" w:hAnsi="Times New Roman"/>
          <w:sz w:val="13"/>
          <w:szCs w:val="13"/>
          <w:color w:val="auto"/>
        </w:rPr>
        <w:t>(a)</w:t>
        <w:tab/>
        <w:t>Exhibits</w:t>
      </w:r>
    </w:p>
    <w:p>
      <w:pPr>
        <w:spacing w:after="0" w:line="120" w:lineRule="exact"/>
        <w:rPr>
          <w:sz w:val="20"/>
          <w:szCs w:val="20"/>
          <w:color w:val="auto"/>
        </w:rPr>
      </w:pPr>
    </w:p>
    <w:p>
      <w:pPr>
        <w:ind w:left="1480" w:right="1559" w:firstLine="266"/>
        <w:spacing w:after="0" w:line="277" w:lineRule="auto"/>
        <w:rPr>
          <w:sz w:val="20"/>
          <w:szCs w:val="20"/>
          <w:color w:val="auto"/>
        </w:rPr>
      </w:pPr>
      <w:r>
        <w:rPr>
          <w:rFonts w:ascii="Times New Roman" w:cs="Times New Roman" w:eastAsia="Times New Roman" w:hAnsi="Times New Roman"/>
          <w:sz w:val="13"/>
          <w:szCs w:val="13"/>
          <w:color w:val="auto"/>
        </w:rPr>
        <w:t>The exhibits listed on the accompanying Exhibit Index are filed or incorporated by reference as part of this Registration Statement, and such Exhibit Index is incorporated herein by reference.</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Item 17. Undertakings</w:t>
      </w:r>
    </w:p>
    <w:p>
      <w:pPr>
        <w:spacing w:after="0" w:line="122" w:lineRule="exact"/>
        <w:rPr>
          <w:sz w:val="20"/>
          <w:szCs w:val="20"/>
          <w:color w:val="auto"/>
        </w:rPr>
      </w:pPr>
    </w:p>
    <w:p>
      <w:pPr>
        <w:ind w:left="1980" w:hanging="244"/>
        <w:spacing w:after="0"/>
        <w:tabs>
          <w:tab w:leader="none" w:pos="19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undersigned registrants hereby undertakes:</w:t>
      </w:r>
    </w:p>
    <w:p>
      <w:pPr>
        <w:spacing w:after="0" w:line="119" w:lineRule="exact"/>
        <w:rPr>
          <w:rFonts w:ascii="Times New Roman" w:cs="Times New Roman" w:eastAsia="Times New Roman" w:hAnsi="Times New Roman"/>
          <w:sz w:val="13"/>
          <w:szCs w:val="13"/>
          <w:color w:val="auto"/>
        </w:rPr>
      </w:pPr>
    </w:p>
    <w:p>
      <w:pPr>
        <w:ind w:left="1740" w:right="2159" w:firstLine="262"/>
        <w:spacing w:after="0" w:line="277" w:lineRule="auto"/>
        <w:tabs>
          <w:tab w:leader="none" w:pos="2275"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this registration statement:</w:t>
      </w:r>
    </w:p>
    <w:p>
      <w:pPr>
        <w:spacing w:after="0" w:line="64" w:lineRule="exact"/>
        <w:rPr>
          <w:rFonts w:ascii="Times New Roman" w:cs="Times New Roman" w:eastAsia="Times New Roman" w:hAnsi="Times New Roman"/>
          <w:sz w:val="13"/>
          <w:szCs w:val="13"/>
          <w:color w:val="auto"/>
        </w:rPr>
      </w:pPr>
    </w:p>
    <w:p>
      <w:pPr>
        <w:ind w:left="2520" w:hanging="252"/>
        <w:spacing w:after="0"/>
        <w:tabs>
          <w:tab w:leader="none" w:pos="2520" w:val="left"/>
        </w:tabs>
        <w:numPr>
          <w:ilvl w:val="2"/>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 of the Securities Act;</w:t>
      </w:r>
    </w:p>
    <w:p>
      <w:pPr>
        <w:spacing w:after="0" w:line="119" w:lineRule="exact"/>
        <w:rPr>
          <w:rFonts w:ascii="Times New Roman" w:cs="Times New Roman" w:eastAsia="Times New Roman" w:hAnsi="Times New Roman"/>
          <w:sz w:val="13"/>
          <w:szCs w:val="13"/>
          <w:color w:val="auto"/>
        </w:rPr>
      </w:pPr>
    </w:p>
    <w:p>
      <w:pPr>
        <w:ind w:left="2000" w:right="1499" w:firstLine="268"/>
        <w:spacing w:after="0" w:line="249" w:lineRule="auto"/>
        <w:tabs>
          <w:tab w:leader="none" w:pos="2535" w:val="left"/>
        </w:tabs>
        <w:numPr>
          <w:ilvl w:val="2"/>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31" w:lineRule="exact"/>
        <w:rPr>
          <w:rFonts w:ascii="Times New Roman" w:cs="Times New Roman" w:eastAsia="Times New Roman" w:hAnsi="Times New Roman"/>
          <w:sz w:val="13"/>
          <w:szCs w:val="13"/>
          <w:color w:val="auto"/>
        </w:rPr>
      </w:pPr>
    </w:p>
    <w:p>
      <w:pPr>
        <w:ind w:left="2000" w:right="1519" w:firstLine="268"/>
        <w:spacing w:after="0" w:line="266" w:lineRule="auto"/>
        <w:tabs>
          <w:tab w:leader="none" w:pos="2527" w:val="left"/>
        </w:tabs>
        <w:numPr>
          <w:ilvl w:val="2"/>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this registration statement or any material change to the information in this registration statement;</w:t>
      </w:r>
    </w:p>
    <w:p>
      <w:pPr>
        <w:spacing w:after="0" w:line="70" w:lineRule="exact"/>
        <w:rPr>
          <w:sz w:val="20"/>
          <w:szCs w:val="20"/>
          <w:color w:val="auto"/>
        </w:rPr>
      </w:pPr>
    </w:p>
    <w:p>
      <w:pPr>
        <w:ind w:left="1480" w:right="1539"/>
        <w:spacing w:after="0" w:line="254" w:lineRule="auto"/>
        <w:rPr>
          <w:sz w:val="20"/>
          <w:szCs w:val="20"/>
          <w:color w:val="auto"/>
        </w:rPr>
      </w:pP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paragraphs (l)(a), (l)(b) and (1)(c) above do not apply if the information required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 included in a post-effective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79" w:lineRule="exact"/>
        <w:rPr>
          <w:sz w:val="20"/>
          <w:szCs w:val="20"/>
          <w:color w:val="auto"/>
        </w:rPr>
      </w:pPr>
    </w:p>
    <w:p>
      <w:pPr>
        <w:ind w:left="1740" w:right="1539" w:firstLine="262"/>
        <w:spacing w:after="0" w:line="260" w:lineRule="auto"/>
        <w:tabs>
          <w:tab w:leader="none" w:pos="2275"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232" w:lineRule="exact"/>
        <w:rPr>
          <w:rFonts w:ascii="Times New Roman" w:cs="Times New Roman" w:eastAsia="Times New Roman" w:hAnsi="Times New Roman"/>
          <w:sz w:val="13"/>
          <w:szCs w:val="13"/>
          <w:color w:val="auto"/>
        </w:rPr>
      </w:pPr>
    </w:p>
    <w:p>
      <w:pPr>
        <w:ind w:left="1740" w:right="1719" w:firstLine="262"/>
        <w:spacing w:after="0" w:line="293" w:lineRule="auto"/>
        <w:tabs>
          <w:tab w:leader="none" w:pos="2275"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w:t>
      </w:r>
    </w:p>
    <w:p>
      <w:pPr>
        <w:spacing w:after="0" w:line="64" w:lineRule="exact"/>
        <w:rPr>
          <w:rFonts w:ascii="Times New Roman" w:cs="Times New Roman" w:eastAsia="Times New Roman" w:hAnsi="Times New Roman"/>
          <w:sz w:val="13"/>
          <w:szCs w:val="13"/>
          <w:color w:val="auto"/>
        </w:rPr>
      </w:pPr>
    </w:p>
    <w:p>
      <w:pPr>
        <w:ind w:left="2280" w:hanging="278"/>
        <w:spacing w:after="0"/>
        <w:tabs>
          <w:tab w:leader="none" w:pos="22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under the Securities Act to any purchaser:</w:t>
      </w:r>
    </w:p>
    <w:p>
      <w:pPr>
        <w:spacing w:after="0" w:line="119" w:lineRule="exact"/>
        <w:rPr>
          <w:rFonts w:ascii="Times New Roman" w:cs="Times New Roman" w:eastAsia="Times New Roman" w:hAnsi="Times New Roman"/>
          <w:sz w:val="13"/>
          <w:szCs w:val="13"/>
          <w:color w:val="auto"/>
        </w:rPr>
      </w:pPr>
    </w:p>
    <w:p>
      <w:pPr>
        <w:ind w:left="2000" w:right="1579" w:firstLine="268"/>
        <w:spacing w:after="0" w:line="274" w:lineRule="auto"/>
        <w:tabs>
          <w:tab w:leader="none" w:pos="2529"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6" w:lineRule="exact"/>
        <w:rPr>
          <w:rFonts w:ascii="Times New Roman" w:cs="Times New Roman" w:eastAsia="Times New Roman" w:hAnsi="Times New Roman"/>
          <w:sz w:val="13"/>
          <w:szCs w:val="13"/>
          <w:color w:val="auto"/>
        </w:rPr>
      </w:pPr>
    </w:p>
    <w:p>
      <w:pPr>
        <w:ind w:left="2000" w:right="1579" w:firstLine="268"/>
        <w:spacing w:after="0" w:line="264" w:lineRule="auto"/>
        <w:tabs>
          <w:tab w:leader="none" w:pos="2537"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2" w:name="page53"/>
    <w:bookmarkEnd w:id="52"/>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0" w:right="1499"/>
        <w:spacing w:after="0" w:line="260" w:lineRule="auto"/>
        <w:rPr>
          <w:sz w:val="20"/>
          <w:szCs w:val="20"/>
          <w:color w:val="auto"/>
        </w:rPr>
      </w:pPr>
      <w:r>
        <w:rPr>
          <w:rFonts w:ascii="Times New Roman" w:cs="Times New Roman" w:eastAsia="Times New Roman" w:hAnsi="Times New Roman"/>
          <w:sz w:val="13"/>
          <w:szCs w:val="13"/>
          <w:color w:val="auto"/>
        </w:rPr>
        <w:t>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47" w:lineRule="exact"/>
        <w:rPr>
          <w:sz w:val="20"/>
          <w:szCs w:val="20"/>
          <w:color w:val="auto"/>
        </w:rPr>
      </w:pPr>
    </w:p>
    <w:p>
      <w:pPr>
        <w:ind w:left="1740" w:right="1559" w:firstLine="262"/>
        <w:spacing w:after="0" w:line="263" w:lineRule="auto"/>
        <w:tabs>
          <w:tab w:leader="none" w:pos="2275"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44" w:lineRule="exact"/>
        <w:rPr>
          <w:rFonts w:ascii="Times New Roman" w:cs="Times New Roman" w:eastAsia="Times New Roman" w:hAnsi="Times New Roman"/>
          <w:sz w:val="13"/>
          <w:szCs w:val="13"/>
          <w:color w:val="auto"/>
        </w:rPr>
      </w:pPr>
    </w:p>
    <w:p>
      <w:pPr>
        <w:ind w:left="2000" w:right="1699" w:firstLine="268"/>
        <w:spacing w:after="0" w:line="293" w:lineRule="auto"/>
        <w:tabs>
          <w:tab w:leader="none" w:pos="2522" w:val="left"/>
        </w:tabs>
        <w:numPr>
          <w:ilvl w:val="2"/>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 Rule 424;</w:t>
      </w:r>
    </w:p>
    <w:p>
      <w:pPr>
        <w:spacing w:after="0" w:line="54" w:lineRule="exact"/>
        <w:rPr>
          <w:rFonts w:ascii="Times New Roman" w:cs="Times New Roman" w:eastAsia="Times New Roman" w:hAnsi="Times New Roman"/>
          <w:sz w:val="13"/>
          <w:szCs w:val="13"/>
          <w:color w:val="auto"/>
        </w:rPr>
      </w:pPr>
    </w:p>
    <w:p>
      <w:pPr>
        <w:ind w:left="2000" w:right="1859" w:firstLine="268"/>
        <w:spacing w:after="0" w:line="293" w:lineRule="auto"/>
        <w:tabs>
          <w:tab w:leader="none" w:pos="2530" w:val="left"/>
        </w:tabs>
        <w:numPr>
          <w:ilvl w:val="2"/>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 or used or referred to by the undersigned registrant;</w:t>
      </w:r>
    </w:p>
    <w:p>
      <w:pPr>
        <w:spacing w:after="0" w:line="64" w:lineRule="exact"/>
        <w:rPr>
          <w:rFonts w:ascii="Times New Roman" w:cs="Times New Roman" w:eastAsia="Times New Roman" w:hAnsi="Times New Roman"/>
          <w:sz w:val="13"/>
          <w:szCs w:val="13"/>
          <w:color w:val="auto"/>
        </w:rPr>
      </w:pPr>
    </w:p>
    <w:p>
      <w:pPr>
        <w:ind w:left="2000" w:right="1579" w:firstLine="268"/>
        <w:spacing w:after="0" w:line="274" w:lineRule="auto"/>
        <w:tabs>
          <w:tab w:leader="none" w:pos="2527" w:val="left"/>
        </w:tabs>
        <w:numPr>
          <w:ilvl w:val="2"/>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76" w:lineRule="exact"/>
        <w:rPr>
          <w:rFonts w:ascii="Times New Roman" w:cs="Times New Roman" w:eastAsia="Times New Roman" w:hAnsi="Times New Roman"/>
          <w:sz w:val="13"/>
          <w:szCs w:val="13"/>
          <w:color w:val="auto"/>
        </w:rPr>
      </w:pPr>
    </w:p>
    <w:p>
      <w:pPr>
        <w:ind w:left="2000" w:right="1919" w:firstLine="268"/>
        <w:spacing w:after="0" w:line="293" w:lineRule="auto"/>
        <w:tabs>
          <w:tab w:leader="none" w:pos="2530" w:val="left"/>
        </w:tabs>
        <w:numPr>
          <w:ilvl w:val="2"/>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54" w:lineRule="exact"/>
        <w:rPr>
          <w:rFonts w:ascii="Times New Roman" w:cs="Times New Roman" w:eastAsia="Times New Roman" w:hAnsi="Times New Roman"/>
          <w:sz w:val="13"/>
          <w:szCs w:val="13"/>
          <w:color w:val="auto"/>
        </w:rPr>
      </w:pPr>
    </w:p>
    <w:p>
      <w:pPr>
        <w:ind w:left="1480" w:right="1499" w:firstLine="256"/>
        <w:spacing w:after="0" w:line="263" w:lineRule="auto"/>
        <w:tabs>
          <w:tab w:leader="none" w:pos="1981"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undersigned registrants hereby undertakes that, for purposes of determining any liability under the Securities Act, each filing of Plains All American Pipeline, L.P.’s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244" w:lineRule="exact"/>
        <w:rPr>
          <w:rFonts w:ascii="Times New Roman" w:cs="Times New Roman" w:eastAsia="Times New Roman" w:hAnsi="Times New Roman"/>
          <w:sz w:val="13"/>
          <w:szCs w:val="13"/>
          <w:color w:val="auto"/>
        </w:rPr>
      </w:pPr>
    </w:p>
    <w:p>
      <w:pPr>
        <w:ind w:left="1480" w:right="1499" w:firstLine="256"/>
        <w:spacing w:after="0" w:line="260" w:lineRule="auto"/>
        <w:tabs>
          <w:tab w:leader="none" w:pos="1981"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246" w:lineRule="exact"/>
        <w:rPr>
          <w:rFonts w:ascii="Times New Roman" w:cs="Times New Roman" w:eastAsia="Times New Roman" w:hAnsi="Times New Roman"/>
          <w:sz w:val="13"/>
          <w:szCs w:val="13"/>
          <w:color w:val="auto"/>
        </w:rPr>
      </w:pPr>
    </w:p>
    <w:p>
      <w:pPr>
        <w:ind w:left="1480" w:right="1919" w:firstLine="256"/>
        <w:spacing w:after="0" w:line="293" w:lineRule="auto"/>
        <w:tabs>
          <w:tab w:leader="none" w:pos="1988"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undersigned registrants hereby undertakes that, for purposes of determining any liability under the Securities Act:</w:t>
      </w:r>
    </w:p>
    <w:p>
      <w:pPr>
        <w:spacing w:after="0" w:line="54" w:lineRule="exact"/>
        <w:rPr>
          <w:rFonts w:ascii="Times New Roman" w:cs="Times New Roman" w:eastAsia="Times New Roman" w:hAnsi="Times New Roman"/>
          <w:sz w:val="13"/>
          <w:szCs w:val="13"/>
          <w:color w:val="auto"/>
        </w:rPr>
      </w:pPr>
    </w:p>
    <w:p>
      <w:pPr>
        <w:ind w:left="1740" w:right="1939" w:firstLine="262"/>
        <w:spacing w:after="0" w:line="293" w:lineRule="auto"/>
        <w:tabs>
          <w:tab w:leader="none" w:pos="2275"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omitted from the form of prospectus filed as part of this registration statement in reliance on Rule 430A and contained in a form of prospectus filed by the registrant</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3" w:name="page54"/>
    <w:bookmarkEnd w:id="53"/>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740" w:right="1579"/>
        <w:spacing w:after="0" w:line="293" w:lineRule="auto"/>
        <w:rPr>
          <w:sz w:val="20"/>
          <w:szCs w:val="20"/>
          <w:color w:val="auto"/>
        </w:rPr>
      </w:pPr>
      <w:r>
        <w:rPr>
          <w:rFonts w:ascii="Times New Roman" w:cs="Times New Roman" w:eastAsia="Times New Roman" w:hAnsi="Times New Roman"/>
          <w:sz w:val="13"/>
          <w:szCs w:val="13"/>
          <w:color w:val="auto"/>
        </w:rPr>
        <w:t>pursuant to Rule 424(b) (1) or (4) or 497(h) under the Securities Act shall be deemed to be part of this registration statement as of the time it was declared effective.</w:t>
      </w:r>
    </w:p>
    <w:p>
      <w:pPr>
        <w:spacing w:after="0" w:line="64" w:lineRule="exact"/>
        <w:rPr>
          <w:sz w:val="20"/>
          <w:szCs w:val="20"/>
          <w:color w:val="auto"/>
        </w:rPr>
      </w:pPr>
    </w:p>
    <w:p>
      <w:pPr>
        <w:ind w:left="1740" w:right="1599" w:firstLine="262"/>
        <w:spacing w:after="0" w:line="274" w:lineRule="auto"/>
        <w:tabs>
          <w:tab w:leader="none" w:pos="2277"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INDEX TO EXHIBITS</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1"/>
          <w:szCs w:val="11"/>
          <w:b w:val="1"/>
          <w:bCs w:val="1"/>
          <w:color w:val="auto"/>
        </w:rPr>
        <w:t>Exhibit</w:t>
      </w:r>
    </w:p>
    <w:p>
      <w:pPr>
        <w:jc w:val="right"/>
        <w:ind w:right="1459"/>
        <w:spacing w:after="0" w:line="188" w:lineRule="auto"/>
        <w:tabs>
          <w:tab w:leader="none" w:pos="3020" w:val="left"/>
          <w:tab w:leader="none" w:pos="20" w:val="left"/>
        </w:tabs>
        <w:rPr>
          <w:sz w:val="20"/>
          <w:szCs w:val="20"/>
          <w:color w:val="auto"/>
        </w:rPr>
      </w:pPr>
      <w:r>
        <w:rPr>
          <w:rFonts w:ascii="Times New Roman" w:cs="Times New Roman" w:eastAsia="Times New Roman" w:hAnsi="Times New Roman"/>
          <w:sz w:val="9"/>
          <w:szCs w:val="9"/>
          <w:b w:val="1"/>
          <w:bCs w:val="1"/>
          <w:color w:val="auto"/>
        </w:rPr>
        <w:t xml:space="preserve">Number </w:t>
      </w:r>
      <w:r>
        <w:rPr>
          <w:rFonts w:ascii="Times New Roman" w:cs="Times New Roman" w:eastAsia="Times New Roman" w:hAnsi="Times New Roman"/>
          <w:sz w:val="17"/>
          <w:szCs w:val="17"/>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w:t>
      </w:r>
      <w:r>
        <w:rPr>
          <w:sz w:val="20"/>
          <w:szCs w:val="20"/>
          <w:color w:val="auto"/>
        </w:rPr>
        <w:tab/>
      </w:r>
      <w:r>
        <w:rPr>
          <w:rFonts w:ascii="Times New Roman" w:cs="Times New Roman" w:eastAsia="Times New Roman" w:hAnsi="Times New Roman"/>
          <w:sz w:val="17"/>
          <w:szCs w:val="1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0</wp:posOffset>
            </wp:positionV>
            <wp:extent cx="384683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846830" cy="635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p>
      <w:pPr>
        <w:ind w:left="1540"/>
        <w:spacing w:after="0" w:line="181" w:lineRule="auto"/>
        <w:rPr>
          <w:sz w:val="20"/>
          <w:szCs w:val="20"/>
          <w:color w:val="auto"/>
        </w:rPr>
      </w:pPr>
      <w:r>
        <w:rPr>
          <w:rFonts w:ascii="Times New Roman" w:cs="Times New Roman" w:eastAsia="Times New Roman" w:hAnsi="Times New Roman"/>
          <w:sz w:val="12"/>
          <w:szCs w:val="12"/>
          <w:color w:val="auto"/>
        </w:rPr>
        <w:t>1.1**</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Form of Underwriting Agreement</w:t>
      </w:r>
    </w:p>
    <w:p>
      <w:pPr>
        <w:jc w:val="both"/>
        <w:ind w:left="1840" w:right="100" w:hanging="472"/>
        <w:spacing w:after="0" w:line="263" w:lineRule="auto"/>
        <w:tabs>
          <w:tab w:leader="none" w:pos="182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4.1</w:t>
        <w:tab/>
        <w:t xml:space="preserve">​ ​ </w:t>
      </w:r>
      <w:hyperlink r:id="rId84">
        <w:r>
          <w:rPr>
            <w:rFonts w:ascii="Times New Roman" w:cs="Times New Roman" w:eastAsia="Times New Roman" w:hAnsi="Times New Roman"/>
            <w:sz w:val="13"/>
            <w:szCs w:val="13"/>
            <w:u w:val="single" w:color="auto"/>
            <w:color w:val="0000EE"/>
          </w:rPr>
          <w:t>Indenture for Senior Debt Securities dated as of September 25, 2002 among Plains All American</w:t>
        </w:r>
      </w:hyperlink>
      <w:r>
        <w:rPr>
          <w:rFonts w:ascii="Times New Roman" w:cs="Times New Roman" w:eastAsia="Times New Roman" w:hAnsi="Times New Roman"/>
          <w:sz w:val="13"/>
          <w:szCs w:val="13"/>
          <w:color w:val="auto"/>
        </w:rPr>
        <w:t xml:space="preserve"> </w:t>
      </w:r>
      <w:hyperlink r:id="rId84">
        <w:r>
          <w:rPr>
            <w:rFonts w:ascii="Times New Roman" w:cs="Times New Roman" w:eastAsia="Times New Roman" w:hAnsi="Times New Roman"/>
            <w:sz w:val="13"/>
            <w:szCs w:val="13"/>
            <w:u w:val="single" w:color="auto"/>
            <w:color w:val="0000EE"/>
          </w:rPr>
          <w:t>Pipeline, L.P., PAA Finance Corp. and Wachovia Bank, National Association, as original trustee</w:t>
        </w:r>
      </w:hyperlink>
      <w:r>
        <w:rPr>
          <w:rFonts w:ascii="Times New Roman" w:cs="Times New Roman" w:eastAsia="Times New Roman" w:hAnsi="Times New Roman"/>
          <w:sz w:val="13"/>
          <w:szCs w:val="13"/>
          <w:u w:val="single" w:color="auto"/>
          <w:color w:val="0000EE"/>
        </w:rPr>
        <w:t xml:space="preserve"> </w:t>
      </w:r>
      <w:hyperlink r:id="rId84">
        <w:r>
          <w:rPr>
            <w:rFonts w:ascii="Times New Roman" w:cs="Times New Roman" w:eastAsia="Times New Roman" w:hAnsi="Times New Roman"/>
            <w:sz w:val="13"/>
            <w:szCs w:val="13"/>
            <w:u w:val="single" w:color="auto"/>
            <w:color w:val="0000EE"/>
          </w:rPr>
          <w:t>(incorporated by reference to Exhibit 4.1 of the Partnership’s Quarterly Report on Form 10-Q for</w:t>
        </w:r>
      </w:hyperlink>
      <w:r>
        <w:rPr>
          <w:rFonts w:ascii="Times New Roman" w:cs="Times New Roman" w:eastAsia="Times New Roman" w:hAnsi="Times New Roman"/>
          <w:sz w:val="13"/>
          <w:szCs w:val="13"/>
          <w:u w:val="single" w:color="auto"/>
          <w:color w:val="0000EE"/>
        </w:rPr>
        <w:t xml:space="preserve"> </w:t>
      </w:r>
      <w:hyperlink r:id="rId84">
        <w:r>
          <w:rPr>
            <w:rFonts w:ascii="Times New Roman" w:cs="Times New Roman" w:eastAsia="Times New Roman" w:hAnsi="Times New Roman"/>
            <w:sz w:val="13"/>
            <w:szCs w:val="13"/>
            <w:u w:val="single" w:color="auto"/>
            <w:color w:val="0000EE"/>
          </w:rPr>
          <w:t>the quarter ended September 30, 2002 (File No. 001-14569)).</w:t>
        </w:r>
      </w:hyperlink>
    </w:p>
    <w:p>
      <w:pPr>
        <w:spacing w:after="0" w:line="2" w:lineRule="exact"/>
        <w:rPr>
          <w:rFonts w:ascii="Times New Roman" w:cs="Times New Roman" w:eastAsia="Times New Roman" w:hAnsi="Times New Roman"/>
          <w:sz w:val="13"/>
          <w:szCs w:val="13"/>
          <w:u w:val="single" w:color="auto"/>
          <w:color w:val="0000EE"/>
        </w:rPr>
      </w:pPr>
    </w:p>
    <w:p>
      <w:pPr>
        <w:ind w:left="1840" w:hanging="472"/>
        <w:spacing w:after="0" w:line="304" w:lineRule="auto"/>
        <w:tabs>
          <w:tab w:leader="none" w:pos="182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4.2</w:t>
        <w:tab/>
        <w:t xml:space="preserve">​ ​ </w:t>
      </w:r>
      <w:hyperlink r:id="rId85">
        <w:r>
          <w:rPr>
            <w:rFonts w:ascii="Times New Roman" w:cs="Times New Roman" w:eastAsia="Times New Roman" w:hAnsi="Times New Roman"/>
            <w:sz w:val="13"/>
            <w:szCs w:val="13"/>
            <w:u w:val="single" w:color="auto"/>
            <w:color w:val="0000EE"/>
          </w:rPr>
          <w:t>Form of Subordinated Indenture for Subordinated Debt Securities (incorporated by reference to</w:t>
        </w:r>
      </w:hyperlink>
      <w:r>
        <w:rPr>
          <w:rFonts w:ascii="Times New Roman" w:cs="Times New Roman" w:eastAsia="Times New Roman" w:hAnsi="Times New Roman"/>
          <w:sz w:val="13"/>
          <w:szCs w:val="13"/>
          <w:color w:val="auto"/>
        </w:rPr>
        <w:t xml:space="preserve"> </w:t>
      </w:r>
      <w:hyperlink r:id="rId85">
        <w:r>
          <w:rPr>
            <w:rFonts w:ascii="Times New Roman" w:cs="Times New Roman" w:eastAsia="Times New Roman" w:hAnsi="Times New Roman"/>
            <w:sz w:val="13"/>
            <w:szCs w:val="13"/>
            <w:u w:val="single" w:color="auto"/>
            <w:color w:val="0000EE"/>
          </w:rPr>
          <w:t>Exhibit 4.2 of the Partnership’s Registration Statement on Form S-3 filed on August 27, 2001 (File</w:t>
        </w:r>
      </w:hyperlink>
      <w:r>
        <w:rPr>
          <w:rFonts w:ascii="Times New Roman" w:cs="Times New Roman" w:eastAsia="Times New Roman" w:hAnsi="Times New Roman"/>
          <w:sz w:val="13"/>
          <w:szCs w:val="13"/>
          <w:u w:val="single" w:color="auto"/>
          <w:color w:val="0000EE"/>
        </w:rPr>
        <w:t xml:space="preserve"> </w:t>
      </w:r>
      <w:hyperlink r:id="rId85">
        <w:r>
          <w:rPr>
            <w:rFonts w:ascii="Times New Roman" w:cs="Times New Roman" w:eastAsia="Times New Roman" w:hAnsi="Times New Roman"/>
            <w:sz w:val="13"/>
            <w:szCs w:val="13"/>
            <w:u w:val="single" w:color="auto"/>
            <w:color w:val="0000EE"/>
          </w:rPr>
          <w:t>No. 333-68446))</w:t>
        </w:r>
      </w:hyperlink>
    </w:p>
    <w:p>
      <w:pPr>
        <w:spacing w:after="0" w:line="32" w:lineRule="exact"/>
        <w:rPr>
          <w:rFonts w:ascii="Times New Roman" w:cs="Times New Roman" w:eastAsia="Times New Roman" w:hAnsi="Times New Roman"/>
          <w:sz w:val="13"/>
          <w:szCs w:val="13"/>
          <w:color w:val="auto"/>
        </w:rPr>
      </w:pPr>
    </w:p>
    <w:p>
      <w:pPr>
        <w:ind w:left="1540"/>
        <w:spacing w:after="0"/>
        <w:rPr>
          <w:sz w:val="20"/>
          <w:szCs w:val="20"/>
          <w:color w:val="auto"/>
        </w:rPr>
      </w:pPr>
      <w:r>
        <w:rPr>
          <w:rFonts w:ascii="Times New Roman" w:cs="Times New Roman" w:eastAsia="Times New Roman" w:hAnsi="Times New Roman"/>
          <w:sz w:val="13"/>
          <w:szCs w:val="13"/>
          <w:color w:val="auto"/>
        </w:rPr>
        <w:t>4.3**</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 xml:space="preserve"> Form of Senior Debt Securities</w:t>
      </w:r>
    </w:p>
    <w:p>
      <w:pPr>
        <w:ind w:left="1540"/>
        <w:spacing w:after="0" w:line="181" w:lineRule="auto"/>
        <w:rPr>
          <w:sz w:val="20"/>
          <w:szCs w:val="20"/>
          <w:color w:val="auto"/>
        </w:rPr>
      </w:pPr>
      <w:r>
        <w:rPr>
          <w:rFonts w:ascii="Times New Roman" w:cs="Times New Roman" w:eastAsia="Times New Roman" w:hAnsi="Times New Roman"/>
          <w:sz w:val="12"/>
          <w:szCs w:val="12"/>
          <w:color w:val="auto"/>
        </w:rPr>
        <w:t>4.4**</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Form of Subordinated Debt Securities</w:t>
      </w:r>
    </w:p>
    <w:p>
      <w:pPr>
        <w:ind w:left="1540"/>
        <w:spacing w:after="0" w:line="181"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Opinion of Vinson &amp; Elkins L.L.P. as to the legality of the securities being registered</w:t>
      </w:r>
    </w:p>
    <w:p>
      <w:pPr>
        <w:ind w:left="1540"/>
        <w:spacing w:after="0" w:line="192" w:lineRule="auto"/>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Opinion of Vinson &amp; Elkins L.L.P. relating to tax matters</w:t>
      </w:r>
    </w:p>
    <w:p>
      <w:pPr>
        <w:ind w:left="1480"/>
        <w:spacing w:after="0" w:line="185" w:lineRule="auto"/>
        <w:rPr>
          <w:sz w:val="20"/>
          <w:szCs w:val="20"/>
          <w:color w:val="auto"/>
        </w:rPr>
      </w:pPr>
      <w:r>
        <w:rPr>
          <w:rFonts w:ascii="Times New Roman" w:cs="Times New Roman" w:eastAsia="Times New Roman" w:hAnsi="Times New Roman"/>
          <w:sz w:val="10"/>
          <w:szCs w:val="10"/>
          <w:color w:val="auto"/>
        </w:rPr>
        <w:t xml:space="preserve">23.1* </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u w:val="single" w:color="auto"/>
          <w:color w:val="0000EE"/>
        </w:rPr>
        <w:t>Consent of PricewaterhouseCoopers LLP</w:t>
      </w:r>
    </w:p>
    <w:p>
      <w:pPr>
        <w:ind w:left="1480"/>
        <w:spacing w:after="0" w:line="181" w:lineRule="auto"/>
        <w:rPr>
          <w:sz w:val="20"/>
          <w:szCs w:val="20"/>
          <w:color w:val="auto"/>
        </w:rPr>
      </w:pPr>
      <w:r>
        <w:rPr>
          <w:rFonts w:ascii="Times New Roman" w:cs="Times New Roman" w:eastAsia="Times New Roman" w:hAnsi="Times New Roman"/>
          <w:sz w:val="12"/>
          <w:szCs w:val="12"/>
          <w:color w:val="auto"/>
        </w:rPr>
        <w:t xml:space="preserve">23.2*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Consent of Vinson &amp; Elkins L.L.P. (contained in Exhibits </w:t>
      </w:r>
      <w:r>
        <w:rPr>
          <w:rFonts w:ascii="Times New Roman" w:cs="Times New Roman" w:eastAsia="Times New Roman" w:hAnsi="Times New Roman"/>
          <w:sz w:val="12"/>
          <w:szCs w:val="12"/>
          <w:u w:val="single" w:color="auto"/>
          <w:color w:val="0000EE"/>
        </w:rPr>
        <w:t>5.1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0000EE"/>
        </w:rPr>
        <w:t>8.1</w:t>
      </w:r>
      <w:r>
        <w:rPr>
          <w:rFonts w:ascii="Times New Roman" w:cs="Times New Roman" w:eastAsia="Times New Roman" w:hAnsi="Times New Roman"/>
          <w:sz w:val="12"/>
          <w:szCs w:val="12"/>
          <w:color w:val="auto"/>
        </w:rPr>
        <w:t>)</w:t>
      </w:r>
    </w:p>
    <w:p>
      <w:pPr>
        <w:ind w:left="1480"/>
        <w:spacing w:after="0" w:line="183" w:lineRule="auto"/>
        <w:rPr>
          <w:sz w:val="20"/>
          <w:szCs w:val="20"/>
          <w:color w:val="auto"/>
        </w:rPr>
      </w:pPr>
      <w:r>
        <w:rPr>
          <w:rFonts w:ascii="Times New Roman" w:cs="Times New Roman" w:eastAsia="Times New Roman" w:hAnsi="Times New Roman"/>
          <w:sz w:val="13"/>
          <w:szCs w:val="13"/>
          <w:color w:val="auto"/>
        </w:rPr>
        <w:t xml:space="preserve">24.1* </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Powers of Attorney (included on the signature page of this registration statement)</w:t>
      </w:r>
    </w:p>
    <w:p>
      <w:pPr>
        <w:ind w:left="2000" w:right="120" w:hanging="538"/>
        <w:spacing w:after="0" w:line="277" w:lineRule="auto"/>
        <w:rPr>
          <w:sz w:val="20"/>
          <w:szCs w:val="20"/>
          <w:color w:val="auto"/>
        </w:rPr>
      </w:pPr>
      <w:r>
        <w:rPr>
          <w:rFonts w:ascii="Times New Roman" w:cs="Times New Roman" w:eastAsia="Times New Roman" w:hAnsi="Times New Roman"/>
          <w:sz w:val="13"/>
          <w:szCs w:val="13"/>
          <w:color w:val="auto"/>
        </w:rPr>
        <w:t xml:space="preserve">25.1* ​ ​ </w:t>
      </w:r>
      <w:r>
        <w:rPr>
          <w:rFonts w:ascii="Times New Roman" w:cs="Times New Roman" w:eastAsia="Times New Roman" w:hAnsi="Times New Roman"/>
          <w:sz w:val="13"/>
          <w:szCs w:val="13"/>
          <w:u w:val="single" w:color="auto"/>
          <w:color w:val="0000EE"/>
        </w:rPr>
        <w:t>Form T-1 Statement of Eligibility and Qualification under the Trust Indenture Act of 1939 of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trustee under the Senior Indenture</w:t>
      </w:r>
    </w:p>
    <w:p>
      <w:pPr>
        <w:ind w:left="2000" w:right="120" w:hanging="538"/>
        <w:spacing w:after="0" w:line="282" w:lineRule="auto"/>
        <w:rPr>
          <w:sz w:val="20"/>
          <w:szCs w:val="20"/>
          <w:color w:val="auto"/>
        </w:rPr>
      </w:pPr>
      <w:r>
        <w:rPr>
          <w:rFonts w:ascii="Times New Roman" w:cs="Times New Roman" w:eastAsia="Times New Roman" w:hAnsi="Times New Roman"/>
          <w:sz w:val="13"/>
          <w:szCs w:val="13"/>
          <w:color w:val="auto"/>
        </w:rPr>
        <w:t xml:space="preserve">25.2* ​ ​ </w:t>
      </w:r>
      <w:r>
        <w:rPr>
          <w:rFonts w:ascii="Times New Roman" w:cs="Times New Roman" w:eastAsia="Times New Roman" w:hAnsi="Times New Roman"/>
          <w:sz w:val="13"/>
          <w:szCs w:val="13"/>
          <w:u w:val="single" w:color="auto"/>
          <w:color w:val="0000EE"/>
        </w:rPr>
        <w:t>Form T-1 Statement of Eligibility and Qualification under the Trust Indenture Act of 1939 of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trustee under the Subordinated Indenture</w:t>
      </w:r>
    </w:p>
    <w:p>
      <w:pPr>
        <w:spacing w:after="0" w:line="1" w:lineRule="exact"/>
        <w:rPr>
          <w:rFonts w:ascii="Times New Roman" w:cs="Times New Roman" w:eastAsia="Times New Roman" w:hAnsi="Times New Roman"/>
          <w:sz w:val="13"/>
          <w:szCs w:val="13"/>
          <w:color w:val="auto"/>
        </w:rPr>
      </w:pPr>
    </w:p>
    <w:p>
      <w:pPr>
        <w:ind w:left="1480"/>
        <w:spacing w:after="0"/>
        <w:tabs>
          <w:tab w:leader="none" w:pos="1820" w:val="left"/>
        </w:tabs>
        <w:rPr>
          <w:sz w:val="20"/>
          <w:szCs w:val="20"/>
          <w:color w:val="auto"/>
        </w:rPr>
      </w:pPr>
      <w:r>
        <w:rPr>
          <w:rFonts w:ascii="Times New Roman" w:cs="Times New Roman" w:eastAsia="Times New Roman" w:hAnsi="Times New Roman"/>
          <w:sz w:val="13"/>
          <w:szCs w:val="13"/>
          <w:color w:val="auto"/>
        </w:rPr>
        <w:t>107*</w:t>
      </w:r>
      <w:r>
        <w:rPr>
          <w:sz w:val="20"/>
          <w:szCs w:val="20"/>
          <w:color w:val="auto"/>
        </w:rPr>
        <w:tab/>
      </w:r>
      <w:r>
        <w:rPr>
          <w:rFonts w:ascii="Times New Roman" w:cs="Times New Roman" w:eastAsia="Times New Roman" w:hAnsi="Times New Roman"/>
          <w:sz w:val="15"/>
          <w:szCs w:val="15"/>
          <w:color w:val="auto"/>
          <w:vertAlign w:val="superscript"/>
        </w:rPr>
        <w:t xml:space="preserve">​ ​ </w:t>
      </w:r>
      <w:r>
        <w:rPr>
          <w:rFonts w:ascii="Times New Roman" w:cs="Times New Roman" w:eastAsia="Times New Roman" w:hAnsi="Times New Roman"/>
          <w:sz w:val="15"/>
          <w:szCs w:val="15"/>
          <w:u w:val="single" w:color="auto"/>
          <w:color w:val="0000EE"/>
        </w:rPr>
        <w:t>Filing Fee Table</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936625</wp:posOffset>
            </wp:positionH>
            <wp:positionV relativeFrom="paragraph">
              <wp:posOffset>131445</wp:posOffset>
            </wp:positionV>
            <wp:extent cx="91249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912495" cy="6350"/>
                    </a:xfrm>
                    <a:prstGeom prst="rect">
                      <a:avLst/>
                    </a:prstGeom>
                    <a:noFill/>
                  </pic:spPr>
                </pic:pic>
              </a:graphicData>
            </a:graphic>
          </wp:anchor>
        </w:drawing>
      </w:r>
    </w:p>
    <w:p>
      <w:pPr>
        <w:spacing w:after="0" w:line="294" w:lineRule="exact"/>
        <w:rPr>
          <w:rFonts w:ascii="Times New Roman" w:cs="Times New Roman" w:eastAsia="Times New Roman" w:hAnsi="Times New Roman"/>
          <w:sz w:val="13"/>
          <w:szCs w:val="13"/>
          <w:color w:val="auto"/>
        </w:rPr>
      </w:pPr>
    </w:p>
    <w:p>
      <w:pPr>
        <w:ind w:left="1740" w:hanging="270"/>
        <w:spacing w:after="0"/>
        <w:tabs>
          <w:tab w:leader="none" w:pos="17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Filed herewith.</w:t>
      </w:r>
    </w:p>
    <w:p>
      <w:pPr>
        <w:spacing w:after="0" w:line="60" w:lineRule="exact"/>
        <w:rPr>
          <w:rFonts w:ascii="Times New Roman" w:cs="Times New Roman" w:eastAsia="Times New Roman" w:hAnsi="Times New Roman"/>
          <w:sz w:val="13"/>
          <w:szCs w:val="13"/>
          <w:color w:val="auto"/>
        </w:rPr>
      </w:pPr>
    </w:p>
    <w:p>
      <w:pPr>
        <w:ind w:left="1740" w:hanging="270"/>
        <w:spacing w:after="0" w:line="293" w:lineRule="auto"/>
        <w:tabs>
          <w:tab w:leader="none" w:pos="17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as an exhibit to a report pursuant to Section 13(a) or 15(d) of the Exchange Act or in a post-effective amendment to this registration statement.</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rPr>
          <w:sz w:val="20"/>
          <w:szCs w:val="20"/>
          <w:color w:val="auto"/>
        </w:rPr>
      </w:pPr>
      <w:r>
        <w:rPr>
          <w:rFonts w:ascii="Times New Roman" w:cs="Times New Roman" w:eastAsia="Times New Roman" w:hAnsi="Times New Roman"/>
          <w:sz w:val="13"/>
          <w:szCs w:val="13"/>
          <w:color w:val="auto"/>
        </w:rPr>
        <w:t>​</w:t>
      </w:r>
    </w:p>
    <w:p>
      <w:pPr>
        <w:spacing w:after="0" w:line="36"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0" w:lineRule="exact"/>
        <w:rPr>
          <w:rFonts w:ascii="Times New Roman" w:cs="Times New Roman" w:eastAsia="Times New Roman" w:hAnsi="Times New Roman"/>
          <w:sz w:val="13"/>
          <w:szCs w:val="13"/>
          <w:color w:val="auto"/>
        </w:rPr>
      </w:pPr>
    </w:p>
    <w:p>
      <w:pPr>
        <w:spacing w:after="0" w:line="319"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350"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60"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10"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0"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1114" w:lineRule="exact"/>
        <w:rPr>
          <w:rFonts w:ascii="Times New Roman" w:cs="Times New Roman" w:eastAsia="Times New Roman" w:hAnsi="Times New Roman"/>
          <w:sz w:val="13"/>
          <w:szCs w:val="13"/>
          <w:color w:val="auto"/>
        </w:rPr>
      </w:pPr>
    </w:p>
    <w:p>
      <w:pPr>
        <w:sectPr>
          <w:pgSz w:w="11900" w:h="16838" w:orient="portrait"/>
          <w:cols w:equalWidth="0" w:num="2">
            <w:col w:w="7520" w:space="0"/>
            <w:col w:w="1499"/>
          </w:cols>
          <w:pgMar w:left="1440" w:top="101" w:right="1440" w:bottom="1440" w:gutter="0" w:footer="0" w:header="0"/>
          <w:type w:val="continuous"/>
        </w:sect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50" w:lineRule="exact"/>
        <w:rPr>
          <w:rFonts w:ascii="Times New Roman" w:cs="Times New Roman" w:eastAsia="Times New Roman" w:hAnsi="Times New Roman"/>
          <w:sz w:val="13"/>
          <w:szCs w:val="13"/>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II-5</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type w:val="continuous"/>
        </w:sectPr>
      </w:pPr>
    </w:p>
    <w:bookmarkStart w:id="54" w:name="page55"/>
    <w:bookmarkEnd w:id="54"/>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59" w:firstLine="266"/>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6, 2024.</w:t>
      </w:r>
    </w:p>
    <w:p>
      <w:pPr>
        <w:spacing w:after="0" w:line="1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PLAINS ALL AMERICAN PIPELINE, L.P.</w:t>
      </w:r>
    </w:p>
    <w:p>
      <w:pPr>
        <w:spacing w:after="0" w:line="1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By: PAA GP LLC, its general partner</w:t>
      </w:r>
    </w:p>
    <w:p>
      <w:pPr>
        <w:spacing w:after="0" w:line="1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By: Plains AAP, L.P., its sole member</w:t>
      </w:r>
    </w:p>
    <w:p>
      <w:pPr>
        <w:spacing w:after="0" w:line="1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By: Plains All American GP LLC, its general partner</w:t>
      </w:r>
    </w:p>
    <w:p>
      <w:pPr>
        <w:spacing w:after="0" w:line="1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By: Plains GP Holdings, L.P., its sole member</w:t>
      </w:r>
    </w:p>
    <w:p>
      <w:pPr>
        <w:spacing w:after="0" w:line="1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By: PAA GP Holdings LLC, its general partner</w:t>
      </w:r>
    </w:p>
    <w:p>
      <w:pPr>
        <w:spacing w:after="0" w:line="3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By: /s/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40005</wp:posOffset>
            </wp:positionV>
            <wp:extent cx="182499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1824990" cy="6350"/>
                    </a:xfrm>
                    <a:prstGeom prst="rect">
                      <a:avLst/>
                    </a:prstGeom>
                    <a:noFill/>
                  </pic:spPr>
                </pic:pic>
              </a:graphicData>
            </a:graphic>
          </wp:anchor>
        </w:drawing>
      </w:r>
    </w:p>
    <w:p>
      <w:pPr>
        <w:spacing w:after="0" w:line="60" w:lineRule="exact"/>
        <w:rPr>
          <w:sz w:val="20"/>
          <w:szCs w:val="20"/>
          <w:color w:val="auto"/>
        </w:rPr>
      </w:pPr>
    </w:p>
    <w:p>
      <w:pPr>
        <w:ind w:left="4660"/>
        <w:spacing w:after="0"/>
        <w:tabs>
          <w:tab w:leader="none" w:pos="5120" w:val="left"/>
        </w:tabs>
        <w:rPr>
          <w:sz w:val="20"/>
          <w:szCs w:val="20"/>
          <w:color w:val="auto"/>
        </w:rPr>
      </w:pPr>
      <w:r>
        <w:rPr>
          <w:rFonts w:ascii="Times New Roman" w:cs="Times New Roman" w:eastAsia="Times New Roman" w:hAnsi="Times New Roman"/>
          <w:sz w:val="13"/>
          <w:szCs w:val="13"/>
          <w:color w:val="auto"/>
        </w:rPr>
        <w:t>Name:</w:t>
        <w:tab/>
        <w:t>Richard K. McGee</w:t>
      </w:r>
    </w:p>
    <w:p>
      <w:pPr>
        <w:spacing w:after="0" w:line="23" w:lineRule="exact"/>
        <w:rPr>
          <w:sz w:val="20"/>
          <w:szCs w:val="20"/>
          <w:color w:val="auto"/>
        </w:rPr>
      </w:pPr>
    </w:p>
    <w:p>
      <w:pPr>
        <w:jc w:val="both"/>
        <w:ind w:left="4660"/>
        <w:spacing w:after="0"/>
        <w:tabs>
          <w:tab w:leader="none" w:pos="512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i w:val="1"/>
          <w:iCs w:val="1"/>
          <w:color w:val="auto"/>
        </w:rPr>
        <w:t>Executive Vice President, General Counsel</w:t>
      </w:r>
    </w:p>
    <w:p>
      <w:pPr>
        <w:spacing w:after="0" w:line="1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i w:val="1"/>
          <w:iCs w:val="1"/>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5" w:name="page56"/>
    <w:bookmarkEnd w:id="55"/>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22" w:lineRule="exact"/>
        <w:rPr>
          <w:sz w:val="20"/>
          <w:szCs w:val="20"/>
          <w:color w:val="auto"/>
        </w:rPr>
      </w:pPr>
    </w:p>
    <w:p>
      <w:pPr>
        <w:ind w:left="1480" w:right="1499" w:firstLine="266"/>
        <w:spacing w:after="0" w:line="260" w:lineRule="auto"/>
        <w:rPr>
          <w:sz w:val="20"/>
          <w:szCs w:val="20"/>
          <w:color w:val="auto"/>
        </w:rPr>
      </w:pPr>
      <w:r>
        <w:rPr>
          <w:rFonts w:ascii="Times New Roman" w:cs="Times New Roman" w:eastAsia="Times New Roman" w:hAnsi="Times New Roman"/>
          <w:sz w:val="13"/>
          <w:szCs w:val="13"/>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247" w:lineRule="exact"/>
        <w:rPr>
          <w:sz w:val="20"/>
          <w:szCs w:val="20"/>
          <w:color w:val="auto"/>
        </w:rPr>
      </w:pPr>
    </w:p>
    <w:p>
      <w:pPr>
        <w:ind w:left="1480" w:right="1579" w:firstLine="266"/>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as amended, this registration statement has been signed by the following persons in the capacities and on the dates indicated below.</w:t>
      </w:r>
    </w:p>
    <w:p>
      <w:pPr>
        <w:spacing w:after="0" w:line="52" w:lineRule="exact"/>
        <w:rPr>
          <w:sz w:val="20"/>
          <w:szCs w:val="20"/>
          <w:color w:val="auto"/>
        </w:rPr>
      </w:pPr>
    </w:p>
    <w:p>
      <w:pPr>
        <w:ind w:left="1480" w:right="1539" w:firstLine="266"/>
        <w:spacing w:after="0" w:line="262" w:lineRule="auto"/>
        <w:rPr>
          <w:sz w:val="20"/>
          <w:szCs w:val="20"/>
          <w:color w:val="auto"/>
        </w:rPr>
      </w:pPr>
      <w:r>
        <w:rPr>
          <w:rFonts w:ascii="Times New Roman" w:cs="Times New Roman" w:eastAsia="Times New Roman" w:hAnsi="Times New Roman"/>
          <w:sz w:val="13"/>
          <w:szCs w:val="13"/>
          <w:b w:val="1"/>
          <w:bCs w:val="1"/>
          <w:color w:val="auto"/>
        </w:rPr>
        <w:t>PAA GP HOLDINGS LLC, for itself and as the general partner of PLAINS GP HOLDINGS, L.P., which is the sole member of PLAINS ALL AMERICAN GP LLC, which is the general partner of PLAINS AAP, L.P., which is the sole member of PAA GP LLC, which is the general partner of PLAINS ALL AMERICAN PIPELINE, L.P.</w:t>
      </w:r>
    </w:p>
    <w:p>
      <w:pPr>
        <w:sectPr>
          <w:pgSz w:w="11900" w:h="16838" w:orient="portrait"/>
          <w:cols w:equalWidth="0" w:num="1">
            <w:col w:w="9019"/>
          </w:cols>
          <w:pgMar w:left="1440" w:top="101" w:right="1440" w:bottom="1440" w:gutter="0" w:footer="0" w:header="0"/>
        </w:sectPr>
      </w:pPr>
    </w:p>
    <w:p>
      <w:pPr>
        <w:spacing w:after="0" w:line="11" w:lineRule="exact"/>
        <w:rPr>
          <w:sz w:val="20"/>
          <w:szCs w:val="20"/>
          <w:color w:val="auto"/>
        </w:rPr>
      </w:pPr>
    </w:p>
    <w:p>
      <w:pPr>
        <w:ind w:left="2460" w:hanging="990"/>
        <w:spacing w:after="0"/>
        <w:tabs>
          <w:tab w:leader="none" w:pos="2460" w:val="left"/>
        </w:tabs>
        <w:numPr>
          <w:ilvl w:val="0"/>
          <w:numId w:val="50"/>
        </w:numPr>
        <w:rPr>
          <w:rFonts w:ascii="Times New Roman" w:cs="Times New Roman" w:eastAsia="Times New Roman" w:hAnsi="Times New Roman"/>
          <w:sz w:val="21"/>
          <w:szCs w:val="21"/>
          <w:b w:val="1"/>
          <w:bCs w:val="1"/>
          <w:color w:val="auto"/>
          <w:vertAlign w:val="subscript"/>
        </w:rPr>
      </w:pPr>
      <w:r>
        <w:rPr>
          <w:rFonts w:ascii="Times New Roman" w:cs="Times New Roman" w:eastAsia="Times New Roman" w:hAnsi="Times New Roman"/>
          <w:sz w:val="11"/>
          <w:szCs w:val="11"/>
          <w:b w:val="1"/>
          <w:bCs w:val="1"/>
          <w:color w:val="auto"/>
        </w:rPr>
        <w:t>Name</w:t>
      </w:r>
    </w:p>
    <w:p>
      <w:pPr>
        <w:spacing w:after="0" w:line="200" w:lineRule="exact"/>
        <w:rPr>
          <w:rFonts w:ascii="Times New Roman" w:cs="Times New Roman" w:eastAsia="Times New Roman" w:hAnsi="Times New Roman"/>
          <w:sz w:val="21"/>
          <w:szCs w:val="21"/>
          <w:b w:val="1"/>
          <w:bCs w:val="1"/>
          <w:color w:val="auto"/>
          <w:vertAlign w:val="subscript"/>
        </w:rPr>
      </w:pPr>
    </w:p>
    <w:p>
      <w:pPr>
        <w:spacing w:after="0" w:line="214" w:lineRule="exact"/>
        <w:rPr>
          <w:rFonts w:ascii="Times New Roman" w:cs="Times New Roman" w:eastAsia="Times New Roman" w:hAnsi="Times New Roman"/>
          <w:sz w:val="21"/>
          <w:szCs w:val="21"/>
          <w:b w:val="1"/>
          <w:bCs w:val="1"/>
          <w:color w:val="auto"/>
          <w:vertAlign w:val="subscript"/>
        </w:rPr>
      </w:pPr>
    </w:p>
    <w:p>
      <w:pPr>
        <w:ind w:left="2040" w:hanging="570"/>
        <w:spacing w:after="0"/>
        <w:tabs>
          <w:tab w:leader="none" w:pos="204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 Willie C.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33655</wp:posOffset>
            </wp:positionV>
            <wp:extent cx="141986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1419860" cy="6350"/>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-339725</wp:posOffset>
            </wp:positionV>
            <wp:extent cx="143256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1432560" cy="6350"/>
                    </a:xfrm>
                    <a:prstGeom prst="rect">
                      <a:avLst/>
                    </a:prstGeom>
                    <a:noFill/>
                  </pic:spPr>
                </pic:pic>
              </a:graphicData>
            </a:graphic>
          </wp:anchor>
        </w:drawing>
      </w:r>
    </w:p>
    <w:p>
      <w:pPr>
        <w:spacing w:after="0" w:line="6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color w:val="auto"/>
        </w:rPr>
        <w:t>Willie C. Chiang</w:t>
      </w:r>
    </w:p>
    <w:p>
      <w:pPr>
        <w:spacing w:after="0" w:line="25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color w:val="auto"/>
        </w:rPr>
        <w:t>/s/ Harry N. Pefanis</w:t>
      </w:r>
    </w:p>
    <w:p>
      <w:pPr>
        <w:ind w:left="1480"/>
        <w:spacing w:after="0" w:line="190" w:lineRule="auto"/>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-25400</wp:posOffset>
            </wp:positionV>
            <wp:extent cx="141986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1419860" cy="6350"/>
                    </a:xfrm>
                    <a:prstGeom prst="rect">
                      <a:avLst/>
                    </a:prstGeom>
                    <a:noFill/>
                  </pic:spPr>
                </pic:pic>
              </a:graphicData>
            </a:graphic>
          </wp:anchor>
        </w:drawing>
      </w:r>
    </w:p>
    <w:p>
      <w:pPr>
        <w:ind w:left="2120"/>
        <w:spacing w:after="0"/>
        <w:rPr>
          <w:sz w:val="20"/>
          <w:szCs w:val="20"/>
          <w:color w:val="auto"/>
        </w:rPr>
      </w:pPr>
      <w:r>
        <w:rPr>
          <w:rFonts w:ascii="Times New Roman" w:cs="Times New Roman" w:eastAsia="Times New Roman" w:hAnsi="Times New Roman"/>
          <w:sz w:val="13"/>
          <w:szCs w:val="13"/>
          <w:color w:val="auto"/>
        </w:rPr>
        <w:t>Harry N. Pefanis</w:t>
      </w:r>
    </w:p>
    <w:p>
      <w:pPr>
        <w:spacing w:after="0" w:line="25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3"/>
          <w:szCs w:val="13"/>
          <w:color w:val="auto"/>
        </w:rPr>
        <w:t>/s/ Al Swanson</w:t>
      </w:r>
    </w:p>
    <w:p>
      <w:pPr>
        <w:ind w:left="1480"/>
        <w:spacing w:after="0" w:line="192" w:lineRule="auto"/>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-25400</wp:posOffset>
            </wp:positionV>
            <wp:extent cx="141986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1419860" cy="635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3"/>
          <w:szCs w:val="13"/>
          <w:color w:val="auto"/>
        </w:rPr>
        <w:t>Al Swanson</w:t>
      </w:r>
    </w:p>
    <w:p>
      <w:pPr>
        <w:spacing w:after="0" w:line="3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color w:val="auto"/>
        </w:rPr>
        <w:t>/s/ Chris Herbold</w:t>
      </w:r>
    </w:p>
    <w:p>
      <w:pPr>
        <w:ind w:left="1480"/>
        <w:spacing w:after="0" w:line="192" w:lineRule="auto"/>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-25400</wp:posOffset>
            </wp:positionV>
            <wp:extent cx="141986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1419860" cy="6350"/>
                    </a:xfrm>
                    <a:prstGeom prst="rect">
                      <a:avLst/>
                    </a:prstGeom>
                    <a:noFill/>
                  </pic:spPr>
                </pic:pic>
              </a:graphicData>
            </a:graphic>
          </wp:anchor>
        </w:drawing>
      </w:r>
    </w:p>
    <w:p>
      <w:pPr>
        <w:ind w:left="2200"/>
        <w:spacing w:after="0"/>
        <w:rPr>
          <w:sz w:val="20"/>
          <w:szCs w:val="20"/>
          <w:color w:val="auto"/>
        </w:rPr>
      </w:pPr>
      <w:r>
        <w:rPr>
          <w:rFonts w:ascii="Times New Roman" w:cs="Times New Roman" w:eastAsia="Times New Roman" w:hAnsi="Times New Roman"/>
          <w:sz w:val="13"/>
          <w:szCs w:val="13"/>
          <w:color w:val="auto"/>
        </w:rPr>
        <w:t>Chris Herbold</w:t>
      </w:r>
    </w:p>
    <w:p>
      <w:pPr>
        <w:spacing w:after="0" w:line="2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3"/>
          <w:szCs w:val="13"/>
          <w:color w:val="auto"/>
        </w:rPr>
        <w:t>/s/ Greg L. Armstrong</w:t>
      </w:r>
    </w:p>
    <w:p>
      <w:pPr>
        <w:ind w:left="1480"/>
        <w:spacing w:after="0" w:line="190" w:lineRule="auto"/>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-25400</wp:posOffset>
            </wp:positionV>
            <wp:extent cx="141986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1419860" cy="6350"/>
                    </a:xfrm>
                    <a:prstGeom prst="rect">
                      <a:avLst/>
                    </a:prstGeom>
                    <a:noFill/>
                  </pic:spPr>
                </pic:pic>
              </a:graphicData>
            </a:graphic>
          </wp:anchor>
        </w:drawing>
      </w:r>
    </w:p>
    <w:p>
      <w:pPr>
        <w:ind w:left="2060"/>
        <w:spacing w:after="0"/>
        <w:rPr>
          <w:sz w:val="20"/>
          <w:szCs w:val="20"/>
          <w:color w:val="auto"/>
        </w:rPr>
      </w:pPr>
      <w:r>
        <w:rPr>
          <w:rFonts w:ascii="Times New Roman" w:cs="Times New Roman" w:eastAsia="Times New Roman" w:hAnsi="Times New Roman"/>
          <w:sz w:val="13"/>
          <w:szCs w:val="13"/>
          <w:color w:val="auto"/>
        </w:rPr>
        <w:t>Greg L. Armstrong</w:t>
      </w:r>
    </w:p>
    <w:p>
      <w:pPr>
        <w:spacing w:after="0" w:line="19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3"/>
          <w:szCs w:val="13"/>
          <w:color w:val="auto"/>
        </w:rPr>
        <w:t>/s/ Victor Burk</w:t>
      </w:r>
    </w:p>
    <w:p>
      <w:pPr>
        <w:ind w:left="1480"/>
        <w:spacing w:after="0" w:line="190" w:lineRule="auto"/>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-25400</wp:posOffset>
            </wp:positionV>
            <wp:extent cx="141986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1419860" cy="635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3"/>
          <w:szCs w:val="13"/>
          <w:color w:val="auto"/>
        </w:rPr>
        <w:t>Victor Burk</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3"/>
          <w:szCs w:val="13"/>
          <w:color w:val="auto"/>
        </w:rPr>
        <w:t>/s/ Ellen R. DeSanctis</w:t>
      </w:r>
    </w:p>
    <w:p>
      <w:pPr>
        <w:ind w:left="1480"/>
        <w:spacing w:after="0" w:line="190" w:lineRule="auto"/>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-25400</wp:posOffset>
            </wp:positionV>
            <wp:extent cx="141986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1419860" cy="6350"/>
                    </a:xfrm>
                    <a:prstGeom prst="rect">
                      <a:avLst/>
                    </a:prstGeom>
                    <a:noFill/>
                  </pic:spPr>
                </pic:pic>
              </a:graphicData>
            </a:graphic>
          </wp:anchor>
        </w:drawing>
      </w:r>
    </w:p>
    <w:p>
      <w:pPr>
        <w:jc w:val="center"/>
        <w:ind w:left="1980"/>
        <w:spacing w:after="0"/>
        <w:rPr>
          <w:sz w:val="20"/>
          <w:szCs w:val="20"/>
          <w:color w:val="auto"/>
        </w:rPr>
      </w:pPr>
      <w:r>
        <w:rPr>
          <w:rFonts w:ascii="Times New Roman" w:cs="Times New Roman" w:eastAsia="Times New Roman" w:hAnsi="Times New Roman"/>
          <w:sz w:val="13"/>
          <w:szCs w:val="13"/>
          <w:color w:val="auto"/>
        </w:rPr>
        <w:t>Ellen R. DeSanctis</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 Kevin S. McCarthy</w:t>
      </w:r>
    </w:p>
    <w:p>
      <w:pPr>
        <w:ind w:left="1480"/>
        <w:spacing w:after="0" w:line="192" w:lineRule="auto"/>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-25400</wp:posOffset>
            </wp:positionV>
            <wp:extent cx="141986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1419860" cy="6350"/>
                    </a:xfrm>
                    <a:prstGeom prst="rect">
                      <a:avLst/>
                    </a:prstGeom>
                    <a:noFill/>
                  </pic:spPr>
                </pic:pic>
              </a:graphicData>
            </a:graphic>
          </wp:anchor>
        </w:drawing>
      </w:r>
    </w:p>
    <w:p>
      <w:pPr>
        <w:ind w:left="2060"/>
        <w:spacing w:after="0"/>
        <w:rPr>
          <w:sz w:val="20"/>
          <w:szCs w:val="20"/>
          <w:color w:val="auto"/>
        </w:rPr>
      </w:pPr>
      <w:r>
        <w:rPr>
          <w:rFonts w:ascii="Times New Roman" w:cs="Times New Roman" w:eastAsia="Times New Roman" w:hAnsi="Times New Roman"/>
          <w:sz w:val="13"/>
          <w:szCs w:val="13"/>
          <w:color w:val="auto"/>
        </w:rPr>
        <w:t>Kevin S. McCarthy</w:t>
      </w:r>
    </w:p>
    <w:p>
      <w:pPr>
        <w:spacing w:after="0" w:line="20" w:lineRule="exact"/>
        <w:rPr>
          <w:sz w:val="20"/>
          <w:szCs w:val="20"/>
          <w:color w:val="auto"/>
        </w:rPr>
      </w:pPr>
      <w:r>
        <w:rPr>
          <w:sz w:val="20"/>
          <w:szCs w:val="20"/>
          <w:color w:val="auto"/>
        </w:rPr>
        <w:br w:type="column"/>
      </w:r>
    </w:p>
    <w:p>
      <w:pPr>
        <w:spacing w:after="0"/>
        <w:tabs>
          <w:tab w:leader="none" w:pos="1100" w:val="left"/>
          <w:tab w:leader="none" w:pos="2340" w:val="left"/>
          <w:tab w:leader="none" w:pos="3000" w:val="left"/>
          <w:tab w:leader="none" w:pos="3760" w:val="left"/>
        </w:tabs>
        <w:rPr>
          <w:sz w:val="20"/>
          <w:szCs w:val="20"/>
          <w:color w:val="auto"/>
        </w:rPr>
      </w:pPr>
      <w:r>
        <w:rPr>
          <w:rFonts w:ascii="Times New Roman" w:cs="Times New Roman" w:eastAsia="Times New Roman" w:hAnsi="Times New Roman"/>
          <w:sz w:val="21"/>
          <w:szCs w:val="21"/>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21"/>
          <w:szCs w:val="21"/>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Date</w:t>
      </w:r>
      <w:r>
        <w:rPr>
          <w:sz w:val="20"/>
          <w:szCs w:val="20"/>
          <w:color w:val="auto"/>
        </w:rPr>
        <w:tab/>
      </w:r>
      <w:r>
        <w:rPr>
          <w:rFonts w:ascii="Times New Roman" w:cs="Times New Roman" w:eastAsia="Times New Roman" w:hAnsi="Times New Roman"/>
          <w:sz w:val="21"/>
          <w:szCs w:val="2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24130</wp:posOffset>
            </wp:positionV>
            <wp:extent cx="232600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2326005" cy="635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Chairman of the Board and Chief</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spacing w:after="0"/>
              <w:rPr>
                <w:sz w:val="13"/>
                <w:szCs w:val="13"/>
                <w:color w:val="auto"/>
              </w:rPr>
            </w:pP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160" w:type="dxa"/>
            <w:vAlign w:val="bottom"/>
            <w:vMerge w:val="continue"/>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Executive Officer</w:t>
            </w:r>
          </w:p>
        </w:tc>
        <w:tc>
          <w:tcPr>
            <w:tcW w:w="26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President and Director</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86"/>
        </w:trPr>
        <w:tc>
          <w:tcPr>
            <w:tcW w:w="1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Executive Vice President and Chief</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Financial Officer</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Financial Officer)</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6"/>
        </w:trPr>
        <w:tc>
          <w:tcPr>
            <w:tcW w:w="1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Senior Vice President, Finance and</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Chief Accounting Officer</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Accounting Officer)</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9"/>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99"/>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99"/>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69"/>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ectPr>
          <w:pgSz w:w="11900" w:h="16838" w:orient="portrait"/>
          <w:cols w:equalWidth="0" w:num="2">
            <w:col w:w="3220" w:space="540"/>
            <w:col w:w="5259"/>
          </w:cols>
          <w:pgMar w:left="1440" w:top="101" w:right="1440" w:bottom="1440" w:gutter="0" w:footer="0" w:header="0"/>
          <w:type w:val="continuous"/>
        </w:sectPr>
      </w:pP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185420</wp:posOffset>
            </wp:positionV>
            <wp:extent cx="505142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type w:val="continuous"/>
        </w:sectPr>
      </w:pPr>
    </w:p>
    <w:bookmarkStart w:id="56" w:name="page57"/>
    <w:bookmarkEnd w:id="56"/>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03" w:lineRule="exact"/>
        <w:rPr>
          <w:sz w:val="20"/>
          <w:szCs w:val="20"/>
          <w:color w:val="auto"/>
        </w:rPr>
      </w:pPr>
    </w:p>
    <w:p>
      <w:pPr>
        <w:ind w:left="2460" w:hanging="990"/>
        <w:spacing w:after="0"/>
        <w:tabs>
          <w:tab w:leader="none" w:pos="2460" w:val="left"/>
        </w:tabs>
        <w:numPr>
          <w:ilvl w:val="0"/>
          <w:numId w:val="51"/>
        </w:numPr>
        <w:rPr>
          <w:rFonts w:ascii="Times New Roman" w:cs="Times New Roman" w:eastAsia="Times New Roman" w:hAnsi="Times New Roman"/>
          <w:sz w:val="21"/>
          <w:szCs w:val="21"/>
          <w:b w:val="1"/>
          <w:bCs w:val="1"/>
          <w:color w:val="auto"/>
          <w:vertAlign w:val="subscript"/>
        </w:rPr>
      </w:pPr>
      <w:r>
        <w:rPr>
          <w:rFonts w:ascii="Times New Roman" w:cs="Times New Roman" w:eastAsia="Times New Roman" w:hAnsi="Times New Roman"/>
          <w:sz w:val="11"/>
          <w:szCs w:val="11"/>
          <w:b w:val="1"/>
          <w:bCs w:val="1"/>
          <w:color w:val="auto"/>
        </w:rPr>
        <w:t>Name</w:t>
      </w:r>
    </w:p>
    <w:p>
      <w:pPr>
        <w:spacing w:after="0" w:line="266" w:lineRule="exact"/>
        <w:rPr>
          <w:rFonts w:ascii="Times New Roman" w:cs="Times New Roman" w:eastAsia="Times New Roman" w:hAnsi="Times New Roman"/>
          <w:sz w:val="21"/>
          <w:szCs w:val="21"/>
          <w:b w:val="1"/>
          <w:bCs w:val="1"/>
          <w:color w:val="auto"/>
          <w:vertAlign w:val="subscript"/>
        </w:rPr>
      </w:pPr>
    </w:p>
    <w:p>
      <w:pPr>
        <w:ind w:left="2040" w:hanging="570"/>
        <w:spacing w:after="0"/>
        <w:tabs>
          <w:tab w:leader="none" w:pos="2040"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3"/>
          <w:szCs w:val="13"/>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25400</wp:posOffset>
            </wp:positionV>
            <wp:extent cx="141986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1419860" cy="6350"/>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-347980</wp:posOffset>
            </wp:positionV>
            <wp:extent cx="143256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1432560" cy="6350"/>
                    </a:xfrm>
                    <a:prstGeom prst="rect">
                      <a:avLst/>
                    </a:prstGeom>
                    <a:noFill/>
                  </pic:spPr>
                </pic:pic>
              </a:graphicData>
            </a:graphic>
          </wp:anchor>
        </w:drawing>
      </w:r>
    </w:p>
    <w:p>
      <w:pPr>
        <w:spacing w:after="0" w:line="61"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3"/>
          <w:szCs w:val="13"/>
          <w:color w:val="auto"/>
        </w:rPr>
        <w:t>Gary R. Petersen</w:t>
      </w:r>
    </w:p>
    <w:p>
      <w:pPr>
        <w:spacing w:after="0" w:line="110"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3"/>
          <w:szCs w:val="13"/>
          <w:color w:val="auto"/>
        </w:rPr>
        <w:t>/s/ Alexandra D. Pruner</w:t>
      </w:r>
    </w:p>
    <w:p>
      <w:pPr>
        <w:ind w:left="1480"/>
        <w:spacing w:after="0" w:line="192" w:lineRule="auto"/>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-25400</wp:posOffset>
            </wp:positionV>
            <wp:extent cx="141986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1419860" cy="6350"/>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13"/>
          <w:szCs w:val="13"/>
          <w:color w:val="auto"/>
        </w:rPr>
        <w:t>Alexandra D. Pruner</w:t>
      </w:r>
    </w:p>
    <w:p>
      <w:pPr>
        <w:spacing w:after="0" w:line="18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/s/ John T. Raymond</w:t>
      </w:r>
    </w:p>
    <w:p>
      <w:pPr>
        <w:ind w:left="1480"/>
        <w:spacing w:after="0" w:line="192" w:lineRule="auto"/>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-25400</wp:posOffset>
            </wp:positionV>
            <wp:extent cx="141986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1419860" cy="6350"/>
                    </a:xfrm>
                    <a:prstGeom prst="rect">
                      <a:avLst/>
                    </a:prstGeom>
                    <a:noFill/>
                  </pic:spPr>
                </pic:pic>
              </a:graphicData>
            </a:graphic>
          </wp:anchor>
        </w:drawing>
      </w:r>
    </w:p>
    <w:p>
      <w:pPr>
        <w:ind w:left="2100"/>
        <w:spacing w:after="0"/>
        <w:rPr>
          <w:sz w:val="20"/>
          <w:szCs w:val="20"/>
          <w:color w:val="auto"/>
        </w:rPr>
      </w:pPr>
      <w:r>
        <w:rPr>
          <w:rFonts w:ascii="Times New Roman" w:cs="Times New Roman" w:eastAsia="Times New Roman" w:hAnsi="Times New Roman"/>
          <w:sz w:val="13"/>
          <w:szCs w:val="13"/>
          <w:color w:val="auto"/>
        </w:rPr>
        <w:t>John T. Raymond</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3"/>
          <w:szCs w:val="13"/>
          <w:color w:val="auto"/>
        </w:rPr>
        <w:t>/s/ Bobby S. Shackouls</w:t>
      </w:r>
    </w:p>
    <w:p>
      <w:pPr>
        <w:ind w:left="1480"/>
        <w:spacing w:after="0" w:line="192" w:lineRule="auto"/>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-25400</wp:posOffset>
            </wp:positionV>
            <wp:extent cx="141986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1419860" cy="6350"/>
                    </a:xfrm>
                    <a:prstGeom prst="rect">
                      <a:avLst/>
                    </a:prstGeom>
                    <a:noFill/>
                  </pic:spPr>
                </pic:pic>
              </a:graphicData>
            </a:graphic>
          </wp:anchor>
        </w:drawing>
      </w:r>
    </w:p>
    <w:p>
      <w:pPr>
        <w:jc w:val="center"/>
        <w:ind w:left="1920"/>
        <w:spacing w:after="0"/>
        <w:rPr>
          <w:sz w:val="20"/>
          <w:szCs w:val="20"/>
          <w:color w:val="auto"/>
        </w:rPr>
      </w:pPr>
      <w:r>
        <w:rPr>
          <w:rFonts w:ascii="Times New Roman" w:cs="Times New Roman" w:eastAsia="Times New Roman" w:hAnsi="Times New Roman"/>
          <w:sz w:val="13"/>
          <w:szCs w:val="13"/>
          <w:color w:val="auto"/>
        </w:rPr>
        <w:t>Bobby S. Shackouls</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 Lawrence M. Ziemba</w:t>
      </w:r>
    </w:p>
    <w:p>
      <w:pPr>
        <w:ind w:left="1480"/>
        <w:spacing w:after="0" w:line="208" w:lineRule="auto"/>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-25400</wp:posOffset>
            </wp:positionV>
            <wp:extent cx="141986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1419860" cy="6350"/>
                    </a:xfrm>
                    <a:prstGeom prst="rect">
                      <a:avLst/>
                    </a:prstGeom>
                    <a:noFill/>
                  </pic:spPr>
                </pic:pic>
              </a:graphicData>
            </a:graphic>
          </wp:anchor>
        </w:drawing>
      </w:r>
    </w:p>
    <w:p>
      <w:pPr>
        <w:ind w:left="2000"/>
        <w:spacing w:after="0"/>
        <w:rPr>
          <w:sz w:val="20"/>
          <w:szCs w:val="20"/>
          <w:color w:val="auto"/>
        </w:rPr>
      </w:pPr>
      <w:r>
        <w:rPr>
          <w:rFonts w:ascii="Times New Roman" w:cs="Times New Roman" w:eastAsia="Times New Roman" w:hAnsi="Times New Roman"/>
          <w:sz w:val="13"/>
          <w:szCs w:val="13"/>
          <w:color w:val="auto"/>
        </w:rPr>
        <w:t>Lawrence M. Ziemba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00" w:val="left"/>
          <w:tab w:leader="none" w:pos="2340" w:val="left"/>
          <w:tab w:leader="none" w:pos="3000" w:val="left"/>
          <w:tab w:leader="none" w:pos="3760" w:val="left"/>
        </w:tabs>
        <w:rPr>
          <w:sz w:val="20"/>
          <w:szCs w:val="20"/>
          <w:color w:val="auto"/>
        </w:rPr>
      </w:pPr>
      <w:r>
        <w:rPr>
          <w:rFonts w:ascii="Times New Roman" w:cs="Times New Roman" w:eastAsia="Times New Roman" w:hAnsi="Times New Roman"/>
          <w:sz w:val="21"/>
          <w:szCs w:val="21"/>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21"/>
          <w:szCs w:val="21"/>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Date</w:t>
      </w:r>
      <w:r>
        <w:rPr>
          <w:sz w:val="20"/>
          <w:szCs w:val="20"/>
          <w:color w:val="auto"/>
        </w:rPr>
        <w:tab/>
      </w:r>
      <w:r>
        <w:rPr>
          <w:rFonts w:ascii="Times New Roman" w:cs="Times New Roman" w:eastAsia="Times New Roman" w:hAnsi="Times New Roman"/>
          <w:sz w:val="21"/>
          <w:szCs w:val="2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24765</wp:posOffset>
            </wp:positionV>
            <wp:extent cx="232600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2326005" cy="635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3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Director</w:t>
            </w:r>
          </w:p>
        </w:tc>
        <w:tc>
          <w:tcPr>
            <w:tcW w:w="6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9"/>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3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Director</w:t>
            </w:r>
          </w:p>
        </w:tc>
        <w:tc>
          <w:tcPr>
            <w:tcW w:w="6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99"/>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3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Director</w:t>
            </w:r>
          </w:p>
        </w:tc>
        <w:tc>
          <w:tcPr>
            <w:tcW w:w="6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99"/>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3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Director</w:t>
            </w:r>
          </w:p>
        </w:tc>
        <w:tc>
          <w:tcPr>
            <w:tcW w:w="6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69"/>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3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Director</w:t>
            </w:r>
          </w:p>
        </w:tc>
        <w:tc>
          <w:tcPr>
            <w:tcW w:w="6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September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185420</wp:posOffset>
            </wp:positionV>
            <wp:extent cx="505142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5051425" cy="38100"/>
                    </a:xfrm>
                    <a:prstGeom prst="rect">
                      <a:avLst/>
                    </a:prstGeom>
                    <a:noFill/>
                  </pic:spPr>
                </pic:pic>
              </a:graphicData>
            </a:graphic>
          </wp:anchor>
        </w:drawing>
      </w:r>
    </w:p>
    <w:p>
      <w:pPr>
        <w:sectPr>
          <w:pgSz w:w="11900" w:h="16838" w:orient="portrait"/>
          <w:cols w:equalWidth="0" w:num="2">
            <w:col w:w="3280" w:space="480"/>
            <w:col w:w="5259"/>
          </w:cols>
          <w:pgMar w:left="1440" w:top="101" w:right="1440" w:bottom="1440" w:gutter="0" w:footer="0" w:header="0"/>
        </w:sectPr>
      </w:pPr>
    </w:p>
    <w:bookmarkStart w:id="57" w:name="page58"/>
    <w:bookmarkEnd w:id="57"/>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59" w:firstLine="266"/>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6, 2024.</w:t>
      </w:r>
    </w:p>
    <w:p>
      <w:pPr>
        <w:spacing w:after="0" w:line="1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PAA FINANCE CORP.</w:t>
      </w:r>
    </w:p>
    <w:p>
      <w:pPr>
        <w:spacing w:after="0" w:line="3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By: /s/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40005</wp:posOffset>
            </wp:positionV>
            <wp:extent cx="182499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1824990" cy="6350"/>
                    </a:xfrm>
                    <a:prstGeom prst="rect">
                      <a:avLst/>
                    </a:prstGeom>
                    <a:noFill/>
                  </pic:spPr>
                </pic:pic>
              </a:graphicData>
            </a:graphic>
          </wp:anchor>
        </w:drawing>
      </w:r>
    </w:p>
    <w:p>
      <w:pPr>
        <w:spacing w:after="0" w:line="60" w:lineRule="exact"/>
        <w:rPr>
          <w:sz w:val="20"/>
          <w:szCs w:val="20"/>
          <w:color w:val="auto"/>
        </w:rPr>
      </w:pPr>
    </w:p>
    <w:p>
      <w:pPr>
        <w:ind w:left="4660"/>
        <w:spacing w:after="0"/>
        <w:tabs>
          <w:tab w:leader="none" w:pos="5120" w:val="left"/>
        </w:tabs>
        <w:rPr>
          <w:sz w:val="20"/>
          <w:szCs w:val="20"/>
          <w:color w:val="auto"/>
        </w:rPr>
      </w:pPr>
      <w:r>
        <w:rPr>
          <w:rFonts w:ascii="Times New Roman" w:cs="Times New Roman" w:eastAsia="Times New Roman" w:hAnsi="Times New Roman"/>
          <w:sz w:val="13"/>
          <w:szCs w:val="13"/>
          <w:color w:val="auto"/>
        </w:rPr>
        <w:t>Name:</w:t>
        <w:tab/>
        <w:t>Richard K. McGee</w:t>
      </w:r>
    </w:p>
    <w:p>
      <w:pPr>
        <w:spacing w:after="0" w:line="23" w:lineRule="exact"/>
        <w:rPr>
          <w:sz w:val="20"/>
          <w:szCs w:val="20"/>
          <w:color w:val="auto"/>
        </w:rPr>
      </w:pPr>
    </w:p>
    <w:p>
      <w:pPr>
        <w:ind w:left="4660"/>
        <w:spacing w:after="0"/>
        <w:tabs>
          <w:tab w:leader="none" w:pos="512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i w:val="1"/>
          <w:iCs w:val="1"/>
          <w:color w:val="auto"/>
        </w:rPr>
        <w:t>Executive Vice President, General Counsel</w:t>
      </w:r>
    </w:p>
    <w:p>
      <w:pPr>
        <w:spacing w:after="0" w:line="1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i w:val="1"/>
          <w:iCs w:val="1"/>
          <w:color w:val="auto"/>
        </w:rPr>
        <w:t>and Secretary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22" w:lineRule="exact"/>
        <w:rPr>
          <w:sz w:val="20"/>
          <w:szCs w:val="20"/>
          <w:color w:val="auto"/>
        </w:rPr>
      </w:pPr>
    </w:p>
    <w:p>
      <w:pPr>
        <w:ind w:left="1480" w:right="1499" w:firstLine="266"/>
        <w:spacing w:after="0" w:line="260" w:lineRule="auto"/>
        <w:rPr>
          <w:sz w:val="20"/>
          <w:szCs w:val="20"/>
          <w:color w:val="auto"/>
        </w:rPr>
      </w:pPr>
      <w:r>
        <w:rPr>
          <w:rFonts w:ascii="Times New Roman" w:cs="Times New Roman" w:eastAsia="Times New Roman" w:hAnsi="Times New Roman"/>
          <w:sz w:val="13"/>
          <w:szCs w:val="13"/>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247" w:lineRule="exact"/>
        <w:rPr>
          <w:sz w:val="20"/>
          <w:szCs w:val="20"/>
          <w:color w:val="auto"/>
        </w:rPr>
      </w:pPr>
    </w:p>
    <w:p>
      <w:pPr>
        <w:ind w:left="1480" w:right="1579" w:firstLine="266"/>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as amended, this registration statement has been signed by the following persons in the capacities and on the dates indicated below.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PAA FINANCE CORP.</w:t>
      </w:r>
    </w:p>
    <w:p>
      <w:pPr>
        <w:ind w:left="1480"/>
        <w:spacing w:after="0"/>
        <w:tabs>
          <w:tab w:leader="none" w:pos="2440" w:val="left"/>
          <w:tab w:leader="none" w:pos="3740" w:val="left"/>
          <w:tab w:leader="none" w:pos="4860" w:val="left"/>
          <w:tab w:leader="none" w:pos="6120" w:val="left"/>
          <w:tab w:leader="none" w:pos="6760" w:val="left"/>
          <w:tab w:leader="none" w:pos="7540" w:val="left"/>
        </w:tabs>
        <w:rPr>
          <w:sz w:val="20"/>
          <w:szCs w:val="20"/>
          <w:color w:val="auto"/>
        </w:rPr>
      </w:pP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10"/>
          <w:szCs w:val="10"/>
          <w:b w:val="1"/>
          <w:bCs w:val="1"/>
          <w:color w:val="auto"/>
        </w:rPr>
        <w:t>Name</w:t>
      </w:r>
      <w:r>
        <w:rPr>
          <w:sz w:val="20"/>
          <w:szCs w:val="20"/>
          <w:color w:val="auto"/>
        </w:rPr>
        <w:tab/>
      </w:r>
      <w:r>
        <w:rPr>
          <w:rFonts w:ascii="Times New Roman" w:cs="Times New Roman" w:eastAsia="Times New Roman" w:hAnsi="Times New Roman"/>
          <w:sz w:val="21"/>
          <w:szCs w:val="21"/>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21"/>
          <w:szCs w:val="21"/>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Date</w:t>
      </w:r>
      <w:r>
        <w:rPr>
          <w:sz w:val="20"/>
          <w:szCs w:val="20"/>
          <w:color w:val="auto"/>
        </w:rPr>
        <w:tab/>
      </w:r>
      <w:r>
        <w:rPr>
          <w:rFonts w:ascii="Times New Roman" w:cs="Times New Roman" w:eastAsia="Times New Roman" w:hAnsi="Times New Roman"/>
          <w:sz w:val="21"/>
          <w:szCs w:val="21"/>
          <w:b w:val="1"/>
          <w:bCs w:val="1"/>
          <w:color w:val="auto"/>
          <w:vertAlign w:val="subscript"/>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17780</wp:posOffset>
            </wp:positionV>
            <wp:extent cx="384048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3840480" cy="6350"/>
                    </a:xfrm>
                    <a:prstGeom prst="rect">
                      <a:avLst/>
                    </a:prstGeom>
                    <a:noFill/>
                  </pic:spPr>
                </pic:pic>
              </a:graphicData>
            </a:graphic>
          </wp:anchor>
        </w:drawing>
      </w:r>
    </w:p>
    <w:p>
      <w:pPr>
        <w:spacing w:after="0" w:line="325"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tcPr>
          <w:p>
            <w:pPr>
              <w:jc w:val="center"/>
              <w:ind w:right="233"/>
              <w:spacing w:after="0"/>
              <w:rPr>
                <w:sz w:val="20"/>
                <w:szCs w:val="20"/>
                <w:color w:val="auto"/>
              </w:rPr>
            </w:pPr>
            <w:r>
              <w:rPr>
                <w:rFonts w:ascii="Times New Roman" w:cs="Times New Roman" w:eastAsia="Times New Roman" w:hAnsi="Times New Roman"/>
                <w:sz w:val="13"/>
                <w:szCs w:val="13"/>
                <w:color w:val="auto"/>
              </w:rPr>
              <w:t>/s/ Willie C. Chiang</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Chief Executive Officer and Director</w:t>
            </w:r>
          </w:p>
        </w:tc>
        <w:tc>
          <w:tcPr>
            <w:tcW w:w="1420" w:type="dxa"/>
            <w:vAlign w:val="bottom"/>
          </w:tcPr>
          <w:p>
            <w:pPr>
              <w:jc w:val="right"/>
              <w:ind w:right="1173"/>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50"/>
        </w:trPr>
        <w:tc>
          <w:tcPr>
            <w:tcW w:w="9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14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September 6, 2024</w:t>
            </w: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vMerge w:val="restart"/>
          </w:tcPr>
          <w:p>
            <w:pPr>
              <w:jc w:val="center"/>
              <w:ind w:right="253"/>
              <w:spacing w:after="0"/>
              <w:rPr>
                <w:sz w:val="20"/>
                <w:szCs w:val="20"/>
                <w:color w:val="auto"/>
              </w:rPr>
            </w:pPr>
            <w:r>
              <w:rPr>
                <w:rFonts w:ascii="Times New Roman" w:cs="Times New Roman" w:eastAsia="Times New Roman" w:hAnsi="Times New Roman"/>
                <w:sz w:val="13"/>
                <w:szCs w:val="13"/>
                <w:color w:val="auto"/>
              </w:rPr>
              <w:t>Willie C. Chiang</w:t>
            </w:r>
          </w:p>
        </w:tc>
        <w:tc>
          <w:tcPr>
            <w:tcW w:w="16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vMerge w:val="restart"/>
          </w:tcPr>
          <w:p>
            <w:pPr>
              <w:jc w:val="center"/>
              <w:ind w:right="233"/>
              <w:spacing w:after="0"/>
              <w:rPr>
                <w:sz w:val="20"/>
                <w:szCs w:val="20"/>
                <w:color w:val="auto"/>
              </w:rPr>
            </w:pPr>
            <w:r>
              <w:rPr>
                <w:rFonts w:ascii="Times New Roman" w:cs="Times New Roman" w:eastAsia="Times New Roman" w:hAnsi="Times New Roman"/>
                <w:sz w:val="13"/>
                <w:szCs w:val="13"/>
                <w:color w:val="auto"/>
              </w:rPr>
              <w:t>/s/ Al Swanson</w:t>
            </w:r>
          </w:p>
        </w:tc>
        <w:tc>
          <w:tcPr>
            <w:tcW w:w="1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Executive Vice President and Chief</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vMerge w:val="continue"/>
          </w:tcPr>
          <w:p>
            <w:pPr>
              <w:spacing w:after="0"/>
              <w:rPr>
                <w:sz w:val="5"/>
                <w:szCs w:val="5"/>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Financial Officer and Director</w:t>
            </w:r>
          </w:p>
        </w:tc>
        <w:tc>
          <w:tcPr>
            <w:tcW w:w="14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 ​  September 6, 2024</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97"/>
        </w:trPr>
        <w:tc>
          <w:tcPr>
            <w:tcW w:w="1240" w:type="dxa"/>
            <w:vAlign w:val="bottom"/>
            <w:gridSpan w:val="2"/>
            <w:vMerge w:val="continue"/>
          </w:tcPr>
          <w:p>
            <w:pPr>
              <w:spacing w:after="0"/>
              <w:rPr>
                <w:sz w:val="8"/>
                <w:szCs w:val="8"/>
                <w:color w:val="auto"/>
              </w:rPr>
            </w:pPr>
          </w:p>
        </w:tc>
        <w:tc>
          <w:tcPr>
            <w:tcW w:w="1940" w:type="dxa"/>
            <w:vAlign w:val="bottom"/>
            <w:vMerge w:val="restart"/>
          </w:tcPr>
          <w:p>
            <w:pPr>
              <w:jc w:val="center"/>
              <w:ind w:right="233"/>
              <w:spacing w:after="0"/>
              <w:rPr>
                <w:sz w:val="20"/>
                <w:szCs w:val="20"/>
                <w:color w:val="auto"/>
              </w:rPr>
            </w:pPr>
            <w:r>
              <w:rPr>
                <w:rFonts w:ascii="Times New Roman" w:cs="Times New Roman" w:eastAsia="Times New Roman" w:hAnsi="Times New Roman"/>
                <w:sz w:val="13"/>
                <w:szCs w:val="13"/>
                <w:color w:val="auto"/>
              </w:rPr>
              <w:t>Al Swanson</w:t>
            </w:r>
          </w:p>
        </w:tc>
        <w:tc>
          <w:tcPr>
            <w:tcW w:w="160" w:type="dxa"/>
            <w:vAlign w:val="bottom"/>
            <w:vMerge w:val="continue"/>
          </w:tcPr>
          <w:p>
            <w:pPr>
              <w:spacing w:after="0"/>
              <w:rPr>
                <w:sz w:val="8"/>
                <w:szCs w:val="8"/>
                <w:color w:val="auto"/>
              </w:rPr>
            </w:pPr>
          </w:p>
        </w:tc>
        <w:tc>
          <w:tcPr>
            <w:tcW w:w="21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Financial Officer)</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6"/>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vMerge w:val="restart"/>
          </w:tcPr>
          <w:p>
            <w:pPr>
              <w:jc w:val="center"/>
              <w:ind w:right="233"/>
              <w:spacing w:after="0"/>
              <w:rPr>
                <w:sz w:val="20"/>
                <w:szCs w:val="20"/>
                <w:color w:val="auto"/>
              </w:rPr>
            </w:pPr>
            <w:r>
              <w:rPr>
                <w:rFonts w:ascii="Times New Roman" w:cs="Times New Roman" w:eastAsia="Times New Roman" w:hAnsi="Times New Roman"/>
                <w:sz w:val="13"/>
                <w:szCs w:val="13"/>
                <w:color w:val="auto"/>
              </w:rPr>
              <w:t>/s/ Chris Herbold</w:t>
            </w:r>
          </w:p>
        </w:tc>
        <w:tc>
          <w:tcPr>
            <w:tcW w:w="1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Senior Vice President, Finance and</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vMerge w:val="continue"/>
          </w:tcPr>
          <w:p>
            <w:pPr>
              <w:spacing w:after="0"/>
              <w:rPr>
                <w:sz w:val="5"/>
                <w:szCs w:val="5"/>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Chief Accounting Officer</w:t>
            </w:r>
          </w:p>
        </w:tc>
        <w:tc>
          <w:tcPr>
            <w:tcW w:w="14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 ​  September 6, 2024</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97"/>
        </w:trPr>
        <w:tc>
          <w:tcPr>
            <w:tcW w:w="1240" w:type="dxa"/>
            <w:vAlign w:val="bottom"/>
            <w:gridSpan w:val="2"/>
            <w:vMerge w:val="continue"/>
          </w:tcPr>
          <w:p>
            <w:pPr>
              <w:spacing w:after="0"/>
              <w:rPr>
                <w:sz w:val="8"/>
                <w:szCs w:val="8"/>
                <w:color w:val="auto"/>
              </w:rPr>
            </w:pPr>
          </w:p>
        </w:tc>
        <w:tc>
          <w:tcPr>
            <w:tcW w:w="1940" w:type="dxa"/>
            <w:vAlign w:val="bottom"/>
            <w:vMerge w:val="restart"/>
          </w:tcPr>
          <w:p>
            <w:pPr>
              <w:jc w:val="center"/>
              <w:ind w:right="233"/>
              <w:spacing w:after="0"/>
              <w:rPr>
                <w:sz w:val="20"/>
                <w:szCs w:val="20"/>
                <w:color w:val="auto"/>
              </w:rPr>
            </w:pPr>
            <w:r>
              <w:rPr>
                <w:rFonts w:ascii="Times New Roman" w:cs="Times New Roman" w:eastAsia="Times New Roman" w:hAnsi="Times New Roman"/>
                <w:sz w:val="13"/>
                <w:szCs w:val="13"/>
                <w:color w:val="auto"/>
              </w:rPr>
              <w:t>Chris Herbold</w:t>
            </w:r>
          </w:p>
        </w:tc>
        <w:tc>
          <w:tcPr>
            <w:tcW w:w="160" w:type="dxa"/>
            <w:vAlign w:val="bottom"/>
            <w:vMerge w:val="continue"/>
          </w:tcPr>
          <w:p>
            <w:pPr>
              <w:spacing w:after="0"/>
              <w:rPr>
                <w:sz w:val="8"/>
                <w:szCs w:val="8"/>
                <w:color w:val="auto"/>
              </w:rPr>
            </w:pPr>
          </w:p>
        </w:tc>
        <w:tc>
          <w:tcPr>
            <w:tcW w:w="21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Accounting Officer)</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tcPr>
          <w:p>
            <w:pPr>
              <w:jc w:val="center"/>
              <w:ind w:right="233"/>
              <w:spacing w:after="0"/>
              <w:rPr>
                <w:sz w:val="20"/>
                <w:szCs w:val="20"/>
                <w:color w:val="auto"/>
              </w:rPr>
            </w:pPr>
            <w:r>
              <w:rPr>
                <w:rFonts w:ascii="Times New Roman" w:cs="Times New Roman" w:eastAsia="Times New Roman" w:hAnsi="Times New Roman"/>
                <w:sz w:val="13"/>
                <w:szCs w:val="13"/>
                <w:color w:val="auto"/>
              </w:rPr>
              <w:t>/s/ Harry N. Pefanis</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President and Director</w:t>
            </w:r>
          </w:p>
        </w:tc>
        <w:tc>
          <w:tcPr>
            <w:tcW w:w="14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 ​  September 6, 2024</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10"/>
        </w:trPr>
        <w:tc>
          <w:tcPr>
            <w:tcW w:w="1240" w:type="dxa"/>
            <w:vAlign w:val="bottom"/>
            <w:gridSpan w:val="2"/>
            <w:vMerge w:val="continue"/>
          </w:tcPr>
          <w:p>
            <w:pPr>
              <w:spacing w:after="0"/>
              <w:rPr>
                <w:sz w:val="9"/>
                <w:szCs w:val="9"/>
                <w:color w:val="auto"/>
              </w:rPr>
            </w:pPr>
          </w:p>
        </w:tc>
        <w:tc>
          <w:tcPr>
            <w:tcW w:w="1940" w:type="dxa"/>
            <w:vAlign w:val="bottom"/>
            <w:vMerge w:val="restart"/>
          </w:tcPr>
          <w:p>
            <w:pPr>
              <w:jc w:val="center"/>
              <w:ind w:right="253"/>
              <w:spacing w:after="0"/>
              <w:rPr>
                <w:sz w:val="20"/>
                <w:szCs w:val="20"/>
                <w:color w:val="auto"/>
              </w:rPr>
            </w:pPr>
            <w:r>
              <w:rPr>
                <w:rFonts w:ascii="Times New Roman" w:cs="Times New Roman" w:eastAsia="Times New Roman" w:hAnsi="Times New Roman"/>
                <w:sz w:val="13"/>
                <w:szCs w:val="13"/>
                <w:color w:val="auto"/>
              </w:rPr>
              <w:t>Harry N. Pefanis</w:t>
            </w:r>
          </w:p>
        </w:tc>
        <w:tc>
          <w:tcPr>
            <w:tcW w:w="16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II-9</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-1520190</wp:posOffset>
            </wp:positionV>
            <wp:extent cx="141986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1419860" cy="6350"/>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-1057910</wp:posOffset>
            </wp:positionV>
            <wp:extent cx="141986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1419860" cy="6350"/>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-652145</wp:posOffset>
            </wp:positionV>
            <wp:extent cx="141986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1419860" cy="63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-24765</wp:posOffset>
            </wp:positionV>
            <wp:extent cx="3175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-24765</wp:posOffset>
            </wp:positionV>
            <wp:extent cx="3175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3"/>
          <w:szCs w:val="13"/>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299210" cy="2343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129921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September 6,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Plains All American Pipeline,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333 Clay Street, Suite 1600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Houston, Texas 77002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66" w:lineRule="exact"/>
        <w:rPr>
          <w:sz w:val="20"/>
          <w:szCs w:val="20"/>
          <w:color w:val="auto"/>
        </w:rPr>
      </w:pPr>
    </w:p>
    <w:p>
      <w:pPr>
        <w:jc w:val="both"/>
        <w:ind w:firstLine="479"/>
        <w:spacing w:after="0" w:line="278" w:lineRule="auto"/>
        <w:rPr>
          <w:sz w:val="20"/>
          <w:szCs w:val="20"/>
          <w:color w:val="auto"/>
        </w:rPr>
      </w:pPr>
      <w:r>
        <w:rPr>
          <w:rFonts w:ascii="Times New Roman" w:cs="Times New Roman" w:eastAsia="Times New Roman" w:hAnsi="Times New Roman"/>
          <w:sz w:val="13"/>
          <w:szCs w:val="13"/>
          <w:color w:val="auto"/>
        </w:rPr>
        <w:t>We have acted as counsel for Plains All American Pipeline, L.P., a Delaware limited partnership (the “</w:t>
      </w:r>
      <w:r>
        <w:rPr>
          <w:rFonts w:ascii="Times New Roman" w:cs="Times New Roman" w:eastAsia="Times New Roman" w:hAnsi="Times New Roman"/>
          <w:sz w:val="13"/>
          <w:szCs w:val="13"/>
          <w:b w:val="1"/>
          <w:bCs w:val="1"/>
          <w:i w:val="1"/>
          <w:iCs w:val="1"/>
          <w:color w:val="auto"/>
        </w:rPr>
        <w:t>Partnership</w:t>
      </w:r>
      <w:r>
        <w:rPr>
          <w:rFonts w:ascii="Times New Roman" w:cs="Times New Roman" w:eastAsia="Times New Roman" w:hAnsi="Times New Roman"/>
          <w:sz w:val="13"/>
          <w:szCs w:val="13"/>
          <w:color w:val="auto"/>
        </w:rPr>
        <w:t>”), with respect to certain legal matters in connection with the preparation and filing of the Registration Statement on Form S-3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filed on or about the date hereof with the U.S.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in connection with the registration by the Partnership under the Securities Act of 1933, as amended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of the offer and sale by the Partnership from time to time, pursuant to Rule 415 under the Securities Act, of:</w:t>
      </w:r>
    </w:p>
    <w:p>
      <w:pPr>
        <w:spacing w:after="0" w:line="1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(1)            common units representing limited partner interests in the Partnership (the “</w:t>
      </w:r>
      <w:r>
        <w:rPr>
          <w:rFonts w:ascii="Times New Roman" w:cs="Times New Roman" w:eastAsia="Times New Roman" w:hAnsi="Times New Roman"/>
          <w:sz w:val="13"/>
          <w:szCs w:val="13"/>
          <w:b w:val="1"/>
          <w:bCs w:val="1"/>
          <w:i w:val="1"/>
          <w:iCs w:val="1"/>
          <w:color w:val="auto"/>
        </w:rPr>
        <w:t>Common Units</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(2)            preferred units representing limited partner interests in the Partnership (the “</w:t>
      </w:r>
      <w:r>
        <w:rPr>
          <w:rFonts w:ascii="Times New Roman" w:cs="Times New Roman" w:eastAsia="Times New Roman" w:hAnsi="Times New Roman"/>
          <w:sz w:val="13"/>
          <w:szCs w:val="13"/>
          <w:b w:val="1"/>
          <w:bCs w:val="1"/>
          <w:i w:val="1"/>
          <w:iCs w:val="1"/>
          <w:color w:val="auto"/>
        </w:rPr>
        <w:t>Preferred Units</w:t>
      </w:r>
      <w:r>
        <w:rPr>
          <w:rFonts w:ascii="Times New Roman" w:cs="Times New Roman" w:eastAsia="Times New Roman" w:hAnsi="Times New Roman"/>
          <w:sz w:val="13"/>
          <w:szCs w:val="13"/>
          <w:color w:val="auto"/>
        </w:rPr>
        <w:t>”); and</w:t>
      </w:r>
    </w:p>
    <w:p>
      <w:pPr>
        <w:spacing w:after="0" w:line="170" w:lineRule="exact"/>
        <w:rPr>
          <w:sz w:val="20"/>
          <w:szCs w:val="20"/>
          <w:color w:val="auto"/>
        </w:rPr>
      </w:pPr>
    </w:p>
    <w:p>
      <w:pPr>
        <w:ind w:left="480" w:firstLine="479"/>
        <w:spacing w:after="0" w:line="299" w:lineRule="auto"/>
        <w:rPr>
          <w:sz w:val="20"/>
          <w:szCs w:val="20"/>
          <w:color w:val="auto"/>
        </w:rPr>
      </w:pPr>
      <w:r>
        <w:rPr>
          <w:rFonts w:ascii="Times New Roman" w:cs="Times New Roman" w:eastAsia="Times New Roman" w:hAnsi="Times New Roman"/>
          <w:sz w:val="13"/>
          <w:szCs w:val="13"/>
          <w:color w:val="auto"/>
        </w:rPr>
        <w:t>(3)            debt securities, which may be co-issued by PAA Finance Corp., a Delaware corporation (“</w:t>
      </w:r>
      <w:r>
        <w:rPr>
          <w:rFonts w:ascii="Times New Roman" w:cs="Times New Roman" w:eastAsia="Times New Roman" w:hAnsi="Times New Roman"/>
          <w:sz w:val="13"/>
          <w:szCs w:val="13"/>
          <w:b w:val="1"/>
          <w:bCs w:val="1"/>
          <w:i w:val="1"/>
          <w:iCs w:val="1"/>
          <w:color w:val="auto"/>
        </w:rPr>
        <w:t>PAA Finance</w:t>
      </w:r>
      <w:r>
        <w:rPr>
          <w:rFonts w:ascii="Times New Roman" w:cs="Times New Roman" w:eastAsia="Times New Roman" w:hAnsi="Times New Roman"/>
          <w:sz w:val="13"/>
          <w:szCs w:val="13"/>
          <w:color w:val="auto"/>
        </w:rPr>
        <w:t>”), in one or more series, consisting of notes, debentures or other evidences of indebtedness (the “</w:t>
      </w:r>
      <w:r>
        <w:rPr>
          <w:rFonts w:ascii="Times New Roman" w:cs="Times New Roman" w:eastAsia="Times New Roman" w:hAnsi="Times New Roman"/>
          <w:sz w:val="13"/>
          <w:szCs w:val="13"/>
          <w:b w:val="1"/>
          <w:bCs w:val="1"/>
          <w:i w:val="1"/>
          <w:iCs w:val="1"/>
          <w:color w:val="auto"/>
        </w:rPr>
        <w:t>Debt Securities</w:t>
      </w:r>
      <w:r>
        <w:rPr>
          <w:rFonts w:ascii="Times New Roman" w:cs="Times New Roman" w:eastAsia="Times New Roman" w:hAnsi="Times New Roman"/>
          <w:sz w:val="13"/>
          <w:szCs w:val="13"/>
          <w:color w:val="auto"/>
        </w:rPr>
        <w:t>”).</w:t>
      </w:r>
    </w:p>
    <w:p>
      <w:pPr>
        <w:spacing w:after="0" w:line="107" w:lineRule="exact"/>
        <w:rPr>
          <w:sz w:val="20"/>
          <w:szCs w:val="20"/>
          <w:color w:val="auto"/>
        </w:rPr>
      </w:pPr>
    </w:p>
    <w:p>
      <w:pPr>
        <w:jc w:val="both"/>
        <w:ind w:firstLine="479"/>
        <w:spacing w:after="0" w:line="299" w:lineRule="auto"/>
        <w:rPr>
          <w:sz w:val="20"/>
          <w:szCs w:val="20"/>
          <w:color w:val="auto"/>
        </w:rPr>
      </w:pPr>
      <w:r>
        <w:rPr>
          <w:rFonts w:ascii="Times New Roman" w:cs="Times New Roman" w:eastAsia="Times New Roman" w:hAnsi="Times New Roman"/>
          <w:sz w:val="13"/>
          <w:szCs w:val="13"/>
          <w:color w:val="auto"/>
        </w:rPr>
        <w:t>The Common Units, the Preferred Units and the Debt Securities are collectively referred to herein as the “</w:t>
      </w:r>
      <w:r>
        <w:rPr>
          <w:rFonts w:ascii="Times New Roman" w:cs="Times New Roman" w:eastAsia="Times New Roman" w:hAnsi="Times New Roman"/>
          <w:sz w:val="13"/>
          <w:szCs w:val="13"/>
          <w:b w:val="1"/>
          <w:bCs w:val="1"/>
          <w:i w:val="1"/>
          <w:iCs w:val="1"/>
          <w:color w:val="auto"/>
        </w:rPr>
        <w:t>Securities</w:t>
      </w:r>
      <w:r>
        <w:rPr>
          <w:rFonts w:ascii="Times New Roman" w:cs="Times New Roman" w:eastAsia="Times New Roman" w:hAnsi="Times New Roman"/>
          <w:sz w:val="13"/>
          <w:szCs w:val="13"/>
          <w:color w:val="auto"/>
        </w:rPr>
        <w:t>.” The aggregate initial offering price of the Securities that may be offered and sold by the Partnership will not exceed $1,100,000,000 or, if applicable, the equivalent thereof in any other security or currency unit.</w:t>
      </w:r>
    </w:p>
    <w:p>
      <w:pPr>
        <w:spacing w:after="0" w:line="107" w:lineRule="exact"/>
        <w:rPr>
          <w:sz w:val="20"/>
          <w:szCs w:val="20"/>
          <w:color w:val="auto"/>
        </w:rPr>
      </w:pPr>
    </w:p>
    <w:p>
      <w:pPr>
        <w:jc w:val="both"/>
        <w:ind w:firstLine="479"/>
        <w:spacing w:after="0" w:line="290" w:lineRule="auto"/>
        <w:rPr>
          <w:sz w:val="20"/>
          <w:szCs w:val="20"/>
          <w:color w:val="auto"/>
        </w:rPr>
      </w:pPr>
      <w:r>
        <w:rPr>
          <w:rFonts w:ascii="Times New Roman" w:cs="Times New Roman" w:eastAsia="Times New Roman" w:hAnsi="Times New Roman"/>
          <w:sz w:val="13"/>
          <w:szCs w:val="13"/>
          <w:color w:val="auto"/>
        </w:rPr>
        <w:t>We have also participated in the preparation of the Prospectus (the “</w:t>
      </w:r>
      <w:r>
        <w:rPr>
          <w:rFonts w:ascii="Times New Roman" w:cs="Times New Roman" w:eastAsia="Times New Roman" w:hAnsi="Times New Roman"/>
          <w:sz w:val="13"/>
          <w:szCs w:val="13"/>
          <w:b w:val="1"/>
          <w:bCs w:val="1"/>
          <w:i w:val="1"/>
          <w:iCs w:val="1"/>
          <w:color w:val="auto"/>
        </w:rPr>
        <w:t>Prospectus</w:t>
      </w:r>
      <w:r>
        <w:rPr>
          <w:rFonts w:ascii="Times New Roman" w:cs="Times New Roman" w:eastAsia="Times New Roman" w:hAnsi="Times New Roman"/>
          <w:sz w:val="13"/>
          <w:szCs w:val="13"/>
          <w:color w:val="auto"/>
        </w:rPr>
        <w:t>”) contained in the Registration Statement to which this opinion is an exhibit. The Securities will be offered in amounts, at prices and on terms to be determined in light of market conditions at the time of sale and to be set forth in supplements (each, a "</w:t>
      </w:r>
      <w:r>
        <w:rPr>
          <w:rFonts w:ascii="Times New Roman" w:cs="Times New Roman" w:eastAsia="Times New Roman" w:hAnsi="Times New Roman"/>
          <w:sz w:val="13"/>
          <w:szCs w:val="13"/>
          <w:b w:val="1"/>
          <w:bCs w:val="1"/>
          <w:i w:val="1"/>
          <w:iCs w:val="1"/>
          <w:color w:val="auto"/>
        </w:rPr>
        <w:t>Prospectus Supplement</w:t>
      </w:r>
      <w:r>
        <w:rPr>
          <w:rFonts w:ascii="Times New Roman" w:cs="Times New Roman" w:eastAsia="Times New Roman" w:hAnsi="Times New Roman"/>
          <w:sz w:val="13"/>
          <w:szCs w:val="13"/>
          <w:color w:val="auto"/>
        </w:rPr>
        <w:t>") to the Prospectus, subject to the amount described above.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Vinson &amp; Elkins LLP Attorneys at Law</w:t>
            </w:r>
          </w:p>
        </w:tc>
        <w:tc>
          <w:tcPr>
            <w:tcW w:w="636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845 Texas Ave, Suite 4700</w:t>
            </w:r>
          </w:p>
        </w:tc>
      </w:tr>
      <w:tr>
        <w:trPr>
          <w:trHeight w:val="158"/>
        </w:trPr>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Austin Dallas Dubai Houston London Los Angeles New York</w:t>
            </w:r>
          </w:p>
        </w:tc>
        <w:tc>
          <w:tcPr>
            <w:tcW w:w="636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Houston, TX 77002-6760</w:t>
            </w:r>
          </w:p>
        </w:tc>
      </w:tr>
      <w:tr>
        <w:trPr>
          <w:trHeight w:val="175"/>
        </w:trPr>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Richmond San Francisco Tokyo Washington</w:t>
            </w:r>
          </w:p>
        </w:tc>
        <w:tc>
          <w:tcPr>
            <w:tcW w:w="6360" w:type="dxa"/>
            <w:vAlign w:val="bottom"/>
          </w:tcPr>
          <w:p>
            <w:pPr>
              <w:ind w:left="1620"/>
              <w:spacing w:after="0"/>
              <w:rPr>
                <w:sz w:val="20"/>
                <w:szCs w:val="20"/>
                <w:color w:val="auto"/>
              </w:rPr>
            </w:pPr>
            <w:r>
              <w:rPr>
                <w:rFonts w:ascii="Times New Roman" w:cs="Times New Roman" w:eastAsia="Times New Roman" w:hAnsi="Times New Roman"/>
                <w:sz w:val="13"/>
                <w:szCs w:val="13"/>
                <w:b w:val="1"/>
                <w:bCs w:val="1"/>
                <w:color w:val="auto"/>
              </w:rPr>
              <w:t xml:space="preserve">Tel </w:t>
            </w:r>
            <w:r>
              <w:rPr>
                <w:rFonts w:ascii="Times New Roman" w:cs="Times New Roman" w:eastAsia="Times New Roman" w:hAnsi="Times New Roman"/>
                <w:sz w:val="13"/>
                <w:szCs w:val="13"/>
                <w:color w:val="auto"/>
              </w:rPr>
              <w:t>+1.713.758.2222</w:t>
            </w:r>
            <w:r>
              <w:rPr>
                <w:rFonts w:ascii="Times New Roman" w:cs="Times New Roman" w:eastAsia="Times New Roman" w:hAnsi="Times New Roman"/>
                <w:sz w:val="13"/>
                <w:szCs w:val="13"/>
                <w:b w:val="1"/>
                <w:bCs w:val="1"/>
                <w:color w:val="auto"/>
              </w:rPr>
              <w:t xml:space="preserve"> Fax </w:t>
            </w:r>
            <w:r>
              <w:rPr>
                <w:rFonts w:ascii="Times New Roman" w:cs="Times New Roman" w:eastAsia="Times New Roman" w:hAnsi="Times New Roman"/>
                <w:sz w:val="13"/>
                <w:szCs w:val="13"/>
                <w:color w:val="auto"/>
              </w:rPr>
              <w:t>+1.713.758.2346</w:t>
            </w:r>
            <w:r>
              <w:rPr>
                <w:rFonts w:ascii="Times New Roman" w:cs="Times New Roman" w:eastAsia="Times New Roman" w:hAnsi="Times New Roman"/>
                <w:sz w:val="13"/>
                <w:szCs w:val="13"/>
                <w:b w:val="1"/>
                <w:bCs w:val="1"/>
                <w:color w:val="auto"/>
              </w:rPr>
              <w:t xml:space="preserve"> velaw.com</w:t>
            </w:r>
          </w:p>
        </w:tc>
      </w:tr>
      <w:tr>
        <w:trPr>
          <w:trHeight w:val="339"/>
        </w:trPr>
        <w:tc>
          <w:tcPr>
            <w:tcW w:w="49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05" w:right="319" w:bottom="1440" w:gutter="0" w:footer="0" w:header="0"/>
        </w:sectPr>
      </w:pPr>
    </w:p>
    <w:bookmarkStart w:id="59" w:name="page60"/>
    <w:bookmarkEnd w:id="59"/>
    <w:p>
      <w:pPr>
        <w:ind w:left="97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190500</wp:posOffset>
            </wp:positionH>
            <wp:positionV relativeFrom="page">
              <wp:posOffset>456565</wp:posOffset>
            </wp:positionV>
            <wp:extent cx="456565" cy="2152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456565" cy="215265"/>
                    </a:xfrm>
                    <a:prstGeom prst="rect">
                      <a:avLst/>
                    </a:prstGeom>
                    <a:noFill/>
                  </pic:spPr>
                </pic:pic>
              </a:graphicData>
            </a:graphic>
          </wp:anchor>
        </w:drawing>
        <w:t>September 6, 2024  Page 2</w:t>
      </w:r>
    </w:p>
    <w:p>
      <w:pPr>
        <w:spacing w:after="0" w:line="256"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In rendering the opinions set forth below, we have examined and relied upon (i) the Delaware Revised Uniform Limited Partnership Act (the “</w:t>
      </w:r>
      <w:r>
        <w:rPr>
          <w:rFonts w:ascii="Times New Roman" w:cs="Times New Roman" w:eastAsia="Times New Roman" w:hAnsi="Times New Roman"/>
          <w:sz w:val="13"/>
          <w:szCs w:val="13"/>
          <w:b w:val="1"/>
          <w:bCs w:val="1"/>
          <w:i w:val="1"/>
          <w:iCs w:val="1"/>
          <w:color w:val="auto"/>
        </w:rPr>
        <w:t>Delaware LP Act</w:t>
      </w:r>
      <w:r>
        <w:rPr>
          <w:rFonts w:ascii="Times New Roman" w:cs="Times New Roman" w:eastAsia="Times New Roman" w:hAnsi="Times New Roman"/>
          <w:sz w:val="13"/>
          <w:szCs w:val="13"/>
          <w:color w:val="auto"/>
        </w:rPr>
        <w:t>”), (ii) the Delaware General Corporation Law (the “</w:t>
      </w:r>
      <w:r>
        <w:rPr>
          <w:rFonts w:ascii="Times New Roman" w:cs="Times New Roman" w:eastAsia="Times New Roman" w:hAnsi="Times New Roman"/>
          <w:sz w:val="13"/>
          <w:szCs w:val="13"/>
          <w:b w:val="1"/>
          <w:bCs w:val="1"/>
          <w:i w:val="1"/>
          <w:iCs w:val="1"/>
          <w:color w:val="auto"/>
        </w:rPr>
        <w:t>DGCL</w:t>
      </w:r>
      <w:r>
        <w:rPr>
          <w:rFonts w:ascii="Times New Roman" w:cs="Times New Roman" w:eastAsia="Times New Roman" w:hAnsi="Times New Roman"/>
          <w:sz w:val="13"/>
          <w:szCs w:val="13"/>
          <w:color w:val="auto"/>
        </w:rPr>
        <w:t>”), (iii) the Registration Statement, including the Prospectus, (iv) the Indenture, dated as of September 25, 2002, by and among the Partnership, PAA Finance and U.S. Bank Trust Company, National Association (as successor to Wachovia Bank, National Association, in interest), as trustee (the “</w:t>
      </w:r>
      <w:r>
        <w:rPr>
          <w:rFonts w:ascii="Times New Roman" w:cs="Times New Roman" w:eastAsia="Times New Roman" w:hAnsi="Times New Roman"/>
          <w:sz w:val="13"/>
          <w:szCs w:val="13"/>
          <w:b w:val="1"/>
          <w:bCs w:val="1"/>
          <w:i w:val="1"/>
          <w:iCs w:val="1"/>
          <w:color w:val="auto"/>
        </w:rPr>
        <w:t>Senior Indenture</w:t>
      </w:r>
      <w:r>
        <w:rPr>
          <w:rFonts w:ascii="Times New Roman" w:cs="Times New Roman" w:eastAsia="Times New Roman" w:hAnsi="Times New Roman"/>
          <w:sz w:val="13"/>
          <w:szCs w:val="13"/>
          <w:color w:val="auto"/>
        </w:rPr>
        <w:t>”), incorporated by reference as Exhibit 4.1 to the Registration Statement, (v) the form of Subordinated Indenture (the “</w:t>
      </w:r>
      <w:r>
        <w:rPr>
          <w:rFonts w:ascii="Times New Roman" w:cs="Times New Roman" w:eastAsia="Times New Roman" w:hAnsi="Times New Roman"/>
          <w:sz w:val="13"/>
          <w:szCs w:val="13"/>
          <w:b w:val="1"/>
          <w:bCs w:val="1"/>
          <w:i w:val="1"/>
          <w:iCs w:val="1"/>
          <w:color w:val="auto"/>
        </w:rPr>
        <w:t>Subordinated Indenture</w:t>
      </w:r>
      <w:r>
        <w:rPr>
          <w:rFonts w:ascii="Times New Roman" w:cs="Times New Roman" w:eastAsia="Times New Roman" w:hAnsi="Times New Roman"/>
          <w:sz w:val="13"/>
          <w:szCs w:val="13"/>
          <w:color w:val="auto"/>
        </w:rPr>
        <w:t>,” together with the Senior Indenture, the “</w:t>
      </w:r>
      <w:r>
        <w:rPr>
          <w:rFonts w:ascii="Times New Roman" w:cs="Times New Roman" w:eastAsia="Times New Roman" w:hAnsi="Times New Roman"/>
          <w:sz w:val="13"/>
          <w:szCs w:val="13"/>
          <w:b w:val="1"/>
          <w:bCs w:val="1"/>
          <w:i w:val="1"/>
          <w:iCs w:val="1"/>
          <w:color w:val="auto"/>
        </w:rPr>
        <w:t>Indentures</w:t>
      </w:r>
      <w:r>
        <w:rPr>
          <w:rFonts w:ascii="Times New Roman" w:cs="Times New Roman" w:eastAsia="Times New Roman" w:hAnsi="Times New Roman"/>
          <w:sz w:val="13"/>
          <w:szCs w:val="13"/>
          <w:color w:val="auto"/>
        </w:rPr>
        <w:t>”), incorporated by reference as Exhibit 4.2 to the Registration Statement, (vi) the Seventh Amended and Restated Agreement of Limited Partnership of the Partnership, dated October 10, 2017, as amended to the date hereof (the “</w:t>
      </w:r>
      <w:r>
        <w:rPr>
          <w:rFonts w:ascii="Times New Roman" w:cs="Times New Roman" w:eastAsia="Times New Roman" w:hAnsi="Times New Roman"/>
          <w:sz w:val="13"/>
          <w:szCs w:val="13"/>
          <w:b w:val="1"/>
          <w:bCs w:val="1"/>
          <w:i w:val="1"/>
          <w:iCs w:val="1"/>
          <w:color w:val="auto"/>
        </w:rPr>
        <w:t>Partnership Agreement</w:t>
      </w:r>
      <w:r>
        <w:rPr>
          <w:rFonts w:ascii="Times New Roman" w:cs="Times New Roman" w:eastAsia="Times New Roman" w:hAnsi="Times New Roman"/>
          <w:sz w:val="13"/>
          <w:szCs w:val="13"/>
          <w:color w:val="auto"/>
        </w:rPr>
        <w:t>”), (vii) the Certificate of Limited Partnership filed with the Secretary of State of the State of Delaware on September 17, 1998, as amended to the date hereof, pursuant to the Delaware LP Act, (viii) the bylaws and certificate of incorporation of PAA Finance, and (ix) such other certificates, statutes and other instruments and documents as we consider appropriate for purposes of the opinions hereafter expressed. In addition, we have reviewed such questions of law as we consider appropriate.</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connection with rendering this opinion, we have assumed that:</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(1)            the Registration Statement, and any amendments thereto (including post-effective amendments), will have become effective;</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(2)            one or more Prospectus Supplements will have been prepared and filed with the Commission describing the Securities offered thereby and will comply with applicable laws;</w:t>
      </w:r>
    </w:p>
    <w:p>
      <w:pPr>
        <w:spacing w:after="0" w:line="170" w:lineRule="exact"/>
        <w:rPr>
          <w:sz w:val="20"/>
          <w:szCs w:val="20"/>
          <w:color w:val="auto"/>
        </w:rPr>
      </w:pPr>
    </w:p>
    <w:p>
      <w:pPr>
        <w:jc w:val="both"/>
        <w:ind w:left="480" w:firstLine="479"/>
        <w:spacing w:after="0" w:line="293" w:lineRule="auto"/>
        <w:rPr>
          <w:sz w:val="20"/>
          <w:szCs w:val="20"/>
          <w:color w:val="auto"/>
        </w:rPr>
      </w:pPr>
      <w:r>
        <w:rPr>
          <w:rFonts w:ascii="Times New Roman" w:cs="Times New Roman" w:eastAsia="Times New Roman" w:hAnsi="Times New Roman"/>
          <w:sz w:val="13"/>
          <w:szCs w:val="13"/>
          <w:color w:val="auto"/>
        </w:rPr>
        <w:t>(3)            all Securities will be issued and sold in compliance with applicable federal and state securities laws and in the manner stated in the Registration Statement and the appropriate Prospectus Supplement;</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(4)            the Subordinated Indenture relating to any Debt Securities to be issued thereunder will be duly authorized, executed and delivered by the parties thereto;</w:t>
      </w:r>
    </w:p>
    <w:p>
      <w:pPr>
        <w:spacing w:after="0" w:line="170" w:lineRule="exact"/>
        <w:rPr>
          <w:sz w:val="20"/>
          <w:szCs w:val="20"/>
          <w:color w:val="auto"/>
        </w:rPr>
      </w:pPr>
    </w:p>
    <w:p>
      <w:pPr>
        <w:jc w:val="both"/>
        <w:ind w:left="480" w:firstLine="479"/>
        <w:spacing w:after="0" w:line="268" w:lineRule="auto"/>
        <w:rPr>
          <w:sz w:val="20"/>
          <w:szCs w:val="20"/>
          <w:color w:val="auto"/>
        </w:rPr>
      </w:pPr>
      <w:r>
        <w:rPr>
          <w:rFonts w:ascii="Times New Roman" w:cs="Times New Roman" w:eastAsia="Times New Roman" w:hAnsi="Times New Roman"/>
          <w:sz w:val="13"/>
          <w:szCs w:val="13"/>
          <w:color w:val="auto"/>
        </w:rPr>
        <w:t>(5)            the form and terms of any Securities, the issuance, sale and delivery thereof by the Partnership and the incurrence and performance of its obligations thereunder or in respect thereof in accordance with the terms thereof, will be in full compliance with, and will not violate, the formation documents and agreements of the Partnership or any applicable law, rule, regulation, order, judgment, decree, award or agreement binding upon it, or to which the issuance, sale and delivery of such Securities, or the incurrence or performance of such obligations, may be subject, or violate any applicable public policy, or be subject to any defense in law or equity;</w:t>
      </w:r>
    </w:p>
    <w:p>
      <w:pPr>
        <w:spacing w:after="0" w:line="131" w:lineRule="exact"/>
        <w:rPr>
          <w:sz w:val="20"/>
          <w:szCs w:val="20"/>
          <w:color w:val="auto"/>
        </w:rPr>
      </w:pPr>
    </w:p>
    <w:p>
      <w:pPr>
        <w:jc w:val="both"/>
        <w:ind w:left="480" w:firstLine="479"/>
        <w:spacing w:after="0" w:line="293" w:lineRule="auto"/>
        <w:rPr>
          <w:sz w:val="20"/>
          <w:szCs w:val="20"/>
          <w:color w:val="auto"/>
        </w:rPr>
      </w:pPr>
      <w:r>
        <w:rPr>
          <w:rFonts w:ascii="Times New Roman" w:cs="Times New Roman" w:eastAsia="Times New Roman" w:hAnsi="Times New Roman"/>
          <w:sz w:val="13"/>
          <w:szCs w:val="13"/>
          <w:color w:val="auto"/>
        </w:rPr>
        <w:t>(6)            a definitive purchase, underwriting or similar agreement with respect to any Securities offered will have been duly authorized and validly executed and delivered by the Partnership and the other parties thereto; and</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96" w:right="319" w:bottom="1440" w:gutter="0" w:footer="0" w:header="0"/>
        </w:sectPr>
      </w:pPr>
    </w:p>
    <w:bookmarkStart w:id="60" w:name="page61"/>
    <w:bookmarkEnd w:id="60"/>
    <w:p>
      <w:pPr>
        <w:ind w:left="928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190500</wp:posOffset>
            </wp:positionH>
            <wp:positionV relativeFrom="page">
              <wp:posOffset>456565</wp:posOffset>
            </wp:positionV>
            <wp:extent cx="456565" cy="2152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456565" cy="215265"/>
                    </a:xfrm>
                    <a:prstGeom prst="rect">
                      <a:avLst/>
                    </a:prstGeom>
                    <a:noFill/>
                  </pic:spPr>
                </pic:pic>
              </a:graphicData>
            </a:graphic>
          </wp:anchor>
        </w:drawing>
        <w:t>September 6, 2024  Page 3</w:t>
      </w:r>
    </w:p>
    <w:p>
      <w:pPr>
        <w:spacing w:after="0" w:line="26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(7)            any Securities issuable upon conversion, exchange or exercise of any Security being offered will be duly authorized, created, and, if appropriate, reserved for issuance upon such conversion, exercise or exchange.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Based upon and subject to the foregoing and to the assumptions, qualifications, limitations and exceptions set forth herein, we are of the opinion that:</w:t>
      </w:r>
    </w:p>
    <w:p>
      <w:pPr>
        <w:spacing w:after="0" w:line="170"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(1)            With respect to the Common Units, when (i) the Partnership has taken all necessary action to approve the issuance of such Common Units, the terms of the offering thereof and related matters; and (ii) the Common Units have been issued and delivered in accordance with the terms of the applicable definitive purchase, underwriting or similar agreement approved by the Partnership upon payment of the consideration thereof or provided for therein, then the Common Units will be validly issued, fully paid (to the extent required under the Partnership Agreement) and non-assessable (as such nonassessability may be limited by Sections 17-303, 17-607 and 17-804 of the Delaware LP Act or the Partnership Agreement).</w:t>
      </w:r>
    </w:p>
    <w:p>
      <w:pPr>
        <w:spacing w:after="0" w:line="131"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(2)            With respect to the Preferred Units, when (i) the Partnership has taken all necessary action to approve the issuance of such Preferred Units, the terms of the offering thereof and related matters; and (ii) the Preferred Units have been issued and delivered in accordance with the terms of the applicable definitive purchase, underwriting or similar agreement approved by the Partnership upon payment of the consideration thereof or provided for therein, then the Preferred Units will be validly issued, fully paid (to the extent required under the Partnership Agreement) and non-assessable (as such nonassessability may be limited by Sections 17-303, 17-607 and 17-804 of the Delaware LP Act or the Partnership Agreement).</w:t>
      </w:r>
    </w:p>
    <w:p>
      <w:pPr>
        <w:spacing w:after="0" w:line="13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(3)            With respect to the Debt Securities, when (i) the applicable Indenture has been duly qualified under the Trust Indenture Act of 1939, as amended; (ii) the Partnership and PAA Finance, as applicable, have taken all necessary action to duly authorize and approve the issuance and terms of such Debt Securities, the terms of the offering thereof and related matters; and (iii) such Debt Securities have been duly authorized, executed, authenticated, issued and delivered in accordance with the provisions of the applicable Indenture and the applicable definitive purchase, underwriting or similar agreement approved by the Partnership and PAA Finance, as applicable, upon payment of the consideration thereof or provided for therein, such Debt Securities will be legally issued and will constitute valid and legally binding obligations of the Partnership and PAA Finance, as applicable, enforceable against the Partnership and PAA Finance, as applicable, in accordance with their terms, except as such enforcement may be limited by (x) applicable bankruptcy, insolvency, fraudulent transfer, reorganization, moratorium or similar laws from time to time in effect affecting creditors’ rights and remedies generally and general principles of equity (regardless of whether such principles are considered in a proceeding in equity or at law) and (y) public policy, applicable law relating to fiduciary duties and indemnification and an implied covenant of good faith and fair dealing.</w:t>
      </w:r>
    </w:p>
    <w:p>
      <w:pPr>
        <w:spacing w:after="0" w:line="29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716788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800"/>
          </w:cols>
          <w:pgMar w:left="780" w:top="796" w:right="319" w:bottom="1440" w:gutter="0" w:footer="0" w:header="0"/>
        </w:sectPr>
      </w:pPr>
    </w:p>
    <w:bookmarkStart w:id="61" w:name="page62"/>
    <w:bookmarkEnd w:id="61"/>
    <w:p>
      <w:pPr>
        <w:ind w:left="97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190500</wp:posOffset>
            </wp:positionH>
            <wp:positionV relativeFrom="page">
              <wp:posOffset>456565</wp:posOffset>
            </wp:positionV>
            <wp:extent cx="456565" cy="2152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456565" cy="215265"/>
                    </a:xfrm>
                    <a:prstGeom prst="rect">
                      <a:avLst/>
                    </a:prstGeom>
                    <a:noFill/>
                  </pic:spPr>
                </pic:pic>
              </a:graphicData>
            </a:graphic>
          </wp:anchor>
        </w:drawing>
        <w:t>September 6, 2024  Page 4</w:t>
      </w:r>
    </w:p>
    <w:p>
      <w:pPr>
        <w:spacing w:after="0" w:line="2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opinions expressed herein are qualified in the following respects:</w:t>
      </w:r>
    </w:p>
    <w:p>
      <w:pPr>
        <w:spacing w:after="0" w:line="170" w:lineRule="exact"/>
        <w:rPr>
          <w:sz w:val="20"/>
          <w:szCs w:val="20"/>
          <w:color w:val="auto"/>
        </w:rPr>
      </w:pPr>
    </w:p>
    <w:p>
      <w:pPr>
        <w:jc w:val="both"/>
        <w:ind w:left="480" w:firstLine="479"/>
        <w:spacing w:after="0" w:line="293" w:lineRule="auto"/>
        <w:rPr>
          <w:sz w:val="20"/>
          <w:szCs w:val="20"/>
          <w:color w:val="auto"/>
        </w:rPr>
      </w:pPr>
      <w:r>
        <w:rPr>
          <w:rFonts w:ascii="Times New Roman" w:cs="Times New Roman" w:eastAsia="Times New Roman" w:hAnsi="Times New Roman"/>
          <w:sz w:val="13"/>
          <w:szCs w:val="13"/>
          <w:color w:val="auto"/>
        </w:rPr>
        <w:t>(1)            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14" w:lineRule="exact"/>
        <w:rPr>
          <w:sz w:val="20"/>
          <w:szCs w:val="20"/>
          <w:color w:val="auto"/>
        </w:rPr>
      </w:pPr>
    </w:p>
    <w:p>
      <w:pPr>
        <w:jc w:val="both"/>
        <w:ind w:left="480" w:firstLine="479"/>
        <w:spacing w:after="0" w:line="293" w:lineRule="auto"/>
        <w:rPr>
          <w:sz w:val="20"/>
          <w:szCs w:val="20"/>
          <w:color w:val="auto"/>
        </w:rPr>
      </w:pPr>
      <w:r>
        <w:rPr>
          <w:rFonts w:ascii="Times New Roman" w:cs="Times New Roman" w:eastAsia="Times New Roman" w:hAnsi="Times New Roman"/>
          <w:sz w:val="13"/>
          <w:szCs w:val="13"/>
          <w:color w:val="auto"/>
        </w:rPr>
        <w:t>(2)            We have assumed, without independent verification, that the certificates, if any, for the Common Units will conform to the specimens thereof examined by us and will have been duly countersigned by a transfer agent and duly registered by a registrar of the Common Units.</w:t>
      </w:r>
    </w:p>
    <w:p>
      <w:pPr>
        <w:spacing w:after="0" w:line="114" w:lineRule="exact"/>
        <w:rPr>
          <w:sz w:val="20"/>
          <w:szCs w:val="20"/>
          <w:color w:val="auto"/>
        </w:rPr>
      </w:pPr>
    </w:p>
    <w:p>
      <w:pPr>
        <w:jc w:val="both"/>
        <w:ind w:left="480" w:firstLine="479"/>
        <w:spacing w:after="0" w:line="268" w:lineRule="auto"/>
        <w:rPr>
          <w:sz w:val="20"/>
          <w:szCs w:val="20"/>
          <w:color w:val="auto"/>
        </w:rPr>
      </w:pPr>
      <w:r>
        <w:rPr>
          <w:rFonts w:ascii="Times New Roman" w:cs="Times New Roman" w:eastAsia="Times New Roman" w:hAnsi="Times New Roman"/>
          <w:sz w:val="13"/>
          <w:szCs w:val="13"/>
          <w:color w:val="auto"/>
        </w:rPr>
        <w:t>(3)            We have assumed that (i) all information contained in all documents reviewed by us is accurate and complete, (ii) each such document submitted to us as an original is authentic and each such document submitted to us as a copy conforms to an authentic original of such document, (iii) all signatures on each such document examined by us are genuine, (iv) each person signing the documents we examined had the legal capacity and authority to do so and (v) each certificate from governmental officials reviewed by us is accurate, complete and authentic, and all official public records are accurate and complete.</w:t>
      </w:r>
    </w:p>
    <w:p>
      <w:pPr>
        <w:spacing w:after="0" w:line="131" w:lineRule="exact"/>
        <w:rPr>
          <w:sz w:val="20"/>
          <w:szCs w:val="20"/>
          <w:color w:val="auto"/>
        </w:rPr>
      </w:pPr>
    </w:p>
    <w:p>
      <w:pPr>
        <w:jc w:val="both"/>
        <w:ind w:left="480" w:firstLine="479"/>
        <w:spacing w:after="0" w:line="274" w:lineRule="auto"/>
        <w:rPr>
          <w:sz w:val="20"/>
          <w:szCs w:val="20"/>
          <w:color w:val="auto"/>
        </w:rPr>
      </w:pPr>
      <w:r>
        <w:rPr>
          <w:rFonts w:ascii="Times New Roman" w:cs="Times New Roman" w:eastAsia="Times New Roman" w:hAnsi="Times New Roman"/>
          <w:sz w:val="13"/>
          <w:szCs w:val="13"/>
          <w:color w:val="auto"/>
        </w:rPr>
        <w:t>(4)            We express no opinions concerning (i) the validity or enforceability of any provisions contained in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27" w:lineRule="exact"/>
        <w:rPr>
          <w:sz w:val="20"/>
          <w:szCs w:val="20"/>
          <w:color w:val="auto"/>
        </w:rPr>
      </w:pPr>
    </w:p>
    <w:p>
      <w:pPr>
        <w:jc w:val="both"/>
        <w:ind w:left="480" w:firstLine="479"/>
        <w:spacing w:after="0" w:line="274" w:lineRule="auto"/>
        <w:rPr>
          <w:sz w:val="20"/>
          <w:szCs w:val="20"/>
          <w:color w:val="auto"/>
        </w:rPr>
      </w:pPr>
      <w:r>
        <w:rPr>
          <w:rFonts w:ascii="Times New Roman" w:cs="Times New Roman" w:eastAsia="Times New Roman" w:hAnsi="Times New Roman"/>
          <w:sz w:val="13"/>
          <w:szCs w:val="13"/>
          <w:color w:val="auto"/>
        </w:rPr>
        <w:t>(5)            This opinion is limited in all respects to U.S. federal laws, the laws of the State of New York, the Delaware LP Act and the DGCL,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27"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 Vinson &amp; Elkins L.L.P.</w:t>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Vinson &amp; Elkins L.L.P.</w:t>
      </w: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95"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3"/>
          <w:szCs w:val="13"/>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286510" cy="2089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1286510" cy="20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September 6,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Plains All American Pipeline,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333 Clay Street, Suite 1600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Houston, Texas 77002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 Plains All American Pipeline, L.P. Registration Statement on Form S-3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70" w:lineRule="exact"/>
        <w:rPr>
          <w:sz w:val="20"/>
          <w:szCs w:val="20"/>
          <w:color w:val="auto"/>
        </w:rPr>
      </w:pPr>
    </w:p>
    <w:p>
      <w:pPr>
        <w:ind w:right="100" w:firstLine="240"/>
        <w:spacing w:after="0" w:line="268" w:lineRule="auto"/>
        <w:rPr>
          <w:sz w:val="20"/>
          <w:szCs w:val="20"/>
          <w:color w:val="auto"/>
        </w:rPr>
      </w:pPr>
      <w:r>
        <w:rPr>
          <w:rFonts w:ascii="Times New Roman" w:cs="Times New Roman" w:eastAsia="Times New Roman" w:hAnsi="Times New Roman"/>
          <w:sz w:val="13"/>
          <w:szCs w:val="13"/>
          <w:color w:val="auto"/>
        </w:rPr>
        <w:t>We have acted as counsel for Plains All American Pipeline, L.P. (the ”Partnership”), a Delaware limited partnership, with respect to certain legal matters in connection with the preparation of a Prospectus dated on or about the date hereof (the ”Prospectus”) forming part of the Registration Statement on Form S-3 (the ”Registration Statement”), to which this opinion is an exhibit. The Registration Statement relates to the registration under the Securities Act of 1933, as amended (the ”Securities Act”), of common units representing limited partner interests in the Partnership, preferred units representing limited partner interests in the Partnership, and debt securities.</w:t>
      </w:r>
    </w:p>
    <w:p>
      <w:pPr>
        <w:spacing w:after="0" w:line="131" w:lineRule="exact"/>
        <w:rPr>
          <w:sz w:val="20"/>
          <w:szCs w:val="20"/>
          <w:color w:val="auto"/>
        </w:rPr>
      </w:pPr>
    </w:p>
    <w:p>
      <w:pPr>
        <w:ind w:right="40" w:firstLine="240"/>
        <w:spacing w:after="0" w:line="293" w:lineRule="auto"/>
        <w:rPr>
          <w:sz w:val="20"/>
          <w:szCs w:val="20"/>
          <w:color w:val="auto"/>
        </w:rPr>
      </w:pPr>
      <w:r>
        <w:rPr>
          <w:rFonts w:ascii="Times New Roman" w:cs="Times New Roman" w:eastAsia="Times New Roman" w:hAnsi="Times New Roman"/>
          <w:sz w:val="13"/>
          <w:szCs w:val="13"/>
          <w:color w:val="auto"/>
        </w:rPr>
        <w:t>This opinion is based on various facts and assumptions, and is conditioned upon certain representations made by the Partnership as to factual matters through a certificate of an officer of the Partnership (the “Officer’s Certificate”). In addition, this opinion is based upon the factual representations of the Partnership concerning its business, properties and governing documents as set forth in the Registration Statement.</w:t>
      </w:r>
    </w:p>
    <w:p>
      <w:pPr>
        <w:spacing w:after="0" w:line="114" w:lineRule="exact"/>
        <w:rPr>
          <w:sz w:val="20"/>
          <w:szCs w:val="20"/>
          <w:color w:val="auto"/>
        </w:rPr>
      </w:pPr>
    </w:p>
    <w:p>
      <w:pPr>
        <w:ind w:firstLine="240"/>
        <w:spacing w:after="0" w:line="265" w:lineRule="auto"/>
        <w:rPr>
          <w:sz w:val="20"/>
          <w:szCs w:val="20"/>
          <w:color w:val="auto"/>
        </w:rPr>
      </w:pPr>
      <w:r>
        <w:rPr>
          <w:rFonts w:ascii="Times New Roman" w:cs="Times New Roman" w:eastAsia="Times New Roman" w:hAnsi="Times New Roman"/>
          <w:sz w:val="13"/>
          <w:szCs w:val="13"/>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33" w:lineRule="exact"/>
        <w:rPr>
          <w:sz w:val="20"/>
          <w:szCs w:val="20"/>
          <w:color w:val="auto"/>
        </w:rPr>
      </w:pPr>
    </w:p>
    <w:p>
      <w:pPr>
        <w:ind w:right="20" w:firstLine="240"/>
        <w:spacing w:after="0" w:line="265" w:lineRule="auto"/>
        <w:rPr>
          <w:sz w:val="20"/>
          <w:szCs w:val="20"/>
          <w:color w:val="auto"/>
        </w:rPr>
      </w:pPr>
      <w:r>
        <w:rPr>
          <w:rFonts w:ascii="Times New Roman" w:cs="Times New Roman" w:eastAsia="Times New Roman" w:hAnsi="Times New Roman"/>
          <w:sz w:val="13"/>
          <w:szCs w:val="13"/>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33" w:lineRule="exact"/>
        <w:rPr>
          <w:sz w:val="20"/>
          <w:szCs w:val="20"/>
          <w:color w:val="auto"/>
        </w:rPr>
      </w:pPr>
    </w:p>
    <w:p>
      <w:pPr>
        <w:ind w:right="180" w:firstLine="240"/>
        <w:spacing w:after="0" w:line="274" w:lineRule="auto"/>
        <w:rPr>
          <w:sz w:val="20"/>
          <w:szCs w:val="20"/>
          <w:color w:val="auto"/>
        </w:rPr>
      </w:pPr>
      <w:r>
        <w:rPr>
          <w:rFonts w:ascii="Times New Roman" w:cs="Times New Roman" w:eastAsia="Times New Roman" w:hAnsi="Times New Roman"/>
          <w:sz w:val="13"/>
          <w:szCs w:val="13"/>
          <w:color w:val="auto"/>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27" w:lineRule="exact"/>
        <w:rPr>
          <w:sz w:val="20"/>
          <w:szCs w:val="20"/>
          <w:color w:val="auto"/>
        </w:rPr>
      </w:pPr>
    </w:p>
    <w:p>
      <w:pPr>
        <w:ind w:right="40" w:firstLine="240"/>
        <w:spacing w:after="0" w:line="268" w:lineRule="auto"/>
        <w:rPr>
          <w:sz w:val="20"/>
          <w:szCs w:val="20"/>
          <w:color w:val="auto"/>
        </w:rPr>
      </w:pPr>
      <w:r>
        <w:rPr>
          <w:rFonts w:ascii="Times New Roman" w:cs="Times New Roman" w:eastAsia="Times New Roman" w:hAnsi="Times New Roman"/>
          <w:sz w:val="13"/>
          <w:szCs w:val="13"/>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16788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63" w:name="page64"/>
    <w:bookmarkEnd w:id="63"/>
    <w:p>
      <w:pPr>
        <w:ind w:firstLine="240"/>
        <w:spacing w:after="0" w:line="29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209550</wp:posOffset>
            </wp:positionH>
            <wp:positionV relativeFrom="page">
              <wp:posOffset>456565</wp:posOffset>
            </wp:positionV>
            <wp:extent cx="450215" cy="2152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450215" cy="215265"/>
                    </a:xfrm>
                    <a:prstGeom prst="rect">
                      <a:avLst/>
                    </a:prstGeom>
                    <a:noFill/>
                  </pic:spPr>
                </pic:pic>
              </a:graphicData>
            </a:graphic>
          </wp:anchor>
        </w:drawing>
        <w:t>We hereby consent to the filing of this opinion of counsel as an exhibit to the Registration Statement and the use of our name in the Registration Statement. In giving such consent, we do not admit that we are within the category of persons whose consent is required under Section 7 of the Securities Act.</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/s/ VINSON &amp; ELKINS L.L.P.</w:t>
      </w:r>
    </w:p>
    <w:p>
      <w:pPr>
        <w:spacing w:after="0" w:line="1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16788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CONSENT OF INDEPENDENT REGISTERED PUBLIC ACCOUNTING FIRM</w:t>
      </w:r>
    </w:p>
    <w:p>
      <w:pPr>
        <w:spacing w:after="0" w:line="17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3"/>
          <w:szCs w:val="13"/>
          <w:color w:val="auto"/>
        </w:rPr>
        <w:t>We hereby consent to the incorporation by reference in this Registration Statement on Form S-3 of Plains All American Pipeline, L.P. of our report dated February 28, 2024 relating to the financial statements and the effectiveness of internal control over financial reporting, which appears in Plains All American Pipeline, L.P.’s Annual Report on Form 10-K for the year ended December 31, 2023. We also consent to the reference to us under the heading “Experts” in such Registration Statement.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Houston, TX</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323215</wp:posOffset>
            </wp:positionV>
            <wp:extent cx="716788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84" w:right="3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6"/>
          <w:szCs w:val="16"/>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6788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716788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115570</wp:posOffset>
            </wp:positionV>
            <wp:extent cx="179387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T-1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STATEMENT OF ELIGIBILITY UNDER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TRUST INDENTURE ACT OF 1939 OF A</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CORPORATION DESIGNATED TO ACT AS TRUSTEE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Check if an Application to Determine Eligibility of</w:t>
      </w:r>
    </w:p>
    <w:p>
      <w:pPr>
        <w:spacing w:after="0" w:line="6" w:lineRule="exact"/>
        <w:rPr>
          <w:sz w:val="20"/>
          <w:szCs w:val="20"/>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a Trustee Pursuant to Section 305(b)(2)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110490</wp:posOffset>
            </wp:positionV>
            <wp:extent cx="429704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4297045" cy="6350"/>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U.S. BANK TRUST COMPANY, NATIONAL ASSOCIATION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Trustee as specified in its charter)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91-1821036</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5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800 Nicollet Mall</w:t>
            </w:r>
          </w:p>
        </w:tc>
        <w:tc>
          <w:tcPr>
            <w:tcW w:w="1700" w:type="dxa"/>
            <w:vAlign w:val="bottom"/>
            <w:tcBorders>
              <w:top w:val="single" w:sz="8" w:color="auto"/>
            </w:tcBorders>
          </w:tcPr>
          <w:p>
            <w:pPr>
              <w:spacing w:after="0"/>
              <w:rPr>
                <w:sz w:val="13"/>
                <w:szCs w:val="13"/>
                <w:color w:val="auto"/>
              </w:rPr>
            </w:pPr>
          </w:p>
        </w:tc>
        <w:tc>
          <w:tcPr>
            <w:tcW w:w="3940" w:type="dxa"/>
            <w:vAlign w:val="bottom"/>
            <w:tcBorders>
              <w:top w:val="single" w:sz="8" w:color="auto"/>
              <w:right w:val="single" w:sz="8" w:color="auto"/>
            </w:tcBorders>
          </w:tcPr>
          <w:p>
            <w:pPr>
              <w:spacing w:after="0"/>
              <w:rPr>
                <w:sz w:val="13"/>
                <w:szCs w:val="13"/>
                <w:color w:val="auto"/>
              </w:rPr>
            </w:pPr>
          </w:p>
        </w:tc>
      </w:tr>
      <w:tr>
        <w:trPr>
          <w:trHeight w:val="172"/>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Minneapolis, Minnesota</w:t>
            </w:r>
          </w:p>
        </w:tc>
        <w:tc>
          <w:tcPr>
            <w:tcW w:w="170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jc w:val="center"/>
              <w:ind w:right="1653"/>
              <w:spacing w:after="0"/>
              <w:rPr>
                <w:sz w:val="20"/>
                <w:szCs w:val="20"/>
                <w:color w:val="auto"/>
              </w:rPr>
            </w:pPr>
            <w:r>
              <w:rPr>
                <w:rFonts w:ascii="Times New Roman" w:cs="Times New Roman" w:eastAsia="Times New Roman" w:hAnsi="Times New Roman"/>
                <w:sz w:val="13"/>
                <w:szCs w:val="13"/>
                <w:color w:val="auto"/>
              </w:rPr>
              <w:t>55402</w:t>
            </w:r>
          </w:p>
        </w:tc>
      </w:tr>
      <w:tr>
        <w:trPr>
          <w:trHeight w:val="150"/>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53"/>
              <w:spacing w:after="0"/>
              <w:rPr>
                <w:sz w:val="20"/>
                <w:szCs w:val="20"/>
                <w:color w:val="auto"/>
              </w:rPr>
            </w:pPr>
            <w:r>
              <w:rPr>
                <w:rFonts w:ascii="Times New Roman" w:cs="Times New Roman" w:eastAsia="Times New Roman" w:hAnsi="Times New Roman"/>
                <w:sz w:val="13"/>
                <w:szCs w:val="13"/>
                <w:color w:val="auto"/>
              </w:rPr>
              <w:t>(Zip Code)</w:t>
            </w:r>
          </w:p>
        </w:tc>
      </w:tr>
      <w:tr>
        <w:trPr>
          <w:trHeight w:val="297"/>
        </w:trPr>
        <w:tc>
          <w:tcPr>
            <w:tcW w:w="7360" w:type="dxa"/>
            <w:vAlign w:val="bottom"/>
            <w:gridSpan w:val="2"/>
          </w:tcPr>
          <w:p>
            <w:pPr>
              <w:jc w:val="center"/>
              <w:ind w:left="3851"/>
              <w:spacing w:after="0"/>
              <w:rPr>
                <w:sz w:val="20"/>
                <w:szCs w:val="20"/>
                <w:color w:val="auto"/>
              </w:rPr>
            </w:pPr>
            <w:r>
              <w:rPr>
                <w:rFonts w:ascii="Times New Roman" w:cs="Times New Roman" w:eastAsia="Times New Roman" w:hAnsi="Times New Roman"/>
                <w:sz w:val="13"/>
                <w:szCs w:val="13"/>
                <w:color w:val="auto"/>
              </w:rPr>
              <w:t>Michael K. Herberger</w:t>
            </w:r>
          </w:p>
        </w:tc>
        <w:tc>
          <w:tcPr>
            <w:tcW w:w="3940" w:type="dxa"/>
            <w:vAlign w:val="bottom"/>
          </w:tcPr>
          <w:p>
            <w:pPr>
              <w:spacing w:after="0"/>
              <w:rPr>
                <w:sz w:val="24"/>
                <w:szCs w:val="24"/>
                <w:color w:val="auto"/>
              </w:rPr>
            </w:pPr>
          </w:p>
        </w:tc>
      </w:tr>
      <w:tr>
        <w:trPr>
          <w:trHeight w:val="161"/>
        </w:trPr>
        <w:tc>
          <w:tcPr>
            <w:tcW w:w="7360" w:type="dxa"/>
            <w:vAlign w:val="bottom"/>
            <w:gridSpan w:val="2"/>
          </w:tcPr>
          <w:p>
            <w:pPr>
              <w:jc w:val="center"/>
              <w:ind w:left="3871"/>
              <w:spacing w:after="0"/>
              <w:rPr>
                <w:sz w:val="20"/>
                <w:szCs w:val="20"/>
                <w:color w:val="auto"/>
              </w:rPr>
            </w:pPr>
            <w:r>
              <w:rPr>
                <w:rFonts w:ascii="Times New Roman" w:cs="Times New Roman" w:eastAsia="Times New Roman" w:hAnsi="Times New Roman"/>
                <w:sz w:val="13"/>
                <w:szCs w:val="13"/>
                <w:color w:val="auto"/>
              </w:rPr>
              <w:t>U.S. Bank Trust Company, National Association</w:t>
            </w:r>
          </w:p>
        </w:tc>
        <w:tc>
          <w:tcPr>
            <w:tcW w:w="3940" w:type="dxa"/>
            <w:vAlign w:val="bottom"/>
          </w:tcPr>
          <w:p>
            <w:pPr>
              <w:spacing w:after="0"/>
              <w:rPr>
                <w:sz w:val="14"/>
                <w:szCs w:val="14"/>
                <w:color w:val="auto"/>
              </w:rPr>
            </w:pPr>
          </w:p>
        </w:tc>
      </w:tr>
      <w:tr>
        <w:trPr>
          <w:trHeight w:val="188"/>
        </w:trPr>
        <w:tc>
          <w:tcPr>
            <w:tcW w:w="7360" w:type="dxa"/>
            <w:vAlign w:val="bottom"/>
            <w:gridSpan w:val="2"/>
          </w:tcPr>
          <w:p>
            <w:pPr>
              <w:jc w:val="center"/>
              <w:ind w:left="3851"/>
              <w:spacing w:after="0" w:line="188" w:lineRule="exact"/>
              <w:rPr>
                <w:sz w:val="20"/>
                <w:szCs w:val="20"/>
                <w:color w:val="auto"/>
              </w:rPr>
            </w:pPr>
            <w:r>
              <w:rPr>
                <w:rFonts w:ascii="Times New Roman" w:cs="Times New Roman" w:eastAsia="Times New Roman" w:hAnsi="Times New Roman"/>
                <w:sz w:val="13"/>
                <w:szCs w:val="13"/>
                <w:color w:val="auto"/>
              </w:rPr>
              <w:t>13737 Noel Road, 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3"/>
                <w:szCs w:val="13"/>
                <w:color w:val="auto"/>
              </w:rPr>
              <w:t xml:space="preserve"> Floor</w:t>
            </w:r>
          </w:p>
        </w:tc>
        <w:tc>
          <w:tcPr>
            <w:tcW w:w="3940" w:type="dxa"/>
            <w:vAlign w:val="bottom"/>
          </w:tcPr>
          <w:p>
            <w:pPr>
              <w:spacing w:after="0"/>
              <w:rPr>
                <w:sz w:val="16"/>
                <w:szCs w:val="16"/>
                <w:color w:val="auto"/>
              </w:rPr>
            </w:pPr>
          </w:p>
        </w:tc>
      </w:tr>
      <w:tr>
        <w:trPr>
          <w:trHeight w:val="160"/>
        </w:trPr>
        <w:tc>
          <w:tcPr>
            <w:tcW w:w="7360" w:type="dxa"/>
            <w:vAlign w:val="bottom"/>
            <w:gridSpan w:val="2"/>
          </w:tcPr>
          <w:p>
            <w:pPr>
              <w:jc w:val="center"/>
              <w:ind w:left="3851"/>
              <w:spacing w:after="0"/>
              <w:rPr>
                <w:sz w:val="20"/>
                <w:szCs w:val="20"/>
                <w:color w:val="auto"/>
              </w:rPr>
            </w:pPr>
            <w:r>
              <w:rPr>
                <w:rFonts w:ascii="Times New Roman" w:cs="Times New Roman" w:eastAsia="Times New Roman" w:hAnsi="Times New Roman"/>
                <w:sz w:val="13"/>
                <w:szCs w:val="13"/>
                <w:color w:val="auto"/>
              </w:rPr>
              <w:t>Dallas, TX 75240</w:t>
            </w:r>
          </w:p>
        </w:tc>
        <w:tc>
          <w:tcPr>
            <w:tcW w:w="3940" w:type="dxa"/>
            <w:vAlign w:val="bottom"/>
          </w:tcPr>
          <w:p>
            <w:pPr>
              <w:spacing w:after="0"/>
              <w:rPr>
                <w:sz w:val="13"/>
                <w:szCs w:val="13"/>
                <w:color w:val="auto"/>
              </w:rPr>
            </w:pPr>
          </w:p>
        </w:tc>
      </w:tr>
      <w:tr>
        <w:trPr>
          <w:trHeight w:val="160"/>
        </w:trPr>
        <w:tc>
          <w:tcPr>
            <w:tcW w:w="7360" w:type="dxa"/>
            <w:vAlign w:val="bottom"/>
            <w:gridSpan w:val="2"/>
          </w:tcPr>
          <w:p>
            <w:pPr>
              <w:jc w:val="center"/>
              <w:ind w:left="3851"/>
              <w:spacing w:after="0"/>
              <w:rPr>
                <w:sz w:val="20"/>
                <w:szCs w:val="20"/>
                <w:color w:val="auto"/>
              </w:rPr>
            </w:pPr>
            <w:r>
              <w:rPr>
                <w:rFonts w:ascii="Times New Roman" w:cs="Times New Roman" w:eastAsia="Times New Roman" w:hAnsi="Times New Roman"/>
                <w:sz w:val="13"/>
                <w:szCs w:val="13"/>
                <w:color w:val="auto"/>
              </w:rPr>
              <w:t>(972) 581-1612</w:t>
            </w:r>
          </w:p>
        </w:tc>
        <w:tc>
          <w:tcPr>
            <w:tcW w:w="3940" w:type="dxa"/>
            <w:vAlign w:val="bottom"/>
          </w:tcPr>
          <w:p>
            <w:pPr>
              <w:spacing w:after="0"/>
              <w:rPr>
                <w:sz w:val="13"/>
                <w:szCs w:val="13"/>
                <w:color w:val="auto"/>
              </w:rPr>
            </w:pPr>
          </w:p>
        </w:tc>
      </w:tr>
      <w:tr>
        <w:trPr>
          <w:trHeight w:val="173"/>
        </w:trPr>
        <w:tc>
          <w:tcPr>
            <w:tcW w:w="7360" w:type="dxa"/>
            <w:vAlign w:val="bottom"/>
            <w:gridSpan w:val="2"/>
          </w:tcPr>
          <w:p>
            <w:pPr>
              <w:jc w:val="center"/>
              <w:ind w:left="3851"/>
              <w:spacing w:after="0"/>
              <w:rPr>
                <w:sz w:val="20"/>
                <w:szCs w:val="20"/>
                <w:color w:val="auto"/>
              </w:rPr>
            </w:pPr>
            <w:r>
              <w:rPr>
                <w:rFonts w:ascii="Times New Roman" w:cs="Times New Roman" w:eastAsia="Times New Roman" w:hAnsi="Times New Roman"/>
                <w:sz w:val="13"/>
                <w:szCs w:val="13"/>
                <w:color w:val="auto"/>
              </w:rPr>
              <w:t>(Name, address and telephone number of agent for service)</w:t>
            </w:r>
          </w:p>
        </w:tc>
        <w:tc>
          <w:tcPr>
            <w:tcW w:w="3940" w:type="dxa"/>
            <w:vAlign w:val="bottom"/>
          </w:tcPr>
          <w:p>
            <w:pPr>
              <w:spacing w:after="0"/>
              <w:rPr>
                <w:sz w:val="15"/>
                <w:szCs w:val="15"/>
                <w:color w:val="auto"/>
              </w:rPr>
            </w:pPr>
          </w:p>
        </w:tc>
      </w:tr>
      <w:tr>
        <w:trPr>
          <w:trHeight w:val="359"/>
        </w:trPr>
        <w:tc>
          <w:tcPr>
            <w:tcW w:w="7360" w:type="dxa"/>
            <w:vAlign w:val="bottom"/>
            <w:gridSpan w:val="2"/>
          </w:tcPr>
          <w:p>
            <w:pPr>
              <w:jc w:val="center"/>
              <w:ind w:left="3871"/>
              <w:spacing w:after="0"/>
              <w:rPr>
                <w:sz w:val="20"/>
                <w:szCs w:val="20"/>
                <w:color w:val="auto"/>
              </w:rPr>
            </w:pPr>
            <w:r>
              <w:rPr>
                <w:rFonts w:ascii="Times New Roman" w:cs="Times New Roman" w:eastAsia="Times New Roman" w:hAnsi="Times New Roman"/>
                <w:sz w:val="19"/>
                <w:szCs w:val="19"/>
                <w:b w:val="1"/>
                <w:bCs w:val="1"/>
                <w:color w:val="auto"/>
                <w:w w:val="97"/>
              </w:rPr>
              <w:t>Plains All American Pipeline, L.P.</w:t>
            </w:r>
          </w:p>
        </w:tc>
        <w:tc>
          <w:tcPr>
            <w:tcW w:w="3940" w:type="dxa"/>
            <w:vAlign w:val="bottom"/>
          </w:tcPr>
          <w:p>
            <w:pPr>
              <w:spacing w:after="0"/>
              <w:rPr>
                <w:sz w:val="24"/>
                <w:szCs w:val="24"/>
                <w:color w:val="auto"/>
              </w:rPr>
            </w:pPr>
          </w:p>
        </w:tc>
      </w:tr>
      <w:tr>
        <w:trPr>
          <w:trHeight w:val="227"/>
        </w:trPr>
        <w:tc>
          <w:tcPr>
            <w:tcW w:w="7360" w:type="dxa"/>
            <w:vAlign w:val="bottom"/>
            <w:gridSpan w:val="2"/>
          </w:tcPr>
          <w:p>
            <w:pPr>
              <w:jc w:val="center"/>
              <w:ind w:left="3851"/>
              <w:spacing w:after="0"/>
              <w:rPr>
                <w:sz w:val="20"/>
                <w:szCs w:val="20"/>
                <w:color w:val="auto"/>
              </w:rPr>
            </w:pPr>
            <w:r>
              <w:rPr>
                <w:rFonts w:ascii="Times New Roman" w:cs="Times New Roman" w:eastAsia="Times New Roman" w:hAnsi="Times New Roman"/>
                <w:sz w:val="19"/>
                <w:szCs w:val="19"/>
                <w:b w:val="1"/>
                <w:bCs w:val="1"/>
                <w:color w:val="auto"/>
                <w:w w:val="97"/>
              </w:rPr>
              <w:t>PAA Finance Corp.</w:t>
            </w:r>
          </w:p>
        </w:tc>
        <w:tc>
          <w:tcPr>
            <w:tcW w:w="3940" w:type="dxa"/>
            <w:vAlign w:val="bottom"/>
          </w:tcPr>
          <w:p>
            <w:pPr>
              <w:spacing w:after="0"/>
              <w:rPr>
                <w:sz w:val="19"/>
                <w:szCs w:val="19"/>
                <w:color w:val="auto"/>
              </w:rPr>
            </w:pPr>
          </w:p>
        </w:tc>
      </w:tr>
      <w:tr>
        <w:trPr>
          <w:trHeight w:val="173"/>
        </w:trPr>
        <w:tc>
          <w:tcPr>
            <w:tcW w:w="7360" w:type="dxa"/>
            <w:vAlign w:val="bottom"/>
            <w:gridSpan w:val="2"/>
          </w:tcPr>
          <w:p>
            <w:pPr>
              <w:jc w:val="center"/>
              <w:ind w:left="3871"/>
              <w:spacing w:after="0"/>
              <w:rPr>
                <w:sz w:val="20"/>
                <w:szCs w:val="20"/>
                <w:color w:val="auto"/>
              </w:rPr>
            </w:pPr>
            <w:r>
              <w:rPr>
                <w:rFonts w:ascii="Times New Roman" w:cs="Times New Roman" w:eastAsia="Times New Roman" w:hAnsi="Times New Roman"/>
                <w:sz w:val="13"/>
                <w:szCs w:val="13"/>
                <w:color w:val="auto"/>
              </w:rPr>
              <w:t>(Issuer with respect to the Securities)</w:t>
            </w:r>
          </w:p>
        </w:tc>
        <w:tc>
          <w:tcPr>
            <w:tcW w:w="3940" w:type="dxa"/>
            <w:vAlign w:val="bottom"/>
          </w:tcPr>
          <w:p>
            <w:pPr>
              <w:spacing w:after="0"/>
              <w:rPr>
                <w:sz w:val="15"/>
                <w:szCs w:val="15"/>
                <w:color w:val="auto"/>
              </w:rPr>
            </w:pPr>
          </w:p>
        </w:tc>
      </w:tr>
      <w:tr>
        <w:trPr>
          <w:trHeight w:val="160"/>
        </w:trPr>
        <w:tc>
          <w:tcPr>
            <w:tcW w:w="7360" w:type="dxa"/>
            <w:vAlign w:val="bottom"/>
            <w:tcBorders>
              <w:bottom w:val="single" w:sz="8" w:color="auto"/>
            </w:tcBorders>
            <w:gridSpan w:val="2"/>
          </w:tcPr>
          <w:p>
            <w:pPr>
              <w:spacing w:after="0"/>
              <w:rPr>
                <w:sz w:val="13"/>
                <w:szCs w:val="13"/>
                <w:color w:val="auto"/>
              </w:rPr>
            </w:pPr>
          </w:p>
        </w:tc>
        <w:tc>
          <w:tcPr>
            <w:tcW w:w="3940" w:type="dxa"/>
            <w:vAlign w:val="bottom"/>
            <w:tcBorders>
              <w:bottom w:val="single" w:sz="8" w:color="auto"/>
            </w:tcBorders>
          </w:tcPr>
          <w:p>
            <w:pPr>
              <w:spacing w:after="0"/>
              <w:rPr>
                <w:sz w:val="13"/>
                <w:szCs w:val="13"/>
                <w:color w:val="auto"/>
              </w:rPr>
            </w:pPr>
          </w:p>
        </w:tc>
      </w:tr>
      <w:tr>
        <w:trPr>
          <w:trHeight w:val="137"/>
        </w:trPr>
        <w:tc>
          <w:tcPr>
            <w:tcW w:w="5660" w:type="dxa"/>
            <w:vAlign w:val="bottom"/>
            <w:tcBorders>
              <w:left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3"/>
                <w:szCs w:val="13"/>
                <w:color w:val="auto"/>
              </w:rPr>
              <w:t>Delaware</w:t>
            </w:r>
          </w:p>
        </w:tc>
        <w:tc>
          <w:tcPr>
            <w:tcW w:w="1700" w:type="dxa"/>
            <w:vAlign w:val="bottom"/>
          </w:tcPr>
          <w:p>
            <w:pPr>
              <w:spacing w:after="0"/>
              <w:rPr>
                <w:sz w:val="11"/>
                <w:szCs w:val="11"/>
                <w:color w:val="auto"/>
              </w:rPr>
            </w:pPr>
          </w:p>
        </w:tc>
        <w:tc>
          <w:tcPr>
            <w:tcW w:w="3940" w:type="dxa"/>
            <w:vAlign w:val="bottom"/>
            <w:tcBorders>
              <w:right w:val="single" w:sz="8" w:color="auto"/>
            </w:tcBorders>
          </w:tcPr>
          <w:p>
            <w:pPr>
              <w:jc w:val="center"/>
              <w:ind w:right="1673"/>
              <w:spacing w:after="0" w:line="137" w:lineRule="exact"/>
              <w:rPr>
                <w:sz w:val="20"/>
                <w:szCs w:val="20"/>
                <w:color w:val="auto"/>
              </w:rPr>
            </w:pPr>
            <w:r>
              <w:rPr>
                <w:rFonts w:ascii="Times New Roman" w:cs="Times New Roman" w:eastAsia="Times New Roman" w:hAnsi="Times New Roman"/>
                <w:sz w:val="13"/>
                <w:szCs w:val="13"/>
                <w:color w:val="auto"/>
              </w:rPr>
              <w:t>76-0582150</w:t>
            </w:r>
          </w:p>
        </w:tc>
      </w:tr>
      <w:tr>
        <w:trPr>
          <w:trHeight w:val="172"/>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Delaware</w:t>
            </w:r>
          </w:p>
        </w:tc>
        <w:tc>
          <w:tcPr>
            <w:tcW w:w="170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jc w:val="center"/>
              <w:ind w:right="1673"/>
              <w:spacing w:after="0"/>
              <w:rPr>
                <w:sz w:val="20"/>
                <w:szCs w:val="20"/>
                <w:color w:val="auto"/>
              </w:rPr>
            </w:pPr>
            <w:r>
              <w:rPr>
                <w:rFonts w:ascii="Times New Roman" w:cs="Times New Roman" w:eastAsia="Times New Roman" w:hAnsi="Times New Roman"/>
                <w:sz w:val="13"/>
                <w:szCs w:val="13"/>
                <w:color w:val="auto"/>
              </w:rPr>
              <w:t>56-2464313</w:t>
            </w:r>
          </w:p>
        </w:tc>
      </w:tr>
      <w:tr>
        <w:trPr>
          <w:trHeight w:val="150"/>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73"/>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150"/>
        </w:trPr>
        <w:tc>
          <w:tcPr>
            <w:tcW w:w="5660" w:type="dxa"/>
            <w:vAlign w:val="bottom"/>
            <w:tcBorders>
              <w:left w:val="single" w:sz="8" w:color="auto"/>
              <w:bottom w:val="single" w:sz="8" w:color="auto"/>
              <w:right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spacing w:after="0"/>
              <w:rPr>
                <w:sz w:val="13"/>
                <w:szCs w:val="13"/>
                <w:color w:val="auto"/>
              </w:rPr>
            </w:pPr>
          </w:p>
        </w:tc>
      </w:tr>
      <w:tr>
        <w:trPr>
          <w:trHeight w:val="150"/>
        </w:trPr>
        <w:tc>
          <w:tcPr>
            <w:tcW w:w="7360" w:type="dxa"/>
            <w:vAlign w:val="bottom"/>
            <w:tcBorders>
              <w:bottom w:val="single" w:sz="8" w:color="auto"/>
            </w:tcBorders>
            <w:gridSpan w:val="2"/>
          </w:tcPr>
          <w:p>
            <w:pPr>
              <w:spacing w:after="0"/>
              <w:rPr>
                <w:sz w:val="13"/>
                <w:szCs w:val="13"/>
                <w:color w:val="auto"/>
              </w:rPr>
            </w:pPr>
          </w:p>
        </w:tc>
        <w:tc>
          <w:tcPr>
            <w:tcW w:w="3940" w:type="dxa"/>
            <w:vAlign w:val="bottom"/>
            <w:tcBorders>
              <w:bottom w:val="single" w:sz="8" w:color="auto"/>
            </w:tcBorders>
          </w:tcPr>
          <w:p>
            <w:pPr>
              <w:spacing w:after="0"/>
              <w:rPr>
                <w:sz w:val="13"/>
                <w:szCs w:val="13"/>
                <w:color w:val="auto"/>
              </w:rPr>
            </w:pPr>
          </w:p>
        </w:tc>
      </w:tr>
      <w:tr>
        <w:trPr>
          <w:trHeight w:val="137"/>
        </w:trPr>
        <w:tc>
          <w:tcPr>
            <w:tcW w:w="5660" w:type="dxa"/>
            <w:vAlign w:val="bottom"/>
            <w:tcBorders>
              <w:left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3"/>
                <w:szCs w:val="13"/>
                <w:color w:val="auto"/>
              </w:rPr>
              <w:t>333 Clay Street, Suite 1600</w:t>
            </w:r>
          </w:p>
        </w:tc>
        <w:tc>
          <w:tcPr>
            <w:tcW w:w="1700" w:type="dxa"/>
            <w:vAlign w:val="bottom"/>
          </w:tcPr>
          <w:p>
            <w:pPr>
              <w:spacing w:after="0"/>
              <w:rPr>
                <w:sz w:val="11"/>
                <w:szCs w:val="11"/>
                <w:color w:val="auto"/>
              </w:rPr>
            </w:pPr>
          </w:p>
        </w:tc>
        <w:tc>
          <w:tcPr>
            <w:tcW w:w="3940" w:type="dxa"/>
            <w:vAlign w:val="bottom"/>
            <w:tcBorders>
              <w:right w:val="single" w:sz="8" w:color="auto"/>
            </w:tcBorders>
          </w:tcPr>
          <w:p>
            <w:pPr>
              <w:spacing w:after="0"/>
              <w:rPr>
                <w:sz w:val="11"/>
                <w:szCs w:val="11"/>
                <w:color w:val="auto"/>
              </w:rPr>
            </w:pPr>
          </w:p>
        </w:tc>
      </w:tr>
      <w:tr>
        <w:trPr>
          <w:trHeight w:val="172"/>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Houston, Texas</w:t>
            </w:r>
          </w:p>
        </w:tc>
        <w:tc>
          <w:tcPr>
            <w:tcW w:w="170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jc w:val="center"/>
              <w:ind w:right="1653"/>
              <w:spacing w:after="0"/>
              <w:rPr>
                <w:sz w:val="20"/>
                <w:szCs w:val="20"/>
                <w:color w:val="auto"/>
              </w:rPr>
            </w:pPr>
            <w:r>
              <w:rPr>
                <w:rFonts w:ascii="Times New Roman" w:cs="Times New Roman" w:eastAsia="Times New Roman" w:hAnsi="Times New Roman"/>
                <w:sz w:val="13"/>
                <w:szCs w:val="13"/>
                <w:color w:val="auto"/>
              </w:rPr>
              <w:t>77002</w:t>
            </w:r>
          </w:p>
        </w:tc>
      </w:tr>
      <w:tr>
        <w:trPr>
          <w:trHeight w:val="150"/>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53"/>
              <w:spacing w:after="0"/>
              <w:rPr>
                <w:sz w:val="20"/>
                <w:szCs w:val="20"/>
                <w:color w:val="auto"/>
              </w:rPr>
            </w:pPr>
            <w:r>
              <w:rPr>
                <w:rFonts w:ascii="Times New Roman" w:cs="Times New Roman" w:eastAsia="Times New Roman" w:hAnsi="Times New Roman"/>
                <w:sz w:val="13"/>
                <w:szCs w:val="13"/>
                <w:color w:val="auto"/>
              </w:rPr>
              <w:t>(Zip Code)</w:t>
            </w: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Senior Debt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16788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6788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443230</wp:posOffset>
            </wp:positionV>
            <wp:extent cx="716788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66" w:name="page67"/>
    <w:bookmarkEnd w:id="66"/>
    <w:p>
      <w:pPr>
        <w:ind w:left="5340"/>
        <w:spacing w:after="0"/>
        <w:rPr>
          <w:sz w:val="20"/>
          <w:szCs w:val="20"/>
          <w:color w:val="auto"/>
        </w:rPr>
      </w:pPr>
      <w:r>
        <w:rPr>
          <w:rFonts w:ascii="Times New Roman" w:cs="Times New Roman" w:eastAsia="Times New Roman" w:hAnsi="Times New Roman"/>
          <w:sz w:val="13"/>
          <w:szCs w:val="13"/>
          <w:b w:val="1"/>
          <w:bCs w:val="1"/>
          <w:u w:val="single" w:color="auto"/>
          <w:color w:val="auto"/>
        </w:rPr>
        <w:t>FORM T-1</w:t>
      </w:r>
    </w:p>
    <w:p>
      <w:pPr>
        <w:spacing w:after="0" w:line="1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1.</w:t>
      </w:r>
      <w:r>
        <w:rPr>
          <w:sz w:val="20"/>
          <w:szCs w:val="20"/>
          <w:color w:val="auto"/>
        </w:rPr>
        <w:tab/>
      </w:r>
      <w:r>
        <w:rPr>
          <w:rFonts w:ascii="Times New Roman" w:cs="Times New Roman" w:eastAsia="Times New Roman" w:hAnsi="Times New Roman"/>
          <w:sz w:val="13"/>
          <w:szCs w:val="13"/>
          <w:b w:val="1"/>
          <w:bCs w:val="1"/>
          <w:color w:val="auto"/>
        </w:rPr>
        <w:t>GENERAL INFORMATION</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Furnish the following information as to the Trustee.</w:t>
      </w:r>
    </w:p>
    <w:p>
      <w:pPr>
        <w:spacing w:after="0" w:line="172" w:lineRule="exact"/>
        <w:rPr>
          <w:sz w:val="20"/>
          <w:szCs w:val="20"/>
          <w:color w:val="auto"/>
        </w:rPr>
      </w:pPr>
    </w:p>
    <w:p>
      <w:pPr>
        <w:ind w:left="1440" w:right="4719" w:hanging="722"/>
        <w:spacing w:after="0" w:line="268" w:lineRule="auto"/>
        <w:tabs>
          <w:tab w:leader="none" w:pos="961"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Name and address of each examining or supervising authority to which it is subject. </w:t>
      </w:r>
      <w:r>
        <w:rPr>
          <w:rFonts w:ascii="Times New Roman" w:cs="Times New Roman" w:eastAsia="Times New Roman" w:hAnsi="Times New Roman"/>
          <w:sz w:val="13"/>
          <w:szCs w:val="13"/>
          <w:color w:val="auto"/>
        </w:rPr>
        <w:t>Comptroller of the Currency</w:t>
      </w:r>
    </w:p>
    <w:p>
      <w:pPr>
        <w:ind w:left="1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Washington, D.C.</w:t>
      </w:r>
    </w:p>
    <w:p>
      <w:pPr>
        <w:spacing w:after="0" w:line="155"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Whether it is authorized to exercise corporate trust powers.</w:t>
      </w:r>
    </w:p>
    <w:p>
      <w:pPr>
        <w:spacing w:after="0" w:line="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Yes</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w:t>
      </w:r>
      <w:r>
        <w:rPr>
          <w:sz w:val="20"/>
          <w:szCs w:val="20"/>
          <w:color w:val="auto"/>
        </w:rPr>
        <w:tab/>
      </w:r>
      <w:r>
        <w:rPr>
          <w:rFonts w:ascii="Times New Roman" w:cs="Times New Roman" w:eastAsia="Times New Roman" w:hAnsi="Times New Roman"/>
          <w:sz w:val="13"/>
          <w:szCs w:val="13"/>
          <w:b w:val="1"/>
          <w:bCs w:val="1"/>
          <w:color w:val="auto"/>
        </w:rPr>
        <w:t xml:space="preserve">AFFILIATIONS WITH THE OBLIGOR. </w:t>
      </w:r>
      <w:r>
        <w:rPr>
          <w:rFonts w:ascii="Times New Roman" w:cs="Times New Roman" w:eastAsia="Times New Roman" w:hAnsi="Times New Roman"/>
          <w:sz w:val="13"/>
          <w:szCs w:val="13"/>
          <w:i w:val="1"/>
          <w:iCs w:val="1"/>
          <w:color w:val="auto"/>
        </w:rPr>
        <w:t>If the obligor is an affiliate of the Trustee, describe each such affiliation.</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None</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Items 3-15</w:t>
      </w:r>
      <w:r>
        <w:rPr>
          <w:sz w:val="20"/>
          <w:szCs w:val="20"/>
          <w:color w:val="auto"/>
        </w:rPr>
        <w:tab/>
      </w:r>
      <w:r>
        <w:rPr>
          <w:rFonts w:ascii="Times New Roman" w:cs="Times New Roman" w:eastAsia="Times New Roman" w:hAnsi="Times New Roman"/>
          <w:sz w:val="13"/>
          <w:szCs w:val="13"/>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16.</w:t>
      </w:r>
      <w:r>
        <w:rPr>
          <w:sz w:val="20"/>
          <w:szCs w:val="20"/>
          <w:color w:val="auto"/>
        </w:rPr>
        <w:tab/>
      </w:r>
      <w:r>
        <w:rPr>
          <w:rFonts w:ascii="Times New Roman" w:cs="Times New Roman" w:eastAsia="Times New Roman" w:hAnsi="Times New Roman"/>
          <w:sz w:val="13"/>
          <w:szCs w:val="13"/>
          <w:b w:val="1"/>
          <w:bCs w:val="1"/>
          <w:color w:val="auto"/>
        </w:rPr>
        <w:t xml:space="preserve">LIST OF EXHIBITS: </w:t>
      </w:r>
      <w:r>
        <w:rPr>
          <w:rFonts w:ascii="Times New Roman" w:cs="Times New Roman" w:eastAsia="Times New Roman" w:hAnsi="Times New Roman"/>
          <w:sz w:val="13"/>
          <w:szCs w:val="13"/>
          <w:i w:val="1"/>
          <w:iCs w:val="1"/>
          <w:color w:val="auto"/>
        </w:rPr>
        <w:t>List below all exhibits filed as a part of this statement of eligibility and qualification.</w:t>
      </w:r>
    </w:p>
    <w:p>
      <w:pPr>
        <w:spacing w:after="0" w:line="172" w:lineRule="exact"/>
        <w:rPr>
          <w:sz w:val="20"/>
          <w:szCs w:val="20"/>
          <w:color w:val="auto"/>
        </w:rPr>
      </w:pPr>
    </w:p>
    <w:p>
      <w:pPr>
        <w:ind w:left="960" w:hanging="242"/>
        <w:spacing w:after="0"/>
        <w:tabs>
          <w:tab w:leader="none" w:pos="9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Articles of Association of the Trustee, attached as Exhibit 1.</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Certificate of Corporate Existence and Fiduciary Powers of the Trustee, attached as Exhibit 2.</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authorization of the Trustee to exercise corporate trust powers, included as Exhibit 2.</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existing bylaws of the Trustee, attached as Exhibit 4.</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each Indenture referred to in Item 4. Not applicable.</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consent of the Trustee required by Section 321(b) of the Trust Indenture Act of 1939, attached as Exhibit 6.</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 of Condition of the Trustee as of June 30, 2024,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16788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59"/>
          </w:cols>
          <w:pgMar w:left="300" w:top="704"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72"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3"/>
          <w:szCs w:val="13"/>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w:t>
      </w:r>
    </w:p>
    <w:p>
      <w:pPr>
        <w:sectPr>
          <w:pgSz w:w="11900" w:h="16838" w:orient="portrait"/>
          <w:cols w:equalWidth="0" w:num="1">
            <w:col w:w="11280"/>
          </w:cols>
          <w:pgMar w:left="300" w:top="704" w:right="31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Dallas, State of Texas on the 21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3"/>
          <w:szCs w:val="13"/>
          <w:color w:val="auto"/>
        </w:rPr>
        <w:t xml:space="preserve"> of August, 2024.</w:t>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540385</wp:posOffset>
            </wp:positionV>
            <wp:extent cx="716788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55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3365500" cy="63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Michael K. Herberger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Vice President</w:t>
      </w:r>
    </w:p>
    <w:p>
      <w:pPr>
        <w:sectPr>
          <w:pgSz w:w="11900" w:h="16838" w:orient="portrait"/>
          <w:cols w:equalWidth="0" w:num="2">
            <w:col w:w="5840" w:space="140"/>
            <w:col w:w="5300"/>
          </w:cols>
          <w:pgMar w:left="300" w:top="704" w:right="31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Exhibit 1</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ARTICLES OF ASSOCIATION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 S. BANK TRUST COMPANY, NATIONAL ASSOCIATION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purpose of organizing an association (the “Association”) to perform any lawful activities of national banks, the undersigned enter into the following Articles of Association: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FIRST. </w:t>
      </w:r>
      <w:r>
        <w:rPr>
          <w:rFonts w:ascii="Times New Roman" w:cs="Times New Roman" w:eastAsia="Times New Roman" w:hAnsi="Times New Roman"/>
          <w:sz w:val="13"/>
          <w:szCs w:val="13"/>
          <w:color w:val="auto"/>
        </w:rPr>
        <w:t>The title of this Association shall be U. S. Bank Trust Company, National Association.</w:t>
      </w:r>
    </w:p>
    <w:p>
      <w:pPr>
        <w:spacing w:after="0" w:line="1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SECOND. </w:t>
      </w:r>
      <w:r>
        <w:rPr>
          <w:rFonts w:ascii="Times New Roman" w:cs="Times New Roman" w:eastAsia="Times New Roman" w:hAnsi="Times New Roman"/>
          <w:sz w:val="13"/>
          <w:szCs w:val="13"/>
          <w:color w:val="auto"/>
        </w:rPr>
        <w:t>The main office of the Association shall be in the city of Portland, county of Multnomah, state of Oregon. The business of the Association will be limited to fiduciary powers and the support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activities incidental to the exercise of those powers. The Association may not expand or alter its business beyond that stated in this article without the prior approval of the Comptroller of the Currency.</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THIRD. </w:t>
      </w:r>
      <w:r>
        <w:rPr>
          <w:rFonts w:ascii="Times New Roman" w:cs="Times New Roman" w:eastAsia="Times New Roman" w:hAnsi="Times New Roman"/>
          <w:sz w:val="13"/>
          <w:szCs w:val="13"/>
          <w:color w:val="auto"/>
        </w:rPr>
        <w:t>The board of directors of the Association shall consist of not less than five nor more than twenty-five persons, the exact number to be fixed and determined from time to time by resolution of a majority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3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FOURTH. </w:t>
      </w:r>
      <w:r>
        <w:rPr>
          <w:rFonts w:ascii="Times New Roman" w:cs="Times New Roman" w:eastAsia="Times New Roman" w:hAnsi="Times New Roman"/>
          <w:sz w:val="13"/>
          <w:szCs w:val="13"/>
          <w:color w:val="auto"/>
        </w:rPr>
        <w:t>There shall be an annual meeting of the shareholders to elect directors and transact whatever other business may be brought before the meeting. It shall be held at the main office or any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4" w:right="319" w:bottom="1440" w:gutter="0" w:footer="0" w:header="0"/>
        </w:sectPr>
      </w:pPr>
    </w:p>
    <w:bookmarkStart w:id="69" w:name="page70"/>
    <w:bookmarkEnd w:id="69"/>
    <w:p>
      <w:pPr>
        <w:jc w:val="both"/>
        <w:spacing w:after="0" w:line="274" w:lineRule="auto"/>
        <w:rPr>
          <w:sz w:val="20"/>
          <w:szCs w:val="20"/>
          <w:color w:val="auto"/>
        </w:rPr>
      </w:pPr>
      <w:r>
        <w:rPr>
          <w:rFonts w:ascii="Times New Roman" w:cs="Times New Roman" w:eastAsia="Times New Roman" w:hAnsi="Times New Roman"/>
          <w:sz w:val="13"/>
          <w:szCs w:val="13"/>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2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FIFTH. </w:t>
      </w:r>
      <w:r>
        <w:rPr>
          <w:rFonts w:ascii="Times New Roman" w:cs="Times New Roman" w:eastAsia="Times New Roman" w:hAnsi="Times New Roman"/>
          <w:sz w:val="13"/>
          <w:szCs w:val="13"/>
          <w:color w:val="auto"/>
        </w:rPr>
        <w:t>The authorized amount of capital stock of the Association shall be 1,000,000 shares of common stock of the par value of ten dollars ($10) each; but said capital stock may be increased or decreased from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time to time, according to the provisions of the laws of the United States. The Association shall have only one class of capital stock.</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color w:val="auto"/>
        </w:rPr>
        <w:t>Unless otherwise specified in the Articles of Association or required by law, all shares of voting stock shall be voted together as a class, on any matters requiring shareholder approval.</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2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SIXTH. </w:t>
      </w:r>
      <w:r>
        <w:rPr>
          <w:rFonts w:ascii="Times New Roman" w:cs="Times New Roman" w:eastAsia="Times New Roman" w:hAnsi="Times New Roman"/>
          <w:sz w:val="13"/>
          <w:szCs w:val="13"/>
          <w:color w:val="auto"/>
        </w:rPr>
        <w:t>The board of directors shall appoint one of its members president of this Association and one of its members chairperson of the board and shall have the power to appoint one or more vice presidents,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board of directors shall have the power to:</w:t>
      </w:r>
    </w:p>
    <w:p>
      <w:pPr>
        <w:spacing w:after="0" w:line="170" w:lineRule="exact"/>
        <w:rPr>
          <w:sz w:val="20"/>
          <w:szCs w:val="20"/>
          <w:color w:val="auto"/>
        </w:rPr>
      </w:pPr>
    </w:p>
    <w:p>
      <w:pPr>
        <w:ind w:left="480" w:hanging="480"/>
        <w:spacing w:after="0"/>
        <w:tabs>
          <w:tab w:leader="none" w:pos="4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Define the duties of the officers, employees, and agents of the Association.</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Delegate the performance of its duties, but not the responsibility for its duties, to the officers, employees, and agents of the Association.</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Fix the compensation and enter employment contracts with its officers and employees upon reasonable terms and conditions consistent with applicable law.</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Dismiss officers and employees.</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Require bonds from officers and employees and to fix the penalty thereof.</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Ratify written policies authorized by the Association's management or committees of the board.</w:t>
      </w:r>
    </w:p>
    <w:p>
      <w:pPr>
        <w:spacing w:after="0" w:line="169" w:lineRule="exact"/>
        <w:rPr>
          <w:rFonts w:ascii="Times New Roman" w:cs="Times New Roman" w:eastAsia="Times New Roman" w:hAnsi="Times New Roman"/>
          <w:sz w:val="13"/>
          <w:szCs w:val="13"/>
          <w:color w:val="auto"/>
        </w:rPr>
      </w:pPr>
    </w:p>
    <w:p>
      <w:pPr>
        <w:ind w:left="480" w:hanging="480"/>
        <w:spacing w:after="0" w:line="293" w:lineRule="auto"/>
        <w:tabs>
          <w:tab w:leader="none" w:pos="4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273" w:lineRule="exact"/>
        <w:rPr>
          <w:rFonts w:ascii="Times New Roman" w:cs="Times New Roman" w:eastAsia="Times New Roman" w:hAnsi="Times New Roman"/>
          <w:sz w:val="13"/>
          <w:szCs w:val="13"/>
          <w:color w:val="auto"/>
        </w:rPr>
      </w:pPr>
    </w:p>
    <w:p>
      <w:pPr>
        <w:ind w:left="5620" w:hanging="82"/>
        <w:spacing w:after="0"/>
        <w:tabs>
          <w:tab w:leader="none" w:pos="5620"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71" w:name="page72"/>
    <w:bookmarkEnd w:id="71"/>
    <w:p>
      <w:pPr>
        <w:ind w:left="480" w:hanging="480"/>
        <w:spacing w:after="0"/>
        <w:tabs>
          <w:tab w:leader="none" w:pos="4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 and administer the business and affairs of the Association.</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initial Bylaws, not inconsistent with law or the Articles of Association, for managing the business and regulating the affairs of the Association.</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or repeal Bylaws, except to the extent that the Articles of Association reserve this power in whole or in part to the shareholders.</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contracts.</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Generally perform all acts that are legal for a board of directors to perform.</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SEVENTH. </w:t>
      </w:r>
      <w:r>
        <w:rPr>
          <w:rFonts w:ascii="Times New Roman" w:cs="Times New Roman" w:eastAsia="Times New Roman" w:hAnsi="Times New Roman"/>
          <w:sz w:val="13"/>
          <w:szCs w:val="13"/>
          <w:color w:val="auto"/>
        </w:rPr>
        <w:t>The board of directors shall have the power to change the location of the main office to any authorized branch within the limits of the city of Portland, Oregon, without the approval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EIGHTH. </w:t>
      </w:r>
      <w:r>
        <w:rPr>
          <w:rFonts w:ascii="Times New Roman" w:cs="Times New Roman" w:eastAsia="Times New Roman" w:hAnsi="Times New Roman"/>
          <w:sz w:val="13"/>
          <w:szCs w:val="13"/>
          <w:color w:val="auto"/>
        </w:rPr>
        <w:t>The corporate existence of this Association shall continue until termination according to the laws of the United States.</w:t>
      </w:r>
    </w:p>
    <w:p>
      <w:pPr>
        <w:spacing w:after="0" w:line="1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NINTH. </w:t>
      </w:r>
      <w:r>
        <w:rPr>
          <w:rFonts w:ascii="Times New Roman" w:cs="Times New Roman" w:eastAsia="Times New Roman" w:hAnsi="Times New Roman"/>
          <w:sz w:val="13"/>
          <w:szCs w:val="13"/>
          <w:color w:val="auto"/>
        </w:rPr>
        <w:t>The board of directors of the Association, or any shareholder owning, in the aggregate, not less than 25 percent of the stock of the Association, may call a special meeting of shareholders at any time.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TENTH. </w:t>
      </w:r>
      <w:r>
        <w:rPr>
          <w:rFonts w:ascii="Times New Roman" w:cs="Times New Roman" w:eastAsia="Times New Roman" w:hAnsi="Times New Roman"/>
          <w:sz w:val="13"/>
          <w:szCs w:val="13"/>
          <w:color w:val="auto"/>
        </w:rPr>
        <w:t>These Articles of Association may be amended at any regular or special meeting of the shareholders by the affirmative vote of the holders of a majority of the stock of the Association, unless the vote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color w:val="auto"/>
        </w:rPr>
        <w:t xml:space="preserve">In witness whereof, we have hereunto set our hands this </w:t>
      </w:r>
      <w:r>
        <w:rPr>
          <w:rFonts w:ascii="Times New Roman" w:cs="Times New Roman" w:eastAsia="Times New Roman" w:hAnsi="Times New Roman"/>
          <w:sz w:val="13"/>
          <w:szCs w:val="13"/>
          <w:u w:val="single" w:color="auto"/>
          <w:color w:val="auto"/>
        </w:rPr>
        <w:t>11</w:t>
      </w:r>
      <w:r>
        <w:rPr>
          <w:rFonts w:ascii="Times New Roman" w:cs="Times New Roman" w:eastAsia="Times New Roman" w:hAnsi="Times New Roman"/>
          <w:sz w:val="22"/>
          <w:szCs w:val="22"/>
          <w:u w:val="single" w:color="auto"/>
          <w:color w:val="auto"/>
          <w:vertAlign w:val="superscript"/>
        </w:rPr>
        <w:t>th</w:t>
      </w:r>
      <w:r>
        <w:rPr>
          <w:rFonts w:ascii="Times New Roman" w:cs="Times New Roman" w:eastAsia="Times New Roman" w:hAnsi="Times New Roman"/>
          <w:sz w:val="13"/>
          <w:szCs w:val="13"/>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2457450</wp:posOffset>
            </wp:positionV>
            <wp:extent cx="716788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67945</wp:posOffset>
            </wp:positionV>
            <wp:extent cx="1698625" cy="2072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1698625" cy="2072640"/>
                    </a:xfrm>
                    <a:prstGeom prst="rect">
                      <a:avLst/>
                    </a:prstGeom>
                    <a:noFill/>
                  </pic:spPr>
                </pic:pic>
              </a:graphicData>
            </a:graphic>
          </wp:anchor>
        </w:drawing>
      </w:r>
    </w:p>
    <w:p>
      <w:pPr>
        <w:sectPr>
          <w:pgSz w:w="11900" w:h="16838" w:orient="portrait"/>
          <w:cols w:equalWidth="0" w:num="1">
            <w:col w:w="10159"/>
          </w:cols>
          <w:pgMar w:left="300" w:top="707"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98425</wp:posOffset>
            </wp:positionV>
            <wp:extent cx="7167880" cy="46393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67880" cy="4639310"/>
                    </a:xfrm>
                    <a:prstGeom prst="rect">
                      <a:avLst/>
                    </a:prstGeom>
                    <a:noFill/>
                  </pic:spPr>
                </pic:pic>
              </a:graphicData>
            </a:graphic>
          </wp:anchor>
        </w:drawing>
      </w:r>
    </w:p>
    <w:p>
      <w:pPr>
        <w:sectPr>
          <w:pgSz w:w="11900" w:h="16838" w:orient="portrait"/>
          <w:cols w:equalWidth="0" w:num="1">
            <w:col w:w="9019"/>
          </w:cols>
          <w:pgMar w:left="1440" w:top="704"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Exhibit 4</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U.S. BANK TRUST COMPANY, NATIONAL ASSOCIATION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AMENDED AND RESTATED BYLAWS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ARTICLE 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Meetings of Shareholders</w:t>
      </w:r>
    </w:p>
    <w:p>
      <w:pPr>
        <w:spacing w:after="0" w:line="15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Annual Meeting</w:t>
      </w:r>
      <w:r>
        <w:rPr>
          <w:rFonts w:ascii="Times New Roman" w:cs="Times New Roman" w:eastAsia="Times New Roman" w:hAnsi="Times New Roman"/>
          <w:sz w:val="13"/>
          <w:szCs w:val="13"/>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33"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Special Meetings</w:t>
      </w:r>
      <w:r>
        <w:rPr>
          <w:rFonts w:ascii="Times New Roman" w:cs="Times New Roman" w:eastAsia="Times New Roman" w:hAnsi="Times New Roman"/>
          <w:sz w:val="13"/>
          <w:szCs w:val="13"/>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Every such special meeting, unless otherwise provided by law, shall be called upon not less than ten (10) days nor more than sixty (60) days prior notice stating the purpose of the meeting.</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Nominations for Directors</w:t>
      </w:r>
      <w:r>
        <w:rPr>
          <w:rFonts w:ascii="Times New Roman" w:cs="Times New Roman" w:eastAsia="Times New Roman" w:hAnsi="Times New Roman"/>
          <w:sz w:val="13"/>
          <w:szCs w:val="13"/>
          <w:color w:val="auto"/>
        </w:rPr>
        <w:t>. Nominations for election to the Board may be made by the Board or by any shareholder.</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Proxies</w:t>
      </w:r>
      <w:r>
        <w:rPr>
          <w:rFonts w:ascii="Times New Roman" w:cs="Times New Roman" w:eastAsia="Times New Roman" w:hAnsi="Times New Roman"/>
          <w:sz w:val="13"/>
          <w:szCs w:val="13"/>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1.5. </w:t>
      </w:r>
      <w:r>
        <w:rPr>
          <w:rFonts w:ascii="Times New Roman" w:cs="Times New Roman" w:eastAsia="Times New Roman" w:hAnsi="Times New Roman"/>
          <w:sz w:val="13"/>
          <w:szCs w:val="13"/>
          <w:u w:val="single" w:color="auto"/>
          <w:color w:val="auto"/>
        </w:rPr>
        <w:t>Record Date</w:t>
      </w:r>
      <w:r>
        <w:rPr>
          <w:rFonts w:ascii="Times New Roman" w:cs="Times New Roman" w:eastAsia="Times New Roman" w:hAnsi="Times New Roman"/>
          <w:sz w:val="13"/>
          <w:szCs w:val="13"/>
          <w:color w:val="auto"/>
        </w:rPr>
        <w:t>. The record date for determining shareholders entitled to notice and to vote at any meeting will be thirty days before the date of such meeting, unless otherwise determined by the Board.</w:t>
      </w:r>
    </w:p>
    <w:p>
      <w:pPr>
        <w:spacing w:after="0" w:line="11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Quorum and Voting</w:t>
      </w:r>
      <w:r>
        <w:rPr>
          <w:rFonts w:ascii="Times New Roman" w:cs="Times New Roman" w:eastAsia="Times New Roman" w:hAnsi="Times New Roman"/>
          <w:sz w:val="13"/>
          <w:szCs w:val="13"/>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16788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4" w:right="319" w:bottom="1440" w:gutter="0" w:footer="0" w:header="0"/>
        </w:sectPr>
      </w:pPr>
    </w:p>
    <w:bookmarkStart w:id="75" w:name="page76"/>
    <w:bookmarkEnd w:id="75"/>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1.7. </w:t>
      </w:r>
      <w:r>
        <w:rPr>
          <w:rFonts w:ascii="Times New Roman" w:cs="Times New Roman" w:eastAsia="Times New Roman" w:hAnsi="Times New Roman"/>
          <w:sz w:val="13"/>
          <w:szCs w:val="13"/>
          <w:u w:val="single" w:color="auto"/>
          <w:color w:val="auto"/>
        </w:rPr>
        <w:t>Inspectors</w:t>
      </w:r>
      <w:r>
        <w:rPr>
          <w:rFonts w:ascii="Times New Roman" w:cs="Times New Roman" w:eastAsia="Times New Roman" w:hAnsi="Times New Roman"/>
          <w:sz w:val="13"/>
          <w:szCs w:val="13"/>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1.8. </w:t>
      </w:r>
      <w:r>
        <w:rPr>
          <w:rFonts w:ascii="Times New Roman" w:cs="Times New Roman" w:eastAsia="Times New Roman" w:hAnsi="Times New Roman"/>
          <w:sz w:val="13"/>
          <w:szCs w:val="13"/>
          <w:u w:val="single" w:color="auto"/>
          <w:color w:val="auto"/>
        </w:rPr>
        <w:t>Waiver and Consent</w:t>
      </w:r>
      <w:r>
        <w:rPr>
          <w:rFonts w:ascii="Times New Roman" w:cs="Times New Roman" w:eastAsia="Times New Roman" w:hAnsi="Times New Roman"/>
          <w:sz w:val="13"/>
          <w:szCs w:val="13"/>
          <w:color w:val="auto"/>
        </w:rPr>
        <w:t>. The shareholders may act without notice or a meeting by a unanimous written consent by all shareholders.</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1.9. </w:t>
      </w:r>
      <w:r>
        <w:rPr>
          <w:rFonts w:ascii="Times New Roman" w:cs="Times New Roman" w:eastAsia="Times New Roman" w:hAnsi="Times New Roman"/>
          <w:sz w:val="13"/>
          <w:szCs w:val="13"/>
          <w:u w:val="single" w:color="auto"/>
          <w:color w:val="auto"/>
        </w:rPr>
        <w:t>Remote Meetings</w:t>
      </w:r>
      <w:r>
        <w:rPr>
          <w:rFonts w:ascii="Times New Roman" w:cs="Times New Roman" w:eastAsia="Times New Roman" w:hAnsi="Times New Roman"/>
          <w:sz w:val="13"/>
          <w:szCs w:val="13"/>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ARTICLE 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Directors</w:t>
      </w:r>
    </w:p>
    <w:p>
      <w:pPr>
        <w:spacing w:after="0" w:line="15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2.1.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2.2. </w:t>
      </w:r>
      <w:r>
        <w:rPr>
          <w:rFonts w:ascii="Times New Roman" w:cs="Times New Roman" w:eastAsia="Times New Roman" w:hAnsi="Times New Roman"/>
          <w:sz w:val="13"/>
          <w:szCs w:val="13"/>
          <w:u w:val="single" w:color="auto"/>
          <w:color w:val="auto"/>
        </w:rPr>
        <w:t>Term of Office</w:t>
      </w:r>
      <w:r>
        <w:rPr>
          <w:rFonts w:ascii="Times New Roman" w:cs="Times New Roman" w:eastAsia="Times New Roman" w:hAnsi="Times New Roman"/>
          <w:sz w:val="13"/>
          <w:szCs w:val="13"/>
          <w:color w:val="auto"/>
        </w:rPr>
        <w:t>. The directors of this Association shall hold office for one year and until their successors are duly elected and qualified, or until their earlier resignation or removal.</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2.3. </w:t>
      </w:r>
      <w:r>
        <w:rPr>
          <w:rFonts w:ascii="Times New Roman" w:cs="Times New Roman" w:eastAsia="Times New Roman" w:hAnsi="Times New Roman"/>
          <w:sz w:val="13"/>
          <w:szCs w:val="13"/>
          <w:u w:val="single" w:color="auto"/>
          <w:color w:val="auto"/>
        </w:rPr>
        <w:t>Powers</w:t>
      </w:r>
      <w:r>
        <w:rPr>
          <w:rFonts w:ascii="Times New Roman" w:cs="Times New Roman" w:eastAsia="Times New Roman" w:hAnsi="Times New Roman"/>
          <w:sz w:val="13"/>
          <w:szCs w:val="13"/>
          <w:color w:val="auto"/>
        </w:rPr>
        <w:t>. In addition to the foregoing, the Board shall have and may exercise all of the powers granted to or conferred upon it by the Articles of Association, the Bylaws and by law.</w:t>
      </w:r>
    </w:p>
    <w:p>
      <w:pPr>
        <w:spacing w:after="0" w:line="170"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2.4. </w:t>
      </w:r>
      <w:r>
        <w:rPr>
          <w:rFonts w:ascii="Times New Roman" w:cs="Times New Roman" w:eastAsia="Times New Roman" w:hAnsi="Times New Roman"/>
          <w:sz w:val="13"/>
          <w:szCs w:val="13"/>
          <w:u w:val="single" w:color="auto"/>
          <w:color w:val="auto"/>
        </w:rPr>
        <w:t>Number</w:t>
      </w:r>
      <w:r>
        <w:rPr>
          <w:rFonts w:ascii="Times New Roman" w:cs="Times New Roman" w:eastAsia="Times New Roman" w:hAnsi="Times New Roman"/>
          <w:sz w:val="13"/>
          <w:szCs w:val="13"/>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716788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76" w:name="page77"/>
    <w:bookmarkEnd w:id="76"/>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2.5. </w:t>
      </w:r>
      <w:r>
        <w:rPr>
          <w:rFonts w:ascii="Times New Roman" w:cs="Times New Roman" w:eastAsia="Times New Roman" w:hAnsi="Times New Roman"/>
          <w:sz w:val="13"/>
          <w:szCs w:val="13"/>
          <w:u w:val="single" w:color="auto"/>
          <w:color w:val="auto"/>
        </w:rPr>
        <w:t>Organization Meeting</w:t>
      </w:r>
      <w:r>
        <w:rPr>
          <w:rFonts w:ascii="Times New Roman" w:cs="Times New Roman" w:eastAsia="Times New Roman" w:hAnsi="Times New Roman"/>
          <w:sz w:val="13"/>
          <w:szCs w:val="13"/>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2.6. </w:t>
      </w:r>
      <w:r>
        <w:rPr>
          <w:rFonts w:ascii="Times New Roman" w:cs="Times New Roman" w:eastAsia="Times New Roman" w:hAnsi="Times New Roman"/>
          <w:sz w:val="13"/>
          <w:szCs w:val="13"/>
          <w:u w:val="single" w:color="auto"/>
          <w:color w:val="auto"/>
        </w:rPr>
        <w:t>Regular Meetings</w:t>
      </w:r>
      <w:r>
        <w:rPr>
          <w:rFonts w:ascii="Times New Roman" w:cs="Times New Roman" w:eastAsia="Times New Roman" w:hAnsi="Times New Roman"/>
          <w:sz w:val="13"/>
          <w:szCs w:val="13"/>
          <w:color w:val="auto"/>
        </w:rPr>
        <w:t>. The regular meetings of the Board shall be held, without notice, as the Chairman or President may designate and deem suitable.</w:t>
      </w:r>
    </w:p>
    <w:p>
      <w:pPr>
        <w:spacing w:after="0" w:line="170"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 xml:space="preserve">Section 2.7. </w:t>
      </w:r>
      <w:r>
        <w:rPr>
          <w:rFonts w:ascii="Times New Roman" w:cs="Times New Roman" w:eastAsia="Times New Roman" w:hAnsi="Times New Roman"/>
          <w:sz w:val="13"/>
          <w:szCs w:val="13"/>
          <w:u w:val="single" w:color="auto"/>
          <w:color w:val="auto"/>
        </w:rPr>
        <w:t>Special Meetings</w:t>
      </w:r>
      <w:r>
        <w:rPr>
          <w:rFonts w:ascii="Times New Roman" w:cs="Times New Roman" w:eastAsia="Times New Roman" w:hAnsi="Times New Roman"/>
          <w:sz w:val="13"/>
          <w:szCs w:val="13"/>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2.8. </w:t>
      </w:r>
      <w:r>
        <w:rPr>
          <w:rFonts w:ascii="Times New Roman" w:cs="Times New Roman" w:eastAsia="Times New Roman" w:hAnsi="Times New Roman"/>
          <w:sz w:val="13"/>
          <w:szCs w:val="13"/>
          <w:u w:val="single" w:color="auto"/>
          <w:color w:val="auto"/>
        </w:rPr>
        <w:t>Quorum and Necessary Vote</w:t>
      </w:r>
      <w:r>
        <w:rPr>
          <w:rFonts w:ascii="Times New Roman" w:cs="Times New Roman" w:eastAsia="Times New Roman" w:hAnsi="Times New Roman"/>
          <w:sz w:val="13"/>
          <w:szCs w:val="13"/>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2.9. </w:t>
      </w:r>
      <w:r>
        <w:rPr>
          <w:rFonts w:ascii="Times New Roman" w:cs="Times New Roman" w:eastAsia="Times New Roman" w:hAnsi="Times New Roman"/>
          <w:sz w:val="13"/>
          <w:szCs w:val="13"/>
          <w:u w:val="single" w:color="auto"/>
          <w:color w:val="auto"/>
        </w:rPr>
        <w:t>Written Consent</w:t>
      </w:r>
      <w:r>
        <w:rPr>
          <w:rFonts w:ascii="Times New Roman" w:cs="Times New Roman" w:eastAsia="Times New Roman" w:hAnsi="Times New Roman"/>
          <w:sz w:val="13"/>
          <w:szCs w:val="13"/>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2.10. </w:t>
      </w:r>
      <w:r>
        <w:rPr>
          <w:rFonts w:ascii="Times New Roman" w:cs="Times New Roman" w:eastAsia="Times New Roman" w:hAnsi="Times New Roman"/>
          <w:sz w:val="13"/>
          <w:szCs w:val="13"/>
          <w:u w:val="single" w:color="auto"/>
          <w:color w:val="auto"/>
        </w:rPr>
        <w:t>Remote Meetings</w:t>
      </w:r>
      <w:r>
        <w:rPr>
          <w:rFonts w:ascii="Times New Roman" w:cs="Times New Roman" w:eastAsia="Times New Roman" w:hAnsi="Times New Roman"/>
          <w:sz w:val="13"/>
          <w:szCs w:val="13"/>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2.11. </w:t>
      </w:r>
      <w:r>
        <w:rPr>
          <w:rFonts w:ascii="Times New Roman" w:cs="Times New Roman" w:eastAsia="Times New Roman" w:hAnsi="Times New Roman"/>
          <w:sz w:val="13"/>
          <w:szCs w:val="13"/>
          <w:u w:val="single" w:color="auto"/>
          <w:color w:val="auto"/>
        </w:rPr>
        <w:t>Vacancies</w:t>
      </w:r>
      <w:r>
        <w:rPr>
          <w:rFonts w:ascii="Times New Roman" w:cs="Times New Roman" w:eastAsia="Times New Roman" w:hAnsi="Times New Roman"/>
          <w:sz w:val="13"/>
          <w:szCs w:val="13"/>
          <w:color w:val="auto"/>
        </w:rPr>
        <w:t>. When any vacancy occurs among the directors, the remaining members of the Board may appoint a director to fill such vacancy at any regular meeting of the Board, or at a special meeting called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716788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77" w:name="page78"/>
    <w:bookmarkEnd w:id="77"/>
    <w:p>
      <w:pPr>
        <w:ind w:left="5280"/>
        <w:spacing w:after="0"/>
        <w:rPr>
          <w:sz w:val="20"/>
          <w:szCs w:val="20"/>
          <w:color w:val="auto"/>
        </w:rPr>
      </w:pPr>
      <w:r>
        <w:rPr>
          <w:rFonts w:ascii="Times New Roman" w:cs="Times New Roman" w:eastAsia="Times New Roman" w:hAnsi="Times New Roman"/>
          <w:sz w:val="13"/>
          <w:szCs w:val="13"/>
          <w:u w:val="single" w:color="auto"/>
          <w:color w:val="auto"/>
        </w:rPr>
        <w:t>ARTICLE III</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u w:val="single" w:color="auto"/>
          <w:color w:val="auto"/>
        </w:rPr>
        <w:t>Committees</w:t>
      </w:r>
    </w:p>
    <w:p>
      <w:pPr>
        <w:spacing w:after="0" w:line="15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3.1. </w:t>
      </w:r>
      <w:r>
        <w:rPr>
          <w:rFonts w:ascii="Times New Roman" w:cs="Times New Roman" w:eastAsia="Times New Roman" w:hAnsi="Times New Roman"/>
          <w:sz w:val="13"/>
          <w:szCs w:val="13"/>
          <w:u w:val="single" w:color="auto"/>
          <w:color w:val="auto"/>
        </w:rPr>
        <w:t>Advisory Board of Directors</w:t>
      </w:r>
      <w:r>
        <w:rPr>
          <w:rFonts w:ascii="Times New Roman" w:cs="Times New Roman" w:eastAsia="Times New Roman" w:hAnsi="Times New Roman"/>
          <w:sz w:val="13"/>
          <w:szCs w:val="13"/>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27"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3"/>
          <w:szCs w:val="13"/>
          <w:color w:val="auto"/>
        </w:rPr>
        <w:t xml:space="preserve">Section 3.2. </w:t>
      </w:r>
      <w:r>
        <w:rPr>
          <w:rFonts w:ascii="Times New Roman" w:cs="Times New Roman" w:eastAsia="Times New Roman" w:hAnsi="Times New Roman"/>
          <w:sz w:val="13"/>
          <w:szCs w:val="13"/>
          <w:u w:val="single" w:color="auto"/>
          <w:color w:val="auto"/>
        </w:rPr>
        <w:t>Trust Audit Committee</w:t>
      </w:r>
      <w:r>
        <w:rPr>
          <w:rFonts w:ascii="Times New Roman" w:cs="Times New Roman" w:eastAsia="Times New Roman" w:hAnsi="Times New Roman"/>
          <w:sz w:val="13"/>
          <w:szCs w:val="13"/>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Audit Committee of the financial holding company that is the ultimate parent of this Association, fulfilling the function of the trust audit committee: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            Must not include any officers of the Association or an affiliate who participate significantly in the administration of the Association’s fiduciary activities; and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            Must consist of a majority of members who are not also members of any committee to which the Board has delegated power to manage and control the fiduciary activities of the Association.</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3.3. </w:t>
      </w:r>
      <w:r>
        <w:rPr>
          <w:rFonts w:ascii="Times New Roman" w:cs="Times New Roman" w:eastAsia="Times New Roman" w:hAnsi="Times New Roman"/>
          <w:sz w:val="13"/>
          <w:szCs w:val="13"/>
          <w:u w:val="single" w:color="auto"/>
          <w:color w:val="auto"/>
        </w:rPr>
        <w:t>Executive Committee</w:t>
      </w:r>
      <w:r>
        <w:rPr>
          <w:rFonts w:ascii="Times New Roman" w:cs="Times New Roman" w:eastAsia="Times New Roman" w:hAnsi="Times New Roman"/>
          <w:sz w:val="13"/>
          <w:szCs w:val="13"/>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14"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 xml:space="preserve">Section 3.4. </w:t>
      </w:r>
      <w:r>
        <w:rPr>
          <w:rFonts w:ascii="Times New Roman" w:cs="Times New Roman" w:eastAsia="Times New Roman" w:hAnsi="Times New Roman"/>
          <w:sz w:val="13"/>
          <w:szCs w:val="13"/>
          <w:u w:val="single" w:color="auto"/>
          <w:color w:val="auto"/>
        </w:rPr>
        <w:t>Trust Management Committee</w:t>
      </w:r>
      <w:r>
        <w:rPr>
          <w:rFonts w:ascii="Times New Roman" w:cs="Times New Roman" w:eastAsia="Times New Roman" w:hAnsi="Times New Roman"/>
          <w:sz w:val="13"/>
          <w:szCs w:val="13"/>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31"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 xml:space="preserve">Section 3.5. </w:t>
      </w:r>
      <w:r>
        <w:rPr>
          <w:rFonts w:ascii="Times New Roman" w:cs="Times New Roman" w:eastAsia="Times New Roman" w:hAnsi="Times New Roman"/>
          <w:sz w:val="13"/>
          <w:szCs w:val="13"/>
          <w:u w:val="single" w:color="auto"/>
          <w:color w:val="auto"/>
        </w:rPr>
        <w:t>Other Committees</w:t>
      </w:r>
      <w:r>
        <w:rPr>
          <w:rFonts w:ascii="Times New Roman" w:cs="Times New Roman" w:eastAsia="Times New Roman" w:hAnsi="Times New Roman"/>
          <w:sz w:val="13"/>
          <w:szCs w:val="13"/>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716788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78" w:name="page79"/>
    <w:bookmarkEnd w:id="78"/>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3.6. </w:t>
      </w:r>
      <w:r>
        <w:rPr>
          <w:rFonts w:ascii="Times New Roman" w:cs="Times New Roman" w:eastAsia="Times New Roman" w:hAnsi="Times New Roman"/>
          <w:sz w:val="13"/>
          <w:szCs w:val="13"/>
          <w:u w:val="single" w:color="auto"/>
          <w:color w:val="auto"/>
        </w:rPr>
        <w:t>Meetings, Minutes and Rules</w:t>
      </w:r>
      <w:r>
        <w:rPr>
          <w:rFonts w:ascii="Times New Roman" w:cs="Times New Roman" w:eastAsia="Times New Roman" w:hAnsi="Times New Roman"/>
          <w:sz w:val="13"/>
          <w:szCs w:val="13"/>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ARTICLE IV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Officers</w:t>
      </w:r>
    </w:p>
    <w:p>
      <w:pPr>
        <w:spacing w:after="0" w:line="15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4.1. </w:t>
      </w:r>
      <w:r>
        <w:rPr>
          <w:rFonts w:ascii="Times New Roman" w:cs="Times New Roman" w:eastAsia="Times New Roman" w:hAnsi="Times New Roman"/>
          <w:sz w:val="13"/>
          <w:szCs w:val="13"/>
          <w:u w:val="single" w:color="auto"/>
          <w:color w:val="auto"/>
        </w:rPr>
        <w:t>Chairman of the Board</w:t>
      </w:r>
      <w:r>
        <w:rPr>
          <w:rFonts w:ascii="Times New Roman" w:cs="Times New Roman" w:eastAsia="Times New Roman" w:hAnsi="Times New Roman"/>
          <w:sz w:val="13"/>
          <w:szCs w:val="13"/>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4.2. </w:t>
      </w:r>
      <w:r>
        <w:rPr>
          <w:rFonts w:ascii="Times New Roman" w:cs="Times New Roman" w:eastAsia="Times New Roman" w:hAnsi="Times New Roman"/>
          <w:sz w:val="13"/>
          <w:szCs w:val="13"/>
          <w:u w:val="single" w:color="auto"/>
          <w:color w:val="auto"/>
        </w:rPr>
        <w:t>President</w:t>
      </w:r>
      <w:r>
        <w:rPr>
          <w:rFonts w:ascii="Times New Roman" w:cs="Times New Roman" w:eastAsia="Times New Roman" w:hAnsi="Times New Roman"/>
          <w:sz w:val="13"/>
          <w:szCs w:val="13"/>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4.3. </w:t>
      </w:r>
      <w:r>
        <w:rPr>
          <w:rFonts w:ascii="Times New Roman" w:cs="Times New Roman" w:eastAsia="Times New Roman" w:hAnsi="Times New Roman"/>
          <w:sz w:val="13"/>
          <w:szCs w:val="13"/>
          <w:u w:val="single" w:color="auto"/>
          <w:color w:val="auto"/>
        </w:rPr>
        <w:t>Vice President</w:t>
      </w:r>
      <w:r>
        <w:rPr>
          <w:rFonts w:ascii="Times New Roman" w:cs="Times New Roman" w:eastAsia="Times New Roman" w:hAnsi="Times New Roman"/>
          <w:sz w:val="13"/>
          <w:szCs w:val="13"/>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14"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 xml:space="preserve">Section 4.4. </w:t>
      </w:r>
      <w:r>
        <w:rPr>
          <w:rFonts w:ascii="Times New Roman" w:cs="Times New Roman" w:eastAsia="Times New Roman" w:hAnsi="Times New Roman"/>
          <w:sz w:val="13"/>
          <w:szCs w:val="13"/>
          <w:u w:val="single" w:color="auto"/>
          <w:color w:val="auto"/>
        </w:rPr>
        <w:t>Secretary</w:t>
      </w:r>
      <w:r>
        <w:rPr>
          <w:rFonts w:ascii="Times New Roman" w:cs="Times New Roman" w:eastAsia="Times New Roman" w:hAnsi="Times New Roman"/>
          <w:sz w:val="13"/>
          <w:szCs w:val="13"/>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307975</wp:posOffset>
            </wp:positionV>
            <wp:extent cx="716788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79" w:name="page80"/>
    <w:bookmarkEnd w:id="79"/>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4.5. </w:t>
      </w:r>
      <w:r>
        <w:rPr>
          <w:rFonts w:ascii="Times New Roman" w:cs="Times New Roman" w:eastAsia="Times New Roman" w:hAnsi="Times New Roman"/>
          <w:sz w:val="13"/>
          <w:szCs w:val="13"/>
          <w:u w:val="single" w:color="auto"/>
          <w:color w:val="auto"/>
        </w:rPr>
        <w:t>Other Officers</w:t>
      </w:r>
      <w:r>
        <w:rPr>
          <w:rFonts w:ascii="Times New Roman" w:cs="Times New Roman" w:eastAsia="Times New Roman" w:hAnsi="Times New Roman"/>
          <w:sz w:val="13"/>
          <w:szCs w:val="13"/>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4.6. </w:t>
      </w:r>
      <w:r>
        <w:rPr>
          <w:rFonts w:ascii="Times New Roman" w:cs="Times New Roman" w:eastAsia="Times New Roman" w:hAnsi="Times New Roman"/>
          <w:sz w:val="13"/>
          <w:szCs w:val="13"/>
          <w:u w:val="single" w:color="auto"/>
          <w:color w:val="auto"/>
        </w:rPr>
        <w:t>Tenure of Office</w:t>
      </w:r>
      <w:r>
        <w:rPr>
          <w:rFonts w:ascii="Times New Roman" w:cs="Times New Roman" w:eastAsia="Times New Roman" w:hAnsi="Times New Roman"/>
          <w:sz w:val="13"/>
          <w:szCs w:val="13"/>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ARTICLE 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Stock</w:t>
      </w:r>
    </w:p>
    <w:p>
      <w:pPr>
        <w:spacing w:after="0" w:line="157" w:lineRule="exact"/>
        <w:rPr>
          <w:sz w:val="20"/>
          <w:szCs w:val="20"/>
          <w:color w:val="auto"/>
        </w:rPr>
      </w:pPr>
    </w:p>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29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u w:val="single" w:color="auto"/>
          <w:color w:val="auto"/>
        </w:rPr>
        <w:t>ARTICLE VI</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u w:val="single" w:color="auto"/>
          <w:color w:val="auto"/>
        </w:rPr>
        <w:t>Corporate Seal</w:t>
      </w:r>
    </w:p>
    <w:p>
      <w:pPr>
        <w:spacing w:after="0" w:line="15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716788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3"/>
          <w:szCs w:val="13"/>
          <w:u w:val="single" w:color="auto"/>
          <w:color w:val="auto"/>
        </w:rPr>
        <w:t>ARTICLE VII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Miscellaneous Provisions</w:t>
      </w:r>
    </w:p>
    <w:p>
      <w:pPr>
        <w:spacing w:after="0" w:line="15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 xml:space="preserve">Section 7.1. </w:t>
      </w:r>
      <w:r>
        <w:rPr>
          <w:rFonts w:ascii="Times New Roman" w:cs="Times New Roman" w:eastAsia="Times New Roman" w:hAnsi="Times New Roman"/>
          <w:sz w:val="13"/>
          <w:szCs w:val="13"/>
          <w:u w:val="single" w:color="auto"/>
          <w:color w:val="auto"/>
        </w:rPr>
        <w:t>Execution of Instruments</w:t>
      </w:r>
      <w:r>
        <w:rPr>
          <w:rFonts w:ascii="Times New Roman" w:cs="Times New Roman" w:eastAsia="Times New Roman" w:hAnsi="Times New Roman"/>
          <w:sz w:val="13"/>
          <w:szCs w:val="13"/>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33"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7.2. </w:t>
      </w:r>
      <w:r>
        <w:rPr>
          <w:rFonts w:ascii="Times New Roman" w:cs="Times New Roman" w:eastAsia="Times New Roman" w:hAnsi="Times New Roman"/>
          <w:sz w:val="13"/>
          <w:szCs w:val="13"/>
          <w:u w:val="single" w:color="auto"/>
          <w:color w:val="auto"/>
        </w:rPr>
        <w:t>Records</w:t>
      </w:r>
      <w:r>
        <w:rPr>
          <w:rFonts w:ascii="Times New Roman" w:cs="Times New Roman" w:eastAsia="Times New Roman" w:hAnsi="Times New Roman"/>
          <w:sz w:val="13"/>
          <w:szCs w:val="13"/>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7.3. </w:t>
      </w:r>
      <w:r>
        <w:rPr>
          <w:rFonts w:ascii="Times New Roman" w:cs="Times New Roman" w:eastAsia="Times New Roman" w:hAnsi="Times New Roman"/>
          <w:sz w:val="13"/>
          <w:szCs w:val="13"/>
          <w:u w:val="single" w:color="auto"/>
          <w:color w:val="auto"/>
        </w:rPr>
        <w:t>Trust Files</w:t>
      </w:r>
      <w:r>
        <w:rPr>
          <w:rFonts w:ascii="Times New Roman" w:cs="Times New Roman" w:eastAsia="Times New Roman" w:hAnsi="Times New Roman"/>
          <w:sz w:val="13"/>
          <w:szCs w:val="13"/>
          <w:color w:val="auto"/>
        </w:rPr>
        <w:t>. There shall be maintained in the Association files all fiduciary records necessary to assure that its fiduciary responsibilities have been properly undertaken and discharged.</w:t>
      </w:r>
    </w:p>
    <w:p>
      <w:pPr>
        <w:spacing w:after="0" w:line="170"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7.4. </w:t>
      </w:r>
      <w:r>
        <w:rPr>
          <w:rFonts w:ascii="Times New Roman" w:cs="Times New Roman" w:eastAsia="Times New Roman" w:hAnsi="Times New Roman"/>
          <w:sz w:val="13"/>
          <w:szCs w:val="13"/>
          <w:u w:val="single" w:color="auto"/>
          <w:color w:val="auto"/>
        </w:rPr>
        <w:t>Trust Investments</w:t>
      </w:r>
      <w:r>
        <w:rPr>
          <w:rFonts w:ascii="Times New Roman" w:cs="Times New Roman" w:eastAsia="Times New Roman" w:hAnsi="Times New Roman"/>
          <w:sz w:val="13"/>
          <w:szCs w:val="13"/>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7.5.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 Except where specified otherwise in these Bylaws, prior notice shall be proper if given not more than 30 days nor less than 10 days prior to the event for which notice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16788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81" w:name="page82"/>
    <w:bookmarkEnd w:id="81"/>
    <w:p>
      <w:pPr>
        <w:ind w:left="5240"/>
        <w:spacing w:after="0"/>
        <w:rPr>
          <w:sz w:val="20"/>
          <w:szCs w:val="20"/>
          <w:color w:val="auto"/>
        </w:rPr>
      </w:pPr>
      <w:r>
        <w:rPr>
          <w:rFonts w:ascii="Times New Roman" w:cs="Times New Roman" w:eastAsia="Times New Roman" w:hAnsi="Times New Roman"/>
          <w:sz w:val="13"/>
          <w:szCs w:val="13"/>
          <w:u w:val="single" w:color="auto"/>
          <w:color w:val="auto"/>
        </w:rPr>
        <w:t>ARTICLE VIII</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u w:val="single" w:color="auto"/>
          <w:color w:val="auto"/>
        </w:rPr>
        <w:t>Indemnification</w:t>
      </w:r>
    </w:p>
    <w:p>
      <w:pPr>
        <w:spacing w:after="0" w:line="15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33"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ARTICLE IX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Bylaws: Interpretation and Amendment</w:t>
      </w:r>
    </w:p>
    <w:p>
      <w:pPr>
        <w:spacing w:after="0" w:line="15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Section 9.1. These Bylaws shall be interpreted in accordance with and subject to appropriate provisions of law, and may be added to, altered, amended, or repealed, at any regular or special meeting of the Board.</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716788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3"/>
          <w:szCs w:val="13"/>
          <w:u w:val="single" w:color="auto"/>
          <w:color w:val="auto"/>
        </w:rPr>
        <w:t>ARTICLE 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Miscellaneous Provisions</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10.1. </w:t>
      </w:r>
      <w:r>
        <w:rPr>
          <w:rFonts w:ascii="Times New Roman" w:cs="Times New Roman" w:eastAsia="Times New Roman" w:hAnsi="Times New Roman"/>
          <w:sz w:val="13"/>
          <w:szCs w:val="13"/>
          <w:u w:val="single" w:color="auto"/>
          <w:color w:val="auto"/>
        </w:rPr>
        <w:t>Fiscal Year</w:t>
      </w:r>
      <w:r>
        <w:rPr>
          <w:rFonts w:ascii="Times New Roman" w:cs="Times New Roman" w:eastAsia="Times New Roman" w:hAnsi="Times New Roman"/>
          <w:sz w:val="13"/>
          <w:szCs w:val="13"/>
          <w:color w:val="auto"/>
        </w:rPr>
        <w:t>. The fiscal year of the Association shall begin on the first day of January in each year and shall end on the thirty-first day of December following.</w:t>
      </w:r>
    </w:p>
    <w:p>
      <w:pPr>
        <w:spacing w:after="0" w:line="170"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10.2.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16788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Exhibit 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August 21, 2024</w:t>
      </w:r>
    </w:p>
    <w:p>
      <w:pPr>
        <w:spacing w:after="0" w:line="180"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3"/>
          <w:szCs w:val="13"/>
          <w:color w:val="auto"/>
        </w:rPr>
        <w:t>By:</w:t>
        <w:tab/>
        <w:t>/s/ 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655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3365500" cy="635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Michael K. Herberger</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335915</wp:posOffset>
            </wp:positionV>
            <wp:extent cx="716788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4"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760" w:type="dxa"/>
            <w:vAlign w:val="bottom"/>
            <w:gridSpan w:val="3"/>
          </w:tcPr>
          <w:p>
            <w:pPr>
              <w:jc w:val="center"/>
              <w:ind w:right="4185"/>
              <w:spacing w:after="0"/>
              <w:rPr>
                <w:sz w:val="20"/>
                <w:szCs w:val="20"/>
                <w:color w:val="auto"/>
              </w:rPr>
            </w:pPr>
            <w:r>
              <w:rPr>
                <w:rFonts w:ascii="Times New Roman" w:cs="Times New Roman" w:eastAsia="Times New Roman" w:hAnsi="Times New Roman"/>
                <w:sz w:val="13"/>
                <w:szCs w:val="13"/>
                <w:b w:val="1"/>
                <w:bCs w:val="1"/>
                <w:color w:val="auto"/>
              </w:rPr>
              <w:t>Exhibit 7</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540" w:type="dxa"/>
            <w:vAlign w:val="bottom"/>
            <w:gridSpan w:val="4"/>
          </w:tcPr>
          <w:p>
            <w:pPr>
              <w:jc w:val="center"/>
              <w:ind w:right="2385"/>
              <w:spacing w:after="0"/>
              <w:rPr>
                <w:sz w:val="20"/>
                <w:szCs w:val="20"/>
                <w:color w:val="auto"/>
              </w:rPr>
            </w:pPr>
            <w:r>
              <w:rPr>
                <w:rFonts w:ascii="Times New Roman" w:cs="Times New Roman" w:eastAsia="Times New Roman" w:hAnsi="Times New Roman"/>
                <w:sz w:val="13"/>
                <w:szCs w:val="13"/>
                <w:b w:val="1"/>
                <w:bCs w:val="1"/>
                <w:color w:val="auto"/>
              </w:rPr>
              <w:t>U.S. Bank Trust Company, National Association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6540" w:type="dxa"/>
            <w:vAlign w:val="bottom"/>
            <w:gridSpan w:val="4"/>
          </w:tcPr>
          <w:p>
            <w:pPr>
              <w:jc w:val="center"/>
              <w:ind w:right="2405"/>
              <w:spacing w:after="0"/>
              <w:rPr>
                <w:sz w:val="20"/>
                <w:szCs w:val="20"/>
                <w:color w:val="auto"/>
              </w:rPr>
            </w:pPr>
            <w:r>
              <w:rPr>
                <w:rFonts w:ascii="Times New Roman" w:cs="Times New Roman" w:eastAsia="Times New Roman" w:hAnsi="Times New Roman"/>
                <w:sz w:val="13"/>
                <w:szCs w:val="13"/>
                <w:b w:val="1"/>
                <w:bCs w:val="1"/>
                <w:color w:val="auto"/>
              </w:rPr>
              <w:t>Statement of Financial Condition</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6540" w:type="dxa"/>
            <w:vAlign w:val="bottom"/>
            <w:gridSpan w:val="4"/>
          </w:tcPr>
          <w:p>
            <w:pPr>
              <w:jc w:val="center"/>
              <w:ind w:right="2405"/>
              <w:spacing w:after="0"/>
              <w:rPr>
                <w:sz w:val="20"/>
                <w:szCs w:val="20"/>
                <w:color w:val="auto"/>
              </w:rPr>
            </w:pPr>
            <w:r>
              <w:rPr>
                <w:rFonts w:ascii="Times New Roman" w:cs="Times New Roman" w:eastAsia="Times New Roman" w:hAnsi="Times New Roman"/>
                <w:sz w:val="13"/>
                <w:szCs w:val="13"/>
                <w:b w:val="1"/>
                <w:bCs w:val="1"/>
                <w:color w:val="auto"/>
              </w:rPr>
              <w:t>as of 6/30/2024</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60" w:type="dxa"/>
            <w:vAlign w:val="bottom"/>
            <w:gridSpan w:val="3"/>
          </w:tcPr>
          <w:p>
            <w:pPr>
              <w:jc w:val="center"/>
              <w:ind w:right="4185"/>
              <w:spacing w:after="0"/>
              <w:rPr>
                <w:sz w:val="20"/>
                <w:szCs w:val="20"/>
                <w:color w:val="auto"/>
              </w:rPr>
            </w:pPr>
            <w:r>
              <w:rPr>
                <w:rFonts w:ascii="Times New Roman" w:cs="Times New Roman" w:eastAsia="Times New Roman" w:hAnsi="Times New Roman"/>
                <w:sz w:val="13"/>
                <w:szCs w:val="13"/>
                <w:b w:val="1"/>
                <w:bCs w:val="1"/>
                <w:color w:val="auto"/>
                <w:w w:val="99"/>
              </w:rPr>
              <w:t>($000’s)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6/30/2024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Balances Due From Depository Institutions</w:t>
            </w:r>
          </w:p>
        </w:tc>
        <w:tc>
          <w:tcPr>
            <w:tcW w:w="6540" w:type="dxa"/>
            <w:vAlign w:val="bottom"/>
            <w:gridSpan w:val="4"/>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1,420,557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Securities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4,393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Federal Funds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Loans &amp; Lease Financing Receivables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Fixed Assets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Intangible Assets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577,338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1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153,812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7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0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2,157,264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5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Deposits</w:t>
            </w:r>
          </w:p>
        </w:tc>
        <w:tc>
          <w:tcPr>
            <w:tcW w:w="6540" w:type="dxa"/>
            <w:vAlign w:val="bottom"/>
            <w:gridSpan w:val="4"/>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Fed Funds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Treasury Demand Notes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Trading Liabilities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Borrowed Money</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Acceptances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Subordinated Notes and Debentures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Liabilities</w:t>
            </w:r>
          </w:p>
        </w:tc>
        <w:tc>
          <w:tcPr>
            <w:tcW w:w="17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215,138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215,138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5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and Preferred Stock</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Surplus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1,171,635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Undivided Profits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770,291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Minority Interest in Subsidiaries</w:t>
            </w:r>
          </w:p>
        </w:tc>
        <w:tc>
          <w:tcPr>
            <w:tcW w:w="1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Total Equity Capital</w:t>
            </w:r>
          </w:p>
        </w:tc>
        <w:tc>
          <w:tcPr>
            <w:tcW w:w="17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0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1,942,126</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5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Equity Capital</w:t>
            </w:r>
          </w:p>
        </w:tc>
        <w:tc>
          <w:tcPr>
            <w:tcW w:w="6540" w:type="dxa"/>
            <w:vAlign w:val="bottom"/>
            <w:gridSpan w:val="4"/>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2,157,264</w:t>
            </w: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19" w:right="31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6"/>
          <w:szCs w:val="16"/>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6788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716788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115570</wp:posOffset>
            </wp:positionV>
            <wp:extent cx="179387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T-1</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STATEMENT OF ELIGIBILITY UNDER</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THE TRUST INDENTURE ACT OF 1939 OF A</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CORPORATION DESIGNATED TO ACT AS TRUSTEE</w:t>
      </w:r>
    </w:p>
    <w:p>
      <w:pPr>
        <w:spacing w:after="0" w:line="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color w:val="auto"/>
        </w:rPr>
        <w:t>Check if an Application to Determine Eligibility of</w:t>
      </w:r>
    </w:p>
    <w:p>
      <w:pPr>
        <w:spacing w:after="0" w:line="10" w:lineRule="exact"/>
        <w:rPr>
          <w:sz w:val="20"/>
          <w:szCs w:val="20"/>
          <w:color w:val="auto"/>
        </w:rPr>
      </w:pPr>
    </w:p>
    <w:p>
      <w:pPr>
        <w:ind w:left="4520"/>
        <w:spacing w:after="0" w:line="150" w:lineRule="exact"/>
        <w:rPr>
          <w:sz w:val="20"/>
          <w:szCs w:val="20"/>
          <w:color w:val="auto"/>
        </w:rPr>
      </w:pPr>
      <w:r>
        <w:rPr>
          <w:rFonts w:ascii="Times New Roman" w:cs="Times New Roman" w:eastAsia="Times New Roman" w:hAnsi="Times New Roman"/>
          <w:sz w:val="13"/>
          <w:szCs w:val="13"/>
          <w:color w:val="auto"/>
        </w:rPr>
        <w:t xml:space="preserve">a Trustee Pursuant to Section 305(b)(2)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1793240</wp:posOffset>
            </wp:positionH>
            <wp:positionV relativeFrom="paragraph">
              <wp:posOffset>107950</wp:posOffset>
            </wp:positionV>
            <wp:extent cx="358076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3580765" cy="6350"/>
                    </a:xfrm>
                    <a:prstGeom prst="rect">
                      <a:avLst/>
                    </a:prstGeom>
                    <a:noFill/>
                  </pic:spPr>
                </pic:pic>
              </a:graphicData>
            </a:graphic>
          </wp:anchor>
        </w:drawing>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U.S. BANK TRUST COMPANY, NATIONAL ASSOCIATION</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7360" w:type="dxa"/>
            <w:vAlign w:val="bottom"/>
            <w:gridSpan w:val="2"/>
          </w:tcPr>
          <w:p>
            <w:pPr>
              <w:jc w:val="center"/>
              <w:ind w:left="3851"/>
              <w:spacing w:after="0"/>
              <w:rPr>
                <w:sz w:val="20"/>
                <w:szCs w:val="20"/>
                <w:color w:val="auto"/>
              </w:rPr>
            </w:pPr>
            <w:r>
              <w:rPr>
                <w:rFonts w:ascii="Times New Roman" w:cs="Times New Roman" w:eastAsia="Times New Roman" w:hAnsi="Times New Roman"/>
                <w:sz w:val="13"/>
                <w:szCs w:val="13"/>
                <w:color w:val="auto"/>
              </w:rPr>
              <w:t>(Exact name of Trustee as specified in its charter)</w:t>
            </w:r>
          </w:p>
        </w:tc>
        <w:tc>
          <w:tcPr>
            <w:tcW w:w="3940" w:type="dxa"/>
            <w:vAlign w:val="bottom"/>
          </w:tcPr>
          <w:p>
            <w:pPr>
              <w:spacing w:after="0"/>
              <w:rPr>
                <w:sz w:val="15"/>
                <w:szCs w:val="15"/>
                <w:color w:val="auto"/>
              </w:rPr>
            </w:pPr>
          </w:p>
        </w:tc>
      </w:tr>
      <w:tr>
        <w:trPr>
          <w:trHeight w:val="293"/>
        </w:trPr>
        <w:tc>
          <w:tcPr>
            <w:tcW w:w="7360" w:type="dxa"/>
            <w:vAlign w:val="bottom"/>
            <w:gridSpan w:val="2"/>
          </w:tcPr>
          <w:p>
            <w:pPr>
              <w:jc w:val="right"/>
              <w:ind w:right="1420"/>
              <w:spacing w:after="0"/>
              <w:rPr>
                <w:sz w:val="20"/>
                <w:szCs w:val="20"/>
                <w:color w:val="auto"/>
              </w:rPr>
            </w:pPr>
            <w:r>
              <w:rPr>
                <w:rFonts w:ascii="Times New Roman" w:cs="Times New Roman" w:eastAsia="Times New Roman" w:hAnsi="Times New Roman"/>
                <w:sz w:val="13"/>
                <w:szCs w:val="13"/>
                <w:b w:val="1"/>
                <w:bCs w:val="1"/>
                <w:color w:val="auto"/>
              </w:rPr>
              <w:t>91-1821036</w:t>
            </w:r>
          </w:p>
        </w:tc>
        <w:tc>
          <w:tcPr>
            <w:tcW w:w="3940" w:type="dxa"/>
            <w:vAlign w:val="bottom"/>
          </w:tcPr>
          <w:p>
            <w:pPr>
              <w:spacing w:after="0"/>
              <w:rPr>
                <w:sz w:val="24"/>
                <w:szCs w:val="24"/>
                <w:color w:val="auto"/>
              </w:rPr>
            </w:pPr>
          </w:p>
        </w:tc>
      </w:tr>
      <w:tr>
        <w:trPr>
          <w:trHeight w:val="173"/>
        </w:trPr>
        <w:tc>
          <w:tcPr>
            <w:tcW w:w="7360" w:type="dxa"/>
            <w:vAlign w:val="bottom"/>
            <w:gridSpan w:val="2"/>
          </w:tcPr>
          <w:p>
            <w:pPr>
              <w:jc w:val="center"/>
              <w:ind w:left="3851"/>
              <w:spacing w:after="0"/>
              <w:rPr>
                <w:sz w:val="20"/>
                <w:szCs w:val="20"/>
                <w:color w:val="auto"/>
              </w:rPr>
            </w:pPr>
            <w:r>
              <w:rPr>
                <w:rFonts w:ascii="Times New Roman" w:cs="Times New Roman" w:eastAsia="Times New Roman" w:hAnsi="Times New Roman"/>
                <w:sz w:val="13"/>
                <w:szCs w:val="13"/>
                <w:color w:val="auto"/>
              </w:rPr>
              <w:t>I.R.S. Employer Identification No.</w:t>
            </w:r>
          </w:p>
        </w:tc>
        <w:tc>
          <w:tcPr>
            <w:tcW w:w="3940" w:type="dxa"/>
            <w:vAlign w:val="bottom"/>
          </w:tcPr>
          <w:p>
            <w:pPr>
              <w:spacing w:after="0"/>
              <w:rPr>
                <w:sz w:val="15"/>
                <w:szCs w:val="15"/>
                <w:color w:val="auto"/>
              </w:rPr>
            </w:pPr>
          </w:p>
        </w:tc>
      </w:tr>
      <w:tr>
        <w:trPr>
          <w:trHeight w:val="160"/>
        </w:trPr>
        <w:tc>
          <w:tcPr>
            <w:tcW w:w="56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tcBorders>
          </w:tcPr>
          <w:p>
            <w:pPr>
              <w:spacing w:after="0"/>
              <w:rPr>
                <w:sz w:val="13"/>
                <w:szCs w:val="13"/>
                <w:color w:val="auto"/>
              </w:rPr>
            </w:pPr>
          </w:p>
        </w:tc>
      </w:tr>
      <w:tr>
        <w:trPr>
          <w:trHeight w:val="137"/>
        </w:trPr>
        <w:tc>
          <w:tcPr>
            <w:tcW w:w="5660" w:type="dxa"/>
            <w:vAlign w:val="bottom"/>
            <w:tcBorders>
              <w:left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3"/>
                <w:szCs w:val="13"/>
                <w:color w:val="auto"/>
              </w:rPr>
              <w:t>800 Nicollet Mall</w:t>
            </w:r>
          </w:p>
        </w:tc>
        <w:tc>
          <w:tcPr>
            <w:tcW w:w="1700" w:type="dxa"/>
            <w:vAlign w:val="bottom"/>
          </w:tcPr>
          <w:p>
            <w:pPr>
              <w:spacing w:after="0"/>
              <w:rPr>
                <w:sz w:val="11"/>
                <w:szCs w:val="11"/>
                <w:color w:val="auto"/>
              </w:rPr>
            </w:pPr>
          </w:p>
        </w:tc>
        <w:tc>
          <w:tcPr>
            <w:tcW w:w="3940" w:type="dxa"/>
            <w:vAlign w:val="bottom"/>
            <w:tcBorders>
              <w:right w:val="single" w:sz="8" w:color="auto"/>
            </w:tcBorders>
          </w:tcPr>
          <w:p>
            <w:pPr>
              <w:spacing w:after="0"/>
              <w:rPr>
                <w:sz w:val="11"/>
                <w:szCs w:val="11"/>
                <w:color w:val="auto"/>
              </w:rPr>
            </w:pPr>
          </w:p>
        </w:tc>
      </w:tr>
      <w:tr>
        <w:trPr>
          <w:trHeight w:val="172"/>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Minneapolis, Minnesota</w:t>
            </w:r>
          </w:p>
        </w:tc>
        <w:tc>
          <w:tcPr>
            <w:tcW w:w="170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jc w:val="center"/>
              <w:ind w:right="1653"/>
              <w:spacing w:after="0"/>
              <w:rPr>
                <w:sz w:val="20"/>
                <w:szCs w:val="20"/>
                <w:color w:val="auto"/>
              </w:rPr>
            </w:pPr>
            <w:r>
              <w:rPr>
                <w:rFonts w:ascii="Times New Roman" w:cs="Times New Roman" w:eastAsia="Times New Roman" w:hAnsi="Times New Roman"/>
                <w:sz w:val="13"/>
                <w:szCs w:val="13"/>
                <w:color w:val="auto"/>
              </w:rPr>
              <w:t>55402</w:t>
            </w:r>
          </w:p>
        </w:tc>
      </w:tr>
      <w:tr>
        <w:trPr>
          <w:trHeight w:val="150"/>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53"/>
              <w:spacing w:after="0"/>
              <w:rPr>
                <w:sz w:val="20"/>
                <w:szCs w:val="20"/>
                <w:color w:val="auto"/>
              </w:rPr>
            </w:pPr>
            <w:r>
              <w:rPr>
                <w:rFonts w:ascii="Times New Roman" w:cs="Times New Roman" w:eastAsia="Times New Roman" w:hAnsi="Times New Roman"/>
                <w:sz w:val="13"/>
                <w:szCs w:val="13"/>
                <w:color w:val="auto"/>
              </w:rPr>
              <w:t>(Zip Code)</w:t>
            </w:r>
          </w:p>
        </w:tc>
      </w:tr>
      <w:tr>
        <w:trPr>
          <w:trHeight w:val="297"/>
        </w:trPr>
        <w:tc>
          <w:tcPr>
            <w:tcW w:w="7360" w:type="dxa"/>
            <w:vAlign w:val="bottom"/>
            <w:gridSpan w:val="2"/>
          </w:tcPr>
          <w:p>
            <w:pPr>
              <w:jc w:val="center"/>
              <w:ind w:left="3831"/>
              <w:spacing w:after="0"/>
              <w:rPr>
                <w:sz w:val="20"/>
                <w:szCs w:val="20"/>
                <w:color w:val="auto"/>
              </w:rPr>
            </w:pPr>
            <w:r>
              <w:rPr>
                <w:rFonts w:ascii="Times New Roman" w:cs="Times New Roman" w:eastAsia="Times New Roman" w:hAnsi="Times New Roman"/>
                <w:sz w:val="13"/>
                <w:szCs w:val="13"/>
                <w:color w:val="auto"/>
              </w:rPr>
              <w:t>Michael K. Herberger</w:t>
            </w:r>
          </w:p>
        </w:tc>
        <w:tc>
          <w:tcPr>
            <w:tcW w:w="3940" w:type="dxa"/>
            <w:vAlign w:val="bottom"/>
          </w:tcPr>
          <w:p>
            <w:pPr>
              <w:spacing w:after="0"/>
              <w:rPr>
                <w:sz w:val="24"/>
                <w:szCs w:val="24"/>
                <w:color w:val="auto"/>
              </w:rPr>
            </w:pPr>
          </w:p>
        </w:tc>
      </w:tr>
      <w:tr>
        <w:trPr>
          <w:trHeight w:val="161"/>
        </w:trPr>
        <w:tc>
          <w:tcPr>
            <w:tcW w:w="7360" w:type="dxa"/>
            <w:vAlign w:val="bottom"/>
            <w:gridSpan w:val="2"/>
          </w:tcPr>
          <w:p>
            <w:pPr>
              <w:jc w:val="center"/>
              <w:ind w:left="3831"/>
              <w:spacing w:after="0"/>
              <w:rPr>
                <w:sz w:val="20"/>
                <w:szCs w:val="20"/>
                <w:color w:val="auto"/>
              </w:rPr>
            </w:pPr>
            <w:r>
              <w:rPr>
                <w:rFonts w:ascii="Times New Roman" w:cs="Times New Roman" w:eastAsia="Times New Roman" w:hAnsi="Times New Roman"/>
                <w:sz w:val="13"/>
                <w:szCs w:val="13"/>
                <w:color w:val="auto"/>
              </w:rPr>
              <w:t>U.S. Bank Trust Company, National Association</w:t>
            </w:r>
          </w:p>
        </w:tc>
        <w:tc>
          <w:tcPr>
            <w:tcW w:w="3940" w:type="dxa"/>
            <w:vAlign w:val="bottom"/>
          </w:tcPr>
          <w:p>
            <w:pPr>
              <w:spacing w:after="0"/>
              <w:rPr>
                <w:sz w:val="14"/>
                <w:szCs w:val="14"/>
                <w:color w:val="auto"/>
              </w:rPr>
            </w:pPr>
          </w:p>
        </w:tc>
      </w:tr>
      <w:tr>
        <w:trPr>
          <w:trHeight w:val="188"/>
        </w:trPr>
        <w:tc>
          <w:tcPr>
            <w:tcW w:w="7360" w:type="dxa"/>
            <w:vAlign w:val="bottom"/>
            <w:gridSpan w:val="2"/>
          </w:tcPr>
          <w:p>
            <w:pPr>
              <w:jc w:val="center"/>
              <w:ind w:left="3811"/>
              <w:spacing w:after="0" w:line="188" w:lineRule="exact"/>
              <w:rPr>
                <w:sz w:val="20"/>
                <w:szCs w:val="20"/>
                <w:color w:val="auto"/>
              </w:rPr>
            </w:pPr>
            <w:r>
              <w:rPr>
                <w:rFonts w:ascii="Times New Roman" w:cs="Times New Roman" w:eastAsia="Times New Roman" w:hAnsi="Times New Roman"/>
                <w:sz w:val="13"/>
                <w:szCs w:val="13"/>
                <w:color w:val="auto"/>
              </w:rPr>
              <w:t>13737 Noel Road, 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3"/>
                <w:szCs w:val="13"/>
                <w:color w:val="auto"/>
              </w:rPr>
              <w:t xml:space="preserve"> Floor</w:t>
            </w:r>
          </w:p>
        </w:tc>
        <w:tc>
          <w:tcPr>
            <w:tcW w:w="3940" w:type="dxa"/>
            <w:vAlign w:val="bottom"/>
          </w:tcPr>
          <w:p>
            <w:pPr>
              <w:spacing w:after="0"/>
              <w:rPr>
                <w:sz w:val="16"/>
                <w:szCs w:val="16"/>
                <w:color w:val="auto"/>
              </w:rPr>
            </w:pPr>
          </w:p>
        </w:tc>
      </w:tr>
      <w:tr>
        <w:trPr>
          <w:trHeight w:val="160"/>
        </w:trPr>
        <w:tc>
          <w:tcPr>
            <w:tcW w:w="7360" w:type="dxa"/>
            <w:vAlign w:val="bottom"/>
            <w:gridSpan w:val="2"/>
          </w:tcPr>
          <w:p>
            <w:pPr>
              <w:jc w:val="center"/>
              <w:ind w:left="3831"/>
              <w:spacing w:after="0"/>
              <w:rPr>
                <w:sz w:val="20"/>
                <w:szCs w:val="20"/>
                <w:color w:val="auto"/>
              </w:rPr>
            </w:pPr>
            <w:r>
              <w:rPr>
                <w:rFonts w:ascii="Times New Roman" w:cs="Times New Roman" w:eastAsia="Times New Roman" w:hAnsi="Times New Roman"/>
                <w:sz w:val="13"/>
                <w:szCs w:val="13"/>
                <w:color w:val="auto"/>
              </w:rPr>
              <w:t>Dallas, TX 75240</w:t>
            </w:r>
          </w:p>
        </w:tc>
        <w:tc>
          <w:tcPr>
            <w:tcW w:w="3940" w:type="dxa"/>
            <w:vAlign w:val="bottom"/>
          </w:tcPr>
          <w:p>
            <w:pPr>
              <w:spacing w:after="0"/>
              <w:rPr>
                <w:sz w:val="13"/>
                <w:szCs w:val="13"/>
                <w:color w:val="auto"/>
              </w:rPr>
            </w:pPr>
          </w:p>
        </w:tc>
      </w:tr>
      <w:tr>
        <w:trPr>
          <w:trHeight w:val="160"/>
        </w:trPr>
        <w:tc>
          <w:tcPr>
            <w:tcW w:w="7360" w:type="dxa"/>
            <w:vAlign w:val="bottom"/>
            <w:gridSpan w:val="2"/>
          </w:tcPr>
          <w:p>
            <w:pPr>
              <w:jc w:val="right"/>
              <w:ind w:right="1320"/>
              <w:spacing w:after="0"/>
              <w:rPr>
                <w:sz w:val="20"/>
                <w:szCs w:val="20"/>
                <w:color w:val="auto"/>
              </w:rPr>
            </w:pPr>
            <w:r>
              <w:rPr>
                <w:rFonts w:ascii="Times New Roman" w:cs="Times New Roman" w:eastAsia="Times New Roman" w:hAnsi="Times New Roman"/>
                <w:sz w:val="13"/>
                <w:szCs w:val="13"/>
                <w:color w:val="auto"/>
              </w:rPr>
              <w:t>(972) 581-1612</w:t>
            </w:r>
          </w:p>
        </w:tc>
        <w:tc>
          <w:tcPr>
            <w:tcW w:w="3940" w:type="dxa"/>
            <w:vAlign w:val="bottom"/>
          </w:tcPr>
          <w:p>
            <w:pPr>
              <w:spacing w:after="0"/>
              <w:rPr>
                <w:sz w:val="13"/>
                <w:szCs w:val="13"/>
                <w:color w:val="auto"/>
              </w:rPr>
            </w:pPr>
          </w:p>
        </w:tc>
      </w:tr>
      <w:tr>
        <w:trPr>
          <w:trHeight w:val="173"/>
        </w:trPr>
        <w:tc>
          <w:tcPr>
            <w:tcW w:w="7360" w:type="dxa"/>
            <w:vAlign w:val="bottom"/>
            <w:gridSpan w:val="2"/>
          </w:tcPr>
          <w:p>
            <w:pPr>
              <w:jc w:val="center"/>
              <w:ind w:left="3851"/>
              <w:spacing w:after="0"/>
              <w:rPr>
                <w:sz w:val="20"/>
                <w:szCs w:val="20"/>
                <w:color w:val="auto"/>
              </w:rPr>
            </w:pPr>
            <w:r>
              <w:rPr>
                <w:rFonts w:ascii="Times New Roman" w:cs="Times New Roman" w:eastAsia="Times New Roman" w:hAnsi="Times New Roman"/>
                <w:sz w:val="13"/>
                <w:szCs w:val="13"/>
                <w:color w:val="auto"/>
              </w:rPr>
              <w:t>(Name, address and telephone number of agent for service)</w:t>
            </w:r>
          </w:p>
        </w:tc>
        <w:tc>
          <w:tcPr>
            <w:tcW w:w="3940" w:type="dxa"/>
            <w:vAlign w:val="bottom"/>
          </w:tcPr>
          <w:p>
            <w:pPr>
              <w:spacing w:after="0"/>
              <w:rPr>
                <w:sz w:val="15"/>
                <w:szCs w:val="15"/>
                <w:color w:val="auto"/>
              </w:rPr>
            </w:pPr>
          </w:p>
        </w:tc>
      </w:tr>
      <w:tr>
        <w:trPr>
          <w:trHeight w:val="359"/>
        </w:trPr>
        <w:tc>
          <w:tcPr>
            <w:tcW w:w="7360" w:type="dxa"/>
            <w:vAlign w:val="bottom"/>
            <w:gridSpan w:val="2"/>
          </w:tcPr>
          <w:p>
            <w:pPr>
              <w:jc w:val="center"/>
              <w:ind w:left="3811"/>
              <w:spacing w:after="0"/>
              <w:rPr>
                <w:sz w:val="20"/>
                <w:szCs w:val="20"/>
                <w:color w:val="auto"/>
              </w:rPr>
            </w:pPr>
            <w:r>
              <w:rPr>
                <w:rFonts w:ascii="Times New Roman" w:cs="Times New Roman" w:eastAsia="Times New Roman" w:hAnsi="Times New Roman"/>
                <w:sz w:val="19"/>
                <w:szCs w:val="19"/>
                <w:b w:val="1"/>
                <w:bCs w:val="1"/>
                <w:color w:val="auto"/>
                <w:w w:val="96"/>
              </w:rPr>
              <w:t>Plains All American Pipeline, L.P.</w:t>
            </w:r>
          </w:p>
        </w:tc>
        <w:tc>
          <w:tcPr>
            <w:tcW w:w="3940" w:type="dxa"/>
            <w:vAlign w:val="bottom"/>
          </w:tcPr>
          <w:p>
            <w:pPr>
              <w:spacing w:after="0"/>
              <w:rPr>
                <w:sz w:val="24"/>
                <w:szCs w:val="24"/>
                <w:color w:val="auto"/>
              </w:rPr>
            </w:pPr>
          </w:p>
        </w:tc>
      </w:tr>
      <w:tr>
        <w:trPr>
          <w:trHeight w:val="227"/>
        </w:trPr>
        <w:tc>
          <w:tcPr>
            <w:tcW w:w="7360" w:type="dxa"/>
            <w:vAlign w:val="bottom"/>
            <w:gridSpan w:val="2"/>
          </w:tcPr>
          <w:p>
            <w:pPr>
              <w:jc w:val="center"/>
              <w:ind w:left="3811"/>
              <w:spacing w:after="0"/>
              <w:rPr>
                <w:sz w:val="20"/>
                <w:szCs w:val="20"/>
                <w:color w:val="auto"/>
              </w:rPr>
            </w:pPr>
            <w:r>
              <w:rPr>
                <w:rFonts w:ascii="Times New Roman" w:cs="Times New Roman" w:eastAsia="Times New Roman" w:hAnsi="Times New Roman"/>
                <w:sz w:val="19"/>
                <w:szCs w:val="19"/>
                <w:b w:val="1"/>
                <w:bCs w:val="1"/>
                <w:color w:val="auto"/>
                <w:w w:val="97"/>
              </w:rPr>
              <w:t>PAA Finance Corp.</w:t>
            </w:r>
          </w:p>
        </w:tc>
        <w:tc>
          <w:tcPr>
            <w:tcW w:w="3940" w:type="dxa"/>
            <w:vAlign w:val="bottom"/>
          </w:tcPr>
          <w:p>
            <w:pPr>
              <w:spacing w:after="0"/>
              <w:rPr>
                <w:sz w:val="19"/>
                <w:szCs w:val="19"/>
                <w:color w:val="auto"/>
              </w:rPr>
            </w:pPr>
          </w:p>
        </w:tc>
      </w:tr>
      <w:tr>
        <w:trPr>
          <w:trHeight w:val="173"/>
        </w:trPr>
        <w:tc>
          <w:tcPr>
            <w:tcW w:w="7360" w:type="dxa"/>
            <w:vAlign w:val="bottom"/>
            <w:gridSpan w:val="2"/>
          </w:tcPr>
          <w:p>
            <w:pPr>
              <w:jc w:val="center"/>
              <w:ind w:left="3871"/>
              <w:spacing w:after="0"/>
              <w:rPr>
                <w:sz w:val="20"/>
                <w:szCs w:val="20"/>
                <w:color w:val="auto"/>
              </w:rPr>
            </w:pPr>
            <w:r>
              <w:rPr>
                <w:rFonts w:ascii="Times New Roman" w:cs="Times New Roman" w:eastAsia="Times New Roman" w:hAnsi="Times New Roman"/>
                <w:sz w:val="13"/>
                <w:szCs w:val="13"/>
                <w:color w:val="auto"/>
              </w:rPr>
              <w:t>(Issuer with respect to the Securities)</w:t>
            </w:r>
          </w:p>
        </w:tc>
        <w:tc>
          <w:tcPr>
            <w:tcW w:w="3940" w:type="dxa"/>
            <w:vAlign w:val="bottom"/>
          </w:tcPr>
          <w:p>
            <w:pPr>
              <w:spacing w:after="0"/>
              <w:rPr>
                <w:sz w:val="15"/>
                <w:szCs w:val="15"/>
                <w:color w:val="auto"/>
              </w:rPr>
            </w:pPr>
          </w:p>
        </w:tc>
      </w:tr>
      <w:tr>
        <w:trPr>
          <w:trHeight w:val="160"/>
        </w:trPr>
        <w:tc>
          <w:tcPr>
            <w:tcW w:w="7360" w:type="dxa"/>
            <w:vAlign w:val="bottom"/>
            <w:tcBorders>
              <w:bottom w:val="single" w:sz="8" w:color="auto"/>
            </w:tcBorders>
            <w:gridSpan w:val="2"/>
          </w:tcPr>
          <w:p>
            <w:pPr>
              <w:spacing w:after="0"/>
              <w:rPr>
                <w:sz w:val="13"/>
                <w:szCs w:val="13"/>
                <w:color w:val="auto"/>
              </w:rPr>
            </w:pPr>
          </w:p>
        </w:tc>
        <w:tc>
          <w:tcPr>
            <w:tcW w:w="3940" w:type="dxa"/>
            <w:vAlign w:val="bottom"/>
            <w:tcBorders>
              <w:bottom w:val="single" w:sz="8" w:color="auto"/>
            </w:tcBorders>
          </w:tcPr>
          <w:p>
            <w:pPr>
              <w:spacing w:after="0"/>
              <w:rPr>
                <w:sz w:val="13"/>
                <w:szCs w:val="13"/>
                <w:color w:val="auto"/>
              </w:rPr>
            </w:pPr>
          </w:p>
        </w:tc>
      </w:tr>
      <w:tr>
        <w:trPr>
          <w:trHeight w:val="137"/>
        </w:trPr>
        <w:tc>
          <w:tcPr>
            <w:tcW w:w="5660" w:type="dxa"/>
            <w:vAlign w:val="bottom"/>
            <w:tcBorders>
              <w:left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3"/>
                <w:szCs w:val="13"/>
                <w:color w:val="auto"/>
              </w:rPr>
              <w:t>Delaware</w:t>
            </w:r>
          </w:p>
        </w:tc>
        <w:tc>
          <w:tcPr>
            <w:tcW w:w="1700" w:type="dxa"/>
            <w:vAlign w:val="bottom"/>
          </w:tcPr>
          <w:p>
            <w:pPr>
              <w:spacing w:after="0"/>
              <w:rPr>
                <w:sz w:val="11"/>
                <w:szCs w:val="11"/>
                <w:color w:val="auto"/>
              </w:rPr>
            </w:pPr>
          </w:p>
        </w:tc>
        <w:tc>
          <w:tcPr>
            <w:tcW w:w="3940" w:type="dxa"/>
            <w:vAlign w:val="bottom"/>
            <w:tcBorders>
              <w:right w:val="single" w:sz="8" w:color="auto"/>
            </w:tcBorders>
          </w:tcPr>
          <w:p>
            <w:pPr>
              <w:jc w:val="center"/>
              <w:ind w:right="1673"/>
              <w:spacing w:after="0" w:line="137" w:lineRule="exact"/>
              <w:rPr>
                <w:sz w:val="20"/>
                <w:szCs w:val="20"/>
                <w:color w:val="auto"/>
              </w:rPr>
            </w:pPr>
            <w:r>
              <w:rPr>
                <w:rFonts w:ascii="Times New Roman" w:cs="Times New Roman" w:eastAsia="Times New Roman" w:hAnsi="Times New Roman"/>
                <w:sz w:val="13"/>
                <w:szCs w:val="13"/>
                <w:color w:val="auto"/>
              </w:rPr>
              <w:t>76-0582150</w:t>
            </w:r>
          </w:p>
        </w:tc>
      </w:tr>
      <w:tr>
        <w:trPr>
          <w:trHeight w:val="172"/>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Delaware</w:t>
            </w:r>
          </w:p>
        </w:tc>
        <w:tc>
          <w:tcPr>
            <w:tcW w:w="170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jc w:val="center"/>
              <w:ind w:right="1673"/>
              <w:spacing w:after="0"/>
              <w:rPr>
                <w:sz w:val="20"/>
                <w:szCs w:val="20"/>
                <w:color w:val="auto"/>
              </w:rPr>
            </w:pPr>
            <w:r>
              <w:rPr>
                <w:rFonts w:ascii="Times New Roman" w:cs="Times New Roman" w:eastAsia="Times New Roman" w:hAnsi="Times New Roman"/>
                <w:sz w:val="13"/>
                <w:szCs w:val="13"/>
                <w:color w:val="auto"/>
              </w:rPr>
              <w:t>56-2464313</w:t>
            </w:r>
          </w:p>
        </w:tc>
      </w:tr>
      <w:tr>
        <w:trPr>
          <w:trHeight w:val="150"/>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73"/>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150"/>
        </w:trPr>
        <w:tc>
          <w:tcPr>
            <w:tcW w:w="5660" w:type="dxa"/>
            <w:vAlign w:val="bottom"/>
            <w:tcBorders>
              <w:left w:val="single" w:sz="8" w:color="auto"/>
              <w:bottom w:val="single" w:sz="8" w:color="auto"/>
              <w:right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spacing w:after="0"/>
              <w:rPr>
                <w:sz w:val="13"/>
                <w:szCs w:val="13"/>
                <w:color w:val="auto"/>
              </w:rPr>
            </w:pPr>
          </w:p>
        </w:tc>
      </w:tr>
      <w:tr>
        <w:trPr>
          <w:trHeight w:val="150"/>
        </w:trPr>
        <w:tc>
          <w:tcPr>
            <w:tcW w:w="7360" w:type="dxa"/>
            <w:vAlign w:val="bottom"/>
            <w:tcBorders>
              <w:bottom w:val="single" w:sz="8" w:color="auto"/>
            </w:tcBorders>
            <w:gridSpan w:val="2"/>
          </w:tcPr>
          <w:p>
            <w:pPr>
              <w:spacing w:after="0"/>
              <w:rPr>
                <w:sz w:val="13"/>
                <w:szCs w:val="13"/>
                <w:color w:val="auto"/>
              </w:rPr>
            </w:pPr>
          </w:p>
        </w:tc>
        <w:tc>
          <w:tcPr>
            <w:tcW w:w="3940" w:type="dxa"/>
            <w:vAlign w:val="bottom"/>
            <w:tcBorders>
              <w:bottom w:val="single" w:sz="8" w:color="auto"/>
            </w:tcBorders>
          </w:tcPr>
          <w:p>
            <w:pPr>
              <w:spacing w:after="0"/>
              <w:rPr>
                <w:sz w:val="13"/>
                <w:szCs w:val="13"/>
                <w:color w:val="auto"/>
              </w:rPr>
            </w:pPr>
          </w:p>
        </w:tc>
      </w:tr>
      <w:tr>
        <w:trPr>
          <w:trHeight w:val="137"/>
        </w:trPr>
        <w:tc>
          <w:tcPr>
            <w:tcW w:w="5660" w:type="dxa"/>
            <w:vAlign w:val="bottom"/>
            <w:tcBorders>
              <w:left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3"/>
                <w:szCs w:val="13"/>
                <w:color w:val="auto"/>
              </w:rPr>
              <w:t>333 Clay Street, Suite 1600</w:t>
            </w:r>
          </w:p>
        </w:tc>
        <w:tc>
          <w:tcPr>
            <w:tcW w:w="1700" w:type="dxa"/>
            <w:vAlign w:val="bottom"/>
          </w:tcPr>
          <w:p>
            <w:pPr>
              <w:spacing w:after="0"/>
              <w:rPr>
                <w:sz w:val="11"/>
                <w:szCs w:val="11"/>
                <w:color w:val="auto"/>
              </w:rPr>
            </w:pPr>
          </w:p>
        </w:tc>
        <w:tc>
          <w:tcPr>
            <w:tcW w:w="3940" w:type="dxa"/>
            <w:vAlign w:val="bottom"/>
            <w:tcBorders>
              <w:right w:val="single" w:sz="8" w:color="auto"/>
            </w:tcBorders>
          </w:tcPr>
          <w:p>
            <w:pPr>
              <w:spacing w:after="0"/>
              <w:rPr>
                <w:sz w:val="11"/>
                <w:szCs w:val="11"/>
                <w:color w:val="auto"/>
              </w:rPr>
            </w:pPr>
          </w:p>
        </w:tc>
      </w:tr>
      <w:tr>
        <w:trPr>
          <w:trHeight w:val="172"/>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Houston, Texas</w:t>
            </w:r>
          </w:p>
        </w:tc>
        <w:tc>
          <w:tcPr>
            <w:tcW w:w="170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jc w:val="center"/>
              <w:ind w:right="1653"/>
              <w:spacing w:after="0"/>
              <w:rPr>
                <w:sz w:val="20"/>
                <w:szCs w:val="20"/>
                <w:color w:val="auto"/>
              </w:rPr>
            </w:pPr>
            <w:r>
              <w:rPr>
                <w:rFonts w:ascii="Times New Roman" w:cs="Times New Roman" w:eastAsia="Times New Roman" w:hAnsi="Times New Roman"/>
                <w:sz w:val="13"/>
                <w:szCs w:val="13"/>
                <w:color w:val="auto"/>
              </w:rPr>
              <w:t>77002</w:t>
            </w:r>
          </w:p>
        </w:tc>
      </w:tr>
      <w:tr>
        <w:trPr>
          <w:trHeight w:val="150"/>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53"/>
              <w:spacing w:after="0"/>
              <w:rPr>
                <w:sz w:val="20"/>
                <w:szCs w:val="20"/>
                <w:color w:val="auto"/>
              </w:rPr>
            </w:pPr>
            <w:r>
              <w:rPr>
                <w:rFonts w:ascii="Times New Roman" w:cs="Times New Roman" w:eastAsia="Times New Roman" w:hAnsi="Times New Roman"/>
                <w:sz w:val="13"/>
                <w:szCs w:val="13"/>
                <w:color w:val="auto"/>
              </w:rPr>
              <w:t>(Zip Code)</w:t>
            </w:r>
          </w:p>
        </w:tc>
      </w:tr>
    </w:tbl>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Subordinated Debt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16788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6788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449580</wp:posOffset>
            </wp:positionV>
            <wp:extent cx="716788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6" w:name="page87"/>
    <w:bookmarkEnd w:id="86"/>
    <w:p>
      <w:pPr>
        <w:ind w:left="5340"/>
        <w:spacing w:after="0"/>
        <w:rPr>
          <w:sz w:val="20"/>
          <w:szCs w:val="20"/>
          <w:color w:val="auto"/>
        </w:rPr>
      </w:pPr>
      <w:r>
        <w:rPr>
          <w:rFonts w:ascii="Times New Roman" w:cs="Times New Roman" w:eastAsia="Times New Roman" w:hAnsi="Times New Roman"/>
          <w:sz w:val="13"/>
          <w:szCs w:val="13"/>
          <w:b w:val="1"/>
          <w:bCs w:val="1"/>
          <w:u w:val="single" w:color="auto"/>
          <w:color w:val="auto"/>
        </w:rPr>
        <w:t>FORM T-1</w:t>
      </w:r>
    </w:p>
    <w:p>
      <w:pPr>
        <w:spacing w:after="0" w:line="1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GENERAL INFORMATION</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Furnish the following information as to the Trustee.</w:t>
      </w:r>
    </w:p>
    <w:p>
      <w:pPr>
        <w:spacing w:after="0" w:line="172" w:lineRule="exact"/>
        <w:rPr>
          <w:sz w:val="20"/>
          <w:szCs w:val="20"/>
          <w:color w:val="auto"/>
        </w:rPr>
      </w:pPr>
    </w:p>
    <w:p>
      <w:pPr>
        <w:ind w:left="1440" w:right="4719" w:hanging="722"/>
        <w:spacing w:after="0" w:line="268" w:lineRule="auto"/>
        <w:tabs>
          <w:tab w:leader="none" w:pos="961"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Name and address of each examining or supervising authority to which it is subject. </w:t>
      </w:r>
      <w:r>
        <w:rPr>
          <w:rFonts w:ascii="Times New Roman" w:cs="Times New Roman" w:eastAsia="Times New Roman" w:hAnsi="Times New Roman"/>
          <w:sz w:val="13"/>
          <w:szCs w:val="13"/>
          <w:color w:val="auto"/>
        </w:rPr>
        <w:t>Comptroller of the Currency</w:t>
      </w:r>
    </w:p>
    <w:p>
      <w:pPr>
        <w:ind w:left="1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Washington, D.C.</w:t>
      </w:r>
    </w:p>
    <w:p>
      <w:pPr>
        <w:spacing w:after="0" w:line="155"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Whether it is authorized to exercise corporate trust powers.</w:t>
      </w:r>
    </w:p>
    <w:p>
      <w:pPr>
        <w:spacing w:after="0" w:line="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Yes</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2.  </w:t>
      </w:r>
      <w:r>
        <w:rPr>
          <w:sz w:val="20"/>
          <w:szCs w:val="20"/>
          <w:color w:val="auto"/>
        </w:rPr>
        <w:tab/>
      </w:r>
      <w:r>
        <w:rPr>
          <w:rFonts w:ascii="Times New Roman" w:cs="Times New Roman" w:eastAsia="Times New Roman" w:hAnsi="Times New Roman"/>
          <w:sz w:val="13"/>
          <w:szCs w:val="13"/>
          <w:b w:val="1"/>
          <w:bCs w:val="1"/>
          <w:color w:val="auto"/>
        </w:rPr>
        <w:t xml:space="preserve">AFFILIATIONS WITH THE OBLIGOR. </w:t>
      </w:r>
      <w:r>
        <w:rPr>
          <w:rFonts w:ascii="Times New Roman" w:cs="Times New Roman" w:eastAsia="Times New Roman" w:hAnsi="Times New Roman"/>
          <w:sz w:val="13"/>
          <w:szCs w:val="13"/>
          <w:i w:val="1"/>
          <w:iCs w:val="1"/>
          <w:color w:val="auto"/>
        </w:rPr>
        <w:t>If the obligor is an affiliate of the Trustee, describe each such affiliation.</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None</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Items 3-15</w:t>
      </w:r>
      <w:r>
        <w:rPr>
          <w:sz w:val="20"/>
          <w:szCs w:val="20"/>
          <w:color w:val="auto"/>
        </w:rPr>
        <w:tab/>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 xml:space="preserve">LIST OF EXHIBITS: </w:t>
      </w:r>
      <w:r>
        <w:rPr>
          <w:rFonts w:ascii="Times New Roman" w:cs="Times New Roman" w:eastAsia="Times New Roman" w:hAnsi="Times New Roman"/>
          <w:sz w:val="13"/>
          <w:szCs w:val="13"/>
          <w:i w:val="1"/>
          <w:iCs w:val="1"/>
          <w:color w:val="auto"/>
        </w:rPr>
        <w:t>List below all exhibits filed as a part of this statement of eligibility and qualification.</w:t>
      </w:r>
    </w:p>
    <w:p>
      <w:pPr>
        <w:spacing w:after="0" w:line="172" w:lineRule="exact"/>
        <w:rPr>
          <w:sz w:val="20"/>
          <w:szCs w:val="20"/>
          <w:color w:val="auto"/>
        </w:rPr>
      </w:pPr>
    </w:p>
    <w:p>
      <w:pPr>
        <w:ind w:left="960" w:hanging="242"/>
        <w:spacing w:after="0"/>
        <w:tabs>
          <w:tab w:leader="none" w:pos="96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Articles of Association of the Trustee, attached as Exhibit 1.</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Certificate of Corporate Existence and Fiduciary Powers of the Trustee, attached as Exhibit 2.</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authorization of the Trustee to exercise corporate trust powers, included as Exhibit 2.</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existing bylaws of the Trustee, attached as Exhibit 4.</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each Indenture referred to in Item 4. Not applicable.</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consent of the Trustee required by Section 321(b) of the Trust Indenture Act of 1939, attached as Exhibit 6.</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 of Condition of the Trustee as of June 30, 2024,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16788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59"/>
          </w:cols>
          <w:pgMar w:left="300" w:top="704"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72"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3"/>
          <w:szCs w:val="13"/>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w:t>
      </w:r>
    </w:p>
    <w:p>
      <w:pPr>
        <w:sectPr>
          <w:pgSz w:w="11900" w:h="16838" w:orient="portrait"/>
          <w:cols w:equalWidth="0" w:num="1">
            <w:col w:w="11280"/>
          </w:cols>
          <w:pgMar w:left="300" w:top="704" w:right="31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Dallas, State of Texas on the 21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3"/>
          <w:szCs w:val="13"/>
          <w:color w:val="auto"/>
        </w:rPr>
        <w:t xml:space="preserve"> of August, 2024.</w:t>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540385</wp:posOffset>
            </wp:positionV>
            <wp:extent cx="716788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55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3365500" cy="63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Michael K. Herberger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Vice President</w:t>
      </w:r>
    </w:p>
    <w:p>
      <w:pPr>
        <w:sectPr>
          <w:pgSz w:w="11900" w:h="16838" w:orient="portrait"/>
          <w:cols w:equalWidth="0" w:num="2">
            <w:col w:w="5840" w:space="140"/>
            <w:col w:w="5300"/>
          </w:cols>
          <w:pgMar w:left="300" w:top="704" w:right="319" w:bottom="1440" w:gutter="0" w:footer="0" w:header="0"/>
          <w:type w:val="continuous"/>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3"/>
          <w:szCs w:val="13"/>
          <w:b w:val="1"/>
          <w:bCs w:val="1"/>
          <w:u w:val="single" w:color="auto"/>
          <w:color w:val="auto"/>
        </w:rPr>
        <w:t>Exhibit 1</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ARTICLES OF ASSOCIATION</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 S. BANK TRUST COMPANY, NATIONAL ASSOCIATION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purpose of organizing an association (the “Association”) to perform any lawful activities of national banks, the undersigned enter into the following Articles of Association: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FIRST. </w:t>
      </w:r>
      <w:r>
        <w:rPr>
          <w:rFonts w:ascii="Times New Roman" w:cs="Times New Roman" w:eastAsia="Times New Roman" w:hAnsi="Times New Roman"/>
          <w:sz w:val="13"/>
          <w:szCs w:val="13"/>
          <w:color w:val="auto"/>
        </w:rPr>
        <w:t>The title of this Association shall be U. S. Bank Trust Company, National Association.</w:t>
      </w:r>
    </w:p>
    <w:p>
      <w:pPr>
        <w:spacing w:after="0" w:line="1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SECOND. </w:t>
      </w:r>
      <w:r>
        <w:rPr>
          <w:rFonts w:ascii="Times New Roman" w:cs="Times New Roman" w:eastAsia="Times New Roman" w:hAnsi="Times New Roman"/>
          <w:sz w:val="13"/>
          <w:szCs w:val="13"/>
          <w:color w:val="auto"/>
        </w:rPr>
        <w:t>The main office of the Association shall be in the city of Portland, county of Multnomah, state of Oregon. The business of the Association will be limited to fiduciary powers and the support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activities incidental to the exercise of those powers. The Association may not expand or alter its business beyond that stated in this article without the prior approval of the Comptroller of the Currency.</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THIRD. </w:t>
      </w:r>
      <w:r>
        <w:rPr>
          <w:rFonts w:ascii="Times New Roman" w:cs="Times New Roman" w:eastAsia="Times New Roman" w:hAnsi="Times New Roman"/>
          <w:sz w:val="13"/>
          <w:szCs w:val="13"/>
          <w:color w:val="auto"/>
        </w:rPr>
        <w:t>The board of directors of the Association shall consist of not less than five nor more than twenty-five persons, the exact number to be fixed and determined from time to time by resolution of a majority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3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FOURTH. </w:t>
      </w:r>
      <w:r>
        <w:rPr>
          <w:rFonts w:ascii="Times New Roman" w:cs="Times New Roman" w:eastAsia="Times New Roman" w:hAnsi="Times New Roman"/>
          <w:sz w:val="13"/>
          <w:szCs w:val="13"/>
          <w:color w:val="auto"/>
        </w:rPr>
        <w:t>There shall be an annual meeting of the shareholders to elect directors and transact whatever other business may be brought before the meeting. It shall be held at the main office or any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4" w:right="319" w:bottom="1440" w:gutter="0" w:footer="0" w:header="0"/>
        </w:sectPr>
      </w:pPr>
    </w:p>
    <w:bookmarkStart w:id="89" w:name="page90"/>
    <w:bookmarkEnd w:id="89"/>
    <w:p>
      <w:pPr>
        <w:jc w:val="both"/>
        <w:spacing w:after="0" w:line="274" w:lineRule="auto"/>
        <w:rPr>
          <w:sz w:val="20"/>
          <w:szCs w:val="20"/>
          <w:color w:val="auto"/>
        </w:rPr>
      </w:pPr>
      <w:r>
        <w:rPr>
          <w:rFonts w:ascii="Times New Roman" w:cs="Times New Roman" w:eastAsia="Times New Roman" w:hAnsi="Times New Roman"/>
          <w:sz w:val="13"/>
          <w:szCs w:val="13"/>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2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FIFTH. </w:t>
      </w:r>
      <w:r>
        <w:rPr>
          <w:rFonts w:ascii="Times New Roman" w:cs="Times New Roman" w:eastAsia="Times New Roman" w:hAnsi="Times New Roman"/>
          <w:sz w:val="13"/>
          <w:szCs w:val="13"/>
          <w:color w:val="auto"/>
        </w:rPr>
        <w:t>The authorized amount of capital stock of the Association shall be 1,000,000 shares of common stock of the par value of ten dollars ($10) each; but said capital stock may be increased or decreased from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time to time, according to the provisions of the laws of the United States. The Association shall have only one class of capital stock.</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color w:val="auto"/>
        </w:rPr>
        <w:t>Unless otherwise specified in the Articles of Association or required by law, all shares of voting stock shall be voted together as a class, on any matters requiring shareholder approval.</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2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SIXTH. </w:t>
      </w:r>
      <w:r>
        <w:rPr>
          <w:rFonts w:ascii="Times New Roman" w:cs="Times New Roman" w:eastAsia="Times New Roman" w:hAnsi="Times New Roman"/>
          <w:sz w:val="13"/>
          <w:szCs w:val="13"/>
          <w:color w:val="auto"/>
        </w:rPr>
        <w:t>The board of directors shall appoint one of its members president of this Association and one of its members chairperson of the board and shall have the power to appoint one or more vice presidents,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board of directors shall have the power to:</w:t>
      </w:r>
    </w:p>
    <w:p>
      <w:pPr>
        <w:spacing w:after="0" w:line="170" w:lineRule="exact"/>
        <w:rPr>
          <w:sz w:val="20"/>
          <w:szCs w:val="20"/>
          <w:color w:val="auto"/>
        </w:rPr>
      </w:pPr>
    </w:p>
    <w:p>
      <w:pPr>
        <w:ind w:left="480" w:hanging="480"/>
        <w:spacing w:after="0"/>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Define the duties of the officers, employees, and agents of the Association.</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Delegate the performance of its duties, but not the responsibility for its duties, to the officers, employees, and agents of the Association.</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Fix the compensation and enter employment contracts with its officers and employees upon reasonable terms and conditions consistent with applicable law.</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Dismiss officers and employees.</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Require bonds from officers and employees and to fix the penalty thereof.</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Ratify written policies authorized by the Association's management or committees of the board.</w:t>
      </w:r>
    </w:p>
    <w:p>
      <w:pPr>
        <w:spacing w:after="0" w:line="169" w:lineRule="exact"/>
        <w:rPr>
          <w:rFonts w:ascii="Times New Roman" w:cs="Times New Roman" w:eastAsia="Times New Roman" w:hAnsi="Times New Roman"/>
          <w:sz w:val="13"/>
          <w:szCs w:val="13"/>
          <w:color w:val="auto"/>
        </w:rPr>
      </w:pPr>
    </w:p>
    <w:p>
      <w:pPr>
        <w:ind w:left="480" w:hanging="480"/>
        <w:spacing w:after="0" w:line="293" w:lineRule="auto"/>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273" w:lineRule="exact"/>
        <w:rPr>
          <w:rFonts w:ascii="Times New Roman" w:cs="Times New Roman" w:eastAsia="Times New Roman" w:hAnsi="Times New Roman"/>
          <w:sz w:val="13"/>
          <w:szCs w:val="13"/>
          <w:color w:val="auto"/>
        </w:rPr>
      </w:pPr>
    </w:p>
    <w:p>
      <w:pPr>
        <w:ind w:left="5620" w:hanging="87"/>
        <w:spacing w:after="0"/>
        <w:tabs>
          <w:tab w:leader="none" w:pos="5620"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91" w:name="page92"/>
    <w:bookmarkEnd w:id="91"/>
    <w:p>
      <w:pPr>
        <w:ind w:left="480" w:hanging="480"/>
        <w:spacing w:after="0"/>
        <w:tabs>
          <w:tab w:leader="none" w:pos="4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 and administer the business and affairs of the Association.</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initial Bylaws, not inconsistent with law or the Articles of Association, for managing the business and regulating the affairs of the Association.</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or repeal Bylaws, except to the extent that the Articles of Association reserve this power in whole or in part to the shareholders.</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contracts.</w:t>
      </w:r>
    </w:p>
    <w:p>
      <w:pPr>
        <w:spacing w:after="0" w:line="169"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Generally perform all acts that are legal for a board of directors to perform.</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SEVENTH. </w:t>
      </w:r>
      <w:r>
        <w:rPr>
          <w:rFonts w:ascii="Times New Roman" w:cs="Times New Roman" w:eastAsia="Times New Roman" w:hAnsi="Times New Roman"/>
          <w:sz w:val="13"/>
          <w:szCs w:val="13"/>
          <w:color w:val="auto"/>
        </w:rPr>
        <w:t>The board of directors shall have the power to change the location of the main office to any authorized branch within the limits of the city of Portland, Oregon, without the approval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EIGHTH. </w:t>
      </w:r>
      <w:r>
        <w:rPr>
          <w:rFonts w:ascii="Times New Roman" w:cs="Times New Roman" w:eastAsia="Times New Roman" w:hAnsi="Times New Roman"/>
          <w:sz w:val="13"/>
          <w:szCs w:val="13"/>
          <w:color w:val="auto"/>
        </w:rPr>
        <w:t>The corporate existence of this Association shall continue until termination according to the laws of the United States.</w:t>
      </w:r>
    </w:p>
    <w:p>
      <w:pPr>
        <w:spacing w:after="0" w:line="1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NINTH. </w:t>
      </w:r>
      <w:r>
        <w:rPr>
          <w:rFonts w:ascii="Times New Roman" w:cs="Times New Roman" w:eastAsia="Times New Roman" w:hAnsi="Times New Roman"/>
          <w:sz w:val="13"/>
          <w:szCs w:val="13"/>
          <w:color w:val="auto"/>
        </w:rPr>
        <w:t>The board of directors of the Association, or any shareholder owning, in the aggregate, not less than 25 percent of the stock of the Association, may call a special meeting of shareholders at any time.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TENTH. </w:t>
      </w:r>
      <w:r>
        <w:rPr>
          <w:rFonts w:ascii="Times New Roman" w:cs="Times New Roman" w:eastAsia="Times New Roman" w:hAnsi="Times New Roman"/>
          <w:sz w:val="13"/>
          <w:szCs w:val="13"/>
          <w:color w:val="auto"/>
        </w:rPr>
        <w:t>These Articles of Association may be amended at any regular or special meeting of the shareholders by the affirmative vote of the holders of a majority of the stock of the Association, unless the vote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color w:val="auto"/>
        </w:rPr>
        <w:t xml:space="preserve">In witness whereof, we have hereunto set our hands this </w:t>
      </w:r>
      <w:r>
        <w:rPr>
          <w:rFonts w:ascii="Times New Roman" w:cs="Times New Roman" w:eastAsia="Times New Roman" w:hAnsi="Times New Roman"/>
          <w:sz w:val="13"/>
          <w:szCs w:val="13"/>
          <w:u w:val="single" w:color="auto"/>
          <w:color w:val="auto"/>
        </w:rPr>
        <w:t>11</w:t>
      </w:r>
      <w:r>
        <w:rPr>
          <w:rFonts w:ascii="Times New Roman" w:cs="Times New Roman" w:eastAsia="Times New Roman" w:hAnsi="Times New Roman"/>
          <w:sz w:val="22"/>
          <w:szCs w:val="22"/>
          <w:u w:val="single" w:color="auto"/>
          <w:color w:val="auto"/>
          <w:vertAlign w:val="superscript"/>
        </w:rPr>
        <w:t>th</w:t>
      </w:r>
      <w:r>
        <w:rPr>
          <w:rFonts w:ascii="Times New Roman" w:cs="Times New Roman" w:eastAsia="Times New Roman" w:hAnsi="Times New Roman"/>
          <w:sz w:val="13"/>
          <w:szCs w:val="13"/>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2134235</wp:posOffset>
            </wp:positionV>
            <wp:extent cx="716788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67945</wp:posOffset>
            </wp:positionV>
            <wp:extent cx="1381760" cy="17494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1381760" cy="1749425"/>
                    </a:xfrm>
                    <a:prstGeom prst="rect">
                      <a:avLst/>
                    </a:prstGeom>
                    <a:noFill/>
                  </pic:spPr>
                </pic:pic>
              </a:graphicData>
            </a:graphic>
          </wp:anchor>
        </w:drawing>
      </w:r>
    </w:p>
    <w:p>
      <w:pPr>
        <w:sectPr>
          <w:pgSz w:w="11900" w:h="16838" w:orient="portrait"/>
          <w:cols w:equalWidth="0" w:num="1">
            <w:col w:w="10159"/>
          </w:cols>
          <w:pgMar w:left="300" w:top="707"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117475</wp:posOffset>
            </wp:positionV>
            <wp:extent cx="7167880" cy="4588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67880" cy="4588510"/>
                    </a:xfrm>
                    <a:prstGeom prst="rect">
                      <a:avLst/>
                    </a:prstGeom>
                    <a:noFill/>
                  </pic:spPr>
                </pic:pic>
              </a:graphicData>
            </a:graphic>
          </wp:anchor>
        </w:drawing>
      </w:r>
    </w:p>
    <w:p>
      <w:pPr>
        <w:sectPr>
          <w:pgSz w:w="11900" w:h="16838" w:orient="portrait"/>
          <w:cols w:equalWidth="0" w:num="1">
            <w:col w:w="9019"/>
          </w:cols>
          <w:pgMar w:left="1440" w:top="704" w:right="144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Exhibit 4</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U.S. BANK TRUST COMPANY, NATIONAL ASSOCIATION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AMENDED AND RESTATED BYLAWS</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u w:val="single" w:color="auto"/>
          <w:color w:val="auto"/>
        </w:rPr>
        <w:t>ARTICLE 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Meetings of Shareholders</w:t>
      </w:r>
    </w:p>
    <w:p>
      <w:pPr>
        <w:spacing w:after="0" w:line="15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Annual Meeting</w:t>
      </w:r>
      <w:r>
        <w:rPr>
          <w:rFonts w:ascii="Times New Roman" w:cs="Times New Roman" w:eastAsia="Times New Roman" w:hAnsi="Times New Roman"/>
          <w:sz w:val="13"/>
          <w:szCs w:val="13"/>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33"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Special Meetings</w:t>
      </w:r>
      <w:r>
        <w:rPr>
          <w:rFonts w:ascii="Times New Roman" w:cs="Times New Roman" w:eastAsia="Times New Roman" w:hAnsi="Times New Roman"/>
          <w:sz w:val="13"/>
          <w:szCs w:val="13"/>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Every such special meeting, unless otherwise provided by law, shall be called upon not less than ten (10) days nor more than sixty (60) days prior notice stating the purpose of the meeting.</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Nominations for Directors</w:t>
      </w:r>
      <w:r>
        <w:rPr>
          <w:rFonts w:ascii="Times New Roman" w:cs="Times New Roman" w:eastAsia="Times New Roman" w:hAnsi="Times New Roman"/>
          <w:sz w:val="13"/>
          <w:szCs w:val="13"/>
          <w:color w:val="auto"/>
        </w:rPr>
        <w:t>. Nominations for election to the Board may be made by the Board or by any shareholder.</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Proxies</w:t>
      </w:r>
      <w:r>
        <w:rPr>
          <w:rFonts w:ascii="Times New Roman" w:cs="Times New Roman" w:eastAsia="Times New Roman" w:hAnsi="Times New Roman"/>
          <w:sz w:val="13"/>
          <w:szCs w:val="13"/>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1.5. </w:t>
      </w:r>
      <w:r>
        <w:rPr>
          <w:rFonts w:ascii="Times New Roman" w:cs="Times New Roman" w:eastAsia="Times New Roman" w:hAnsi="Times New Roman"/>
          <w:sz w:val="13"/>
          <w:szCs w:val="13"/>
          <w:u w:val="single" w:color="auto"/>
          <w:color w:val="auto"/>
        </w:rPr>
        <w:t>Record Date</w:t>
      </w:r>
      <w:r>
        <w:rPr>
          <w:rFonts w:ascii="Times New Roman" w:cs="Times New Roman" w:eastAsia="Times New Roman" w:hAnsi="Times New Roman"/>
          <w:sz w:val="13"/>
          <w:szCs w:val="13"/>
          <w:color w:val="auto"/>
        </w:rPr>
        <w:t>. The record date for determining shareholders entitled to notice and to vote at any meeting will be thirty days before the date of such meeting, unless otherwise determined by the Board.</w:t>
      </w:r>
    </w:p>
    <w:p>
      <w:pPr>
        <w:spacing w:after="0" w:line="11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Quorum and Voting</w:t>
      </w:r>
      <w:r>
        <w:rPr>
          <w:rFonts w:ascii="Times New Roman" w:cs="Times New Roman" w:eastAsia="Times New Roman" w:hAnsi="Times New Roman"/>
          <w:sz w:val="13"/>
          <w:szCs w:val="13"/>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16788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4" w:right="319" w:bottom="1440" w:gutter="0" w:footer="0" w:header="0"/>
        </w:sectPr>
      </w:pPr>
    </w:p>
    <w:bookmarkStart w:id="95" w:name="page96"/>
    <w:bookmarkEnd w:id="95"/>
    <w:p>
      <w:pPr>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1.7. </w:t>
      </w:r>
      <w:r>
        <w:rPr>
          <w:rFonts w:ascii="Times New Roman" w:cs="Times New Roman" w:eastAsia="Times New Roman" w:hAnsi="Times New Roman"/>
          <w:sz w:val="13"/>
          <w:szCs w:val="13"/>
          <w:u w:val="single" w:color="auto"/>
          <w:color w:val="auto"/>
        </w:rPr>
        <w:t>Inspectors</w:t>
      </w:r>
      <w:r>
        <w:rPr>
          <w:rFonts w:ascii="Times New Roman" w:cs="Times New Roman" w:eastAsia="Times New Roman" w:hAnsi="Times New Roman"/>
          <w:sz w:val="13"/>
          <w:szCs w:val="13"/>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1.8. </w:t>
      </w:r>
      <w:r>
        <w:rPr>
          <w:rFonts w:ascii="Times New Roman" w:cs="Times New Roman" w:eastAsia="Times New Roman" w:hAnsi="Times New Roman"/>
          <w:sz w:val="13"/>
          <w:szCs w:val="13"/>
          <w:u w:val="single" w:color="auto"/>
          <w:color w:val="auto"/>
        </w:rPr>
        <w:t>Waiver and Consent</w:t>
      </w:r>
      <w:r>
        <w:rPr>
          <w:rFonts w:ascii="Times New Roman" w:cs="Times New Roman" w:eastAsia="Times New Roman" w:hAnsi="Times New Roman"/>
          <w:sz w:val="13"/>
          <w:szCs w:val="13"/>
          <w:color w:val="auto"/>
        </w:rPr>
        <w:t>. The shareholders may act without notice or a meeting by a unanimous written consent by all shareholders.</w:t>
      </w:r>
    </w:p>
    <w:p>
      <w:pPr>
        <w:spacing w:after="0" w:line="170"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1.9. </w:t>
      </w:r>
      <w:r>
        <w:rPr>
          <w:rFonts w:ascii="Times New Roman" w:cs="Times New Roman" w:eastAsia="Times New Roman" w:hAnsi="Times New Roman"/>
          <w:sz w:val="13"/>
          <w:szCs w:val="13"/>
          <w:u w:val="single" w:color="auto"/>
          <w:color w:val="auto"/>
        </w:rPr>
        <w:t>Remote Meetings</w:t>
      </w:r>
      <w:r>
        <w:rPr>
          <w:rFonts w:ascii="Times New Roman" w:cs="Times New Roman" w:eastAsia="Times New Roman" w:hAnsi="Times New Roman"/>
          <w:sz w:val="13"/>
          <w:szCs w:val="13"/>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u w:val="single" w:color="auto"/>
          <w:color w:val="auto"/>
        </w:rPr>
        <w:t>ARTICLE II</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3"/>
          <w:szCs w:val="13"/>
          <w:u w:val="single" w:color="auto"/>
          <w:color w:val="auto"/>
        </w:rPr>
        <w:t>Directors</w:t>
      </w:r>
    </w:p>
    <w:p>
      <w:pPr>
        <w:spacing w:after="0" w:line="157"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2.1.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2.2. </w:t>
      </w:r>
      <w:r>
        <w:rPr>
          <w:rFonts w:ascii="Times New Roman" w:cs="Times New Roman" w:eastAsia="Times New Roman" w:hAnsi="Times New Roman"/>
          <w:sz w:val="13"/>
          <w:szCs w:val="13"/>
          <w:u w:val="single" w:color="auto"/>
          <w:color w:val="auto"/>
        </w:rPr>
        <w:t>Term of Office</w:t>
      </w:r>
      <w:r>
        <w:rPr>
          <w:rFonts w:ascii="Times New Roman" w:cs="Times New Roman" w:eastAsia="Times New Roman" w:hAnsi="Times New Roman"/>
          <w:sz w:val="13"/>
          <w:szCs w:val="13"/>
          <w:color w:val="auto"/>
        </w:rPr>
        <w:t>. The directors of this Association shall hold office for one year and until their successors are duly elected and qualified, or until their earlier resignation or removal.</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2.3. </w:t>
      </w:r>
      <w:r>
        <w:rPr>
          <w:rFonts w:ascii="Times New Roman" w:cs="Times New Roman" w:eastAsia="Times New Roman" w:hAnsi="Times New Roman"/>
          <w:sz w:val="13"/>
          <w:szCs w:val="13"/>
          <w:u w:val="single" w:color="auto"/>
          <w:color w:val="auto"/>
        </w:rPr>
        <w:t>Powers</w:t>
      </w:r>
      <w:r>
        <w:rPr>
          <w:rFonts w:ascii="Times New Roman" w:cs="Times New Roman" w:eastAsia="Times New Roman" w:hAnsi="Times New Roman"/>
          <w:sz w:val="13"/>
          <w:szCs w:val="13"/>
          <w:color w:val="auto"/>
        </w:rPr>
        <w:t>. In addition to the foregoing, the Board shall have and may exercise all of the powers granted to or conferred upon it by the Articles of Association, the Bylaws and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16788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96" w:name="page97"/>
    <w:bookmarkEnd w:id="96"/>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2.4. </w:t>
      </w:r>
      <w:r>
        <w:rPr>
          <w:rFonts w:ascii="Times New Roman" w:cs="Times New Roman" w:eastAsia="Times New Roman" w:hAnsi="Times New Roman"/>
          <w:sz w:val="13"/>
          <w:szCs w:val="13"/>
          <w:u w:val="single" w:color="auto"/>
          <w:color w:val="auto"/>
        </w:rPr>
        <w:t>Number</w:t>
      </w:r>
      <w:r>
        <w:rPr>
          <w:rFonts w:ascii="Times New Roman" w:cs="Times New Roman" w:eastAsia="Times New Roman" w:hAnsi="Times New Roman"/>
          <w:sz w:val="13"/>
          <w:szCs w:val="13"/>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35"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2.5. </w:t>
      </w:r>
      <w:r>
        <w:rPr>
          <w:rFonts w:ascii="Times New Roman" w:cs="Times New Roman" w:eastAsia="Times New Roman" w:hAnsi="Times New Roman"/>
          <w:sz w:val="13"/>
          <w:szCs w:val="13"/>
          <w:u w:val="single" w:color="auto"/>
          <w:color w:val="auto"/>
        </w:rPr>
        <w:t>Organization Meeting</w:t>
      </w:r>
      <w:r>
        <w:rPr>
          <w:rFonts w:ascii="Times New Roman" w:cs="Times New Roman" w:eastAsia="Times New Roman" w:hAnsi="Times New Roman"/>
          <w:sz w:val="13"/>
          <w:szCs w:val="13"/>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2.6. </w:t>
      </w:r>
      <w:r>
        <w:rPr>
          <w:rFonts w:ascii="Times New Roman" w:cs="Times New Roman" w:eastAsia="Times New Roman" w:hAnsi="Times New Roman"/>
          <w:sz w:val="13"/>
          <w:szCs w:val="13"/>
          <w:u w:val="single" w:color="auto"/>
          <w:color w:val="auto"/>
        </w:rPr>
        <w:t>Regular Meetings</w:t>
      </w:r>
      <w:r>
        <w:rPr>
          <w:rFonts w:ascii="Times New Roman" w:cs="Times New Roman" w:eastAsia="Times New Roman" w:hAnsi="Times New Roman"/>
          <w:sz w:val="13"/>
          <w:szCs w:val="13"/>
          <w:color w:val="auto"/>
        </w:rPr>
        <w:t>. The regular meetings of the Board shall be held, without notice, as the Chairman or President may designate and deem suitable.</w:t>
      </w:r>
    </w:p>
    <w:p>
      <w:pPr>
        <w:spacing w:after="0" w:line="170"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 xml:space="preserve">Section 2.7. </w:t>
      </w:r>
      <w:r>
        <w:rPr>
          <w:rFonts w:ascii="Times New Roman" w:cs="Times New Roman" w:eastAsia="Times New Roman" w:hAnsi="Times New Roman"/>
          <w:sz w:val="13"/>
          <w:szCs w:val="13"/>
          <w:u w:val="single" w:color="auto"/>
          <w:color w:val="auto"/>
        </w:rPr>
        <w:t>Special Meetings</w:t>
      </w:r>
      <w:r>
        <w:rPr>
          <w:rFonts w:ascii="Times New Roman" w:cs="Times New Roman" w:eastAsia="Times New Roman" w:hAnsi="Times New Roman"/>
          <w:sz w:val="13"/>
          <w:szCs w:val="13"/>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2.8. </w:t>
      </w:r>
      <w:r>
        <w:rPr>
          <w:rFonts w:ascii="Times New Roman" w:cs="Times New Roman" w:eastAsia="Times New Roman" w:hAnsi="Times New Roman"/>
          <w:sz w:val="13"/>
          <w:szCs w:val="13"/>
          <w:u w:val="single" w:color="auto"/>
          <w:color w:val="auto"/>
        </w:rPr>
        <w:t>Quorum and Necessary Vote</w:t>
      </w:r>
      <w:r>
        <w:rPr>
          <w:rFonts w:ascii="Times New Roman" w:cs="Times New Roman" w:eastAsia="Times New Roman" w:hAnsi="Times New Roman"/>
          <w:sz w:val="13"/>
          <w:szCs w:val="13"/>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16788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97" w:name="page98"/>
    <w:bookmarkEnd w:id="97"/>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2.9. </w:t>
      </w:r>
      <w:r>
        <w:rPr>
          <w:rFonts w:ascii="Times New Roman" w:cs="Times New Roman" w:eastAsia="Times New Roman" w:hAnsi="Times New Roman"/>
          <w:sz w:val="13"/>
          <w:szCs w:val="13"/>
          <w:u w:val="single" w:color="auto"/>
          <w:color w:val="auto"/>
        </w:rPr>
        <w:t>Written Consent</w:t>
      </w:r>
      <w:r>
        <w:rPr>
          <w:rFonts w:ascii="Times New Roman" w:cs="Times New Roman" w:eastAsia="Times New Roman" w:hAnsi="Times New Roman"/>
          <w:sz w:val="13"/>
          <w:szCs w:val="13"/>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2.10. </w:t>
      </w:r>
      <w:r>
        <w:rPr>
          <w:rFonts w:ascii="Times New Roman" w:cs="Times New Roman" w:eastAsia="Times New Roman" w:hAnsi="Times New Roman"/>
          <w:sz w:val="13"/>
          <w:szCs w:val="13"/>
          <w:u w:val="single" w:color="auto"/>
          <w:color w:val="auto"/>
        </w:rPr>
        <w:t>Remote Meetings</w:t>
      </w:r>
      <w:r>
        <w:rPr>
          <w:rFonts w:ascii="Times New Roman" w:cs="Times New Roman" w:eastAsia="Times New Roman" w:hAnsi="Times New Roman"/>
          <w:sz w:val="13"/>
          <w:szCs w:val="13"/>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2.11. </w:t>
      </w:r>
      <w:r>
        <w:rPr>
          <w:rFonts w:ascii="Times New Roman" w:cs="Times New Roman" w:eastAsia="Times New Roman" w:hAnsi="Times New Roman"/>
          <w:sz w:val="13"/>
          <w:szCs w:val="13"/>
          <w:u w:val="single" w:color="auto"/>
          <w:color w:val="auto"/>
        </w:rPr>
        <w:t>Vacancies</w:t>
      </w:r>
      <w:r>
        <w:rPr>
          <w:rFonts w:ascii="Times New Roman" w:cs="Times New Roman" w:eastAsia="Times New Roman" w:hAnsi="Times New Roman"/>
          <w:sz w:val="13"/>
          <w:szCs w:val="13"/>
          <w:color w:val="auto"/>
        </w:rPr>
        <w:t>. When any vacancy occurs among the directors, the remaining members of the Board may appoint a director to fill such vacancy at any regular meeting of the Board, or at a special meeting called for that purpose.</w:t>
      </w:r>
    </w:p>
    <w:p>
      <w:pPr>
        <w:spacing w:after="0" w:line="114"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3"/>
          <w:szCs w:val="13"/>
          <w:u w:val="single" w:color="auto"/>
          <w:color w:val="auto"/>
        </w:rPr>
        <w:t>ARTICLE III</w:t>
      </w:r>
    </w:p>
    <w:p>
      <w:pPr>
        <w:spacing w:after="0" w:line="23"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3"/>
          <w:szCs w:val="13"/>
          <w:u w:val="single" w:color="auto"/>
          <w:color w:val="auto"/>
        </w:rPr>
        <w:t>Committees</w:t>
      </w:r>
    </w:p>
    <w:p>
      <w:pPr>
        <w:spacing w:after="0" w:line="15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3.1. </w:t>
      </w:r>
      <w:r>
        <w:rPr>
          <w:rFonts w:ascii="Times New Roman" w:cs="Times New Roman" w:eastAsia="Times New Roman" w:hAnsi="Times New Roman"/>
          <w:sz w:val="13"/>
          <w:szCs w:val="13"/>
          <w:u w:val="single" w:color="auto"/>
          <w:color w:val="auto"/>
        </w:rPr>
        <w:t>Advisory Board of Directors</w:t>
      </w:r>
      <w:r>
        <w:rPr>
          <w:rFonts w:ascii="Times New Roman" w:cs="Times New Roman" w:eastAsia="Times New Roman" w:hAnsi="Times New Roman"/>
          <w:sz w:val="13"/>
          <w:szCs w:val="13"/>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27"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3"/>
          <w:szCs w:val="13"/>
          <w:color w:val="auto"/>
        </w:rPr>
        <w:t xml:space="preserve">Section 3.2. </w:t>
      </w:r>
      <w:r>
        <w:rPr>
          <w:rFonts w:ascii="Times New Roman" w:cs="Times New Roman" w:eastAsia="Times New Roman" w:hAnsi="Times New Roman"/>
          <w:sz w:val="13"/>
          <w:szCs w:val="13"/>
          <w:u w:val="single" w:color="auto"/>
          <w:color w:val="auto"/>
        </w:rPr>
        <w:t>Trust Audit Committee</w:t>
      </w:r>
      <w:r>
        <w:rPr>
          <w:rFonts w:ascii="Times New Roman" w:cs="Times New Roman" w:eastAsia="Times New Roman" w:hAnsi="Times New Roman"/>
          <w:sz w:val="13"/>
          <w:szCs w:val="13"/>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407670</wp:posOffset>
            </wp:positionV>
            <wp:extent cx="716788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color w:val="auto"/>
        </w:rPr>
        <w:t>The Audit Committee of the financial holding company that is the ultimate parent of this Association, fulfilling the function of the trust audit committee: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 Must not include any officers of the Association or an affiliate who participate significantly in the administration of the Association’s fiduciary activities; and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 Must consist of a majority of members who are not also members of any committee to which the Board has delegated power to manage and control the fiduciary activities of the Association.</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3.3. </w:t>
      </w:r>
      <w:r>
        <w:rPr>
          <w:rFonts w:ascii="Times New Roman" w:cs="Times New Roman" w:eastAsia="Times New Roman" w:hAnsi="Times New Roman"/>
          <w:sz w:val="13"/>
          <w:szCs w:val="13"/>
          <w:u w:val="single" w:color="auto"/>
          <w:color w:val="auto"/>
        </w:rPr>
        <w:t>Executive Committee</w:t>
      </w:r>
      <w:r>
        <w:rPr>
          <w:rFonts w:ascii="Times New Roman" w:cs="Times New Roman" w:eastAsia="Times New Roman" w:hAnsi="Times New Roman"/>
          <w:sz w:val="13"/>
          <w:szCs w:val="13"/>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14"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 xml:space="preserve">Section 3.4. </w:t>
      </w:r>
      <w:r>
        <w:rPr>
          <w:rFonts w:ascii="Times New Roman" w:cs="Times New Roman" w:eastAsia="Times New Roman" w:hAnsi="Times New Roman"/>
          <w:sz w:val="13"/>
          <w:szCs w:val="13"/>
          <w:u w:val="single" w:color="auto"/>
          <w:color w:val="auto"/>
        </w:rPr>
        <w:t>Trust Management Committee</w:t>
      </w:r>
      <w:r>
        <w:rPr>
          <w:rFonts w:ascii="Times New Roman" w:cs="Times New Roman" w:eastAsia="Times New Roman" w:hAnsi="Times New Roman"/>
          <w:sz w:val="13"/>
          <w:szCs w:val="13"/>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31"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 xml:space="preserve">Section 3.5. </w:t>
      </w:r>
      <w:r>
        <w:rPr>
          <w:rFonts w:ascii="Times New Roman" w:cs="Times New Roman" w:eastAsia="Times New Roman" w:hAnsi="Times New Roman"/>
          <w:sz w:val="13"/>
          <w:szCs w:val="13"/>
          <w:u w:val="single" w:color="auto"/>
          <w:color w:val="auto"/>
        </w:rPr>
        <w:t>Other Committees</w:t>
      </w:r>
      <w:r>
        <w:rPr>
          <w:rFonts w:ascii="Times New Roman" w:cs="Times New Roman" w:eastAsia="Times New Roman" w:hAnsi="Times New Roman"/>
          <w:sz w:val="13"/>
          <w:szCs w:val="13"/>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3.6. </w:t>
      </w:r>
      <w:r>
        <w:rPr>
          <w:rFonts w:ascii="Times New Roman" w:cs="Times New Roman" w:eastAsia="Times New Roman" w:hAnsi="Times New Roman"/>
          <w:sz w:val="13"/>
          <w:szCs w:val="13"/>
          <w:u w:val="single" w:color="auto"/>
          <w:color w:val="auto"/>
        </w:rPr>
        <w:t>Meetings, Minutes and Rules</w:t>
      </w:r>
      <w:r>
        <w:rPr>
          <w:rFonts w:ascii="Times New Roman" w:cs="Times New Roman" w:eastAsia="Times New Roman" w:hAnsi="Times New Roman"/>
          <w:sz w:val="13"/>
          <w:szCs w:val="13"/>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16788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99" w:name="page100"/>
    <w:bookmarkEnd w:id="99"/>
    <w:p>
      <w:pPr>
        <w:ind w:left="5260"/>
        <w:spacing w:after="0"/>
        <w:rPr>
          <w:sz w:val="20"/>
          <w:szCs w:val="20"/>
          <w:color w:val="auto"/>
        </w:rPr>
      </w:pPr>
      <w:r>
        <w:rPr>
          <w:rFonts w:ascii="Times New Roman" w:cs="Times New Roman" w:eastAsia="Times New Roman" w:hAnsi="Times New Roman"/>
          <w:sz w:val="13"/>
          <w:szCs w:val="13"/>
          <w:u w:val="single" w:color="auto"/>
          <w:color w:val="auto"/>
        </w:rPr>
        <w:t>ARTICLE IV</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u w:val="single" w:color="auto"/>
          <w:color w:val="auto"/>
        </w:rPr>
        <w:t>Officers</w:t>
      </w:r>
    </w:p>
    <w:p>
      <w:pPr>
        <w:spacing w:after="0" w:line="15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4.1. </w:t>
      </w:r>
      <w:r>
        <w:rPr>
          <w:rFonts w:ascii="Times New Roman" w:cs="Times New Roman" w:eastAsia="Times New Roman" w:hAnsi="Times New Roman"/>
          <w:sz w:val="13"/>
          <w:szCs w:val="13"/>
          <w:u w:val="single" w:color="auto"/>
          <w:color w:val="auto"/>
        </w:rPr>
        <w:t>Chairman of the Board</w:t>
      </w:r>
      <w:r>
        <w:rPr>
          <w:rFonts w:ascii="Times New Roman" w:cs="Times New Roman" w:eastAsia="Times New Roman" w:hAnsi="Times New Roman"/>
          <w:sz w:val="13"/>
          <w:szCs w:val="13"/>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4.2. </w:t>
      </w:r>
      <w:r>
        <w:rPr>
          <w:rFonts w:ascii="Times New Roman" w:cs="Times New Roman" w:eastAsia="Times New Roman" w:hAnsi="Times New Roman"/>
          <w:sz w:val="13"/>
          <w:szCs w:val="13"/>
          <w:u w:val="single" w:color="auto"/>
          <w:color w:val="auto"/>
        </w:rPr>
        <w:t>President</w:t>
      </w:r>
      <w:r>
        <w:rPr>
          <w:rFonts w:ascii="Times New Roman" w:cs="Times New Roman" w:eastAsia="Times New Roman" w:hAnsi="Times New Roman"/>
          <w:sz w:val="13"/>
          <w:szCs w:val="13"/>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4.3. </w:t>
      </w:r>
      <w:r>
        <w:rPr>
          <w:rFonts w:ascii="Times New Roman" w:cs="Times New Roman" w:eastAsia="Times New Roman" w:hAnsi="Times New Roman"/>
          <w:sz w:val="13"/>
          <w:szCs w:val="13"/>
          <w:u w:val="single" w:color="auto"/>
          <w:color w:val="auto"/>
        </w:rPr>
        <w:t>Vice President</w:t>
      </w:r>
      <w:r>
        <w:rPr>
          <w:rFonts w:ascii="Times New Roman" w:cs="Times New Roman" w:eastAsia="Times New Roman" w:hAnsi="Times New Roman"/>
          <w:sz w:val="13"/>
          <w:szCs w:val="13"/>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14"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 xml:space="preserve">Section 4.4. </w:t>
      </w:r>
      <w:r>
        <w:rPr>
          <w:rFonts w:ascii="Times New Roman" w:cs="Times New Roman" w:eastAsia="Times New Roman" w:hAnsi="Times New Roman"/>
          <w:sz w:val="13"/>
          <w:szCs w:val="13"/>
          <w:u w:val="single" w:color="auto"/>
          <w:color w:val="auto"/>
        </w:rPr>
        <w:t>Secretary</w:t>
      </w:r>
      <w:r>
        <w:rPr>
          <w:rFonts w:ascii="Times New Roman" w:cs="Times New Roman" w:eastAsia="Times New Roman" w:hAnsi="Times New Roman"/>
          <w:sz w:val="13"/>
          <w:szCs w:val="13"/>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33"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4.5. </w:t>
      </w:r>
      <w:r>
        <w:rPr>
          <w:rFonts w:ascii="Times New Roman" w:cs="Times New Roman" w:eastAsia="Times New Roman" w:hAnsi="Times New Roman"/>
          <w:sz w:val="13"/>
          <w:szCs w:val="13"/>
          <w:u w:val="single" w:color="auto"/>
          <w:color w:val="auto"/>
        </w:rPr>
        <w:t>Other Officers</w:t>
      </w:r>
      <w:r>
        <w:rPr>
          <w:rFonts w:ascii="Times New Roman" w:cs="Times New Roman" w:eastAsia="Times New Roman" w:hAnsi="Times New Roman"/>
          <w:sz w:val="13"/>
          <w:szCs w:val="13"/>
          <w:color w:val="auto"/>
        </w:rPr>
        <w:t>. The Board may appoint, and may authorize the Chairman, the President or any other officer to appoint, any officer as from time to time may appear to the Board, the Chairman, the President or such other</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716788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100" w:name="page101"/>
    <w:bookmarkEnd w:id="100"/>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4.6. </w:t>
      </w:r>
      <w:r>
        <w:rPr>
          <w:rFonts w:ascii="Times New Roman" w:cs="Times New Roman" w:eastAsia="Times New Roman" w:hAnsi="Times New Roman"/>
          <w:sz w:val="13"/>
          <w:szCs w:val="13"/>
          <w:u w:val="single" w:color="auto"/>
          <w:color w:val="auto"/>
        </w:rPr>
        <w:t>Tenure of Office</w:t>
      </w:r>
      <w:r>
        <w:rPr>
          <w:rFonts w:ascii="Times New Roman" w:cs="Times New Roman" w:eastAsia="Times New Roman" w:hAnsi="Times New Roman"/>
          <w:sz w:val="13"/>
          <w:szCs w:val="13"/>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1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u w:val="single" w:color="auto"/>
          <w:color w:val="auto"/>
        </w:rPr>
        <w:t>ARTICLE V</w:t>
      </w:r>
    </w:p>
    <w:p>
      <w:pPr>
        <w:spacing w:after="0" w:line="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u w:val="single" w:color="auto"/>
          <w:color w:val="auto"/>
        </w:rPr>
        <w:t>Stock</w:t>
      </w:r>
    </w:p>
    <w:p>
      <w:pPr>
        <w:spacing w:after="0" w:line="157" w:lineRule="exact"/>
        <w:rPr>
          <w:sz w:val="20"/>
          <w:szCs w:val="20"/>
          <w:color w:val="auto"/>
        </w:rPr>
      </w:pPr>
    </w:p>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29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u w:val="single" w:color="auto"/>
          <w:color w:val="auto"/>
        </w:rPr>
        <w:t>ARTICLE VI</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u w:val="single" w:color="auto"/>
          <w:color w:val="auto"/>
        </w:rPr>
        <w:t>Corporate Seal</w:t>
      </w:r>
    </w:p>
    <w:p>
      <w:pPr>
        <w:spacing w:after="0" w:line="15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716788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101" w:name="page102"/>
    <w:bookmarkEnd w:id="101"/>
    <w:p>
      <w:pPr>
        <w:ind w:left="5240"/>
        <w:spacing w:after="0"/>
        <w:rPr>
          <w:sz w:val="20"/>
          <w:szCs w:val="20"/>
          <w:color w:val="auto"/>
        </w:rPr>
      </w:pPr>
      <w:r>
        <w:rPr>
          <w:rFonts w:ascii="Times New Roman" w:cs="Times New Roman" w:eastAsia="Times New Roman" w:hAnsi="Times New Roman"/>
          <w:sz w:val="13"/>
          <w:szCs w:val="13"/>
          <w:u w:val="single" w:color="auto"/>
          <w:color w:val="auto"/>
        </w:rPr>
        <w:t>ARTICLE VII</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3"/>
          <w:szCs w:val="13"/>
          <w:u w:val="single" w:color="auto"/>
          <w:color w:val="auto"/>
        </w:rPr>
        <w:t>Miscellaneous Provisions</w:t>
      </w:r>
    </w:p>
    <w:p>
      <w:pPr>
        <w:spacing w:after="0" w:line="15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 xml:space="preserve">Section 7.1. </w:t>
      </w:r>
      <w:r>
        <w:rPr>
          <w:rFonts w:ascii="Times New Roman" w:cs="Times New Roman" w:eastAsia="Times New Roman" w:hAnsi="Times New Roman"/>
          <w:sz w:val="13"/>
          <w:szCs w:val="13"/>
          <w:u w:val="single" w:color="auto"/>
          <w:color w:val="auto"/>
        </w:rPr>
        <w:t>Execution of Instruments</w:t>
      </w:r>
      <w:r>
        <w:rPr>
          <w:rFonts w:ascii="Times New Roman" w:cs="Times New Roman" w:eastAsia="Times New Roman" w:hAnsi="Times New Roman"/>
          <w:sz w:val="13"/>
          <w:szCs w:val="13"/>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33"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7.2. </w:t>
      </w:r>
      <w:r>
        <w:rPr>
          <w:rFonts w:ascii="Times New Roman" w:cs="Times New Roman" w:eastAsia="Times New Roman" w:hAnsi="Times New Roman"/>
          <w:sz w:val="13"/>
          <w:szCs w:val="13"/>
          <w:u w:val="single" w:color="auto"/>
          <w:color w:val="auto"/>
        </w:rPr>
        <w:t>Records</w:t>
      </w:r>
      <w:r>
        <w:rPr>
          <w:rFonts w:ascii="Times New Roman" w:cs="Times New Roman" w:eastAsia="Times New Roman" w:hAnsi="Times New Roman"/>
          <w:sz w:val="13"/>
          <w:szCs w:val="13"/>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7.3. </w:t>
      </w:r>
      <w:r>
        <w:rPr>
          <w:rFonts w:ascii="Times New Roman" w:cs="Times New Roman" w:eastAsia="Times New Roman" w:hAnsi="Times New Roman"/>
          <w:sz w:val="13"/>
          <w:szCs w:val="13"/>
          <w:u w:val="single" w:color="auto"/>
          <w:color w:val="auto"/>
        </w:rPr>
        <w:t>Trust Files</w:t>
      </w:r>
      <w:r>
        <w:rPr>
          <w:rFonts w:ascii="Times New Roman" w:cs="Times New Roman" w:eastAsia="Times New Roman" w:hAnsi="Times New Roman"/>
          <w:sz w:val="13"/>
          <w:szCs w:val="13"/>
          <w:color w:val="auto"/>
        </w:rPr>
        <w:t>. There shall be maintained in the Association files all fiduciary records necessary to assure that its fiduciary responsibilities have been properly undertaken and discharged.</w:t>
      </w:r>
    </w:p>
    <w:p>
      <w:pPr>
        <w:spacing w:after="0" w:line="170"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Section 7.4. </w:t>
      </w:r>
      <w:r>
        <w:rPr>
          <w:rFonts w:ascii="Times New Roman" w:cs="Times New Roman" w:eastAsia="Times New Roman" w:hAnsi="Times New Roman"/>
          <w:sz w:val="13"/>
          <w:szCs w:val="13"/>
          <w:u w:val="single" w:color="auto"/>
          <w:color w:val="auto"/>
        </w:rPr>
        <w:t>Trust Investments</w:t>
      </w:r>
      <w:r>
        <w:rPr>
          <w:rFonts w:ascii="Times New Roman" w:cs="Times New Roman" w:eastAsia="Times New Roman" w:hAnsi="Times New Roman"/>
          <w:sz w:val="13"/>
          <w:szCs w:val="13"/>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7.5.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Except where specified otherwise in these Bylaws, prior notice shall be proper if given not more than 30 days nor less than 10 days prior to the event for which notice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16788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102" w:name="page103"/>
    <w:bookmarkEnd w:id="102"/>
    <w:p>
      <w:pPr>
        <w:ind w:left="5220"/>
        <w:spacing w:after="0"/>
        <w:rPr>
          <w:sz w:val="20"/>
          <w:szCs w:val="20"/>
          <w:color w:val="auto"/>
        </w:rPr>
      </w:pPr>
      <w:r>
        <w:rPr>
          <w:rFonts w:ascii="Times New Roman" w:cs="Times New Roman" w:eastAsia="Times New Roman" w:hAnsi="Times New Roman"/>
          <w:sz w:val="13"/>
          <w:szCs w:val="13"/>
          <w:u w:val="single" w:color="auto"/>
          <w:color w:val="auto"/>
        </w:rPr>
        <w:t>ARTICLE VIII</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u w:val="single" w:color="auto"/>
          <w:color w:val="auto"/>
        </w:rPr>
        <w:t>Indemnification</w:t>
      </w:r>
    </w:p>
    <w:p>
      <w:pPr>
        <w:spacing w:after="0" w:line="15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33"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u w:val="single" w:color="auto"/>
          <w:color w:val="auto"/>
        </w:rPr>
        <w:t>ARTICLE IX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Bylaws: Interpretation and Amendment</w:t>
      </w:r>
    </w:p>
    <w:p>
      <w:pPr>
        <w:spacing w:after="0" w:line="15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Section 9.1. These Bylaws shall be interpreted in accordance with and subject to appropriate provisions of law, and may be added to, altered, amended, or repealed, at any regular or special meeting of the Board.</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716788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103" w:name="page104"/>
    <w:bookmarkEnd w:id="103"/>
    <w:p>
      <w:pPr>
        <w:jc w:val="center"/>
        <w:ind w:right="20"/>
        <w:spacing w:after="0"/>
        <w:rPr>
          <w:sz w:val="20"/>
          <w:szCs w:val="20"/>
          <w:color w:val="auto"/>
        </w:rPr>
      </w:pPr>
      <w:r>
        <w:rPr>
          <w:rFonts w:ascii="Times New Roman" w:cs="Times New Roman" w:eastAsia="Times New Roman" w:hAnsi="Times New Roman"/>
          <w:sz w:val="13"/>
          <w:szCs w:val="13"/>
          <w:u w:val="single" w:color="auto"/>
          <w:color w:val="auto"/>
        </w:rPr>
        <w:t>ARTICLE 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Miscellaneous Provisions</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Section 10.1. </w:t>
      </w:r>
      <w:r>
        <w:rPr>
          <w:rFonts w:ascii="Times New Roman" w:cs="Times New Roman" w:eastAsia="Times New Roman" w:hAnsi="Times New Roman"/>
          <w:sz w:val="13"/>
          <w:szCs w:val="13"/>
          <w:u w:val="single" w:color="auto"/>
          <w:color w:val="auto"/>
        </w:rPr>
        <w:t>Fiscal Year</w:t>
      </w:r>
      <w:r>
        <w:rPr>
          <w:rFonts w:ascii="Times New Roman" w:cs="Times New Roman" w:eastAsia="Times New Roman" w:hAnsi="Times New Roman"/>
          <w:sz w:val="13"/>
          <w:szCs w:val="13"/>
          <w:color w:val="auto"/>
        </w:rPr>
        <w:t>. The fiscal year of the Association shall begin on the first day of January in each year and shall end on the thirty-first day of December following.</w:t>
      </w:r>
    </w:p>
    <w:p>
      <w:pPr>
        <w:spacing w:after="0" w:line="170"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Section 10.2.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16788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104" w:name="page105"/>
    <w:bookmarkEnd w:id="104"/>
    <w:p>
      <w:pPr>
        <w:ind w:left="5360"/>
        <w:spacing w:after="0"/>
        <w:rPr>
          <w:sz w:val="20"/>
          <w:szCs w:val="20"/>
          <w:color w:val="auto"/>
        </w:rPr>
      </w:pPr>
      <w:r>
        <w:rPr>
          <w:rFonts w:ascii="Times New Roman" w:cs="Times New Roman" w:eastAsia="Times New Roman" w:hAnsi="Times New Roman"/>
          <w:sz w:val="13"/>
          <w:szCs w:val="13"/>
          <w:b w:val="1"/>
          <w:bCs w:val="1"/>
          <w:u w:val="single" w:color="auto"/>
          <w:color w:val="auto"/>
        </w:rPr>
        <w:t>Exhibit 6</w:t>
      </w:r>
    </w:p>
    <w:p>
      <w:pPr>
        <w:spacing w:after="0" w:line="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b w:val="1"/>
          <w:bCs w:val="1"/>
          <w:color w:val="auto"/>
        </w:rPr>
        <w:t>CONSENT</w:t>
      </w:r>
    </w:p>
    <w:p>
      <w:pPr>
        <w:spacing w:after="0" w:line="157"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August 21, 2024</w:t>
      </w:r>
    </w:p>
    <w:p>
      <w:pPr>
        <w:spacing w:after="0" w:line="330"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3"/>
          <w:szCs w:val="13"/>
          <w:color w:val="auto"/>
        </w:rPr>
        <w:t>By:</w:t>
        <w:tab/>
        <w:t>/s/ 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655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3365500" cy="635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Michael K. Herberger</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323215</wp:posOffset>
            </wp:positionV>
            <wp:extent cx="716788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4"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760" w:type="dxa"/>
            <w:vAlign w:val="bottom"/>
            <w:gridSpan w:val="3"/>
          </w:tcPr>
          <w:p>
            <w:pPr>
              <w:jc w:val="center"/>
              <w:ind w:right="4185"/>
              <w:spacing w:after="0"/>
              <w:rPr>
                <w:sz w:val="20"/>
                <w:szCs w:val="20"/>
                <w:color w:val="auto"/>
              </w:rPr>
            </w:pPr>
            <w:r>
              <w:rPr>
                <w:rFonts w:ascii="Times New Roman" w:cs="Times New Roman" w:eastAsia="Times New Roman" w:hAnsi="Times New Roman"/>
                <w:sz w:val="13"/>
                <w:szCs w:val="13"/>
                <w:b w:val="1"/>
                <w:bCs w:val="1"/>
                <w:color w:val="auto"/>
              </w:rPr>
              <w:t>Exhibit 7</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540" w:type="dxa"/>
            <w:vAlign w:val="bottom"/>
            <w:gridSpan w:val="4"/>
          </w:tcPr>
          <w:p>
            <w:pPr>
              <w:jc w:val="right"/>
              <w:ind w:right="3085"/>
              <w:spacing w:after="0"/>
              <w:rPr>
                <w:sz w:val="20"/>
                <w:szCs w:val="20"/>
                <w:color w:val="auto"/>
              </w:rPr>
            </w:pPr>
            <w:r>
              <w:rPr>
                <w:rFonts w:ascii="Times New Roman" w:cs="Times New Roman" w:eastAsia="Times New Roman" w:hAnsi="Times New Roman"/>
                <w:sz w:val="13"/>
                <w:szCs w:val="13"/>
                <w:b w:val="1"/>
                <w:bCs w:val="1"/>
                <w:color w:val="auto"/>
              </w:rPr>
              <w:t>U.S. Bank Trust Company, National Association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6540" w:type="dxa"/>
            <w:vAlign w:val="bottom"/>
            <w:gridSpan w:val="4"/>
          </w:tcPr>
          <w:p>
            <w:pPr>
              <w:jc w:val="right"/>
              <w:ind w:right="3505"/>
              <w:spacing w:after="0"/>
              <w:rPr>
                <w:sz w:val="20"/>
                <w:szCs w:val="20"/>
                <w:color w:val="auto"/>
              </w:rPr>
            </w:pPr>
            <w:r>
              <w:rPr>
                <w:rFonts w:ascii="Times New Roman" w:cs="Times New Roman" w:eastAsia="Times New Roman" w:hAnsi="Times New Roman"/>
                <w:sz w:val="13"/>
                <w:szCs w:val="13"/>
                <w:b w:val="1"/>
                <w:bCs w:val="1"/>
                <w:color w:val="auto"/>
              </w:rPr>
              <w:t>Statement of Financial Condition</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6540" w:type="dxa"/>
            <w:vAlign w:val="bottom"/>
            <w:gridSpan w:val="4"/>
          </w:tcPr>
          <w:p>
            <w:pPr>
              <w:jc w:val="center"/>
              <w:ind w:right="2405"/>
              <w:spacing w:after="0"/>
              <w:rPr>
                <w:sz w:val="20"/>
                <w:szCs w:val="20"/>
                <w:color w:val="auto"/>
              </w:rPr>
            </w:pPr>
            <w:r>
              <w:rPr>
                <w:rFonts w:ascii="Times New Roman" w:cs="Times New Roman" w:eastAsia="Times New Roman" w:hAnsi="Times New Roman"/>
                <w:sz w:val="13"/>
                <w:szCs w:val="13"/>
                <w:b w:val="1"/>
                <w:bCs w:val="1"/>
                <w:color w:val="auto"/>
              </w:rPr>
              <w:t>as of 6/30/2024</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60" w:type="dxa"/>
            <w:vAlign w:val="bottom"/>
            <w:gridSpan w:val="3"/>
          </w:tcPr>
          <w:p>
            <w:pPr>
              <w:jc w:val="center"/>
              <w:ind w:right="4185"/>
              <w:spacing w:after="0"/>
              <w:rPr>
                <w:sz w:val="20"/>
                <w:szCs w:val="20"/>
                <w:color w:val="auto"/>
              </w:rPr>
            </w:pPr>
            <w:r>
              <w:rPr>
                <w:rFonts w:ascii="Times New Roman" w:cs="Times New Roman" w:eastAsia="Times New Roman" w:hAnsi="Times New Roman"/>
                <w:sz w:val="13"/>
                <w:szCs w:val="13"/>
                <w:b w:val="1"/>
                <w:bCs w:val="1"/>
                <w:color w:val="auto"/>
                <w:w w:val="99"/>
              </w:rPr>
              <w:t>($000’s)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6/30/2021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Balances Due From Depository Institutions</w:t>
            </w:r>
          </w:p>
        </w:tc>
        <w:tc>
          <w:tcPr>
            <w:tcW w:w="6540" w:type="dxa"/>
            <w:vAlign w:val="bottom"/>
            <w:gridSpan w:val="4"/>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1,420,557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Securities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4,393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Federal Funds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Loans &amp; Lease Financing Receivables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Fixed Assets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Intangible Assets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577,338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153,812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7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0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2,157,264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5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Deposits</w:t>
            </w:r>
          </w:p>
        </w:tc>
        <w:tc>
          <w:tcPr>
            <w:tcW w:w="6540" w:type="dxa"/>
            <w:vAlign w:val="bottom"/>
            <w:gridSpan w:val="4"/>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Fed Funds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Treasury Demand Notes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Trading Liabilities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Borrowed Money</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Acceptances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Subordinated Notes and Debentures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Liabilities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215,138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215,138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5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and Preferred Stock</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Surplus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1,171,635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Undivided Profits</w:t>
            </w:r>
          </w:p>
        </w:tc>
        <w:tc>
          <w:tcPr>
            <w:tcW w:w="1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770,291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Minority Interest in Subsidiaries</w:t>
            </w: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Total Equity Capital</w:t>
            </w:r>
          </w:p>
        </w:tc>
        <w:tc>
          <w:tcPr>
            <w:tcW w:w="17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0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1,942,126</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5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Equity Capital</w:t>
            </w:r>
          </w:p>
        </w:tc>
        <w:tc>
          <w:tcPr>
            <w:tcW w:w="6540" w:type="dxa"/>
            <w:vAlign w:val="bottom"/>
            <w:gridSpan w:val="4"/>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2,157,264</w:t>
            </w: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9" w:right="319" w:bottom="1440" w:gutter="0" w:footer="0" w:header="0"/>
        </w:sectPr>
      </w:pPr>
    </w:p>
    <w:bookmarkStart w:id="106" w:name="page107"/>
    <w:bookmarkEnd w:id="106"/>
    <w:p>
      <w:pPr>
        <w:spacing w:after="0" w:line="62" w:lineRule="exact"/>
        <w:rPr>
          <w:sz w:val="20"/>
          <w:szCs w:val="20"/>
          <w:color w:val="auto"/>
        </w:rPr>
      </w:pPr>
    </w:p>
    <w:p>
      <w:pPr>
        <w:ind w:left="3600"/>
        <w:spacing w:after="0"/>
        <w:rPr>
          <w:sz w:val="20"/>
          <w:szCs w:val="20"/>
          <w:color w:val="auto"/>
        </w:rPr>
      </w:pPr>
      <w:r>
        <w:rPr>
          <w:rFonts w:ascii="Arial" w:cs="Arial" w:eastAsia="Arial" w:hAnsi="Arial"/>
          <w:sz w:val="27"/>
          <w:szCs w:val="27"/>
          <w:b w:val="1"/>
          <w:bCs w:val="1"/>
          <w:color w:val="auto"/>
        </w:rPr>
        <w:t>Calculation of Filing Fee Tables</w:t>
      </w:r>
    </w:p>
    <w:p>
      <w:pPr>
        <w:spacing w:after="0" w:line="159"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89" w:lineRule="exact"/>
        <w:rPr>
          <w:sz w:val="20"/>
          <w:szCs w:val="20"/>
          <w:color w:val="auto"/>
        </w:rPr>
      </w:pPr>
    </w:p>
    <w:p>
      <w:pPr>
        <w:jc w:val="center"/>
        <w:ind w:right="180"/>
        <w:spacing w:after="0"/>
        <w:rPr>
          <w:sz w:val="20"/>
          <w:szCs w:val="20"/>
          <w:color w:val="auto"/>
        </w:rPr>
      </w:pPr>
      <w:r>
        <w:rPr>
          <w:rFonts w:ascii="Arial" w:cs="Arial" w:eastAsia="Arial" w:hAnsi="Arial"/>
          <w:sz w:val="27"/>
          <w:szCs w:val="27"/>
          <w:b w:val="1"/>
          <w:bCs w:val="1"/>
          <w:color w:val="auto"/>
        </w:rPr>
        <w:t>PLAINS ALL AMERICAN PIPELINE LP</w:t>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7216775" cy="49244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216775" cy="4924425"/>
                    </a:xfrm>
                    <a:prstGeom prst="rect">
                      <a:avLst/>
                    </a:prstGeom>
                    <a:noFill/>
                  </pic:spPr>
                </pic:pic>
              </a:graphicData>
            </a:graphic>
          </wp:anchor>
        </w:drawing>
      </w:r>
    </w:p>
    <w:p>
      <w:pPr>
        <w:spacing w:after="0" w:line="41"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9"/>
              </w:rPr>
              <w:t>Filing Fee</w:t>
            </w: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6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Carry</w:t>
            </w:r>
          </w:p>
        </w:tc>
        <w:tc>
          <w:tcPr>
            <w:tcW w:w="7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Carry</w:t>
            </w:r>
          </w:p>
        </w:tc>
        <w:tc>
          <w:tcPr>
            <w:tcW w:w="700" w:type="dxa"/>
            <w:vAlign w:val="bottom"/>
            <w:vMerge w:val="continue"/>
          </w:tcPr>
          <w:p>
            <w:pPr>
              <w:spacing w:after="0"/>
              <w:rPr>
                <w:sz w:val="13"/>
                <w:szCs w:val="13"/>
                <w:color w:val="auto"/>
              </w:rPr>
            </w:pPr>
          </w:p>
        </w:tc>
        <w:tc>
          <w:tcPr>
            <w:tcW w:w="9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80"/>
        </w:trPr>
        <w:tc>
          <w:tcPr>
            <w:tcW w:w="720" w:type="dxa"/>
            <w:vAlign w:val="bottom"/>
          </w:tcPr>
          <w:p>
            <w:pPr>
              <w:jc w:val="center"/>
              <w:ind w:right="20"/>
              <w:spacing w:after="0" w:line="180" w:lineRule="exact"/>
              <w:rPr>
                <w:sz w:val="20"/>
                <w:szCs w:val="20"/>
                <w:color w:val="auto"/>
              </w:rPr>
            </w:pPr>
            <w:r>
              <w:rPr>
                <w:rFonts w:ascii="Arial" w:cs="Arial" w:eastAsia="Arial" w:hAnsi="Arial"/>
                <w:sz w:val="16"/>
                <w:szCs w:val="16"/>
                <w:b w:val="1"/>
                <w:bCs w:val="1"/>
                <w:color w:val="auto"/>
                <w:w w:val="98"/>
              </w:rPr>
              <w:t>Security</w:t>
            </w:r>
          </w:p>
        </w:tc>
        <w:tc>
          <w:tcPr>
            <w:tcW w:w="9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Security</w:t>
            </w:r>
          </w:p>
        </w:tc>
        <w:tc>
          <w:tcPr>
            <w:tcW w:w="9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Calculation</w:t>
            </w:r>
          </w:p>
        </w:tc>
        <w:tc>
          <w:tcPr>
            <w:tcW w:w="8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Amount</w:t>
            </w:r>
          </w:p>
        </w:tc>
        <w:tc>
          <w:tcPr>
            <w:tcW w:w="8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Maximum</w:t>
            </w:r>
          </w:p>
        </w:tc>
        <w:tc>
          <w:tcPr>
            <w:tcW w:w="12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Maximum</w:t>
            </w:r>
          </w:p>
        </w:tc>
        <w:tc>
          <w:tcPr>
            <w:tcW w:w="1800" w:type="dxa"/>
            <w:vAlign w:val="bottom"/>
          </w:tcPr>
          <w:p>
            <w:pPr>
              <w:jc w:val="center"/>
              <w:ind w:left="760"/>
              <w:spacing w:after="0" w:line="180" w:lineRule="exact"/>
              <w:rPr>
                <w:sz w:val="20"/>
                <w:szCs w:val="20"/>
                <w:color w:val="auto"/>
              </w:rPr>
            </w:pPr>
            <w:r>
              <w:rPr>
                <w:rFonts w:ascii="Arial" w:cs="Arial" w:eastAsia="Arial" w:hAnsi="Arial"/>
                <w:sz w:val="16"/>
                <w:szCs w:val="16"/>
                <w:b w:val="1"/>
                <w:bCs w:val="1"/>
                <w:color w:val="auto"/>
                <w:w w:val="99"/>
              </w:rPr>
              <w:t>Amount of</w:t>
            </w:r>
          </w:p>
        </w:tc>
        <w:tc>
          <w:tcPr>
            <w:tcW w:w="1360" w:type="dxa"/>
            <w:vAlign w:val="bottom"/>
            <w:gridSpan w:val="2"/>
          </w:tcPr>
          <w:p>
            <w:pPr>
              <w:ind w:left="20"/>
              <w:spacing w:after="0" w:line="180" w:lineRule="exact"/>
              <w:rPr>
                <w:sz w:val="20"/>
                <w:szCs w:val="20"/>
                <w:color w:val="auto"/>
              </w:rPr>
            </w:pPr>
            <w:r>
              <w:rPr>
                <w:rFonts w:ascii="Arial" w:cs="Arial" w:eastAsia="Arial" w:hAnsi="Arial"/>
                <w:sz w:val="16"/>
                <w:szCs w:val="16"/>
                <w:b w:val="1"/>
                <w:bCs w:val="1"/>
                <w:color w:val="auto"/>
              </w:rPr>
              <w:t>Forward Forward</w:t>
            </w:r>
          </w:p>
        </w:tc>
        <w:tc>
          <w:tcPr>
            <w:tcW w:w="7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Forward</w:t>
            </w:r>
          </w:p>
        </w:tc>
        <w:tc>
          <w:tcPr>
            <w:tcW w:w="9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0"/>
        </w:trPr>
        <w:tc>
          <w:tcPr>
            <w:tcW w:w="7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Type</w:t>
            </w:r>
          </w:p>
        </w:tc>
        <w:tc>
          <w:tcPr>
            <w:tcW w:w="9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Class Title</w:t>
            </w:r>
          </w:p>
        </w:tc>
        <w:tc>
          <w:tcPr>
            <w:tcW w:w="9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or Carry</w:t>
            </w:r>
          </w:p>
        </w:tc>
        <w:tc>
          <w:tcPr>
            <w:tcW w:w="8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Registered</w:t>
            </w:r>
          </w:p>
        </w:tc>
        <w:tc>
          <w:tcPr>
            <w:tcW w:w="8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Offering</w:t>
            </w:r>
          </w:p>
        </w:tc>
        <w:tc>
          <w:tcPr>
            <w:tcW w:w="12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Aggregate</w:t>
            </w:r>
          </w:p>
        </w:tc>
        <w:tc>
          <w:tcPr>
            <w:tcW w:w="1800" w:type="dxa"/>
            <w:vAlign w:val="bottom"/>
          </w:tcPr>
          <w:p>
            <w:pPr>
              <w:ind w:left="100"/>
              <w:spacing w:after="0" w:line="180" w:lineRule="exact"/>
              <w:rPr>
                <w:sz w:val="20"/>
                <w:szCs w:val="20"/>
                <w:color w:val="auto"/>
              </w:rPr>
            </w:pPr>
            <w:r>
              <w:rPr>
                <w:rFonts w:ascii="Arial" w:cs="Arial" w:eastAsia="Arial" w:hAnsi="Arial"/>
                <w:sz w:val="16"/>
                <w:szCs w:val="16"/>
                <w:b w:val="1"/>
                <w:bCs w:val="1"/>
                <w:color w:val="auto"/>
              </w:rPr>
              <w:t>Fee Rate Registration</w:t>
            </w:r>
          </w:p>
        </w:tc>
        <w:tc>
          <w:tcPr>
            <w:tcW w:w="6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Form</w:t>
            </w:r>
          </w:p>
        </w:tc>
        <w:tc>
          <w:tcPr>
            <w:tcW w:w="7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File</w:t>
            </w:r>
          </w:p>
        </w:tc>
        <w:tc>
          <w:tcPr>
            <w:tcW w:w="7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Initial</w:t>
            </w:r>
          </w:p>
        </w:tc>
        <w:tc>
          <w:tcPr>
            <w:tcW w:w="9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Unsold</w:t>
            </w: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Forward</w:t>
            </w:r>
          </w:p>
        </w:tc>
        <w:tc>
          <w:tcPr>
            <w:tcW w:w="86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Price Per</w:t>
            </w:r>
          </w:p>
        </w:tc>
        <w:tc>
          <w:tcPr>
            <w:tcW w:w="12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Offering Price</w:t>
            </w:r>
          </w:p>
        </w:tc>
        <w:tc>
          <w:tcPr>
            <w:tcW w:w="1800" w:type="dxa"/>
            <w:vAlign w:val="bottom"/>
          </w:tcPr>
          <w:p>
            <w:pPr>
              <w:jc w:val="center"/>
              <w:ind w:left="760"/>
              <w:spacing w:after="0" w:line="180" w:lineRule="exact"/>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Type</w:t>
            </w:r>
          </w:p>
        </w:tc>
        <w:tc>
          <w:tcPr>
            <w:tcW w:w="7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Number</w:t>
            </w:r>
          </w:p>
        </w:tc>
        <w:tc>
          <w:tcPr>
            <w:tcW w:w="7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Effective</w:t>
            </w:r>
          </w:p>
        </w:tc>
        <w:tc>
          <w:tcPr>
            <w:tcW w:w="9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Rule</w:t>
            </w:r>
          </w:p>
        </w:tc>
        <w:tc>
          <w:tcPr>
            <w:tcW w:w="86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Unit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Date</w:t>
            </w: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 be</w:t>
            </w:r>
          </w:p>
        </w:tc>
        <w:tc>
          <w:tcPr>
            <w:tcW w:w="0" w:type="dxa"/>
            <w:vAlign w:val="bottom"/>
          </w:tcPr>
          <w:p>
            <w:pPr>
              <w:spacing w:after="0"/>
              <w:rPr>
                <w:sz w:val="1"/>
                <w:szCs w:val="1"/>
                <w:color w:val="auto"/>
              </w:rPr>
            </w:pPr>
          </w:p>
        </w:tc>
      </w:tr>
      <w:tr>
        <w:trPr>
          <w:trHeight w:val="35"/>
        </w:trPr>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10600"/>
        <w:spacing w:after="0" w:line="234" w:lineRule="auto"/>
        <w:rPr>
          <w:sz w:val="20"/>
          <w:szCs w:val="20"/>
          <w:color w:val="auto"/>
        </w:rPr>
      </w:pPr>
      <w:r>
        <w:rPr>
          <w:rFonts w:ascii="Arial" w:cs="Arial" w:eastAsia="Arial" w:hAnsi="Arial"/>
          <w:sz w:val="16"/>
          <w:szCs w:val="16"/>
          <w:b w:val="1"/>
          <w:bCs w:val="1"/>
          <w:color w:val="auto"/>
        </w:rPr>
        <w:t>Carried</w:t>
      </w:r>
    </w:p>
    <w:p>
      <w:pPr>
        <w:ind w:left="10580"/>
        <w:spacing w:after="0"/>
        <w:rPr>
          <w:sz w:val="20"/>
          <w:szCs w:val="20"/>
          <w:color w:val="auto"/>
        </w:rPr>
      </w:pPr>
      <w:r>
        <w:rPr>
          <w:rFonts w:ascii="Arial" w:cs="Arial" w:eastAsia="Arial" w:hAnsi="Arial"/>
          <w:sz w:val="16"/>
          <w:szCs w:val="16"/>
          <w:b w:val="1"/>
          <w:bCs w:val="1"/>
          <w:color w:val="auto"/>
        </w:rPr>
        <w:t>Forward</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Newly Registered Securities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Common</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units</w:t>
      </w:r>
    </w:p>
    <w:p>
      <w:pPr>
        <w:ind w:left="1140"/>
        <w:spacing w:after="0" w:line="200" w:lineRule="auto"/>
        <w:tabs>
          <w:tab w:leader="none" w:pos="1820" w:val="left"/>
          <w:tab w:leader="none" w:pos="2940" w:val="left"/>
        </w:tabs>
        <w:rPr>
          <w:sz w:val="20"/>
          <w:szCs w:val="20"/>
          <w:color w:val="auto"/>
        </w:rPr>
      </w:pPr>
      <w:r>
        <w:rPr>
          <w:rFonts w:ascii="Arial" w:cs="Arial" w:eastAsia="Arial" w:hAnsi="Arial"/>
          <w:sz w:val="12"/>
          <w:szCs w:val="12"/>
          <w:color w:val="auto"/>
        </w:rPr>
        <w:t>Equity</w:t>
      </w:r>
      <w:r>
        <w:rPr>
          <w:sz w:val="20"/>
          <w:szCs w:val="20"/>
          <w:color w:val="auto"/>
        </w:rPr>
        <w:tab/>
      </w:r>
      <w:r>
        <w:rPr>
          <w:rFonts w:ascii="Arial" w:cs="Arial" w:eastAsia="Arial" w:hAnsi="Arial"/>
          <w:sz w:val="20"/>
          <w:szCs w:val="20"/>
          <w:color w:val="auto"/>
          <w:vertAlign w:val="superscript"/>
        </w:rPr>
        <w:t>representing</w:t>
      </w:r>
      <w:r>
        <w:rPr>
          <w:sz w:val="20"/>
          <w:szCs w:val="20"/>
          <w:color w:val="auto"/>
        </w:rPr>
        <w:tab/>
      </w:r>
      <w:r>
        <w:rPr>
          <w:rFonts w:ascii="Arial" w:cs="Arial" w:eastAsia="Arial" w:hAnsi="Arial"/>
          <w:sz w:val="11"/>
          <w:szCs w:val="11"/>
          <w:color w:val="auto"/>
        </w:rPr>
        <w:t>457(o)</w:t>
      </w:r>
    </w:p>
    <w:p>
      <w:pPr>
        <w:ind w:left="1840"/>
        <w:spacing w:after="0" w:line="234" w:lineRule="auto"/>
        <w:rPr>
          <w:sz w:val="20"/>
          <w:szCs w:val="20"/>
          <w:color w:val="auto"/>
        </w:rPr>
      </w:pPr>
      <w:r>
        <w:rPr>
          <w:rFonts w:ascii="Arial" w:cs="Arial" w:eastAsia="Arial" w:hAnsi="Arial"/>
          <w:sz w:val="16"/>
          <w:szCs w:val="16"/>
          <w:color w:val="auto"/>
        </w:rPr>
        <w:t>limited</w:t>
      </w:r>
    </w:p>
    <w:p>
      <w:pPr>
        <w:ind w:left="1840"/>
        <w:spacing w:after="0" w:line="235" w:lineRule="auto"/>
        <w:rPr>
          <w:sz w:val="20"/>
          <w:szCs w:val="20"/>
          <w:color w:val="auto"/>
        </w:rPr>
      </w:pPr>
      <w:r>
        <w:rPr>
          <w:rFonts w:ascii="Arial" w:cs="Arial" w:eastAsia="Arial" w:hAnsi="Arial"/>
          <w:sz w:val="16"/>
          <w:szCs w:val="16"/>
          <w:color w:val="auto"/>
        </w:rPr>
        <w:t>partner</w:t>
      </w:r>
    </w:p>
    <w:p>
      <w:pPr>
        <w:ind w:left="1840"/>
        <w:spacing w:after="0"/>
        <w:rPr>
          <w:sz w:val="20"/>
          <w:szCs w:val="20"/>
          <w:color w:val="auto"/>
        </w:rPr>
      </w:pPr>
      <w:r>
        <w:rPr>
          <w:rFonts w:ascii="Arial" w:cs="Arial" w:eastAsia="Arial" w:hAnsi="Arial"/>
          <w:sz w:val="16"/>
          <w:szCs w:val="16"/>
          <w:color w:val="auto"/>
        </w:rPr>
        <w:t>interests</w:t>
      </w:r>
    </w:p>
    <w:p>
      <w:pPr>
        <w:spacing w:after="0" w:line="20"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Preferred</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units</w:t>
      </w:r>
    </w:p>
    <w:p>
      <w:pPr>
        <w:ind w:left="1140"/>
        <w:spacing w:after="0" w:line="200" w:lineRule="auto"/>
        <w:tabs>
          <w:tab w:leader="none" w:pos="1820" w:val="left"/>
          <w:tab w:leader="none" w:pos="2940" w:val="left"/>
        </w:tabs>
        <w:rPr>
          <w:sz w:val="20"/>
          <w:szCs w:val="20"/>
          <w:color w:val="auto"/>
        </w:rPr>
      </w:pPr>
      <w:r>
        <w:rPr>
          <w:rFonts w:ascii="Arial" w:cs="Arial" w:eastAsia="Arial" w:hAnsi="Arial"/>
          <w:sz w:val="12"/>
          <w:szCs w:val="12"/>
          <w:color w:val="auto"/>
        </w:rPr>
        <w:t>Equity</w:t>
      </w:r>
      <w:r>
        <w:rPr>
          <w:sz w:val="20"/>
          <w:szCs w:val="20"/>
          <w:color w:val="auto"/>
        </w:rPr>
        <w:tab/>
      </w:r>
      <w:r>
        <w:rPr>
          <w:rFonts w:ascii="Arial" w:cs="Arial" w:eastAsia="Arial" w:hAnsi="Arial"/>
          <w:sz w:val="20"/>
          <w:szCs w:val="20"/>
          <w:color w:val="auto"/>
          <w:vertAlign w:val="superscript"/>
        </w:rPr>
        <w:t>representing</w:t>
      </w:r>
      <w:r>
        <w:rPr>
          <w:sz w:val="20"/>
          <w:szCs w:val="20"/>
          <w:color w:val="auto"/>
        </w:rPr>
        <w:tab/>
      </w:r>
      <w:r>
        <w:rPr>
          <w:rFonts w:ascii="Arial" w:cs="Arial" w:eastAsia="Arial" w:hAnsi="Arial"/>
          <w:sz w:val="11"/>
          <w:szCs w:val="11"/>
          <w:color w:val="auto"/>
        </w:rPr>
        <w:t>457(o)</w:t>
      </w:r>
    </w:p>
    <w:p>
      <w:pPr>
        <w:ind w:left="1840"/>
        <w:spacing w:after="0" w:line="234" w:lineRule="auto"/>
        <w:rPr>
          <w:sz w:val="20"/>
          <w:szCs w:val="20"/>
          <w:color w:val="auto"/>
        </w:rPr>
      </w:pPr>
      <w:r>
        <w:rPr>
          <w:rFonts w:ascii="Arial" w:cs="Arial" w:eastAsia="Arial" w:hAnsi="Arial"/>
          <w:sz w:val="16"/>
          <w:szCs w:val="16"/>
          <w:color w:val="auto"/>
        </w:rPr>
        <w:t>limited</w:t>
      </w:r>
    </w:p>
    <w:p>
      <w:pPr>
        <w:ind w:left="1840"/>
        <w:spacing w:after="0" w:line="235" w:lineRule="auto"/>
        <w:rPr>
          <w:sz w:val="20"/>
          <w:szCs w:val="20"/>
          <w:color w:val="auto"/>
        </w:rPr>
      </w:pPr>
      <w:r>
        <w:rPr>
          <w:rFonts w:ascii="Arial" w:cs="Arial" w:eastAsia="Arial" w:hAnsi="Arial"/>
          <w:sz w:val="16"/>
          <w:szCs w:val="16"/>
          <w:color w:val="auto"/>
        </w:rPr>
        <w:t>partner</w:t>
      </w:r>
    </w:p>
    <w:p>
      <w:pPr>
        <w:ind w:left="1840"/>
        <w:spacing w:after="0"/>
        <w:rPr>
          <w:sz w:val="20"/>
          <w:szCs w:val="20"/>
          <w:color w:val="auto"/>
        </w:rPr>
      </w:pPr>
      <w:r>
        <w:rPr>
          <w:rFonts w:ascii="Arial" w:cs="Arial" w:eastAsia="Arial" w:hAnsi="Arial"/>
          <w:sz w:val="16"/>
          <w:szCs w:val="16"/>
          <w:color w:val="auto"/>
        </w:rPr>
        <w:t>interests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7"/>
              </w:rPr>
              <w:t>0.0001476</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8"/>
              </w:rPr>
              <w:t>$ 162,360.00</w:t>
            </w:r>
          </w:p>
        </w:tc>
        <w:tc>
          <w:tcPr>
            <w:tcW w:w="0" w:type="dxa"/>
            <w:vAlign w:val="bottom"/>
          </w:tcPr>
          <w:p>
            <w:pPr>
              <w:spacing w:after="0"/>
              <w:rPr>
                <w:sz w:val="1"/>
                <w:szCs w:val="1"/>
                <w:color w:val="auto"/>
              </w:rPr>
            </w:pPr>
          </w:p>
        </w:tc>
      </w:tr>
      <w:tr>
        <w:trPr>
          <w:trHeight w:val="161"/>
        </w:trPr>
        <w:tc>
          <w:tcPr>
            <w:tcW w:w="760" w:type="dxa"/>
            <w:vAlign w:val="bottom"/>
            <w:shd w:val="clear" w:color="auto" w:fill="E7E7E2"/>
          </w:tcPr>
          <w:p>
            <w:pPr>
              <w:ind w:left="20"/>
              <w:spacing w:after="0" w:line="161"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3"/>
                <w:szCs w:val="13"/>
                <w:color w:val="auto"/>
              </w:rPr>
            </w:pPr>
          </w:p>
        </w:tc>
        <w:tc>
          <w:tcPr>
            <w:tcW w:w="1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E7E7E2"/>
          </w:tcPr>
          <w:p>
            <w:pPr>
              <w:spacing w:after="0"/>
              <w:rPr>
                <w:sz w:val="13"/>
                <w:szCs w:val="13"/>
                <w:color w:val="auto"/>
              </w:rPr>
            </w:pPr>
          </w:p>
        </w:tc>
        <w:tc>
          <w:tcPr>
            <w:tcW w:w="20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shd w:val="clear" w:color="auto" w:fill="E7E7E2"/>
          </w:tcPr>
          <w:p>
            <w:pPr>
              <w:jc w:val="right"/>
              <w:spacing w:after="0" w:line="161" w:lineRule="exact"/>
              <w:rPr>
                <w:sz w:val="20"/>
                <w:szCs w:val="20"/>
                <w:color w:val="auto"/>
              </w:rPr>
            </w:pPr>
            <w:r>
              <w:rPr>
                <w:rFonts w:ascii="Arial" w:cs="Arial" w:eastAsia="Arial" w:hAnsi="Arial"/>
                <w:sz w:val="16"/>
                <w:szCs w:val="16"/>
                <w:color w:val="auto"/>
                <w:w w:val="99"/>
              </w:rPr>
              <w:t>1,100,000,000.00</w:t>
            </w:r>
          </w:p>
        </w:tc>
        <w:tc>
          <w:tcPr>
            <w:tcW w:w="20" w:type="dxa"/>
            <w:vAlign w:val="bottom"/>
          </w:tcPr>
          <w:p>
            <w:pPr>
              <w:spacing w:after="0"/>
              <w:rPr>
                <w:sz w:val="13"/>
                <w:szCs w:val="13"/>
                <w:color w:val="auto"/>
              </w:rPr>
            </w:pPr>
          </w:p>
        </w:tc>
        <w:tc>
          <w:tcPr>
            <w:tcW w:w="7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E7E7E2"/>
          </w:tcPr>
          <w:p>
            <w:pPr>
              <w:spacing w:after="0" w:line="140"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3"/>
                <w:szCs w:val="13"/>
                <w:color w:val="auto"/>
              </w:rPr>
            </w:pPr>
          </w:p>
        </w:tc>
        <w:tc>
          <w:tcPr>
            <w:tcW w:w="720" w:type="dxa"/>
            <w:vAlign w:val="bottom"/>
            <w:shd w:val="clear" w:color="auto" w:fill="E7E7E2"/>
          </w:tcPr>
          <w:p>
            <w:pPr>
              <w:spacing w:after="0"/>
              <w:rPr>
                <w:sz w:val="13"/>
                <w:szCs w:val="13"/>
                <w:color w:val="auto"/>
              </w:rPr>
            </w:pPr>
          </w:p>
        </w:tc>
        <w:tc>
          <w:tcPr>
            <w:tcW w:w="20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6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w w:val="97"/>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E7E7E2"/>
          </w:tcPr>
          <w:p>
            <w:pPr>
              <w:ind w:left="20"/>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6"/>
                <w:szCs w:val="16"/>
                <w:color w:val="auto"/>
              </w:rPr>
              <w:t>Total Offering Amounts:</w:t>
            </w:r>
          </w:p>
        </w:tc>
        <w:tc>
          <w:tcPr>
            <w:tcW w:w="20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$ 162,360.00</w:t>
            </w: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6"/>
                <w:szCs w:val="16"/>
                <w:color w:val="auto"/>
              </w:rPr>
              <w:t>1,100,000,000.00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80" w:type="dxa"/>
            <w:vAlign w:val="bottom"/>
            <w:gridSpan w:val="5"/>
          </w:tcPr>
          <w:p>
            <w:pPr>
              <w:jc w:val="right"/>
              <w:ind w:right="20"/>
              <w:spacing w:after="0"/>
              <w:rPr>
                <w:sz w:val="20"/>
                <w:szCs w:val="20"/>
                <w:color w:val="auto"/>
              </w:rPr>
            </w:pPr>
            <w:r>
              <w:rPr>
                <w:rFonts w:ascii="Arial" w:cs="Arial" w:eastAsia="Arial" w:hAnsi="Arial"/>
                <w:sz w:val="16"/>
                <w:szCs w:val="16"/>
                <w:color w:val="auto"/>
                <w:w w:val="99"/>
              </w:rPr>
              <w:t>Total Fees Previously Paid:</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$ 120,010.00</w:t>
            </w: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$ 42,350.00</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Offering Note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0"/>
          <w:szCs w:val="10"/>
          <w:color w:val="auto"/>
        </w:rPr>
        <w:t>1</w:t>
      </w:r>
    </w:p>
    <w:p>
      <w:pPr>
        <w:spacing w:after="0" w:line="54" w:lineRule="exact"/>
        <w:rPr>
          <w:sz w:val="20"/>
          <w:szCs w:val="20"/>
          <w:color w:val="auto"/>
        </w:rPr>
      </w:pPr>
    </w:p>
    <w:p>
      <w:pPr>
        <w:ind w:left="200" w:right="80"/>
        <w:spacing w:after="0" w:line="243" w:lineRule="auto"/>
        <w:rPr>
          <w:sz w:val="20"/>
          <w:szCs w:val="20"/>
          <w:color w:val="auto"/>
        </w:rPr>
      </w:pPr>
      <w:r>
        <w:rPr>
          <w:rFonts w:ascii="Arial" w:cs="Arial" w:eastAsia="Arial" w:hAnsi="Arial"/>
          <w:sz w:val="16"/>
          <w:szCs w:val="16"/>
          <w:color w:val="auto"/>
        </w:rPr>
        <w:t>(1a) This Registration Statement covers the offer and sale up to $1,100,000,000.00 aggregate principal amount of common units representing limited partner interests ("common units") and preferred units representing limited partner interests ("preferred units") of Plains All American Pipeline, L.P. ("PAA") and debt securities of PAA or PAA and PAA Finance Corp. The securities registered under this Registration Statement may be sold separately or as units with other securities registered under this Registration Statement. This Registration Statement also covers an indeterminate securities as may be issued in exchange for, or upon conversion or exercise of, as the case may be, the securities registered hereunder.</w:t>
      </w:r>
    </w:p>
    <w:p>
      <w:pPr>
        <w:spacing w:after="0" w:line="147" w:lineRule="exact"/>
        <w:rPr>
          <w:sz w:val="20"/>
          <w:szCs w:val="20"/>
          <w:color w:val="auto"/>
        </w:rPr>
      </w:pPr>
    </w:p>
    <w:p>
      <w:pPr>
        <w:ind w:left="200" w:right="80"/>
        <w:spacing w:after="0" w:line="251" w:lineRule="auto"/>
        <w:rPr>
          <w:sz w:val="20"/>
          <w:szCs w:val="20"/>
          <w:color w:val="auto"/>
        </w:rPr>
      </w:pPr>
      <w:r>
        <w:rPr>
          <w:rFonts w:ascii="Arial" w:cs="Arial" w:eastAsia="Arial" w:hAnsi="Arial"/>
          <w:sz w:val="16"/>
          <w:szCs w:val="16"/>
          <w:color w:val="auto"/>
        </w:rPr>
        <w:t>(1b) The proposed maximum aggregate offering price for each class of securities will be determined from time to time by the registrant in connection with the issuance of the securities registered hereunder and is not specified pursuant to Instruction 2.A.iii.b of the Instructions to the Calculation of Filing Fee Tables and Related Disclosure of Form S-3.</w:t>
      </w:r>
    </w:p>
    <w:p>
      <w:pPr>
        <w:spacing w:after="0" w:line="141" w:lineRule="exact"/>
        <w:rPr>
          <w:sz w:val="20"/>
          <w:szCs w:val="20"/>
          <w:color w:val="auto"/>
        </w:rPr>
      </w:pPr>
    </w:p>
    <w:p>
      <w:pPr>
        <w:ind w:left="200" w:right="260"/>
        <w:spacing w:after="0" w:line="268" w:lineRule="auto"/>
        <w:rPr>
          <w:sz w:val="20"/>
          <w:szCs w:val="20"/>
          <w:color w:val="auto"/>
        </w:rPr>
      </w:pPr>
      <w:r>
        <w:rPr>
          <w:rFonts w:ascii="Arial" w:cs="Arial" w:eastAsia="Arial" w:hAnsi="Arial"/>
          <w:sz w:val="16"/>
          <w:szCs w:val="16"/>
          <w:color w:val="auto"/>
        </w:rPr>
        <w:t>(1c) If any debt securities are issued at an original issue discount, then the offering price of those debt securities shall be in an amount that will result in an aggregate initial offering price not to exceed $1,100,000,000.00, less the dollar amount of any registered securities previously issued.</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(1d) Estimated solely for the purposes of computing the amount of the registration fee pursuant to Rule 457(o) under the Securities 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(1e) See Note (1) to Table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73660</wp:posOffset>
            </wp:positionV>
            <wp:extent cx="70605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060565" cy="3810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Table 2: Fee Offset Claims and Sources</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840" w:type="dxa"/>
            <w:vAlign w:val="bottom"/>
            <w:tcBorders>
              <w:top w:val="single" w:sz="8" w:color="auto"/>
              <w:left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840" w:type="dxa"/>
            <w:vAlign w:val="bottom"/>
            <w:tcBorders>
              <w:left w:val="single" w:sz="8" w:color="auto"/>
            </w:tcBorders>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9ADAF6"/>
          </w:tcPr>
          <w:p>
            <w:pPr>
              <w:spacing w:after="0"/>
              <w:rPr>
                <w:sz w:val="13"/>
                <w:szCs w:val="13"/>
                <w:color w:val="auto"/>
              </w:rPr>
            </w:pPr>
          </w:p>
        </w:tc>
        <w:tc>
          <w:tcPr>
            <w:tcW w:w="1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Security</w:t>
            </w:r>
          </w:p>
        </w:tc>
        <w:tc>
          <w:tcPr>
            <w:tcW w:w="20" w:type="dxa"/>
            <w:vAlign w:val="bottom"/>
          </w:tcPr>
          <w:p>
            <w:pPr>
              <w:spacing w:after="0"/>
              <w:rPr>
                <w:sz w:val="13"/>
                <w:szCs w:val="13"/>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3"/>
                <w:szCs w:val="13"/>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3"/>
                <w:szCs w:val="13"/>
                <w:color w:val="auto"/>
              </w:rPr>
            </w:pPr>
          </w:p>
        </w:tc>
        <w:tc>
          <w:tcPr>
            <w:tcW w:w="1260" w:type="dxa"/>
            <w:vAlign w:val="bottom"/>
            <w:shd w:val="clear" w:color="auto" w:fill="9ADAF6"/>
          </w:tcPr>
          <w:p>
            <w:pPr>
              <w:jc w:val="center"/>
              <w:spacing w:after="0" w:line="151"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3"/>
                <w:szCs w:val="13"/>
                <w:color w:val="auto"/>
              </w:rPr>
            </w:pPr>
          </w:p>
        </w:tc>
        <w:tc>
          <w:tcPr>
            <w:tcW w:w="840" w:type="dxa"/>
            <w:vAlign w:val="bottom"/>
            <w:shd w:val="clear" w:color="auto" w:fill="9ADAF6"/>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84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7"/>
                <w:szCs w:val="7"/>
                <w:color w:val="auto"/>
              </w:rPr>
            </w:pPr>
          </w:p>
        </w:tc>
        <w:tc>
          <w:tcPr>
            <w:tcW w:w="12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Fee Paid</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shd w:val="clear" w:color="auto" w:fill="9ADAF6"/>
          </w:tcPr>
          <w:p>
            <w:pPr>
              <w:jc w:val="center"/>
              <w:ind w:left="40"/>
              <w:spacing w:after="0" w:line="180" w:lineRule="exact"/>
              <w:rPr>
                <w:sz w:val="20"/>
                <w:szCs w:val="20"/>
                <w:color w:val="auto"/>
              </w:rPr>
            </w:pPr>
            <w:r>
              <w:rPr>
                <w:rFonts w:ascii="Arial" w:cs="Arial" w:eastAsia="Arial" w:hAnsi="Arial"/>
                <w:sz w:val="16"/>
                <w:szCs w:val="16"/>
                <w:b w:val="1"/>
                <w:bCs w:val="1"/>
                <w:color w:val="auto"/>
              </w:rPr>
              <w:t>Initial</w:t>
            </w: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7"/>
                <w:szCs w:val="7"/>
                <w:color w:val="auto"/>
              </w:rPr>
            </w:pPr>
          </w:p>
        </w:tc>
        <w:tc>
          <w:tcPr>
            <w:tcW w:w="840" w:type="dxa"/>
            <w:vAlign w:val="bottom"/>
            <w:vMerge w:val="continue"/>
            <w:shd w:val="clear" w:color="auto" w:fill="9ADAF6"/>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Registrant or</w:t>
            </w:r>
          </w:p>
        </w:tc>
        <w:tc>
          <w:tcPr>
            <w:tcW w:w="20" w:type="dxa"/>
            <w:vAlign w:val="bottom"/>
          </w:tcPr>
          <w:p>
            <w:pPr>
              <w:spacing w:after="0"/>
              <w:rPr>
                <w:sz w:val="7"/>
                <w:szCs w:val="7"/>
                <w:color w:val="auto"/>
              </w:rPr>
            </w:pPr>
          </w:p>
        </w:tc>
        <w:tc>
          <w:tcPr>
            <w:tcW w:w="56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700" w:type="dxa"/>
            <w:vAlign w:val="bottom"/>
            <w:vMerge w:val="continue"/>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820" w:type="dxa"/>
            <w:vAlign w:val="bottom"/>
            <w:vMerge w:val="restart"/>
            <w:shd w:val="clear" w:color="auto" w:fill="9ADAF6"/>
          </w:tcPr>
          <w:p>
            <w:pPr>
              <w:jc w:val="right"/>
              <w:spacing w:after="0" w:line="180" w:lineRule="exact"/>
              <w:rPr>
                <w:sz w:val="20"/>
                <w:szCs w:val="20"/>
                <w:color w:val="auto"/>
              </w:rPr>
            </w:pPr>
            <w:r>
              <w:rPr>
                <w:rFonts w:ascii="Arial" w:cs="Arial" w:eastAsia="Arial" w:hAnsi="Arial"/>
                <w:sz w:val="16"/>
                <w:szCs w:val="16"/>
                <w:b w:val="1"/>
                <w:bCs w:val="1"/>
                <w:color w:val="auto"/>
                <w:w w:val="99"/>
              </w:rPr>
              <w:t>Fee Offset</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7"/>
                <w:szCs w:val="7"/>
                <w:color w:val="auto"/>
              </w:rPr>
            </w:pPr>
          </w:p>
        </w:tc>
        <w:tc>
          <w:tcPr>
            <w:tcW w:w="12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with Fee</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shd w:val="clear" w:color="auto" w:fill="9ADAF6"/>
          </w:tcPr>
          <w:p>
            <w:pPr>
              <w:jc w:val="center"/>
              <w:ind w:left="40"/>
              <w:spacing w:after="0" w:line="180" w:lineRule="exact"/>
              <w:rPr>
                <w:sz w:val="20"/>
                <w:szCs w:val="20"/>
                <w:color w:val="auto"/>
              </w:rPr>
            </w:pPr>
            <w:r>
              <w:rPr>
                <w:rFonts w:ascii="Arial" w:cs="Arial" w:eastAsia="Arial" w:hAnsi="Arial"/>
                <w:sz w:val="16"/>
                <w:szCs w:val="16"/>
                <w:b w:val="1"/>
                <w:bCs w:val="1"/>
                <w:color w:val="auto"/>
                <w:w w:val="98"/>
              </w:rPr>
              <w:t>Filing</w:t>
            </w: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7"/>
                <w:szCs w:val="7"/>
                <w:color w:val="auto"/>
              </w:rPr>
            </w:pPr>
          </w:p>
        </w:tc>
        <w:tc>
          <w:tcPr>
            <w:tcW w:w="840" w:type="dxa"/>
            <w:vAlign w:val="bottom"/>
            <w:vMerge w:val="continue"/>
            <w:shd w:val="clear" w:color="auto" w:fill="9ADAF6"/>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Filer Name</w:t>
            </w:r>
          </w:p>
        </w:tc>
        <w:tc>
          <w:tcPr>
            <w:tcW w:w="20" w:type="dxa"/>
            <w:vAlign w:val="bottom"/>
          </w:tcPr>
          <w:p>
            <w:pPr>
              <w:spacing w:after="0"/>
              <w:rPr>
                <w:sz w:val="7"/>
                <w:szCs w:val="7"/>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7"/>
                <w:szCs w:val="7"/>
                <w:color w:val="auto"/>
              </w:rPr>
            </w:pPr>
          </w:p>
        </w:tc>
        <w:tc>
          <w:tcPr>
            <w:tcW w:w="700" w:type="dxa"/>
            <w:vAlign w:val="bottom"/>
            <w:vMerge w:val="continue"/>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7"/>
                <w:szCs w:val="7"/>
                <w:color w:val="auto"/>
              </w:rPr>
            </w:pPr>
          </w:p>
        </w:tc>
        <w:tc>
          <w:tcPr>
            <w:tcW w:w="820" w:type="dxa"/>
            <w:vAlign w:val="bottom"/>
            <w:vMerge w:val="restart"/>
            <w:shd w:val="clear" w:color="auto" w:fill="9ADAF6"/>
          </w:tcPr>
          <w:p>
            <w:pPr>
              <w:jc w:val="right"/>
              <w:ind w:right="20"/>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7"/>
                <w:szCs w:val="7"/>
                <w:color w:val="auto"/>
              </w:rPr>
            </w:pPr>
          </w:p>
        </w:tc>
        <w:tc>
          <w:tcPr>
            <w:tcW w:w="12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840" w:type="dxa"/>
            <w:vAlign w:val="bottom"/>
            <w:tcBorders>
              <w:left w:val="single" w:sz="8" w:color="auto"/>
            </w:tcBorders>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9ADAF6"/>
          </w:tcPr>
          <w:p>
            <w:pPr>
              <w:jc w:val="center"/>
              <w:ind w:left="40"/>
              <w:spacing w:after="0" w:line="161" w:lineRule="exact"/>
              <w:rPr>
                <w:sz w:val="20"/>
                <w:szCs w:val="20"/>
                <w:color w:val="auto"/>
              </w:rPr>
            </w:pPr>
            <w:r>
              <w:rPr>
                <w:rFonts w:ascii="Arial" w:cs="Arial" w:eastAsia="Arial" w:hAnsi="Arial"/>
                <w:sz w:val="16"/>
                <w:szCs w:val="16"/>
                <w:b w:val="1"/>
                <w:bCs w:val="1"/>
                <w:color w:val="auto"/>
                <w:w w:val="97"/>
              </w:rPr>
              <w:t>Date</w:t>
            </w:r>
          </w:p>
        </w:tc>
        <w:tc>
          <w:tcPr>
            <w:tcW w:w="1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Associated with</w:t>
            </w:r>
          </w:p>
        </w:tc>
        <w:tc>
          <w:tcPr>
            <w:tcW w:w="20" w:type="dxa"/>
            <w:vAlign w:val="bottom"/>
          </w:tcPr>
          <w:p>
            <w:pPr>
              <w:spacing w:after="0"/>
              <w:rPr>
                <w:sz w:val="13"/>
                <w:szCs w:val="13"/>
                <w:color w:val="auto"/>
              </w:rPr>
            </w:pPr>
          </w:p>
        </w:tc>
        <w:tc>
          <w:tcPr>
            <w:tcW w:w="840" w:type="dxa"/>
            <w:vAlign w:val="bottom"/>
            <w:vMerge w:val="continue"/>
            <w:shd w:val="clear" w:color="auto" w:fill="9ADAF6"/>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840" w:type="dxa"/>
            <w:vAlign w:val="bottom"/>
            <w:tcBorders>
              <w:left w:val="single" w:sz="8" w:color="auto"/>
            </w:tcBorders>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1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Offset</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Offset</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Offset</w:t>
            </w:r>
          </w:p>
        </w:tc>
        <w:tc>
          <w:tcPr>
            <w:tcW w:w="20" w:type="dxa"/>
            <w:vAlign w:val="bottom"/>
          </w:tcPr>
          <w:p>
            <w:pPr>
              <w:spacing w:after="0"/>
              <w:rPr>
                <w:sz w:val="9"/>
                <w:szCs w:val="9"/>
                <w:color w:val="auto"/>
              </w:rPr>
            </w:pPr>
          </w:p>
        </w:tc>
        <w:tc>
          <w:tcPr>
            <w:tcW w:w="12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Fee Offset</w:t>
            </w:r>
          </w:p>
        </w:tc>
        <w:tc>
          <w:tcPr>
            <w:tcW w:w="20" w:type="dxa"/>
            <w:vAlign w:val="bottom"/>
          </w:tcPr>
          <w:p>
            <w:pPr>
              <w:spacing w:after="0"/>
              <w:rPr>
                <w:sz w:val="9"/>
                <w:szCs w:val="9"/>
                <w:color w:val="auto"/>
              </w:rPr>
            </w:pPr>
          </w:p>
        </w:tc>
        <w:tc>
          <w:tcPr>
            <w:tcW w:w="840" w:type="dxa"/>
            <w:vAlign w:val="bottom"/>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Source</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7"/>
                <w:szCs w:val="7"/>
                <w:color w:val="auto"/>
              </w:rPr>
            </w:pPr>
          </w:p>
        </w:tc>
        <w:tc>
          <w:tcPr>
            <w:tcW w:w="12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840" w:type="dxa"/>
            <w:vAlign w:val="bottom"/>
            <w:tcBorders>
              <w:left w:val="single" w:sz="8" w:color="auto"/>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84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20" w:type="dxa"/>
            <w:vAlign w:val="bottom"/>
            <w:gridSpan w:val="7"/>
          </w:tcPr>
          <w:p>
            <w:pPr>
              <w:jc w:val="center"/>
              <w:ind w:right="503"/>
              <w:spacing w:after="0"/>
              <w:rPr>
                <w:sz w:val="20"/>
                <w:szCs w:val="20"/>
                <w:color w:val="auto"/>
              </w:rPr>
            </w:pPr>
            <w:r>
              <w:rPr>
                <w:rFonts w:ascii="Arial" w:cs="Arial" w:eastAsia="Arial" w:hAnsi="Arial"/>
                <w:sz w:val="16"/>
                <w:szCs w:val="16"/>
                <w:b w:val="1"/>
                <w:bCs w:val="1"/>
                <w:color w:val="auto"/>
                <w:w w:val="99"/>
              </w:rPr>
              <w:t>Rules 457(b) and 0-11(a)(2)</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40" w:type="dxa"/>
            <w:vAlign w:val="bottom"/>
            <w:tcBorders>
              <w:left w:val="single" w:sz="8" w:color="auto"/>
            </w:tcBorders>
            <w:shd w:val="clear" w:color="auto" w:fill="E7E7E2"/>
          </w:tcPr>
          <w:p>
            <w:pPr>
              <w:ind w:left="40"/>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4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40" w:type="dxa"/>
            <w:vAlign w:val="bottom"/>
            <w:tcBorders>
              <w:left w:val="single" w:sz="8" w:color="auto"/>
            </w:tcBorders>
            <w:shd w:val="clear" w:color="auto" w:fill="E7E7E2"/>
          </w:tcPr>
          <w:p>
            <w:pPr>
              <w:ind w:left="40"/>
              <w:spacing w:after="0" w:line="179"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4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5"/>
          </w:tcPr>
          <w:p>
            <w:pPr>
              <w:jc w:val="center"/>
              <w:ind w:right="663"/>
              <w:spacing w:after="0"/>
              <w:rPr>
                <w:sz w:val="20"/>
                <w:szCs w:val="20"/>
                <w:color w:val="auto"/>
              </w:rPr>
            </w:pPr>
            <w:r>
              <w:rPr>
                <w:rFonts w:ascii="Arial" w:cs="Arial" w:eastAsia="Arial" w:hAnsi="Arial"/>
                <w:sz w:val="16"/>
                <w:szCs w:val="16"/>
                <w:b w:val="1"/>
                <w:bCs w:val="1"/>
                <w:color w:val="auto"/>
                <w:w w:val="99"/>
              </w:rPr>
              <w:t>Rule 457(p)</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40" w:type="dxa"/>
            <w:vAlign w:val="bottom"/>
            <w:tcBorders>
              <w:left w:val="single" w:sz="8" w:color="auto"/>
            </w:tcBorders>
            <w:shd w:val="clear" w:color="auto" w:fill="E7E7E2"/>
          </w:tcPr>
          <w:p>
            <w:pPr>
              <w:ind w:left="40"/>
              <w:spacing w:after="0" w:line="181"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460" w:type="dxa"/>
            <w:vAlign w:val="bottom"/>
            <w:shd w:val="clear" w:color="auto" w:fill="E7E7E2"/>
          </w:tcPr>
          <w:p>
            <w:pPr>
              <w:jc w:val="right"/>
              <w:ind w:right="100"/>
              <w:spacing w:after="0" w:line="181"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124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Plains All</w:t>
            </w:r>
          </w:p>
        </w:tc>
        <w:tc>
          <w:tcPr>
            <w:tcW w:w="20" w:type="dxa"/>
            <w:vAlign w:val="bottom"/>
          </w:tcPr>
          <w:p>
            <w:pPr>
              <w:spacing w:after="0"/>
              <w:rPr>
                <w:sz w:val="15"/>
                <w:szCs w:val="15"/>
                <w:color w:val="auto"/>
              </w:rPr>
            </w:pPr>
          </w:p>
        </w:tc>
        <w:tc>
          <w:tcPr>
            <w:tcW w:w="560" w:type="dxa"/>
            <w:vAlign w:val="bottom"/>
            <w:shd w:val="clear" w:color="auto" w:fill="E7E7E2"/>
          </w:tcPr>
          <w:p>
            <w:pPr>
              <w:jc w:val="center"/>
              <w:spacing w:after="0" w:line="181" w:lineRule="exact"/>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15"/>
                <w:szCs w:val="15"/>
                <w:color w:val="auto"/>
              </w:rPr>
            </w:pPr>
          </w:p>
        </w:tc>
        <w:tc>
          <w:tcPr>
            <w:tcW w:w="680" w:type="dxa"/>
            <w:vAlign w:val="bottom"/>
            <w:shd w:val="clear" w:color="auto" w:fill="E7E7E2"/>
          </w:tcPr>
          <w:p>
            <w:pPr>
              <w:jc w:val="right"/>
              <w:ind w:right="100"/>
              <w:spacing w:after="0" w:line="181" w:lineRule="exact"/>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gridSpan w:val="2"/>
            <w:shd w:val="clear" w:color="auto" w:fill="E7E7E2"/>
          </w:tcPr>
          <w:p>
            <w:pPr>
              <w:jc w:val="center"/>
              <w:spacing w:after="0" w:line="181" w:lineRule="exact"/>
              <w:rPr>
                <w:sz w:val="20"/>
                <w:szCs w:val="20"/>
                <w:color w:val="auto"/>
              </w:rPr>
            </w:pPr>
            <w:r>
              <w:rPr>
                <w:rFonts w:ascii="Arial" w:cs="Arial" w:eastAsia="Arial" w:hAnsi="Arial"/>
                <w:sz w:val="16"/>
                <w:szCs w:val="16"/>
                <w:color w:val="auto"/>
                <w:w w:val="99"/>
              </w:rPr>
              <w:t>09/08/2021</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jc w:val="right"/>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80" w:type="dxa"/>
            <w:vAlign w:val="bottom"/>
            <w:shd w:val="clear" w:color="auto" w:fill="E7E7E2"/>
          </w:tcPr>
          <w:p>
            <w:pPr>
              <w:jc w:val="center"/>
              <w:spacing w:after="0" w:line="181"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E7E7E2"/>
          </w:tcPr>
          <w:p>
            <w:pPr>
              <w:jc w:val="right"/>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4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shd w:val="clear" w:color="auto" w:fill="E7E7E2"/>
          </w:tcPr>
          <w:p>
            <w:pPr>
              <w:ind w:left="20"/>
              <w:spacing w:after="0"/>
              <w:rPr>
                <w:sz w:val="20"/>
                <w:szCs w:val="20"/>
                <w:color w:val="auto"/>
              </w:rPr>
            </w:pPr>
            <w:r>
              <w:rPr>
                <w:rFonts w:ascii="Arial" w:cs="Arial" w:eastAsia="Arial" w:hAnsi="Arial"/>
                <w:sz w:val="16"/>
                <w:szCs w:val="16"/>
                <w:color w:val="auto"/>
              </w:rPr>
              <w:t>American</w:t>
            </w:r>
          </w:p>
        </w:tc>
        <w:tc>
          <w:tcPr>
            <w:tcW w:w="20" w:type="dxa"/>
            <w:vAlign w:val="bottom"/>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259390</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6"/>
                <w:szCs w:val="16"/>
                <w:color w:val="auto"/>
                <w:w w:val="99"/>
              </w:rPr>
              <w:t>120,010.00</w:t>
            </w:r>
          </w:p>
        </w:tc>
        <w:tc>
          <w:tcPr>
            <w:tcW w:w="20" w:type="dxa"/>
            <w:vAlign w:val="bottom"/>
          </w:tcPr>
          <w:p>
            <w:pPr>
              <w:spacing w:after="0"/>
              <w:rPr>
                <w:sz w:val="18"/>
                <w:szCs w:val="18"/>
                <w:color w:val="auto"/>
              </w:rPr>
            </w:pPr>
          </w:p>
        </w:tc>
        <w:tc>
          <w:tcPr>
            <w:tcW w:w="880" w:type="dxa"/>
            <w:vAlign w:val="bottom"/>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E7E7E2"/>
          </w:tcPr>
          <w:p>
            <w:pPr>
              <w:jc w:val="right"/>
              <w:spacing w:after="0"/>
              <w:rPr>
                <w:sz w:val="20"/>
                <w:szCs w:val="20"/>
                <w:color w:val="auto"/>
              </w:rPr>
            </w:pPr>
            <w:r>
              <w:rPr>
                <w:rFonts w:ascii="Arial" w:cs="Arial" w:eastAsia="Arial" w:hAnsi="Arial"/>
                <w:sz w:val="16"/>
                <w:szCs w:val="16"/>
                <w:color w:val="auto"/>
                <w:w w:val="99"/>
              </w:rPr>
              <w:t>1,100,000,000.00</w:t>
            </w: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840" w:type="dxa"/>
            <w:vAlign w:val="bottom"/>
            <w:tcBorders>
              <w:left w:val="single" w:sz="8" w:color="auto"/>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320"/>
          </w:cols>
          <w:pgMar w:left="300" w:top="142" w:right="279" w:bottom="0" w:gutter="0" w:footer="0" w:header="0"/>
        </w:sectPr>
      </w:pPr>
    </w:p>
    <w:bookmarkStart w:id="107" w:name="page108"/>
    <w:bookmarkEnd w:id="1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90"/>
        </w:trPr>
        <w:tc>
          <w:tcPr>
            <w:tcW w:w="840" w:type="dxa"/>
            <w:vAlign w:val="bottom"/>
            <w:tcBorders>
              <w:left w:val="single" w:sz="8" w:color="auto"/>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Pipeline LP</w:t>
            </w:r>
          </w:p>
        </w:tc>
        <w:tc>
          <w:tcPr>
            <w:tcW w:w="20" w:type="dxa"/>
            <w:vAlign w:val="bottom"/>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vMerge w:val="restart"/>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Shelf</w:t>
            </w:r>
          </w:p>
        </w:tc>
        <w:tc>
          <w:tcPr>
            <w:tcW w:w="20" w:type="dxa"/>
            <w:vAlign w:val="bottom"/>
            <w:vMerge w:val="restart"/>
          </w:tcPr>
          <w:p>
            <w:pPr>
              <w:spacing w:after="0"/>
              <w:rPr>
                <w:sz w:val="7"/>
                <w:szCs w:val="7"/>
                <w:color w:val="auto"/>
              </w:rPr>
            </w:pPr>
          </w:p>
        </w:tc>
        <w:tc>
          <w:tcPr>
            <w:tcW w:w="880" w:type="dxa"/>
            <w:vAlign w:val="bottom"/>
            <w:vMerge w:val="restart"/>
            <w:shd w:val="clear" w:color="auto" w:fill="E7E7E2"/>
          </w:tcPr>
          <w:p>
            <w:pPr>
              <w:spacing w:after="0"/>
              <w:rPr>
                <w:sz w:val="7"/>
                <w:szCs w:val="7"/>
                <w:color w:val="auto"/>
              </w:rPr>
            </w:pPr>
          </w:p>
        </w:tc>
        <w:tc>
          <w:tcPr>
            <w:tcW w:w="20" w:type="dxa"/>
            <w:vAlign w:val="bottom"/>
            <w:vMerge w:val="restart"/>
          </w:tcPr>
          <w:p>
            <w:pPr>
              <w:spacing w:after="0"/>
              <w:rPr>
                <w:sz w:val="7"/>
                <w:szCs w:val="7"/>
                <w:color w:val="auto"/>
              </w:rPr>
            </w:pPr>
          </w:p>
        </w:tc>
        <w:tc>
          <w:tcPr>
            <w:tcW w:w="880" w:type="dxa"/>
            <w:vAlign w:val="bottom"/>
            <w:vMerge w:val="restart"/>
            <w:shd w:val="clear" w:color="auto" w:fill="E7E7E2"/>
          </w:tcPr>
          <w:p>
            <w:pPr>
              <w:spacing w:after="0"/>
              <w:rPr>
                <w:sz w:val="7"/>
                <w:szCs w:val="7"/>
                <w:color w:val="auto"/>
              </w:rPr>
            </w:pPr>
          </w:p>
        </w:tc>
        <w:tc>
          <w:tcPr>
            <w:tcW w:w="20" w:type="dxa"/>
            <w:vAlign w:val="bottom"/>
            <w:vMerge w:val="restart"/>
          </w:tcPr>
          <w:p>
            <w:pPr>
              <w:spacing w:after="0"/>
              <w:rPr>
                <w:sz w:val="7"/>
                <w:szCs w:val="7"/>
                <w:color w:val="auto"/>
              </w:rPr>
            </w:pPr>
          </w:p>
        </w:tc>
        <w:tc>
          <w:tcPr>
            <w:tcW w:w="1260" w:type="dxa"/>
            <w:vAlign w:val="bottom"/>
            <w:shd w:val="clear" w:color="auto" w:fill="E7E7E2"/>
          </w:tcPr>
          <w:p>
            <w:pPr>
              <w:spacing w:after="0"/>
              <w:rPr>
                <w:sz w:val="7"/>
                <w:szCs w:val="7"/>
                <w:color w:val="auto"/>
              </w:rPr>
            </w:pPr>
          </w:p>
        </w:tc>
        <w:tc>
          <w:tcPr>
            <w:tcW w:w="20" w:type="dxa"/>
            <w:vAlign w:val="bottom"/>
            <w:vMerge w:val="restart"/>
          </w:tcPr>
          <w:p>
            <w:pPr>
              <w:spacing w:after="0"/>
              <w:rPr>
                <w:sz w:val="7"/>
                <w:szCs w:val="7"/>
                <w:color w:val="auto"/>
              </w:rPr>
            </w:pPr>
          </w:p>
        </w:tc>
        <w:tc>
          <w:tcPr>
            <w:tcW w:w="840" w:type="dxa"/>
            <w:vAlign w:val="bottom"/>
            <w:vMerge w:val="restart"/>
            <w:shd w:val="clear" w:color="auto" w:fill="E7E7E2"/>
          </w:tcPr>
          <w:p>
            <w:pPr>
              <w:spacing w:after="0"/>
              <w:rPr>
                <w:sz w:val="7"/>
                <w:szCs w:val="7"/>
                <w:color w:val="auto"/>
              </w:rPr>
            </w:pPr>
          </w:p>
        </w:tc>
        <w:tc>
          <w:tcPr>
            <w:tcW w:w="60" w:type="dxa"/>
            <w:vAlign w:val="bottom"/>
            <w:tcBorders>
              <w:right w:val="single" w:sz="8" w:color="auto"/>
            </w:tcBorders>
            <w:vMerge w:val="restart"/>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840" w:type="dxa"/>
            <w:vAlign w:val="bottom"/>
            <w:tcBorders>
              <w:left w:val="single" w:sz="8" w:color="auto"/>
            </w:tcBorders>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vMerge w:val="continue"/>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vMerge w:val="continue"/>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84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Plains All</w:t>
            </w: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right"/>
              <w:ind w:right="100"/>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840" w:type="dxa"/>
            <w:vAlign w:val="bottom"/>
            <w:tcBorders>
              <w:left w:val="single" w:sz="8" w:color="auto"/>
            </w:tcBorders>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restart"/>
            <w:shd w:val="clear" w:color="auto" w:fill="E7E7E2"/>
          </w:tcPr>
          <w:p>
            <w:pPr>
              <w:ind w:left="20"/>
              <w:spacing w:after="0" w:line="180" w:lineRule="exact"/>
              <w:rPr>
                <w:sz w:val="20"/>
                <w:szCs w:val="20"/>
                <w:color w:val="auto"/>
              </w:rPr>
            </w:pPr>
            <w:r>
              <w:rPr>
                <w:rFonts w:ascii="Arial" w:cs="Arial" w:eastAsia="Arial" w:hAnsi="Arial"/>
                <w:sz w:val="16"/>
                <w:szCs w:val="16"/>
                <w:color w:val="auto"/>
              </w:rPr>
              <w:t>American</w:t>
            </w:r>
          </w:p>
        </w:tc>
        <w:tc>
          <w:tcPr>
            <w:tcW w:w="20" w:type="dxa"/>
            <w:vAlign w:val="bottom"/>
          </w:tcPr>
          <w:p>
            <w:pPr>
              <w:spacing w:after="0"/>
              <w:rPr>
                <w:sz w:val="7"/>
                <w:szCs w:val="7"/>
                <w:color w:val="auto"/>
              </w:rPr>
            </w:pPr>
          </w:p>
        </w:tc>
        <w:tc>
          <w:tcPr>
            <w:tcW w:w="560" w:type="dxa"/>
            <w:vAlign w:val="bottom"/>
            <w:vMerge w:val="restart"/>
            <w:shd w:val="clear" w:color="auto" w:fill="E7E7E2"/>
          </w:tcPr>
          <w:p>
            <w:pPr>
              <w:ind w:left="160"/>
              <w:spacing w:after="0" w:line="180" w:lineRule="exact"/>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right"/>
              <w:spacing w:after="0" w:line="180" w:lineRule="exact"/>
              <w:rPr>
                <w:sz w:val="20"/>
                <w:szCs w:val="20"/>
                <w:color w:val="auto"/>
              </w:rPr>
            </w:pPr>
            <w:r>
              <w:rPr>
                <w:rFonts w:ascii="Arial" w:cs="Arial" w:eastAsia="Arial" w:hAnsi="Arial"/>
                <w:sz w:val="16"/>
                <w:szCs w:val="16"/>
                <w:color w:val="auto"/>
                <w:w w:val="97"/>
              </w:rPr>
              <w:t>09/25/2015</w:t>
            </w: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continue"/>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7"/>
                <w:szCs w:val="7"/>
                <w:color w:val="auto"/>
              </w:rPr>
            </w:pPr>
          </w:p>
        </w:tc>
        <w:tc>
          <w:tcPr>
            <w:tcW w:w="4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207140</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149,592.27</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840" w:type="dxa"/>
            <w:vAlign w:val="bottom"/>
            <w:tcBorders>
              <w:left w:val="single" w:sz="8" w:color="auto"/>
            </w:tcBorders>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Pipeline LP</w:t>
            </w:r>
          </w:p>
        </w:tc>
        <w:tc>
          <w:tcPr>
            <w:tcW w:w="20" w:type="dxa"/>
            <w:vAlign w:val="bottom"/>
          </w:tcPr>
          <w:p>
            <w:pPr>
              <w:spacing w:after="0"/>
              <w:rPr>
                <w:sz w:val="10"/>
                <w:szCs w:val="10"/>
                <w:color w:val="auto"/>
              </w:rPr>
            </w:pPr>
          </w:p>
        </w:tc>
        <w:tc>
          <w:tcPr>
            <w:tcW w:w="5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40" w:type="dxa"/>
            <w:vAlign w:val="bottom"/>
            <w:tcBorders>
              <w:left w:val="single" w:sz="8" w:color="auto"/>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4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Rule 457(p) Statement of Withdrawal, Termination, or Completion:</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0"/>
          <w:szCs w:val="10"/>
          <w:color w:val="auto"/>
        </w:rPr>
        <w:t>1</w:t>
      </w:r>
    </w:p>
    <w:p>
      <w:pPr>
        <w:spacing w:after="0" w:line="54" w:lineRule="exact"/>
        <w:rPr>
          <w:sz w:val="20"/>
          <w:szCs w:val="20"/>
          <w:color w:val="auto"/>
        </w:rPr>
      </w:pPr>
    </w:p>
    <w:p>
      <w:pPr>
        <w:ind w:left="200" w:right="140"/>
        <w:spacing w:after="0"/>
        <w:rPr>
          <w:sz w:val="20"/>
          <w:szCs w:val="20"/>
          <w:color w:val="auto"/>
        </w:rPr>
      </w:pPr>
      <w:r>
        <w:rPr>
          <w:rFonts w:ascii="Arial" w:cs="Arial" w:eastAsia="Arial" w:hAnsi="Arial"/>
          <w:sz w:val="16"/>
          <w:szCs w:val="16"/>
          <w:color w:val="auto"/>
        </w:rPr>
        <w:t>Common units, preferred units and debt securities having an aggregate offering price of $1,100,000.00 registered under a Registration Statement on Form S-3 (File No. 333-259390) (the "Prior Registration Statement"), which was filed with the U.S. Securities and Exchange Commission by the registrant on September 8, 2021 and declared effective on September 29, 2021, remain unsold. Pursuant to Rule 457(p) under the Securities Act, the registrant is offsetting the registration fee of $162,360.00 due under this Registration Statement by $120,010.00, which represents the registration fee previously paid with respect to such unsold securities in connection with the Prior Registration Statement (based on the filing fee rate in effect at the time of the filing of the Prior Registration Statement). A filing fee of $42,350.00 with respect to the newly registered securities hereunder, which represents the total registration fee adjusted for the total fee offset with respect to the unsold securities under the Prior Registration Statement, is being paid herewith.</w:t>
      </w:r>
    </w:p>
    <w:p>
      <w:pPr>
        <w:spacing w:after="0" w:line="149" w:lineRule="exact"/>
        <w:rPr>
          <w:sz w:val="20"/>
          <w:szCs w:val="20"/>
          <w:color w:val="auto"/>
        </w:rPr>
      </w:pPr>
    </w:p>
    <w:p>
      <w:pPr>
        <w:ind w:left="200" w:right="420"/>
        <w:spacing w:after="0" w:line="268" w:lineRule="auto"/>
        <w:rPr>
          <w:sz w:val="20"/>
          <w:szCs w:val="20"/>
          <w:color w:val="auto"/>
        </w:rPr>
      </w:pPr>
      <w:r>
        <w:rPr>
          <w:rFonts w:ascii="Arial" w:cs="Arial" w:eastAsia="Arial" w:hAnsi="Arial"/>
          <w:sz w:val="16"/>
          <w:szCs w:val="16"/>
          <w:color w:val="auto"/>
        </w:rPr>
        <w:t>Pursuant to Rule 457(p), the offering of the common units, preferred units representing limited partner interests and debt securities covered by the Prior Registration Statement will be deemed terminated as of the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158115</wp:posOffset>
            </wp:positionV>
            <wp:extent cx="70605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060565" cy="38100"/>
                    </a:xfrm>
                    <a:prstGeom prst="rect">
                      <a:avLst/>
                    </a:prstGeom>
                    <a:noFill/>
                  </pic:spPr>
                </pic:pic>
              </a:graphicData>
            </a:graphic>
          </wp:anchor>
        </w:drawing>
      </w:r>
    </w:p>
    <w:sectPr>
      <w:pgSz w:w="11900" w:h="16838" w:orient="portrait"/>
      <w:cols w:equalWidth="0" w:num="1">
        <w:col w:w="11300"/>
      </w:cols>
      <w:pgMar w:left="300" w:top="1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lowerLetter"/>
      <w:start w:val="1"/>
    </w:lvl>
    <w:lvl w:ilvl="1">
      <w:lvlJc w:val="left"/>
      <w:lvlText w:val="(%2)"/>
      <w:numFmt w:val="decimal"/>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lowerRoman"/>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1)"/>
      <w:numFmt w:val="lowerRoman"/>
      <w:start w:val="1"/>
    </w:lvl>
  </w:abstractNum>
  <w:abstractNum w:abstractNumId="29">
    <w:nsid w:val="2CD89A32"/>
    <w:multiLevelType w:val="hybridMultilevel"/>
    <w:lvl w:ilvl="0">
      <w:lvlJc w:val="left"/>
      <w:lvlText w:val="(%1)"/>
      <w:numFmt w:val="decimal"/>
      <w:start w:val="2"/>
    </w:lvl>
  </w:abstractNum>
  <w:abstractNum w:abstractNumId="30">
    <w:nsid w:val="57E4CCAF"/>
    <w:multiLevelType w:val="hybridMultilevel"/>
    <w:lvl w:ilvl="0">
      <w:lvlJc w:val="left"/>
      <w:lvlText w:val="(%1)"/>
      <w:numFmt w:val="decimal"/>
      <w:start w:val="3"/>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lowerRoman"/>
      <w:start w:val="1"/>
    </w:lvl>
  </w:abstractNum>
  <w:abstractNum w:abstractNumId="36">
    <w:nsid w:val="7644A45C"/>
    <w:multiLevelType w:val="hybridMultilevel"/>
    <w:lvl w:ilvl="0">
      <w:lvlJc w:val="left"/>
      <w:lvlText w:val="•"/>
      <w:numFmt w:val="bullet"/>
      <w:start w:val="1"/>
    </w:lvl>
    <w:lvl w:ilvl="1">
      <w:lvlJc w:val="left"/>
      <w:lvlText w:val="•"/>
      <w:numFmt w:val="bullet"/>
      <w:start w:val="1"/>
    </w:lvl>
  </w:abstractNum>
  <w:abstractNum w:abstractNumId="37">
    <w:nsid w:val="32FFF902"/>
    <w:multiLevelType w:val="hybridMultilevel"/>
    <w:lvl w:ilvl="0">
      <w:lvlJc w:val="left"/>
      <w:lvlText w:val="&amp;"/>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lowerLetter"/>
      <w:start w:val="4"/>
    </w:lvl>
  </w:abstractNum>
  <w:abstractNum w:abstractNumId="42">
    <w:nsid w:val="1BA026F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3">
    <w:nsid w:val="79A1DEAA"/>
    <w:multiLevelType w:val="hybridMultilevel"/>
    <w:lvl w:ilvl="0">
      <w:lvlJc w:val="left"/>
      <w:lvlText w:val="(%1)"/>
      <w:numFmt w:val="decimal"/>
      <w:start w:val="2"/>
    </w:lvl>
    <w:lvl w:ilvl="1">
      <w:lvlJc w:val="left"/>
      <w:lvlText w:val="(%2)"/>
      <w:numFmt w:val="lowerLetter"/>
      <w:start w:val="1"/>
    </w:lvl>
  </w:abstractNum>
  <w:abstractNum w:abstractNumId="44">
    <w:nsid w:val="75C6C33A"/>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45">
    <w:nsid w:val="12E685F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6">
    <w:nsid w:val="70C6A529"/>
    <w:multiLevelType w:val="hybridMultilevel"/>
    <w:lvl w:ilvl="0">
      <w:lvlJc w:val="left"/>
      <w:lvlText w:val="(%1)"/>
      <w:numFmt w:val="decimal"/>
      <w:start w:val="2"/>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1"/>
    </w:lvl>
    <w:lvl w:ilvl="1">
      <w:lvlJc w:val="left"/>
      <w:lvlText w:val="-"/>
      <w:numFmt w:val="bullet"/>
      <w:start w:val="1"/>
    </w:lvl>
  </w:abstractNum>
  <w:abstractNum w:abstractNumId="54">
    <w:nsid w:val="1CF10FD8"/>
    <w:multiLevelType w:val="hybridMultilevel"/>
    <w:lvl w:ilvl="0">
      <w:lvlJc w:val="left"/>
      <w:lvlText w:val="(%1)"/>
      <w:numFmt w:val="decimal"/>
      <w:start w:val="8"/>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1"/>
    </w:lvl>
    <w:lvl w:ilvl="1">
      <w:lvlJc w:val="left"/>
      <w:lvlText w:val="-"/>
      <w:numFmt w:val="bullet"/>
      <w:start w:val="1"/>
    </w:lvl>
  </w:abstractNum>
  <w:abstractNum w:abstractNumId="58">
    <w:nsid w:val="354FE9F9"/>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jpeg"/><Relationship Id="rId117" Type="http://schemas.openxmlformats.org/officeDocument/2006/relationships/image" Target="media/image97.jpeg"/><Relationship Id="rId118" Type="http://schemas.openxmlformats.org/officeDocument/2006/relationships/image" Target="media/image98.png"/><Relationship Id="rId119" Type="http://schemas.openxmlformats.org/officeDocument/2006/relationships/image" Target="media/image99.jpeg"/><Relationship Id="rId120" Type="http://schemas.openxmlformats.org/officeDocument/2006/relationships/image" Target="media/image100.png"/><Relationship Id="rId121" Type="http://schemas.openxmlformats.org/officeDocument/2006/relationships/image" Target="media/image101.jpeg"/><Relationship Id="rId122" Type="http://schemas.openxmlformats.org/officeDocument/2006/relationships/image" Target="media/image102.png"/><Relationship Id="rId123" Type="http://schemas.openxmlformats.org/officeDocument/2006/relationships/image" Target="media/image103.jpeg"/><Relationship Id="rId124" Type="http://schemas.openxmlformats.org/officeDocument/2006/relationships/image" Target="media/image104.png"/><Relationship Id="rId125" Type="http://schemas.openxmlformats.org/officeDocument/2006/relationships/image" Target="media/image105.jpe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jpe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jpe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21" Type="http://schemas.openxmlformats.org/officeDocument/2006/relationships/hyperlink" Target="https://www.sec.gov/ix?doc=/Archives/edgar/data/1070423/000107042324000008/paa-20231231.htm" TargetMode="External"/><Relationship Id="rId22" Type="http://schemas.openxmlformats.org/officeDocument/2006/relationships/hyperlink" Target="https://www.sec.gov/ix?doc=/Archives/edgar/data/1070423/000107042324000020/paa-20240630.htm" TargetMode="External"/><Relationship Id="rId23" Type="http://schemas.openxmlformats.org/officeDocument/2006/relationships/hyperlink" Target="https://www.sec.gov/ix?doc=/Archives/edgar/data/1070423/000110465924065666/tm2415729d1_8k.htm" TargetMode="External"/><Relationship Id="rId24" Type="http://schemas.openxmlformats.org/officeDocument/2006/relationships/hyperlink" Target="https://www.sec.gov/ix?doc=/Archives/edgar/data/1070423/000110465924073377/tm2416478d4_8k.htm" TargetMode="External"/><Relationship Id="rId25" Type="http://schemas.openxmlformats.org/officeDocument/2006/relationships/hyperlink" Target="https://www.sec.gov/ix?doc=/Archives/edgar/data/1070423/000110465924075672/tm2418387d1_8k.htm" TargetMode="External"/><Relationship Id="rId26" Type="http://schemas.openxmlformats.org/officeDocument/2006/relationships/hyperlink" Target="https://www.sec.gov/ix?doc=/Archives/edgar/data/1070423/000110465924092056/tm2422213d1_8k.htm" TargetMode="External"/><Relationship Id="rId27" Type="http://schemas.openxmlformats.org/officeDocument/2006/relationships/hyperlink" Target="https://www.sec.gov/ix?doc=/Archives/edgar/data/1070423/000110465924046387/tm242707d2_def14a.htm" TargetMode="External"/><Relationship Id="rId28" Type="http://schemas.openxmlformats.org/officeDocument/2006/relationships/hyperlink" Target="https://www.sec.gov/Archives/edgar/data/1070423/000107042324000008/paa202310-kexhibit416.htm" TargetMode="External"/><Relationship Id="rId29" Type="http://schemas.openxmlformats.org/officeDocument/2006/relationships/hyperlink" Target="https://www.sec.gov/Archives/edgar/data/1070423/000110465916157335/a16-21667_38a12ba.htm" TargetMode="External"/><Relationship Id="rId30" Type="http://schemas.openxmlformats.org/officeDocument/2006/relationships/hyperlink" Target="https://www.sec.gov/Archives/edgar/data/1070423/000110465920134597/tm2037363-3_8a12b.htm" TargetMode="External"/><Relationship Id="rId76" Type="http://schemas.openxmlformats.org/officeDocument/2006/relationships/hyperlink" Target="http://www.sec.gov/ix?doc=/Archives/edgar/data/1070423/000107042324000008/paa-20231231.htm" TargetMode="External"/><Relationship Id="rId84" Type="http://schemas.openxmlformats.org/officeDocument/2006/relationships/hyperlink" Target="https://www.sec.gov/Archives/edgar/data/1070423/000089924302002834/dex41.txt" TargetMode="External"/><Relationship Id="rId85" Type="http://schemas.openxmlformats.org/officeDocument/2006/relationships/hyperlink" Target="https://www.sec.gov/Archives/edgar/data/1070423/000089924301501392/dex4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2024-09-06T10:59:47Z</dcterms:created>
  <dcterms:modified xsi:type="dcterms:W3CDTF">2024-09-06T10:59:47Z</dcterms:modified>
</cp:coreProperties>
</file>