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PAA Finance Corp.</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Offer to Exchange up to</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$150,000,000 of 5.25% Senior Notes due 2015</w:t>
      </w:r>
    </w:p>
    <w:p>
      <w:pPr>
        <w:spacing w:after="0" w:line="58" w:lineRule="exact"/>
        <w:rPr>
          <w:sz w:val="24"/>
          <w:szCs w:val="24"/>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0"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$150,000,000 of 5.25% Senior Notes due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Terms of the Exchange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1316990</wp:posOffset>
            </wp:positionH>
            <wp:positionV relativeFrom="paragraph">
              <wp:posOffset>-127635</wp:posOffset>
            </wp:positionV>
            <wp:extent cx="463931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9310" cy="154305"/>
                    </a:xfrm>
                    <a:prstGeom prst="rect">
                      <a:avLst/>
                    </a:prstGeom>
                    <a:noFill/>
                  </pic:spPr>
                </pic:pic>
              </a:graphicData>
            </a:graphic>
          </wp:anchor>
        </w:drawing>
      </w:r>
    </w:p>
    <w:p>
      <w:pPr>
        <w:spacing w:after="0" w:line="115" w:lineRule="exact"/>
        <w:rPr>
          <w:sz w:val="24"/>
          <w:szCs w:val="24"/>
          <w:color w:val="auto"/>
        </w:rPr>
      </w:pPr>
    </w:p>
    <w:p>
      <w:pPr>
        <w:ind w:left="540" w:right="60" w:hanging="17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offering to exchange up to $150,000,000 of our outstanding 5.25% Senior Notes due 2015 for new notes with substantially identical terms that have been registered under the Securities Act and are freely tradable.</w:t>
      </w:r>
    </w:p>
    <w:p>
      <w:pPr>
        <w:spacing w:after="0" w:line="21"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exchange for an equal principal amount of new notes all outstanding notes that you validly tender and do not validly withdraw before the exchange offer expires.</w:t>
      </w:r>
    </w:p>
    <w:p>
      <w:pPr>
        <w:spacing w:after="0" w:line="35" w:lineRule="exact"/>
        <w:rPr>
          <w:rFonts w:ascii="Arial" w:cs="Arial" w:eastAsia="Arial" w:hAnsi="Arial"/>
          <w:sz w:val="18"/>
          <w:szCs w:val="18"/>
          <w:color w:val="auto"/>
        </w:rPr>
      </w:pPr>
    </w:p>
    <w:p>
      <w:pPr>
        <w:ind w:left="540" w:right="480" w:hanging="17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November 16, 2005, unless extended. We do not currently intend to extend the exchange offer.</w:t>
      </w:r>
    </w:p>
    <w:p>
      <w:pPr>
        <w:spacing w:after="0" w:line="21" w:lineRule="exact"/>
        <w:rPr>
          <w:rFonts w:ascii="Arial" w:cs="Arial" w:eastAsia="Arial" w:hAnsi="Arial"/>
          <w:sz w:val="18"/>
          <w:szCs w:val="18"/>
          <w:color w:val="auto"/>
        </w:rPr>
      </w:pPr>
    </w:p>
    <w:p>
      <w:pPr>
        <w:ind w:left="500" w:hanging="13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Tenders of outstanding notes may be withdrawn at any time prior to the expiration of the exchange offer.</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 outstanding notes for new notes will not be a taxable event for U.S. federal income tax purposes.</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Terms of the 5.25% Senior Notes Offered in the Exchange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1316990</wp:posOffset>
            </wp:positionH>
            <wp:positionV relativeFrom="paragraph">
              <wp:posOffset>-127635</wp:posOffset>
            </wp:positionV>
            <wp:extent cx="463931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9310" cy="15430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6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The notes will mature on June 15, 2015.</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67" w:lineRule="exact"/>
        <w:rPr>
          <w:sz w:val="24"/>
          <w:szCs w:val="24"/>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on the notes is payable on June 15 and December 15 of each year, beginning December 15, 2005.</w:t>
      </w:r>
    </w:p>
    <w:p>
      <w:pPr>
        <w:spacing w:after="0" w:line="63"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will accrue from May 27, 2005.</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67" w:lineRule="exact"/>
        <w:rPr>
          <w:sz w:val="24"/>
          <w:szCs w:val="24"/>
          <w:color w:val="auto"/>
        </w:rPr>
      </w:pPr>
    </w:p>
    <w:p>
      <w:pPr>
        <w:ind w:left="540" w:right="20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redeem the notes, in whole or in part, at any time at a price equal to 100% of the principal amount of the notes to be redeemed plus a make-whole premium described in this prospectus, plus accrued and unpaid interest, if any, to the redemption date.</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67" w:lineRule="exact"/>
        <w:rPr>
          <w:sz w:val="24"/>
          <w:szCs w:val="24"/>
          <w:color w:val="auto"/>
        </w:rPr>
      </w:pPr>
    </w:p>
    <w:p>
      <w:pPr>
        <w:ind w:left="540" w:right="12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are unsecured. The notes rank equally in right of payment with all of our other existing and future senior unsecured debt and senior in right of payment to all of our future subordinated debt.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40005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24" w:lineRule="exact"/>
        <w:rPr>
          <w:sz w:val="24"/>
          <w:szCs w:val="24"/>
          <w:color w:val="auto"/>
        </w:rPr>
      </w:pPr>
    </w:p>
    <w:p>
      <w:pPr>
        <w:ind w:right="820" w:firstLine="363"/>
        <w:spacing w:after="0" w:line="256" w:lineRule="auto"/>
        <w:rPr>
          <w:sz w:val="20"/>
          <w:szCs w:val="20"/>
          <w:color w:val="auto"/>
        </w:rPr>
      </w:pPr>
      <w:r>
        <w:rPr>
          <w:rFonts w:ascii="Arial" w:cs="Arial" w:eastAsia="Arial" w:hAnsi="Arial"/>
          <w:sz w:val="22"/>
          <w:szCs w:val="22"/>
          <w:b w:val="1"/>
          <w:bCs w:val="1"/>
          <w:color w:val="auto"/>
        </w:rPr>
        <w:t>Please read “Risk Factors” on page 8 for a discussion of factors you should consider before participating in the exchange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34925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25" w:lineRule="exact"/>
        <w:rPr>
          <w:sz w:val="24"/>
          <w:szCs w:val="24"/>
          <w:color w:val="auto"/>
        </w:rPr>
      </w:pPr>
    </w:p>
    <w:p>
      <w:pPr>
        <w:jc w:val="both"/>
        <w:ind w:firstLine="363"/>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46355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right="40" w:firstLine="360"/>
        <w:spacing w:after="0" w:line="297" w:lineRule="auto"/>
        <w:rPr>
          <w:sz w:val="20"/>
          <w:szCs w:val="20"/>
          <w:color w:val="auto"/>
        </w:rPr>
      </w:pPr>
      <w:r>
        <w:rPr>
          <w:rFonts w:ascii="Arial" w:cs="Arial" w:eastAsia="Arial" w:hAnsi="Arial"/>
          <w:sz w:val="16"/>
          <w:szCs w:val="16"/>
          <w:color w:val="auto"/>
        </w:rPr>
        <w:t>This prospectus is part of a registration statement we filed with the Securities and Exchange Commission. In making your investment decision, you should rely only on the information contained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w:t>
      </w:r>
    </w:p>
    <w:p>
      <w:pPr>
        <w:spacing w:after="0" w:line="50" w:lineRule="exact"/>
        <w:rPr>
          <w:sz w:val="24"/>
          <w:szCs w:val="24"/>
          <w:color w:val="auto"/>
        </w:rPr>
      </w:pPr>
    </w:p>
    <w:p>
      <w:pPr>
        <w:ind w:right="80" w:firstLine="360"/>
        <w:spacing w:after="0" w:line="297" w:lineRule="auto"/>
        <w:rPr>
          <w:sz w:val="20"/>
          <w:szCs w:val="20"/>
          <w:color w:val="auto"/>
        </w:rPr>
      </w:pPr>
      <w:r>
        <w:rPr>
          <w:rFonts w:ascii="Arial" w:cs="Arial" w:eastAsia="Arial" w:hAnsi="Arial"/>
          <w:sz w:val="16"/>
          <w:szCs w:val="16"/>
          <w:color w:val="auto"/>
        </w:rPr>
        <w:t>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00" w:type="dxa"/>
            <w:vAlign w:val="bottom"/>
          </w:tcPr>
          <w:p>
            <w:pPr>
              <w:jc w:val="right"/>
              <w:ind w:right="137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15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Prospectus Summary</w:t>
              </w:r>
            </w:hyperlink>
          </w:p>
        </w:tc>
        <w:tc>
          <w:tcPr>
            <w:tcW w:w="2300" w:type="dxa"/>
            <w:vAlign w:val="bottom"/>
            <w:gridSpan w:val="6"/>
          </w:tcPr>
          <w:p>
            <w:pPr>
              <w:spacing w:after="0"/>
              <w:rPr>
                <w:sz w:val="24"/>
                <w:szCs w:val="24"/>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Risk Factors</w:t>
              </w:r>
            </w:hyperlink>
          </w:p>
        </w:tc>
        <w:tc>
          <w:tcPr>
            <w:tcW w:w="2920" w:type="dxa"/>
            <w:vAlign w:val="bottom"/>
            <w:gridSpan w:val="11"/>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84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Exchange Offer</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3840" w:type="dxa"/>
            <w:vAlign w:val="bottom"/>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Ratio of Earnings to Fixed Charges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5"/>
          </w:tcPr>
          <w:p>
            <w:pPr>
              <w:spacing w:after="0"/>
              <w:rPr>
                <w:sz w:val="17"/>
                <w:szCs w:val="17"/>
                <w:color w:val="auto"/>
              </w:rPr>
            </w:pPr>
          </w:p>
        </w:tc>
        <w:tc>
          <w:tcPr>
            <w:tcW w:w="1300" w:type="dxa"/>
            <w:vAlign w:val="bottom"/>
            <w:gridSpan w:val="3"/>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Description of the Notes</w:t>
              </w:r>
            </w:hyperlink>
          </w:p>
        </w:tc>
        <w:tc>
          <w:tcPr>
            <w:tcW w:w="2060" w:type="dxa"/>
            <w:vAlign w:val="bottom"/>
            <w:gridSpan w:val="5"/>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U.S. Federal Income Tax Considerations</w:t>
              </w:r>
            </w:hyperlink>
          </w:p>
        </w:tc>
        <w:tc>
          <w:tcPr>
            <w:tcW w:w="900" w:type="dxa"/>
            <w:vAlign w:val="bottom"/>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Plan of Distribution</w:t>
              </w:r>
            </w:hyperlink>
          </w:p>
        </w:tc>
        <w:tc>
          <w:tcPr>
            <w:tcW w:w="2400" w:type="dxa"/>
            <w:vAlign w:val="bottom"/>
            <w:gridSpan w:val="7"/>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Legal Matters</w:t>
              </w:r>
            </w:hyperlink>
          </w:p>
        </w:tc>
        <w:tc>
          <w:tcPr>
            <w:tcW w:w="2820" w:type="dxa"/>
            <w:vAlign w:val="bottom"/>
            <w:gridSpan w:val="10"/>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Experts</w:t>
              </w:r>
            </w:hyperlink>
          </w:p>
        </w:tc>
        <w:tc>
          <w:tcPr>
            <w:tcW w:w="3280" w:type="dxa"/>
            <w:vAlign w:val="bottom"/>
            <w:gridSpan w:val="12"/>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Where You Can Find More Information</w:t>
              </w:r>
            </w:hyperlink>
          </w:p>
        </w:tc>
        <w:tc>
          <w:tcPr>
            <w:tcW w:w="960" w:type="dxa"/>
            <w:vAlign w:val="bottom"/>
            <w:gridSpan w:val="2"/>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84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Forward-Looking Statements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ectPr>
          <w:pgSz w:w="11900" w:h="16843" w:orient="portrait"/>
          <w:cols w:equalWidth="0" w:num="1">
            <w:col w:w="11380"/>
          </w:cols>
          <w:pgMar w:left="240" w:top="229" w:right="279" w:bottom="0" w:gutter="0" w:footer="0" w:header="0"/>
        </w:sectPr>
      </w:pPr>
    </w:p>
    <w:bookmarkStart w:id="1" w:name="page2"/>
    <w:bookmarkEnd w:id="1"/>
    <w:p>
      <w:pPr>
        <w:spacing w:after="0" w:line="108" w:lineRule="exact"/>
        <w:rPr>
          <w:sz w:val="20"/>
          <w:szCs w:val="20"/>
          <w:color w:val="auto"/>
        </w:rPr>
      </w:pPr>
    </w:p>
    <w:p>
      <w:pPr>
        <w:spacing w:after="0"/>
        <w:tabs>
          <w:tab w:leader="none" w:pos="7460" w:val="left"/>
        </w:tabs>
        <w:rPr>
          <w:rFonts w:ascii="Arial" w:cs="Arial" w:eastAsia="Arial" w:hAnsi="Arial"/>
          <w:sz w:val="18"/>
          <w:szCs w:val="18"/>
          <w:color w:val="0000EE"/>
        </w:rPr>
      </w:pPr>
      <w:hyperlink w:anchor="page25">
        <w:r>
          <w:rPr>
            <w:rFonts w:ascii="Arial" w:cs="Arial" w:eastAsia="Arial" w:hAnsi="Arial"/>
            <w:sz w:val="18"/>
            <w:szCs w:val="18"/>
            <w:u w:val="single" w:color="auto"/>
            <w:color w:val="0000EE"/>
          </w:rPr>
          <w:t>Letter of Transmittal</w:t>
        </w:r>
      </w:hyperlink>
      <w:r>
        <w:rPr>
          <w:rFonts w:ascii="Arial" w:cs="Arial" w:eastAsia="Arial" w:hAnsi="Arial"/>
          <w:sz w:val="18"/>
          <w:szCs w:val="18"/>
          <w:color w:val="0000EE"/>
        </w:rPr>
        <w:tab/>
      </w:r>
      <w:r>
        <w:rPr>
          <w:rFonts w:ascii="Arial" w:cs="Arial" w:eastAsia="Arial" w:hAnsi="Arial"/>
          <w:sz w:val="17"/>
          <w:szCs w:val="17"/>
          <w:color w:val="0000EE"/>
        </w:rPr>
        <w:t>Annex A</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420" w:firstLine="360"/>
        <w:spacing w:after="0" w:line="279" w:lineRule="auto"/>
        <w:rPr>
          <w:sz w:val="20"/>
          <w:szCs w:val="20"/>
          <w:color w:val="auto"/>
        </w:rPr>
      </w:pPr>
      <w:r>
        <w:rPr>
          <w:rFonts w:ascii="Arial" w:cs="Arial" w:eastAsia="Arial" w:hAnsi="Arial"/>
          <w:sz w:val="17"/>
          <w:szCs w:val="17"/>
          <w:color w:val="auto"/>
        </w:rPr>
        <w:t>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ind w:right="280" w:firstLine="360"/>
        <w:spacing w:after="0" w:line="297" w:lineRule="auto"/>
        <w:rPr>
          <w:sz w:val="20"/>
          <w:szCs w:val="20"/>
          <w:color w:val="auto"/>
        </w:rPr>
      </w:pPr>
      <w:r>
        <w:rPr>
          <w:rFonts w:ascii="Arial" w:cs="Arial" w:eastAsia="Arial" w:hAnsi="Arial"/>
          <w:sz w:val="16"/>
          <w:szCs w:val="16"/>
          <w:color w:val="auto"/>
        </w:rPr>
        <w:t>We are a publicly traded Delaware limited partnership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Exchange Offer</w:t>
      </w:r>
    </w:p>
    <w:p>
      <w:pPr>
        <w:spacing w:after="0" w:line="12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i w:val="1"/>
          <w:iCs w:val="1"/>
          <w:color w:val="auto"/>
        </w:rPr>
        <w:t>On May 27, 2005, we completed a private offering of the outstanding notes. We entered into a registration rights agreement with the initial purchaser in the private offering in which we agreed to deliver to you this prospectus and to use our reasonable best efforts to consummate the exchange offer within 240 days after the date we issued the outstanding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Exchange Offer</w:t>
            </w: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We are offering to exchange new notes for outstanding notes.</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Expiration Date</w:t>
            </w: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The exchange offer will expire at 5:00 p.m. New York City time, on</w:t>
            </w:r>
          </w:p>
        </w:tc>
      </w:tr>
      <w:tr>
        <w:trPr>
          <w:trHeight w:val="230"/>
        </w:trPr>
        <w:tc>
          <w:tcPr>
            <w:tcW w:w="2980" w:type="dxa"/>
            <w:vAlign w:val="bottom"/>
          </w:tcPr>
          <w:p>
            <w:pPr>
              <w:spacing w:after="0"/>
              <w:rPr>
                <w:sz w:val="20"/>
                <w:szCs w:val="20"/>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November 16, 2005, unless we decide to extend it.</w:t>
            </w:r>
          </w:p>
        </w:tc>
      </w:tr>
      <w:tr>
        <w:trPr>
          <w:trHeight w:val="269"/>
        </w:trPr>
        <w:tc>
          <w:tcPr>
            <w:tcW w:w="2980" w:type="dxa"/>
            <w:vAlign w:val="bottom"/>
          </w:tcPr>
          <w:p>
            <w:pPr>
              <w:spacing w:after="0"/>
              <w:rPr>
                <w:sz w:val="20"/>
                <w:szCs w:val="20"/>
                <w:color w:val="auto"/>
              </w:rPr>
            </w:pPr>
            <w:r>
              <w:rPr>
                <w:rFonts w:ascii="Arial" w:cs="Arial" w:eastAsia="Arial" w:hAnsi="Arial"/>
                <w:sz w:val="18"/>
                <w:szCs w:val="18"/>
                <w:color w:val="auto"/>
              </w:rPr>
              <w:t>Condition to the Exchange Offer</w:t>
            </w: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The registration rights agreement does not require us to accept</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outstanding notes for exchange if the exchange offer or the making of</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any exchange by a holder of the outstanding notes would violate any</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applicable law or interpretation of the staff of the SEC. A minimum</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aggregate principal amount of outstanding notes being tendered is not</w:t>
            </w:r>
          </w:p>
        </w:tc>
      </w:tr>
      <w:tr>
        <w:trPr>
          <w:trHeight w:val="230"/>
        </w:trPr>
        <w:tc>
          <w:tcPr>
            <w:tcW w:w="2980" w:type="dxa"/>
            <w:vAlign w:val="bottom"/>
          </w:tcPr>
          <w:p>
            <w:pPr>
              <w:spacing w:after="0"/>
              <w:rPr>
                <w:sz w:val="20"/>
                <w:szCs w:val="20"/>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a condition to the exchange offer.</w:t>
            </w:r>
          </w:p>
        </w:tc>
      </w:tr>
      <w:tr>
        <w:trPr>
          <w:trHeight w:val="269"/>
        </w:trPr>
        <w:tc>
          <w:tcPr>
            <w:tcW w:w="2980" w:type="dxa"/>
            <w:vAlign w:val="bottom"/>
          </w:tcPr>
          <w:p>
            <w:pPr>
              <w:spacing w:after="0"/>
              <w:rPr>
                <w:sz w:val="20"/>
                <w:szCs w:val="20"/>
                <w:color w:val="auto"/>
              </w:rPr>
            </w:pPr>
            <w:r>
              <w:rPr>
                <w:rFonts w:ascii="Arial" w:cs="Arial" w:eastAsia="Arial" w:hAnsi="Arial"/>
                <w:sz w:val="18"/>
                <w:szCs w:val="18"/>
                <w:color w:val="auto"/>
                <w:w w:val="96"/>
              </w:rPr>
              <w:t>Procedures for Tendering Outstanding</w:t>
            </w:r>
          </w:p>
        </w:tc>
        <w:tc>
          <w:tcPr>
            <w:tcW w:w="300" w:type="dxa"/>
            <w:vAlign w:val="bottom"/>
          </w:tcPr>
          <w:p>
            <w:pPr>
              <w:spacing w:after="0"/>
              <w:rPr>
                <w:sz w:val="23"/>
                <w:szCs w:val="23"/>
                <w:color w:val="auto"/>
              </w:rPr>
            </w:pPr>
          </w:p>
        </w:tc>
        <w:tc>
          <w:tcPr>
            <w:tcW w:w="8180" w:type="dxa"/>
            <w:vAlign w:val="bottom"/>
          </w:tcPr>
          <w:p>
            <w:pPr>
              <w:spacing w:after="0"/>
              <w:rPr>
                <w:sz w:val="23"/>
                <w:szCs w:val="23"/>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Notes</w:t>
            </w: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To participate in the exchange offer, you must follow the procedures</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established by The Depository Trust Company, which we call “DTC,”</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for tendering notes held in book-entry form. These procedures, which</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we call “ATOP,” require that (i) the exchange agent receive, prior to</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the expiration date of the exchange offer, a computer generated</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message known as an “agent’s message” that is transmitted through</w:t>
            </w:r>
          </w:p>
        </w:tc>
      </w:tr>
      <w:tr>
        <w:trPr>
          <w:trHeight w:val="216"/>
        </w:trPr>
        <w:tc>
          <w:tcPr>
            <w:tcW w:w="2980" w:type="dxa"/>
            <w:vAlign w:val="bottom"/>
          </w:tcPr>
          <w:p>
            <w:pPr>
              <w:spacing w:after="0"/>
              <w:rPr>
                <w:sz w:val="18"/>
                <w:szCs w:val="18"/>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DTC’s automated tender offer program, and (ii) DTC confirms that:</w:t>
            </w:r>
          </w:p>
        </w:tc>
      </w:tr>
      <w:tr>
        <w:trPr>
          <w:trHeight w:val="230"/>
        </w:trPr>
        <w:tc>
          <w:tcPr>
            <w:tcW w:w="2980" w:type="dxa"/>
            <w:vAlign w:val="bottom"/>
          </w:tcPr>
          <w:p>
            <w:pPr>
              <w:spacing w:after="0"/>
              <w:rPr>
                <w:sz w:val="20"/>
                <w:szCs w:val="20"/>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and</w:t>
            </w:r>
          </w:p>
        </w:tc>
      </w:tr>
      <w:tr>
        <w:trPr>
          <w:trHeight w:val="284"/>
        </w:trPr>
        <w:tc>
          <w:tcPr>
            <w:tcW w:w="298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8180" w:type="dxa"/>
            <w:vAlign w:val="bottom"/>
          </w:tcPr>
          <w:p>
            <w:pPr>
              <w:ind w:left="40"/>
              <w:spacing w:after="0"/>
              <w:rPr>
                <w:sz w:val="20"/>
                <w:szCs w:val="20"/>
                <w:color w:val="auto"/>
              </w:rPr>
            </w:pPr>
            <w:r>
              <w:rPr>
                <w:rFonts w:ascii="Arial" w:cs="Arial" w:eastAsia="Arial" w:hAnsi="Arial"/>
                <w:sz w:val="18"/>
                <w:szCs w:val="18"/>
                <w:color w:val="auto"/>
              </w:rPr>
              <w:t>DTC has received your instructions to exchange your notes,</w:t>
            </w:r>
          </w:p>
        </w:tc>
      </w:tr>
      <w:tr>
        <w:trPr>
          <w:trHeight w:val="284"/>
        </w:trPr>
        <w:tc>
          <w:tcPr>
            <w:tcW w:w="298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8180" w:type="dxa"/>
            <w:vAlign w:val="bottom"/>
          </w:tcPr>
          <w:p>
            <w:pPr>
              <w:ind w:left="40"/>
              <w:spacing w:after="0"/>
              <w:rPr>
                <w:sz w:val="20"/>
                <w:szCs w:val="20"/>
                <w:color w:val="auto"/>
              </w:rPr>
            </w:pPr>
            <w:r>
              <w:rPr>
                <w:rFonts w:ascii="Arial" w:cs="Arial" w:eastAsia="Arial" w:hAnsi="Arial"/>
                <w:sz w:val="18"/>
                <w:szCs w:val="18"/>
                <w:color w:val="auto"/>
              </w:rPr>
              <w:t>you agree to be bound by the terms of the letter of transmittal.</w:t>
            </w:r>
          </w:p>
        </w:tc>
      </w:tr>
      <w:tr>
        <w:trPr>
          <w:trHeight w:val="635"/>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375"/>
        </w:trPr>
        <w:tc>
          <w:tcPr>
            <w:tcW w:w="29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81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For more information on tendering your outstanding notes, please</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refer to the sections in this prospectus entitled “Exchange Offer—</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Terms of the Exchange Offer” and “—Procedures for Tendering.”</w:t>
      </w:r>
    </w:p>
    <w:p>
      <w:pPr>
        <w:sectPr>
          <w:pgSz w:w="11900" w:h="16946" w:orient="portrait"/>
          <w:cols w:equalWidth="0" w:num="1">
            <w:col w:w="11460"/>
          </w:cols>
          <w:pgMar w:left="240" w:top="125" w:right="199" w:bottom="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0" w:lineRule="exact"/>
        <w:rPr>
          <w:sz w:val="20"/>
          <w:szCs w:val="20"/>
          <w:color w:val="auto"/>
        </w:rPr>
      </w:pPr>
    </w:p>
    <w:p>
      <w:pPr>
        <w:sectPr>
          <w:pgSz w:w="11900" w:h="16946" w:orient="portrait"/>
          <w:cols w:equalWidth="0" w:num="2">
            <w:col w:w="2460" w:space="720"/>
            <w:col w:w="828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Withdrawal of Tenders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may withdraw your tender of outstanding notes at any time prior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the expiration date. To withdraw, you must submit a notice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withdrawal to the exchange agent using ATOP procedures before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p.m. New York City time on the expiration date of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Please read “Exchange Offer—Withdrawal of Tenders.”</w:t>
      </w:r>
    </w:p>
    <w:p>
      <w:pPr>
        <w:spacing w:after="0" w:line="62" w:lineRule="exact"/>
        <w:rPr>
          <w:sz w:val="20"/>
          <w:szCs w:val="20"/>
          <w:color w:val="auto"/>
        </w:rPr>
      </w:pPr>
    </w:p>
    <w:p>
      <w:pPr>
        <w:sectPr>
          <w:pgSz w:w="11900" w:h="16946" w:orient="portrait"/>
          <w:cols w:equalWidth="0" w:num="2">
            <w:col w:w="2460" w:space="720"/>
            <w:col w:w="828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Acceptance of Outstanding Notes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Delivery of New Notes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3260"/>
        <w:spacing w:after="0" w:line="290" w:lineRule="auto"/>
        <w:rPr>
          <w:sz w:val="20"/>
          <w:szCs w:val="20"/>
          <w:color w:val="auto"/>
        </w:rPr>
      </w:pPr>
      <w:r>
        <w:rPr>
          <w:rFonts w:ascii="Arial" w:cs="Arial" w:eastAsia="Arial" w:hAnsi="Arial"/>
          <w:sz w:val="16"/>
          <w:szCs w:val="16"/>
          <w:color w:val="auto"/>
        </w:rPr>
        <w:t>If you fulfill all conditions required for proper acceptance of outstanding notes, we will accept any and all outstanding notes that you properly tender in the exchange offer on or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w:t>
      </w:r>
    </w:p>
    <w:p>
      <w:pPr>
        <w:sectPr>
          <w:pgSz w:w="11900" w:h="16946" w:orient="portrait"/>
          <w:cols w:equalWidth="0" w:num="2">
            <w:col w:w="2740" w:space="440"/>
            <w:col w:w="8280"/>
          </w:cols>
          <w:pgMar w:left="240" w:top="125"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section in this prospectus entitled “Exchange Offer—Terms of the</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Exchange Offer.”</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Fees and Expenses</w:t>
            </w:r>
          </w:p>
        </w:tc>
        <w:tc>
          <w:tcPr>
            <w:tcW w:w="8400" w:type="dxa"/>
            <w:vAlign w:val="bottom"/>
          </w:tcPr>
          <w:p>
            <w:pPr>
              <w:ind w:left="120"/>
              <w:spacing w:after="0"/>
              <w:rPr>
                <w:sz w:val="20"/>
                <w:szCs w:val="20"/>
                <w:color w:val="auto"/>
              </w:rPr>
            </w:pPr>
            <w:r>
              <w:rPr>
                <w:rFonts w:ascii="Arial" w:cs="Arial" w:eastAsia="Arial" w:hAnsi="Arial"/>
                <w:sz w:val="18"/>
                <w:szCs w:val="18"/>
                <w:color w:val="auto"/>
              </w:rPr>
              <w:t>We will bear all expenses related to the exchange offer. Please refer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the section in this prospectus entitled “Exchange Offer—Fees and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69"/>
        </w:trPr>
        <w:tc>
          <w:tcPr>
            <w:tcW w:w="3060" w:type="dxa"/>
            <w:vAlign w:val="bottom"/>
          </w:tcPr>
          <w:p>
            <w:pPr>
              <w:spacing w:after="0"/>
              <w:rPr>
                <w:sz w:val="20"/>
                <w:szCs w:val="20"/>
                <w:color w:val="auto"/>
              </w:rPr>
            </w:pPr>
            <w:r>
              <w:rPr>
                <w:rFonts w:ascii="Arial" w:cs="Arial" w:eastAsia="Arial" w:hAnsi="Arial"/>
                <w:sz w:val="18"/>
                <w:szCs w:val="18"/>
                <w:color w:val="auto"/>
              </w:rPr>
              <w:t>Use of Proceeds</w:t>
            </w:r>
          </w:p>
        </w:tc>
        <w:tc>
          <w:tcPr>
            <w:tcW w:w="8400" w:type="dxa"/>
            <w:vAlign w:val="bottom"/>
          </w:tcPr>
          <w:p>
            <w:pPr>
              <w:ind w:left="120"/>
              <w:spacing w:after="0"/>
              <w:rPr>
                <w:sz w:val="20"/>
                <w:szCs w:val="20"/>
                <w:color w:val="auto"/>
              </w:rPr>
            </w:pPr>
            <w:r>
              <w:rPr>
                <w:rFonts w:ascii="Arial" w:cs="Arial" w:eastAsia="Arial" w:hAnsi="Arial"/>
                <w:sz w:val="18"/>
                <w:szCs w:val="18"/>
                <w:color w:val="auto"/>
              </w:rPr>
              <w:t>The issuance of the new notes will not provide us with any new</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proceeds. We are making this exchange offer solely to satisfy our</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obligations under our registration rights agreement.</w:t>
            </w:r>
          </w:p>
        </w:tc>
        <w:tc>
          <w:tcPr>
            <w:tcW w:w="0" w:type="dxa"/>
            <w:vAlign w:val="bottom"/>
          </w:tcPr>
          <w:p>
            <w:pPr>
              <w:spacing w:after="0"/>
              <w:rPr>
                <w:sz w:val="1"/>
                <w:szCs w:val="1"/>
                <w:color w:val="auto"/>
              </w:rPr>
            </w:pPr>
          </w:p>
        </w:tc>
      </w:tr>
      <w:tr>
        <w:trPr>
          <w:trHeight w:val="269"/>
        </w:trPr>
        <w:tc>
          <w:tcPr>
            <w:tcW w:w="3060" w:type="dxa"/>
            <w:vAlign w:val="bottom"/>
          </w:tcPr>
          <w:p>
            <w:pPr>
              <w:spacing w:after="0"/>
              <w:rPr>
                <w:sz w:val="20"/>
                <w:szCs w:val="20"/>
                <w:color w:val="auto"/>
              </w:rPr>
            </w:pPr>
            <w:r>
              <w:rPr>
                <w:rFonts w:ascii="Arial" w:cs="Arial" w:eastAsia="Arial" w:hAnsi="Arial"/>
                <w:sz w:val="18"/>
                <w:szCs w:val="18"/>
                <w:color w:val="auto"/>
              </w:rPr>
              <w:t>Consequences of Failure to</w:t>
            </w:r>
          </w:p>
        </w:tc>
        <w:tc>
          <w:tcPr>
            <w:tcW w:w="8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Exchange Outstanding Notes</w:t>
            </w:r>
          </w:p>
        </w:tc>
        <w:tc>
          <w:tcPr>
            <w:tcW w:w="8400" w:type="dxa"/>
            <w:vAlign w:val="bottom"/>
          </w:tcPr>
          <w:p>
            <w:pPr>
              <w:ind w:left="120"/>
              <w:spacing w:after="0"/>
              <w:rPr>
                <w:sz w:val="20"/>
                <w:szCs w:val="20"/>
                <w:color w:val="auto"/>
              </w:rPr>
            </w:pPr>
            <w:r>
              <w:rPr>
                <w:rFonts w:ascii="Arial" w:cs="Arial" w:eastAsia="Arial" w:hAnsi="Arial"/>
                <w:sz w:val="18"/>
                <w:szCs w:val="18"/>
                <w:color w:val="auto"/>
              </w:rPr>
              <w:t>If you do not exchange your outstanding notes in this exchange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you will no longer be able to require us to register the outstanding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notes under the Securities Act except in the limited circumstances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provided under our registration rights agreement. In addition, you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not be able to resell, offer to resell or otherwise transfer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outstanding notes unless we have registered the outstanding notes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under the Securities Act, or unless you resell, offer to resell or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otherwise transfer them under an exemption from the registration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requirements of, or in a transaction not subject to, the Securities Act.</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Arial" w:cs="Arial" w:eastAsia="Arial" w:hAnsi="Arial"/>
                <w:sz w:val="18"/>
                <w:szCs w:val="18"/>
                <w:color w:val="auto"/>
                <w:w w:val="93"/>
              </w:rPr>
              <w:t>U.S. Federal Income Tax Considerations</w:t>
            </w: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The exchange of new notes for outstanding notes in the exchange</w:t>
            </w:r>
          </w:p>
        </w:tc>
        <w:tc>
          <w:tcPr>
            <w:tcW w:w="0" w:type="dxa"/>
            <w:vAlign w:val="bottom"/>
          </w:tcPr>
          <w:p>
            <w:pPr>
              <w:spacing w:after="0"/>
              <w:rPr>
                <w:sz w:val="1"/>
                <w:szCs w:val="1"/>
                <w:color w:val="auto"/>
              </w:rPr>
            </w:pPr>
          </w:p>
        </w:tc>
      </w:tr>
      <w:tr>
        <w:trPr>
          <w:trHeight w:val="202"/>
        </w:trPr>
        <w:tc>
          <w:tcPr>
            <w:tcW w:w="3060" w:type="dxa"/>
            <w:vAlign w:val="bottom"/>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offer should not be a taxable event for U.S. federal income tax</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purposes. Please read “U.S. Federal Income Tax Considerations.”</w:t>
            </w:r>
          </w:p>
        </w:tc>
        <w:tc>
          <w:tcPr>
            <w:tcW w:w="0" w:type="dxa"/>
            <w:vAlign w:val="bottom"/>
          </w:tcPr>
          <w:p>
            <w:pPr>
              <w:spacing w:after="0"/>
              <w:rPr>
                <w:sz w:val="1"/>
                <w:szCs w:val="1"/>
                <w:color w:val="auto"/>
              </w:rPr>
            </w:pPr>
          </w:p>
        </w:tc>
      </w:tr>
      <w:tr>
        <w:trPr>
          <w:trHeight w:val="635"/>
        </w:trPr>
        <w:tc>
          <w:tcPr>
            <w:tcW w:w="3060" w:type="dxa"/>
            <w:vAlign w:val="bottom"/>
          </w:tcPr>
          <w:p>
            <w:pPr>
              <w:spacing w:after="0"/>
              <w:rPr>
                <w:sz w:val="24"/>
                <w:szCs w:val="24"/>
                <w:color w:val="auto"/>
              </w:rPr>
            </w:pPr>
          </w:p>
        </w:tc>
        <w:tc>
          <w:tcPr>
            <w:tcW w:w="8400" w:type="dxa"/>
            <w:vAlign w:val="bottom"/>
          </w:tcPr>
          <w:p>
            <w:pPr>
              <w:ind w:left="26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75"/>
        </w:trPr>
        <w:tc>
          <w:tcPr>
            <w:tcW w:w="3060" w:type="dxa"/>
            <w:vAlign w:val="bottom"/>
            <w:tcBorders>
              <w:bottom w:val="single" w:sz="8" w:color="010101"/>
            </w:tcBorders>
          </w:tcPr>
          <w:p>
            <w:pPr>
              <w:spacing w:after="0"/>
              <w:rPr>
                <w:sz w:val="24"/>
                <w:szCs w:val="24"/>
                <w:color w:val="auto"/>
              </w:rPr>
            </w:pPr>
          </w:p>
        </w:tc>
        <w:tc>
          <w:tcPr>
            <w:tcW w:w="84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89"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We have appointed Wachovia Bank, National Association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exchange agent for the exchange offer. You should direct questions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requests for assistance, requests for additional copies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prospectus or the letter of transmittal and requests for the notice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guaranteed delivery to the exchange agent addressed as follows: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Wachovia Bank, National Association, Customer Information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Trust Operations—NC1153, 1525 West W. T. Harris Blvd.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3C3, Charlotte, North Carolina 28262-8522. Eligible institutions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make requests by facsimile at (704) 590-9279.</w:t>
      </w:r>
    </w:p>
    <w:p>
      <w:pPr>
        <w:spacing w:after="0" w:line="200" w:lineRule="exact"/>
        <w:rPr>
          <w:sz w:val="20"/>
          <w:szCs w:val="20"/>
          <w:color w:val="auto"/>
        </w:rPr>
      </w:pPr>
    </w:p>
    <w:p>
      <w:pPr>
        <w:sectPr>
          <w:pgSz w:w="11900" w:h="16838" w:orient="portrait"/>
          <w:cols w:equalWidth="0" w:num="2">
            <w:col w:w="2460" w:space="720"/>
            <w:col w:w="8280"/>
          </w:cols>
          <w:pgMar w:left="240" w:top="125" w:right="199" w:bottom="289" w:gutter="0" w:footer="0" w:header="0"/>
          <w:type w:val="continuous"/>
        </w:sectPr>
      </w:pP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of the Notes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The new notes will be identical to the outstanding notes except that the new notes are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p>
    <w:p>
      <w:pPr>
        <w:spacing w:after="0" w:line="73"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i w:val="1"/>
          <w:iCs w:val="1"/>
          <w:color w:val="auto"/>
        </w:rPr>
        <w:t>The following summary contains basic information about the notes and is not intended to be complete. It does not contain all the information that is important to you. For a more complete understanding of the notes, please refer to the section of this prospectus entitled “Description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Issuers</w:t>
            </w:r>
          </w:p>
        </w:tc>
        <w:tc>
          <w:tcPr>
            <w:tcW w:w="9040" w:type="dxa"/>
            <w:vAlign w:val="bottom"/>
          </w:tcPr>
          <w:p>
            <w:pPr>
              <w:ind w:left="740"/>
              <w:spacing w:after="0"/>
              <w:rPr>
                <w:sz w:val="20"/>
                <w:szCs w:val="20"/>
                <w:color w:val="auto"/>
              </w:rPr>
            </w:pPr>
            <w:r>
              <w:rPr>
                <w:rFonts w:ascii="Arial" w:cs="Arial" w:eastAsia="Arial" w:hAnsi="Arial"/>
                <w:sz w:val="18"/>
                <w:szCs w:val="18"/>
                <w:color w:val="auto"/>
              </w:rPr>
              <w:t>Plains All American Pipeline, L.P. and PAA Finance Corp.</w:t>
            </w:r>
          </w:p>
        </w:tc>
      </w:tr>
      <w:tr>
        <w:trPr>
          <w:trHeight w:val="283"/>
        </w:trPr>
        <w:tc>
          <w:tcPr>
            <w:tcW w:w="2420" w:type="dxa"/>
            <w:vAlign w:val="bottom"/>
          </w:tcPr>
          <w:p>
            <w:pPr>
              <w:spacing w:after="0"/>
              <w:rPr>
                <w:sz w:val="24"/>
                <w:szCs w:val="24"/>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PAA Finance Corp., a Delaware corporation, is an indirect wholly</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owned subsidiary of Plains All American Pipeline, L.P. that has been</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organized for the purpose of co-issuing our existing notes, the notes</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offered hereby, and the notes issued in any future offerings. PAA</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Finance Corp. will not have any operations of any kind and will not</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have any revenue other than as may be incidental to its activities as a</w:t>
            </w:r>
          </w:p>
        </w:tc>
      </w:tr>
      <w:tr>
        <w:trPr>
          <w:trHeight w:val="230"/>
        </w:trPr>
        <w:tc>
          <w:tcPr>
            <w:tcW w:w="2420" w:type="dxa"/>
            <w:vAlign w:val="bottom"/>
          </w:tcPr>
          <w:p>
            <w:pPr>
              <w:spacing w:after="0"/>
              <w:rPr>
                <w:sz w:val="20"/>
                <w:szCs w:val="20"/>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co-issuer of the notes.</w:t>
            </w:r>
          </w:p>
        </w:tc>
      </w:tr>
      <w:tr>
        <w:trPr>
          <w:trHeight w:val="269"/>
        </w:trPr>
        <w:tc>
          <w:tcPr>
            <w:tcW w:w="2420" w:type="dxa"/>
            <w:vAlign w:val="bottom"/>
          </w:tcPr>
          <w:p>
            <w:pPr>
              <w:spacing w:after="0"/>
              <w:rPr>
                <w:sz w:val="20"/>
                <w:szCs w:val="20"/>
                <w:color w:val="auto"/>
              </w:rPr>
            </w:pPr>
            <w:r>
              <w:rPr>
                <w:rFonts w:ascii="Arial" w:cs="Arial" w:eastAsia="Arial" w:hAnsi="Arial"/>
                <w:sz w:val="18"/>
                <w:szCs w:val="18"/>
                <w:color w:val="auto"/>
              </w:rPr>
              <w:t>Notes Offered</w:t>
            </w:r>
          </w:p>
        </w:tc>
        <w:tc>
          <w:tcPr>
            <w:tcW w:w="9040" w:type="dxa"/>
            <w:vAlign w:val="bottom"/>
          </w:tcPr>
          <w:p>
            <w:pPr>
              <w:ind w:left="740"/>
              <w:spacing w:after="0"/>
              <w:rPr>
                <w:sz w:val="20"/>
                <w:szCs w:val="20"/>
                <w:color w:val="auto"/>
              </w:rPr>
            </w:pPr>
            <w:r>
              <w:rPr>
                <w:rFonts w:ascii="Arial" w:cs="Arial" w:eastAsia="Arial" w:hAnsi="Arial"/>
                <w:sz w:val="18"/>
                <w:szCs w:val="18"/>
                <w:color w:val="auto"/>
              </w:rPr>
              <w:t>$150 million in aggregate principal amount of 5.25% senior notes due</w:t>
            </w:r>
          </w:p>
        </w:tc>
      </w:tr>
      <w:tr>
        <w:trPr>
          <w:trHeight w:val="230"/>
        </w:trPr>
        <w:tc>
          <w:tcPr>
            <w:tcW w:w="2420" w:type="dxa"/>
            <w:vAlign w:val="bottom"/>
          </w:tcPr>
          <w:p>
            <w:pPr>
              <w:spacing w:after="0"/>
              <w:rPr>
                <w:sz w:val="20"/>
                <w:szCs w:val="20"/>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2015.</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Maturity Date</w:t>
            </w:r>
          </w:p>
        </w:tc>
        <w:tc>
          <w:tcPr>
            <w:tcW w:w="9040" w:type="dxa"/>
            <w:vAlign w:val="bottom"/>
          </w:tcPr>
          <w:p>
            <w:pPr>
              <w:ind w:left="740"/>
              <w:spacing w:after="0"/>
              <w:rPr>
                <w:sz w:val="20"/>
                <w:szCs w:val="20"/>
                <w:color w:val="auto"/>
              </w:rPr>
            </w:pPr>
            <w:r>
              <w:rPr>
                <w:rFonts w:ascii="Arial" w:cs="Arial" w:eastAsia="Arial" w:hAnsi="Arial"/>
                <w:sz w:val="18"/>
                <w:szCs w:val="18"/>
                <w:color w:val="auto"/>
              </w:rPr>
              <w:t>June 15, 2015.</w:t>
            </w:r>
          </w:p>
        </w:tc>
      </w:tr>
      <w:tr>
        <w:trPr>
          <w:trHeight w:val="269"/>
        </w:trPr>
        <w:tc>
          <w:tcPr>
            <w:tcW w:w="24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9040" w:type="dxa"/>
            <w:vAlign w:val="bottom"/>
          </w:tcPr>
          <w:p>
            <w:pPr>
              <w:ind w:left="740"/>
              <w:spacing w:after="0"/>
              <w:rPr>
                <w:sz w:val="20"/>
                <w:szCs w:val="20"/>
                <w:color w:val="auto"/>
              </w:rPr>
            </w:pPr>
            <w:r>
              <w:rPr>
                <w:rFonts w:ascii="Arial" w:cs="Arial" w:eastAsia="Arial" w:hAnsi="Arial"/>
                <w:sz w:val="18"/>
                <w:szCs w:val="18"/>
                <w:color w:val="auto"/>
              </w:rPr>
              <w:t>We will pay interest on the notes on June 15 and December 15 of each</w:t>
            </w:r>
          </w:p>
        </w:tc>
      </w:tr>
      <w:tr>
        <w:trPr>
          <w:trHeight w:val="230"/>
        </w:trPr>
        <w:tc>
          <w:tcPr>
            <w:tcW w:w="2420" w:type="dxa"/>
            <w:vAlign w:val="bottom"/>
          </w:tcPr>
          <w:p>
            <w:pPr>
              <w:spacing w:after="0"/>
              <w:rPr>
                <w:sz w:val="20"/>
                <w:szCs w:val="20"/>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year, beginning December 15, 2005.</w:t>
            </w:r>
          </w:p>
        </w:tc>
      </w:tr>
      <w:tr>
        <w:trPr>
          <w:trHeight w:val="269"/>
        </w:trPr>
        <w:tc>
          <w:tcPr>
            <w:tcW w:w="2420" w:type="dxa"/>
            <w:vAlign w:val="bottom"/>
          </w:tcPr>
          <w:p>
            <w:pPr>
              <w:spacing w:after="0"/>
              <w:rPr>
                <w:sz w:val="20"/>
                <w:szCs w:val="20"/>
                <w:color w:val="auto"/>
              </w:rPr>
            </w:pPr>
            <w:r>
              <w:rPr>
                <w:rFonts w:ascii="Arial" w:cs="Arial" w:eastAsia="Arial" w:hAnsi="Arial"/>
                <w:sz w:val="18"/>
                <w:szCs w:val="18"/>
                <w:color w:val="auto"/>
              </w:rPr>
              <w:t>Optional Redemption</w:t>
            </w:r>
          </w:p>
        </w:tc>
        <w:tc>
          <w:tcPr>
            <w:tcW w:w="9040" w:type="dxa"/>
            <w:vAlign w:val="bottom"/>
          </w:tcPr>
          <w:p>
            <w:pPr>
              <w:ind w:left="740"/>
              <w:spacing w:after="0"/>
              <w:rPr>
                <w:sz w:val="20"/>
                <w:szCs w:val="20"/>
                <w:color w:val="auto"/>
              </w:rPr>
            </w:pPr>
            <w:r>
              <w:rPr>
                <w:rFonts w:ascii="Arial" w:cs="Arial" w:eastAsia="Arial" w:hAnsi="Arial"/>
                <w:sz w:val="18"/>
                <w:szCs w:val="18"/>
                <w:color w:val="auto"/>
              </w:rPr>
              <w:t>We may redeem the notes, in whole or in part, at any time at a price</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equal to 100% of the principal amount of the notes to be redeemed</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plus a make-whole premium described in the “Description of the</w:t>
            </w:r>
          </w:p>
        </w:tc>
      </w:tr>
      <w:tr>
        <w:trPr>
          <w:trHeight w:val="216"/>
        </w:trPr>
        <w:tc>
          <w:tcPr>
            <w:tcW w:w="2420" w:type="dxa"/>
            <w:vAlign w:val="bottom"/>
          </w:tcPr>
          <w:p>
            <w:pPr>
              <w:spacing w:after="0"/>
              <w:rPr>
                <w:sz w:val="18"/>
                <w:szCs w:val="18"/>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Notes—Optional Redemption” section of this prospectus, plus</w:t>
            </w:r>
          </w:p>
        </w:tc>
      </w:tr>
      <w:tr>
        <w:trPr>
          <w:trHeight w:val="230"/>
        </w:trPr>
        <w:tc>
          <w:tcPr>
            <w:tcW w:w="2420" w:type="dxa"/>
            <w:vAlign w:val="bottom"/>
          </w:tcPr>
          <w:p>
            <w:pPr>
              <w:spacing w:after="0"/>
              <w:rPr>
                <w:sz w:val="20"/>
                <w:szCs w:val="20"/>
                <w:color w:val="auto"/>
              </w:rPr>
            </w:pPr>
          </w:p>
        </w:tc>
        <w:tc>
          <w:tcPr>
            <w:tcW w:w="9040" w:type="dxa"/>
            <w:vAlign w:val="bottom"/>
          </w:tcPr>
          <w:p>
            <w:pPr>
              <w:ind w:left="740"/>
              <w:spacing w:after="0"/>
              <w:rPr>
                <w:sz w:val="20"/>
                <w:szCs w:val="20"/>
                <w:color w:val="auto"/>
              </w:rPr>
            </w:pPr>
            <w:r>
              <w:rPr>
                <w:rFonts w:ascii="Arial" w:cs="Arial" w:eastAsia="Arial" w:hAnsi="Arial"/>
                <w:sz w:val="18"/>
                <w:szCs w:val="18"/>
                <w:color w:val="auto"/>
              </w:rPr>
              <w:t>accrued and unpaid interest, if any, to the redemption date.</w:t>
            </w:r>
          </w:p>
        </w:tc>
      </w:tr>
      <w:tr>
        <w:trPr>
          <w:trHeight w:val="635"/>
        </w:trPr>
        <w:tc>
          <w:tcPr>
            <w:tcW w:w="2420" w:type="dxa"/>
            <w:vAlign w:val="bottom"/>
          </w:tcPr>
          <w:p>
            <w:pPr>
              <w:spacing w:after="0"/>
              <w:rPr>
                <w:sz w:val="24"/>
                <w:szCs w:val="24"/>
                <w:color w:val="auto"/>
              </w:rPr>
            </w:pPr>
          </w:p>
        </w:tc>
        <w:tc>
          <w:tcPr>
            <w:tcW w:w="9040" w:type="dxa"/>
            <w:vAlign w:val="bottom"/>
          </w:tcPr>
          <w:p>
            <w:pPr>
              <w:ind w:left="3240"/>
              <w:spacing w:after="0"/>
              <w:rPr>
                <w:sz w:val="20"/>
                <w:szCs w:val="20"/>
                <w:color w:val="auto"/>
              </w:rPr>
            </w:pPr>
            <w:r>
              <w:rPr>
                <w:rFonts w:ascii="Arial" w:cs="Arial" w:eastAsia="Arial" w:hAnsi="Arial"/>
                <w:sz w:val="18"/>
                <w:szCs w:val="18"/>
                <w:color w:val="auto"/>
              </w:rPr>
              <w:t>4</w:t>
            </w:r>
          </w:p>
        </w:tc>
      </w:tr>
      <w:tr>
        <w:trPr>
          <w:trHeight w:val="375"/>
        </w:trPr>
        <w:tc>
          <w:tcPr>
            <w:tcW w:w="2420" w:type="dxa"/>
            <w:vAlign w:val="bottom"/>
            <w:tcBorders>
              <w:bottom w:val="single" w:sz="8" w:color="010101"/>
            </w:tcBorders>
          </w:tcPr>
          <w:p>
            <w:pPr>
              <w:spacing w:after="0"/>
              <w:rPr>
                <w:sz w:val="24"/>
                <w:szCs w:val="24"/>
                <w:color w:val="auto"/>
              </w:rPr>
            </w:pPr>
          </w:p>
        </w:tc>
        <w:tc>
          <w:tcPr>
            <w:tcW w:w="90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89" w:gutter="0" w:footer="0" w:header="0"/>
          <w:type w:val="continuous"/>
        </w:sectPr>
      </w:pPr>
    </w:p>
    <w:bookmarkStart w:id="3" w:name="page4"/>
    <w:bookmarkEnd w:id="3"/>
    <w:p>
      <w:pPr>
        <w:spacing w:after="0" w:line="73" w:lineRule="exact"/>
        <w:rPr>
          <w:sz w:val="20"/>
          <w:szCs w:val="20"/>
          <w:color w:val="auto"/>
        </w:rPr>
      </w:pPr>
    </w:p>
    <w:p>
      <w:pPr>
        <w:spacing w:after="0"/>
        <w:tabs>
          <w:tab w:leader="none" w:pos="3140" w:val="left"/>
        </w:tabs>
        <w:rPr>
          <w:sz w:val="20"/>
          <w:szCs w:val="20"/>
          <w:color w:val="auto"/>
        </w:rPr>
      </w:pPr>
      <w:r>
        <w:rPr>
          <w:rFonts w:ascii="Arial" w:cs="Arial" w:eastAsia="Arial" w:hAnsi="Arial"/>
          <w:sz w:val="17"/>
          <w:szCs w:val="17"/>
          <w:color w:val="auto"/>
        </w:rPr>
        <w:t>Guarantees</w:t>
      </w:r>
      <w:r>
        <w:rPr>
          <w:sz w:val="20"/>
          <w:szCs w:val="20"/>
          <w:color w:val="auto"/>
        </w:rPr>
        <w:tab/>
      </w:r>
      <w:r>
        <w:rPr>
          <w:rFonts w:ascii="Arial" w:cs="Arial" w:eastAsia="Arial" w:hAnsi="Arial"/>
          <w:sz w:val="17"/>
          <w:szCs w:val="17"/>
          <w:color w:val="auto"/>
        </w:rPr>
        <w:t>Initially, all payments with respect to the notes (including principal</w:t>
      </w:r>
    </w:p>
    <w:p>
      <w:pPr>
        <w:spacing w:after="0" w:line="35"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and interest) are fully and unconditionally guaranteed, jointly and</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severally, by substantially all of our existing subsidiaries. In the future</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our subsidiaries that guarantee other indebtedness of ours or another</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restricted subsidiary must also guarantee the notes. The guarantees are</w:t>
      </w:r>
    </w:p>
    <w:p>
      <w:pPr>
        <w:spacing w:after="0" w:line="44"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also subject to release in certain circumstances. The guarantees are</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general unsecured obligations of the subsidiary guarantors and rank</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equally with the existing and future senior unsecured indebtedness of</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the subsidiary guarantors.</w:t>
      </w:r>
    </w:p>
    <w:p>
      <w:pPr>
        <w:sectPr>
          <w:pgSz w:w="11900" w:h="16912" w:orient="portrait"/>
          <w:cols w:equalWidth="0" w:num="1">
            <w:col w:w="11420"/>
          </w:cols>
          <w:pgMar w:left="240" w:top="125" w:right="239" w:bottom="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hanging="179"/>
        <w:spacing w:after="0" w:line="308" w:lineRule="auto"/>
        <w:rPr>
          <w:sz w:val="20"/>
          <w:szCs w:val="20"/>
          <w:color w:val="auto"/>
        </w:rPr>
      </w:pPr>
      <w:r>
        <w:rPr>
          <w:rFonts w:ascii="Arial" w:cs="Arial" w:eastAsia="Arial" w:hAnsi="Arial"/>
          <w:sz w:val="17"/>
          <w:szCs w:val="17"/>
          <w:color w:val="auto"/>
        </w:rPr>
        <w:t>Transfer Restrictions; Absence of a Public Market for the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300"/>
        <w:spacing w:after="0" w:line="264" w:lineRule="auto"/>
        <w:rPr>
          <w:sz w:val="20"/>
          <w:szCs w:val="20"/>
          <w:color w:val="auto"/>
        </w:rPr>
      </w:pPr>
      <w:r>
        <w:rPr>
          <w:rFonts w:ascii="Arial" w:cs="Arial" w:eastAsia="Arial" w:hAnsi="Arial"/>
          <w:sz w:val="18"/>
          <w:szCs w:val="18"/>
          <w:color w:val="auto"/>
        </w:rPr>
        <w:t>The notes are general senior unsecured obligations of the issuers and rank equally with the existing and future senior unsecured indebtedness of the issuers.</w:t>
      </w:r>
    </w:p>
    <w:p>
      <w:pPr>
        <w:spacing w:after="0" w:line="6" w:lineRule="exact"/>
        <w:rPr>
          <w:sz w:val="20"/>
          <w:szCs w:val="20"/>
          <w:color w:val="auto"/>
        </w:rPr>
      </w:pPr>
    </w:p>
    <w:p>
      <w:pPr>
        <w:ind w:right="3240"/>
        <w:spacing w:after="0" w:line="264" w:lineRule="auto"/>
        <w:rPr>
          <w:sz w:val="20"/>
          <w:szCs w:val="20"/>
          <w:color w:val="auto"/>
        </w:rPr>
      </w:pPr>
      <w:r>
        <w:rPr>
          <w:rFonts w:ascii="Arial" w:cs="Arial" w:eastAsia="Arial" w:hAnsi="Arial"/>
          <w:sz w:val="18"/>
          <w:szCs w:val="18"/>
          <w:color w:val="auto"/>
        </w:rPr>
        <w:t>The indenture governing the notes contains covenants that limit our ability and our restricted subsidiaries’ ability, with certain exceptions, to:</w:t>
      </w:r>
    </w:p>
    <w:p>
      <w:pPr>
        <w:spacing w:after="0" w:line="1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liens on principal properties to secure debt;·</w:t>
      </w:r>
    </w:p>
    <w:p>
      <w:pPr>
        <w:spacing w:after="0" w:line="63" w:lineRule="exact"/>
        <w:rPr>
          <w:rFonts w:ascii="Arial" w:cs="Arial" w:eastAsia="Arial" w:hAnsi="Arial"/>
          <w:sz w:val="18"/>
          <w:szCs w:val="18"/>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63" w:lineRule="exact"/>
        <w:rPr>
          <w:rFonts w:ascii="Arial" w:cs="Arial" w:eastAsia="Arial" w:hAnsi="Arial"/>
          <w:sz w:val="18"/>
          <w:szCs w:val="18"/>
          <w:color w:val="auto"/>
        </w:rPr>
      </w:pPr>
    </w:p>
    <w:p>
      <w:pPr>
        <w:ind w:left="180" w:right="3480" w:hanging="172"/>
        <w:spacing w:after="0" w:line="342"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merge or consolidate with another entity or sell, lease or transfer substantially all of our properties or assets to another entity.</w:t>
      </w:r>
    </w:p>
    <w:p>
      <w:pPr>
        <w:spacing w:after="0" w:line="178" w:lineRule="exact"/>
        <w:rPr>
          <w:sz w:val="20"/>
          <w:szCs w:val="20"/>
          <w:color w:val="auto"/>
        </w:rPr>
      </w:pPr>
    </w:p>
    <w:p>
      <w:pPr>
        <w:ind w:right="3180"/>
        <w:spacing w:after="0" w:line="259" w:lineRule="auto"/>
        <w:rPr>
          <w:sz w:val="20"/>
          <w:szCs w:val="20"/>
          <w:color w:val="auto"/>
        </w:rPr>
      </w:pPr>
      <w:r>
        <w:rPr>
          <w:rFonts w:ascii="Arial" w:cs="Arial" w:eastAsia="Arial" w:hAnsi="Arial"/>
          <w:sz w:val="18"/>
          <w:szCs w:val="18"/>
          <w:color w:val="auto"/>
        </w:rPr>
        <w:t>The new notes generally will be freely transferable, but will also be new securities for which there will not initially be a market. There can be no assurance as to the development or liquidity of any market for the new notes.</w:t>
      </w:r>
    </w:p>
    <w:p>
      <w:pPr>
        <w:spacing w:after="0" w:line="443" w:lineRule="exact"/>
        <w:rPr>
          <w:sz w:val="20"/>
          <w:szCs w:val="20"/>
          <w:color w:val="auto"/>
        </w:rPr>
      </w:pPr>
    </w:p>
    <w:p>
      <w:pPr>
        <w:sectPr>
          <w:pgSz w:w="11900" w:h="16912" w:orient="portrait"/>
          <w:cols w:equalWidth="0" w:num="2">
            <w:col w:w="2560" w:space="600"/>
            <w:col w:w="826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i w:val="1"/>
          <w:iCs w:val="1"/>
          <w:color w:val="auto"/>
        </w:rPr>
        <w:t>Acquisition of Natural Gas Storage Facilities</w:t>
      </w:r>
    </w:p>
    <w:p>
      <w:pPr>
        <w:spacing w:after="0" w:line="104" w:lineRule="exact"/>
        <w:rPr>
          <w:sz w:val="20"/>
          <w:szCs w:val="20"/>
          <w:color w:val="auto"/>
        </w:rPr>
      </w:pPr>
    </w:p>
    <w:p>
      <w:pPr>
        <w:ind w:right="360" w:firstLine="360"/>
        <w:spacing w:after="0" w:line="297" w:lineRule="auto"/>
        <w:rPr>
          <w:sz w:val="20"/>
          <w:szCs w:val="20"/>
          <w:color w:val="auto"/>
        </w:rPr>
      </w:pPr>
      <w:r>
        <w:rPr>
          <w:rFonts w:ascii="Arial" w:cs="Arial" w:eastAsia="Arial" w:hAnsi="Arial"/>
          <w:sz w:val="16"/>
          <w:szCs w:val="16"/>
          <w:color w:val="auto"/>
        </w:rPr>
        <w:t>On September 14, 2005, Plains/Vulcan completed the acquisition of all of the equity interests of ECI, an indirect subsidiary of Sempra Energy that develops and operates underground natural gas storage facilities. Plains/Vulcan is owned 50% by us and 50% by a subsidiary of Vulcan Capital, the investment arm of Paul G. Allen (“Vulcan Capital”). The total purchase price, excluding transaction costs, for the ECI equity interests was approximately $250 million. Plains/Vulcan anticipates that it will make additional expenditures of approximately $260 million over the next several years to complete a project under construction. Plains/Vulcan anticipates entering into a credit facility to cover a portion of these costs and base gas requirements.</w:t>
      </w:r>
    </w:p>
    <w:p>
      <w:pPr>
        <w:spacing w:after="0" w:line="50"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We and Vulcan Capital each made an initial cash investment of $112.5 million ($225 million in the aggregate to Plains/Vulcan), and a subsidiary of Plains/Vulcan placed a $90 million credit facility contemporaneously with closing. Our portion of the purchase price was funded with a combination of the $112.5 million cash investment, borrowed under our senior unsecured revolving credit facility, and our indirect share of the borrowings under the Plains/Vulcan subsidiary level credit facility, with excess funds from such sources used for closing costs and future liquidity.</w:t>
      </w:r>
    </w:p>
    <w:p>
      <w:pPr>
        <w:spacing w:after="0" w:line="6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ECI’s principal assets consist of (i) Bluewater Gas Storage, an operating natural gas storage facility in Michigan with current natural gas storage working capacity of approximately 20 Bcf; (ii) Pine Prairie Energy Center (“Pine Prairie”), a 24 Bcf salt dome natural gas storage facility under development in Louisiana; and (iii) other similar projects and opportunities under various stages of review and evaluation.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Based on current estimates, we expect the initial capital requirements associated with our proportionate ownership of Plains/Vulcan to be approximately $255 million, which includes our initial cash payment of $112.5 million and our indirect share of the Plains/Vulcan subsidiary level credit facility, as well as future capital contributions. Actual costs may differ materially from current estimates because of factors beyond our control such as shortages or cost increases of power supplies, materials or labor (including the direct and indirect effects of Hurricanes Katrina and Rita on the availability of materials, the cost of natural gas and the demand for oil field services).</w:t>
      </w:r>
    </w:p>
    <w:p>
      <w:pPr>
        <w:spacing w:after="0" w:line="8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Board of Directors of Plains/Vulcan, which will include an equal number of representatives from us and Vulcan Capital, will be responsible for providing strategic direction and policy making, and we will be responsible for the day to day operations of Plains/Vulcan.</w:t>
      </w:r>
    </w:p>
    <w:p>
      <w:pPr>
        <w:spacing w:after="0" w:line="62" w:lineRule="exact"/>
        <w:rPr>
          <w:sz w:val="20"/>
          <w:szCs w:val="20"/>
          <w:color w:val="auto"/>
        </w:rPr>
      </w:pPr>
    </w:p>
    <w:p>
      <w:pPr>
        <w:ind w:right="640" w:firstLine="360"/>
        <w:spacing w:after="0" w:line="391" w:lineRule="auto"/>
        <w:rPr>
          <w:sz w:val="20"/>
          <w:szCs w:val="20"/>
          <w:color w:val="auto"/>
        </w:rPr>
      </w:pPr>
      <w:r>
        <w:rPr>
          <w:rFonts w:ascii="Arial" w:cs="Arial" w:eastAsia="Arial" w:hAnsi="Arial"/>
          <w:sz w:val="18"/>
          <w:szCs w:val="18"/>
          <w:color w:val="auto"/>
        </w:rPr>
        <w:t xml:space="preserve">Through its affiliates, Vulcan Capital owns approximately 54% of our general partner and approximately 20% of our outstanding common units. </w:t>
      </w:r>
      <w:r>
        <w:rPr>
          <w:rFonts w:ascii="Arial" w:cs="Arial" w:eastAsia="Arial" w:hAnsi="Arial"/>
          <w:sz w:val="18"/>
          <w:szCs w:val="18"/>
          <w:i w:val="1"/>
          <w:iCs w:val="1"/>
          <w:color w:val="auto"/>
        </w:rPr>
        <w:t>Equity Offering</w:t>
      </w:r>
    </w:p>
    <w:p>
      <w:pPr>
        <w:spacing w:after="0" w:line="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On October 6, 2005, we announced that we had completed the sale of 5,175,000 million common units (including the over-allotment option) at a public offering price of $42.20 per unit. Net proceeds from the offering, including the general partner’s proportionate capital contribution and expenses associated with the offering, were approximately $213.8 million. Concurrent with the closing of the public offering, we completed the sale of 679,000 common units to investment funds affiliated with Kayne Anderson Capital Advisors, L.P. Net proceeds from this issuance, including the general partner’s proportionate capital contribution and expenses associated with the issuance, were approximately $28.0 million. We used the total net proceeds of approximately $241.8 million from these issuances to repay indebtedness outstanding under our senior unsecured revolving credit facility and for general partnership purposes. A portion of the debt that was repaid was incurred as a result of the recent acquisition by PAA/Vulcan of ECI.</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Hurricanes Katrina and Rita</w:t>
      </w:r>
    </w:p>
    <w:p>
      <w:pPr>
        <w:spacing w:after="0" w:line="117"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w:t>
      </w:r>
    </w:p>
    <w:p>
      <w:pPr>
        <w:spacing w:after="0" w:line="46"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We are continuing to assess damage to our Gulf Coast assets. The cumulative impact of the hurricanes on our operations, however, may not be known for some time and will be dependent upon when power is restored to our facilities, the extent of damage to our and third party assets, the potential impact of shut in crude oil production and refining capacity and the extent of any environmental exposure. The profitability of our pipeline operations depends on the</w:t>
      </w:r>
    </w:p>
    <w:p>
      <w:pPr>
        <w:sectPr>
          <w:pgSz w:w="11900" w:h="16912" w:orient="portrait"/>
          <w:cols w:equalWidth="0" w:num="1">
            <w:col w:w="11420"/>
          </w:cols>
          <w:pgMar w:left="240" w:top="125" w:right="239" w:bottom="0" w:gutter="0" w:footer="0" w:header="0"/>
          <w:type w:val="continuous"/>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t>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Changes at Our General Partner</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On August 12, 2005, Sable Investments, L.P., a 19.0% owner of our general partner, sold its interest to the remaining owners of our general partner. This transaction resulted from the exercise of a right of first refusal by all of the remaining owners in response to an offer to purchase the Sable interest. As a result of this transaction, Vulcan Energy Corporation (“Vulcan”), an affiliate of Vulcan Capital, increased its ownership interest in our general partner from 44% to approximately 54%, which effectively would have enabled Vulcan to elect five of our general partner’s eight board members.</w:t>
      </w:r>
    </w:p>
    <w:p>
      <w:pPr>
        <w:spacing w:after="0" w:line="4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 conjunction with the transaction, our general partner entered into an excess voting rights agreement with Vulcan pursuant to which Vulcan has agreed to restrict certain of its voting rights to help preserve a balanced board. Specifically, Vulcan agreed that with respect to any action taken by the members for the election or removal of an independent director, Vulcan will vote all of its membership interest in excess of 49.9% in the same manner as, and proportionate to, the votes of all membership interests other than Vulcan’s. Vulcan has the right at any time to give notice of termination of the agreement. The time between notice and termination depends on the circumstances, but would never be longer than one year. Upon any breach by Vulcan of, or notice of termination under, the agreement, the employment agreement waivers described below would terminate. In addition, Lynx Holdings, L.P., similarly agreed that, in the same circumstances, it will vote all of its 1.23% membership interest in the same manner as, and proportionate to, the votes of all membership interests other than Vulcan’s and Lynx Holdings’. Also in connection with the transaction, the chief executive officer and the chief operating officer of our general partner agreed to waive certain change-of-control payment rights that would otherwise have been triggered as a result of the increase in Vulcan’s ownership interest in the general partner to approximately 54%.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Increase</w:t>
      </w:r>
    </w:p>
    <w:p>
      <w:pPr>
        <w:spacing w:after="0" w:line="11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On July 21, 2005, we announced a cash distribution of $0.65 per unit on all outstanding limited partner units. This second quarter distribution was paid on August 12, 2005. This distribution equals an annual distribution of $2.60 per unit and represents an increase of 12.6% over the second quarter of 2004 distribution.</w:t>
      </w:r>
    </w:p>
    <w:p>
      <w:pPr>
        <w:spacing w:after="0" w:line="73"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During our conference call to discuss the acquisition of ECI, our management disclosed its intent to recommend to the board of directors of our general partner a post-closing distribution increase of two and a half cents per quarter, or ten cents per unit on an annualized basis. Such an increase would result in a quarterly distribution of $0.675 per unit, which equals an annualized distribution rate of $2.70 per unit. Subject to the approval of the board of directors of our general partner and the absence of any material adverse developments or potentially attractive opportunities that would make such an increase inadvisable, we expect this increase to be reflected in our distribution related to the third quarter of 2005. Under our partnership agreement, generally our general partner is entitled to 50% of the amount we distribute to each unitholder in excess of $0.675 per unit per quarter.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firstLine="360"/>
        <w:spacing w:after="0" w:line="274" w:lineRule="auto"/>
        <w:rPr>
          <w:sz w:val="20"/>
          <w:szCs w:val="20"/>
          <w:color w:val="auto"/>
        </w:rPr>
      </w:pPr>
      <w:r>
        <w:rPr>
          <w:rFonts w:ascii="Arial" w:cs="Arial" w:eastAsia="Arial" w:hAnsi="Arial"/>
          <w:sz w:val="17"/>
          <w:szCs w:val="17"/>
          <w:i w:val="1"/>
          <w:iCs w:val="1"/>
          <w:color w:val="auto"/>
        </w:rPr>
        <w:t>In addition to the other information set forth elsewhere or incorporated by reference in this prospectus, the following factors relating to our partnership and the exchange offer and the notes should be considered carefully in deciding whether to participate in the exchange offer.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1" w:lineRule="exact"/>
        <w:rPr>
          <w:sz w:val="20"/>
          <w:szCs w:val="20"/>
          <w:color w:val="auto"/>
        </w:rPr>
      </w:pPr>
    </w:p>
    <w:p>
      <w:pPr>
        <w:ind w:right="160" w:firstLine="360"/>
        <w:spacing w:after="0" w:line="274" w:lineRule="auto"/>
        <w:rPr>
          <w:sz w:val="20"/>
          <w:szCs w:val="20"/>
          <w:color w:val="auto"/>
        </w:rPr>
      </w:pPr>
      <w:r>
        <w:rPr>
          <w:rFonts w:ascii="Arial" w:cs="Arial" w:eastAsia="Arial" w:hAnsi="Arial"/>
          <w:sz w:val="17"/>
          <w:szCs w:val="17"/>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6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7"/>
          <w:szCs w:val="17"/>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trading policies cannot eliminate all price risks. In addition, any non-compliance with our trading policies could result in significant financial losses.</w:t>
      </w:r>
    </w:p>
    <w:p>
      <w:pPr>
        <w:spacing w:after="0" w:line="138" w:lineRule="exact"/>
        <w:rPr>
          <w:sz w:val="20"/>
          <w:szCs w:val="20"/>
          <w:color w:val="auto"/>
        </w:rPr>
      </w:pPr>
    </w:p>
    <w:p>
      <w:pPr>
        <w:ind w:right="40" w:firstLine="360"/>
        <w:spacing w:after="0" w:line="269" w:lineRule="auto"/>
        <w:rPr>
          <w:sz w:val="20"/>
          <w:szCs w:val="20"/>
          <w:color w:val="auto"/>
        </w:rPr>
      </w:pPr>
      <w:r>
        <w:rPr>
          <w:rFonts w:ascii="Arial" w:cs="Arial" w:eastAsia="Arial" w:hAnsi="Arial"/>
          <w:sz w:val="16"/>
          <w:szCs w:val="16"/>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75"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6"/>
          <w:szCs w:val="16"/>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do not make acquisitions on economically acceptable terms our future growth may be limited.</w:t>
      </w:r>
    </w:p>
    <w:p>
      <w:pPr>
        <w:sectPr>
          <w:pgSz w:w="11900" w:h="16838" w:orient="portrait"/>
          <w:cols w:equalWidth="0" w:num="1">
            <w:col w:w="11420"/>
          </w:cols>
          <w:pgMar w:left="240" w:top="125" w:right="239" w:bottom="0" w:gutter="0" w:footer="0" w:header="0"/>
          <w:type w:val="continuous"/>
        </w:sectPr>
      </w:pPr>
    </w:p>
    <w:bookmarkStart w:id="5" w:name="page6"/>
    <w:bookmarkEnd w:id="5"/>
    <w:p>
      <w:pPr>
        <w:jc w:val="both"/>
        <w:ind w:right="40" w:firstLine="360"/>
        <w:spacing w:after="0" w:line="312" w:lineRule="auto"/>
        <w:rPr>
          <w:sz w:val="20"/>
          <w:szCs w:val="20"/>
          <w:color w:val="auto"/>
        </w:rPr>
      </w:pPr>
      <w:r>
        <w:rPr>
          <w:rFonts w:ascii="Arial" w:cs="Arial" w:eastAsia="Arial" w:hAnsi="Arial"/>
          <w:sz w:val="15"/>
          <w:szCs w:val="15"/>
          <w:color w:val="auto"/>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w:t>
      </w:r>
    </w:p>
    <w:p>
      <w:pPr>
        <w:spacing w:after="0" w:line="43" w:lineRule="exact"/>
        <w:rPr>
          <w:sz w:val="20"/>
          <w:szCs w:val="20"/>
          <w:color w:val="auto"/>
        </w:rPr>
      </w:pPr>
    </w:p>
    <w:p>
      <w:pPr>
        <w:ind w:right="200" w:firstLine="360"/>
        <w:spacing w:after="0" w:line="261" w:lineRule="auto"/>
        <w:rPr>
          <w:sz w:val="20"/>
          <w:szCs w:val="20"/>
          <w:color w:val="auto"/>
        </w:rPr>
      </w:pPr>
      <w:r>
        <w:rPr>
          <w:rFonts w:ascii="Arial" w:cs="Arial" w:eastAsia="Arial" w:hAnsi="Arial"/>
          <w:sz w:val="17"/>
          <w:szCs w:val="17"/>
          <w:color w:val="auto"/>
        </w:rPr>
        <w:t>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firstLine="360"/>
        <w:spacing w:after="0" w:line="274" w:lineRule="auto"/>
        <w:rPr>
          <w:sz w:val="20"/>
          <w:szCs w:val="20"/>
          <w:color w:val="auto"/>
        </w:rPr>
      </w:pPr>
      <w:r>
        <w:rPr>
          <w:rFonts w:ascii="Arial" w:cs="Arial" w:eastAsia="Arial" w:hAnsi="Arial"/>
          <w:sz w:val="17"/>
          <w:szCs w:val="17"/>
          <w:b w:val="1"/>
          <w:bCs w:val="1"/>
          <w:i w:val="1"/>
          <w:iCs w:val="1"/>
          <w:color w:val="auto"/>
        </w:rPr>
        <w:t>Our acquisition strategy requires access to new capital. Tightened capital markets or other factors which increase our cost of capital could impair our ability to grow.</w:t>
      </w:r>
    </w:p>
    <w:p>
      <w:pPr>
        <w:spacing w:after="0" w:line="26" w:lineRule="exact"/>
        <w:rPr>
          <w:sz w:val="20"/>
          <w:szCs w:val="20"/>
          <w:color w:val="auto"/>
        </w:rPr>
      </w:pPr>
    </w:p>
    <w:p>
      <w:pPr>
        <w:ind w:right="120" w:firstLine="360"/>
        <w:spacing w:after="0" w:line="255" w:lineRule="auto"/>
        <w:rPr>
          <w:sz w:val="20"/>
          <w:szCs w:val="20"/>
          <w:color w:val="auto"/>
        </w:rPr>
      </w:pPr>
      <w:r>
        <w:rPr>
          <w:rFonts w:ascii="Arial" w:cs="Arial" w:eastAsia="Arial" w:hAnsi="Arial"/>
          <w:sz w:val="17"/>
          <w:szCs w:val="17"/>
          <w:color w:val="auto"/>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acquisition strategy involves risks that may adversely affect our business.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acquisition involves potential risks, including:</w:t>
      </w:r>
    </w:p>
    <w:p>
      <w:pPr>
        <w:spacing w:after="0" w:line="75"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performance from the acquired assets and businesses that is below the forecasts we used in evaluating the acquisition;</w:t>
      </w:r>
    </w:p>
    <w:p>
      <w:pPr>
        <w:spacing w:after="0" w:line="74"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increase in our indebtedness and working capital requirements;</w:t>
      </w:r>
    </w:p>
    <w:p>
      <w:pPr>
        <w:spacing w:after="0" w:line="88"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inability to timely and effectively integrate the operations of recently acquired businesses or assets;</w:t>
      </w:r>
    </w:p>
    <w:p>
      <w:pPr>
        <w:spacing w:after="0" w:line="74" w:lineRule="exact"/>
        <w:rPr>
          <w:rFonts w:ascii="Arial" w:cs="Arial" w:eastAsia="Arial" w:hAnsi="Arial"/>
          <w:sz w:val="17"/>
          <w:szCs w:val="17"/>
          <w:color w:val="auto"/>
        </w:rPr>
      </w:pPr>
    </w:p>
    <w:p>
      <w:pPr>
        <w:ind w:left="540" w:right="40" w:hanging="172"/>
        <w:spacing w:after="0" w:line="274" w:lineRule="auto"/>
        <w:tabs>
          <w:tab w:leader="none" w:pos="48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26"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operating in lines of business that are distinct and separate from our historical operations</w:t>
      </w:r>
    </w:p>
    <w:p>
      <w:pPr>
        <w:spacing w:after="0" w:line="88"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 or key employee loss from the acquired businesses; and</w:t>
      </w:r>
    </w:p>
    <w:p>
      <w:pPr>
        <w:spacing w:after="0" w:line="74"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diversion of management’s attention from other business concerns.</w:t>
      </w:r>
    </w:p>
    <w:p>
      <w:pPr>
        <w:spacing w:after="0" w:line="75" w:lineRule="exact"/>
        <w:rPr>
          <w:sz w:val="20"/>
          <w:szCs w:val="20"/>
          <w:color w:val="auto"/>
        </w:rPr>
      </w:pPr>
    </w:p>
    <w:p>
      <w:pPr>
        <w:ind w:right="60" w:firstLine="360"/>
        <w:spacing w:after="0" w:line="274" w:lineRule="auto"/>
        <w:rPr>
          <w:sz w:val="20"/>
          <w:szCs w:val="20"/>
          <w:color w:val="auto"/>
        </w:rPr>
      </w:pPr>
      <w:r>
        <w:rPr>
          <w:rFonts w:ascii="Arial" w:cs="Arial" w:eastAsia="Arial" w:hAnsi="Arial"/>
          <w:sz w:val="17"/>
          <w:szCs w:val="17"/>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nature of our assets and business could expose us to significant compliance costs and liabilities.</w:t>
      </w:r>
    </w:p>
    <w:p>
      <w:pPr>
        <w:spacing w:after="0" w:line="88" w:lineRule="exact"/>
        <w:rPr>
          <w:sz w:val="20"/>
          <w:szCs w:val="20"/>
          <w:color w:val="auto"/>
        </w:rPr>
      </w:pPr>
    </w:p>
    <w:p>
      <w:pPr>
        <w:ind w:firstLine="360"/>
        <w:spacing w:after="0" w:line="269"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profitability of our pipeline operations depends on the volume of crude oil shipped.</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7"/>
          <w:szCs w:val="17"/>
          <w:color w:val="auto"/>
        </w:rPr>
        <w:t>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$1.8 million. In addition, we estimate that an average 10,000 barrel per day variance on the Capline Pipeline System, equivalent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to an approximate 7% volume variance on that system, would change annualized segment profit by approximately $1.5 million.</w:t>
      </w:r>
    </w:p>
    <w:p>
      <w:pPr>
        <w:spacing w:after="0" w:line="169" w:lineRule="exact"/>
        <w:rPr>
          <w:sz w:val="20"/>
          <w:szCs w:val="20"/>
          <w:color w:val="auto"/>
        </w:rPr>
      </w:pPr>
    </w:p>
    <w:p>
      <w:pPr>
        <w:ind w:right="300" w:firstLine="360"/>
        <w:spacing w:after="0" w:line="274" w:lineRule="auto"/>
        <w:rPr>
          <w:sz w:val="20"/>
          <w:szCs w:val="20"/>
          <w:color w:val="auto"/>
        </w:rPr>
      </w:pPr>
      <w:r>
        <w:rPr>
          <w:rFonts w:ascii="Arial" w:cs="Arial" w:eastAsia="Arial" w:hAnsi="Arial"/>
          <w:sz w:val="17"/>
          <w:szCs w:val="17"/>
          <w:b w:val="1"/>
          <w:bCs w:val="1"/>
          <w:i w:val="1"/>
          <w:iCs w:val="1"/>
          <w:color w:val="auto"/>
        </w:rPr>
        <w:t>The success of our business strategy to increase and optimize throughput on our pipeline and gathering assets is dependent upon our securing additional supplies of crude oil.</w:t>
      </w:r>
    </w:p>
    <w:p>
      <w:pPr>
        <w:spacing w:after="0" w:line="5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7"/>
          <w:szCs w:val="17"/>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50" w:lineRule="exact"/>
        <w:rPr>
          <w:sz w:val="20"/>
          <w:szCs w:val="20"/>
          <w:color w:val="auto"/>
        </w:rPr>
      </w:pPr>
    </w:p>
    <w:p>
      <w:pPr>
        <w:ind w:right="280" w:firstLine="360"/>
        <w:spacing w:after="0" w:line="274" w:lineRule="auto"/>
        <w:rPr>
          <w:sz w:val="20"/>
          <w:szCs w:val="20"/>
          <w:color w:val="auto"/>
        </w:rPr>
      </w:pPr>
      <w:r>
        <w:rPr>
          <w:rFonts w:ascii="Arial" w:cs="Arial" w:eastAsia="Arial" w:hAnsi="Arial"/>
          <w:sz w:val="17"/>
          <w:szCs w:val="17"/>
          <w:b w:val="1"/>
          <w:bCs w:val="1"/>
          <w:i w:val="1"/>
          <w:iCs w:val="1"/>
          <w:color w:val="auto"/>
        </w:rPr>
        <w:t>Our operations are dependent upon demand for crude oil by refiners in the Midwest and on the Gulf Coast. Fluctuations in demand can negatively affect our operating results.</w:t>
      </w:r>
    </w:p>
    <w:p>
      <w:pPr>
        <w:spacing w:after="0" w:line="53" w:lineRule="exact"/>
        <w:rPr>
          <w:sz w:val="20"/>
          <w:szCs w:val="20"/>
          <w:color w:val="auto"/>
        </w:rPr>
      </w:pPr>
    </w:p>
    <w:p>
      <w:pPr>
        <w:jc w:val="both"/>
        <w:ind w:right="400" w:firstLine="360"/>
        <w:spacing w:after="0" w:line="285" w:lineRule="auto"/>
        <w:rPr>
          <w:sz w:val="20"/>
          <w:szCs w:val="20"/>
          <w:color w:val="auto"/>
        </w:rPr>
      </w:pPr>
      <w:r>
        <w:rPr>
          <w:rFonts w:ascii="Arial" w:cs="Arial" w:eastAsia="Arial" w:hAnsi="Arial"/>
          <w:sz w:val="16"/>
          <w:szCs w:val="16"/>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w:t>
      </w:r>
    </w:p>
    <w:p>
      <w:pPr>
        <w:spacing w:after="0" w:line="33"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ectPr>
          <w:pgSz w:w="11900" w:h="16838" w:orient="portrait"/>
          <w:cols w:equalWidth="0" w:num="1">
            <w:col w:w="11420"/>
          </w:cols>
          <w:pgMar w:left="240" w:top="121" w:right="239" w:bottom="0" w:gutter="0" w:footer="0" w:header="0"/>
        </w:sectPr>
      </w:pPr>
    </w:p>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face intense competition in our gathering, marketing, terminalling and storage activities.</w:t>
      </w:r>
    </w:p>
    <w:p>
      <w:pPr>
        <w:sectPr>
          <w:pgSz w:w="11900" w:h="16838" w:orient="portrait"/>
          <w:cols w:equalWidth="0" w:num="1">
            <w:col w:w="11420"/>
          </w:cols>
          <w:pgMar w:left="240" w:top="121" w:right="239" w:bottom="0" w:gutter="0" w:footer="0" w:header="0"/>
          <w:type w:val="continuous"/>
        </w:sectPr>
      </w:pPr>
    </w:p>
    <w:bookmarkStart w:id="6" w:name="page7"/>
    <w:bookmarkEnd w:id="6"/>
    <w:p>
      <w:pPr>
        <w:ind w:right="340" w:firstLine="360"/>
        <w:spacing w:after="0" w:line="257" w:lineRule="auto"/>
        <w:rPr>
          <w:sz w:val="20"/>
          <w:szCs w:val="20"/>
          <w:color w:val="auto"/>
        </w:rPr>
      </w:pPr>
      <w:r>
        <w:rPr>
          <w:rFonts w:ascii="Arial" w:cs="Arial" w:eastAsia="Arial" w:hAnsi="Arial"/>
          <w:sz w:val="17"/>
          <w:szCs w:val="17"/>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profitability of our gathering and marketing activities is generally dependent on the volumes of crude oil we purchase and gather.</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6"/>
          <w:szCs w:val="16"/>
          <w:color w:val="auto"/>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$4.2 million per year negative impact on segment profit. This impact is based on a reasonable margin throughout various market conditions. Actual margins vary based on the location of the crude oil, the strength or weakness of the market and the grade or quality of crude oil.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Loss of credit rating or the ability to receive open credit could negatively affect our ability to capitalize on a volatile market</w:t>
      </w:r>
    </w:p>
    <w:p>
      <w:pPr>
        <w:spacing w:after="0" w:line="88" w:lineRule="exact"/>
        <w:rPr>
          <w:sz w:val="20"/>
          <w:szCs w:val="20"/>
          <w:color w:val="auto"/>
        </w:rPr>
      </w:pPr>
    </w:p>
    <w:p>
      <w:pPr>
        <w:ind w:right="220" w:firstLine="360"/>
        <w:spacing w:after="0" w:line="274" w:lineRule="auto"/>
        <w:rPr>
          <w:sz w:val="20"/>
          <w:szCs w:val="20"/>
          <w:color w:val="auto"/>
        </w:rPr>
      </w:pPr>
      <w:r>
        <w:rPr>
          <w:rFonts w:ascii="Arial" w:cs="Arial" w:eastAsia="Arial" w:hAnsi="Arial"/>
          <w:sz w:val="17"/>
          <w:szCs w:val="17"/>
          <w:color w:val="auto"/>
        </w:rPr>
        <w:t>We believe that, because of our strategic asset base and complementary business model, we will continue to benefit from swings in market prices and shifts in market structure during periods of volatility in the crude oil</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market. Our ability to capture that benefit, however, is subject to numerous risks and uncertainties, including our maintaining an attractive credit rating and continuing to receive open credit from our suppliers and trade counter-parties.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are exposed to the credit risk of our customers in the ordinary course of our gathering and marketing activities.</w:t>
      </w:r>
    </w:p>
    <w:p>
      <w:pPr>
        <w:spacing w:after="0" w:line="88" w:lineRule="exact"/>
        <w:rPr>
          <w:sz w:val="20"/>
          <w:szCs w:val="20"/>
          <w:color w:val="auto"/>
        </w:rPr>
      </w:pPr>
    </w:p>
    <w:p>
      <w:pPr>
        <w:ind w:right="920" w:firstLine="360"/>
        <w:spacing w:after="0" w:line="274" w:lineRule="auto"/>
        <w:rPr>
          <w:sz w:val="20"/>
          <w:szCs w:val="20"/>
          <w:color w:val="auto"/>
        </w:rPr>
      </w:pPr>
      <w:r>
        <w:rPr>
          <w:rFonts w:ascii="Arial" w:cs="Arial" w:eastAsia="Arial" w:hAnsi="Arial"/>
          <w:sz w:val="17"/>
          <w:szCs w:val="17"/>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53" w:lineRule="exact"/>
        <w:rPr>
          <w:sz w:val="20"/>
          <w:szCs w:val="20"/>
          <w:color w:val="auto"/>
        </w:rPr>
      </w:pPr>
    </w:p>
    <w:p>
      <w:pPr>
        <w:ind w:right="400" w:firstLine="360"/>
        <w:spacing w:after="0" w:line="312" w:lineRule="auto"/>
        <w:rPr>
          <w:sz w:val="20"/>
          <w:szCs w:val="20"/>
          <w:color w:val="auto"/>
        </w:rPr>
      </w:pPr>
      <w:r>
        <w:rPr>
          <w:rFonts w:ascii="Arial" w:cs="Arial" w:eastAsia="Arial" w:hAnsi="Arial"/>
          <w:sz w:val="15"/>
          <w:szCs w:val="15"/>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pipeline assets are subject to federal, state and provincial regulation.</w:t>
      </w:r>
    </w:p>
    <w:p>
      <w:pPr>
        <w:spacing w:after="0" w:line="102" w:lineRule="exact"/>
        <w:rPr>
          <w:sz w:val="20"/>
          <w:szCs w:val="20"/>
          <w:color w:val="auto"/>
        </w:rPr>
      </w:pPr>
    </w:p>
    <w:p>
      <w:pPr>
        <w:ind w:right="200" w:firstLine="360"/>
        <w:spacing w:after="0" w:line="257" w:lineRule="auto"/>
        <w:rPr>
          <w:sz w:val="20"/>
          <w:szCs w:val="20"/>
          <w:color w:val="auto"/>
        </w:rPr>
      </w:pPr>
      <w:r>
        <w:rPr>
          <w:rFonts w:ascii="Arial" w:cs="Arial" w:eastAsia="Arial" w:hAnsi="Arial"/>
          <w:sz w:val="17"/>
          <w:szCs w:val="17"/>
          <w:color w:val="auto"/>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spacing w:after="0" w:line="68" w:lineRule="exact"/>
        <w:rPr>
          <w:sz w:val="20"/>
          <w:szCs w:val="20"/>
          <w:color w:val="auto"/>
        </w:rPr>
      </w:pPr>
    </w:p>
    <w:p>
      <w:pPr>
        <w:ind w:right="220" w:firstLine="360"/>
        <w:spacing w:after="0" w:line="261" w:lineRule="auto"/>
        <w:rPr>
          <w:sz w:val="20"/>
          <w:szCs w:val="20"/>
          <w:color w:val="auto"/>
        </w:rPr>
      </w:pPr>
      <w:r>
        <w:rPr>
          <w:rFonts w:ascii="Arial" w:cs="Arial" w:eastAsia="Arial" w:hAnsi="Arial"/>
          <w:sz w:val="17"/>
          <w:szCs w:val="17"/>
          <w:color w:val="auto"/>
        </w:rPr>
        <w:t>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pipeline systems are dependent upon their interconnections with other crude oil pipelines to reach end markets.</w:t>
      </w:r>
    </w:p>
    <w:p>
      <w:pPr>
        <w:spacing w:after="0" w:line="102" w:lineRule="exact"/>
        <w:rPr>
          <w:sz w:val="20"/>
          <w:szCs w:val="20"/>
          <w:color w:val="auto"/>
        </w:rPr>
      </w:pPr>
    </w:p>
    <w:p>
      <w:pPr>
        <w:ind w:right="420" w:firstLine="360"/>
        <w:spacing w:after="0" w:line="274" w:lineRule="auto"/>
        <w:rPr>
          <w:sz w:val="20"/>
          <w:szCs w:val="20"/>
          <w:color w:val="auto"/>
        </w:rPr>
      </w:pPr>
      <w:r>
        <w:rPr>
          <w:rFonts w:ascii="Arial" w:cs="Arial" w:eastAsia="Arial" w:hAnsi="Arial"/>
          <w:sz w:val="17"/>
          <w:szCs w:val="17"/>
          <w:color w:val="auto"/>
        </w:rPr>
        <w:t>Reduced throughput on these interconnecting pipelines as a result of testing, line repair, reduced operating pressures or other causes could result in reduced throughput on our pipeline systems that would adversely affect our profitability.</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effects of Hurricanes Katrina and Rita and other hurricanes may adversely affect our business.</w:t>
      </w:r>
    </w:p>
    <w:p>
      <w:pPr>
        <w:spacing w:after="0" w:line="102" w:lineRule="exact"/>
        <w:rPr>
          <w:sz w:val="20"/>
          <w:szCs w:val="20"/>
          <w:color w:val="auto"/>
        </w:rPr>
      </w:pPr>
    </w:p>
    <w:p>
      <w:pPr>
        <w:ind w:right="60" w:firstLine="360"/>
        <w:spacing w:after="0" w:line="278" w:lineRule="auto"/>
        <w:rPr>
          <w:sz w:val="20"/>
          <w:szCs w:val="20"/>
          <w:color w:val="auto"/>
        </w:rPr>
      </w:pPr>
      <w:r>
        <w:rPr>
          <w:rFonts w:ascii="Arial" w:cs="Arial" w:eastAsia="Arial" w:hAnsi="Arial"/>
          <w:sz w:val="16"/>
          <w:szCs w:val="16"/>
          <w:color w:val="auto"/>
        </w:rPr>
        <w:t>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w:t>
      </w:r>
    </w:p>
    <w:p>
      <w:pPr>
        <w:spacing w:after="0" w:line="39" w:lineRule="exact"/>
        <w:rPr>
          <w:sz w:val="20"/>
          <w:szCs w:val="20"/>
          <w:color w:val="auto"/>
        </w:rPr>
      </w:pPr>
    </w:p>
    <w:p>
      <w:pPr>
        <w:ind w:firstLine="360"/>
        <w:spacing w:after="0" w:line="290" w:lineRule="auto"/>
        <w:rPr>
          <w:sz w:val="20"/>
          <w:szCs w:val="20"/>
          <w:color w:val="auto"/>
        </w:rPr>
      </w:pPr>
      <w:r>
        <w:rPr>
          <w:rFonts w:ascii="Arial" w:cs="Arial" w:eastAsia="Arial" w:hAnsi="Arial"/>
          <w:sz w:val="15"/>
          <w:szCs w:val="15"/>
          <w:color w:val="auto"/>
        </w:rPr>
        <w:t>We are continuing to assess damage to our Gulf Coast assets. The cumulative impact of the hurricanes on our operations, however, may not be known for some time and will be dependent upon when power is restored to our facilities, the extent of damage to our and third party assets, the potential impact of shut 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Future hurricanes could have effects similar to and worse than Hurricanes Katrina and Rita, and could materially impact our results of operations.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Marine transportation of crude oil has inherent operating risks.</w:t>
      </w:r>
    </w:p>
    <w:p>
      <w:pPr>
        <w:spacing w:after="0" w:line="88" w:lineRule="exact"/>
        <w:rPr>
          <w:sz w:val="20"/>
          <w:szCs w:val="20"/>
          <w:color w:val="auto"/>
        </w:rPr>
      </w:pPr>
    </w:p>
    <w:p>
      <w:pPr>
        <w:ind w:right="60" w:firstLine="360"/>
        <w:spacing w:after="0" w:line="294" w:lineRule="auto"/>
        <w:rPr>
          <w:sz w:val="20"/>
          <w:szCs w:val="20"/>
          <w:color w:val="auto"/>
        </w:rPr>
      </w:pPr>
      <w:r>
        <w:rPr>
          <w:rFonts w:ascii="Arial" w:cs="Arial" w:eastAsia="Arial" w:hAnsi="Arial"/>
          <w:sz w:val="15"/>
          <w:szCs w:val="15"/>
          <w:color w:val="auto"/>
        </w:rPr>
        <w:t>Our gathering and marketing operations include purchasing crude oil that is carried on third party tankers. Our water 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of these circumstances or events could increase our costs or lower our revenues, which could result in a reduction in the market price of our equity or debt securities.</w:t>
      </w:r>
    </w:p>
    <w:p>
      <w:pPr>
        <w:sectPr>
          <w:pgSz w:w="11900" w:h="16838" w:orient="portrait"/>
          <w:cols w:equalWidth="0" w:num="1">
            <w:col w:w="11400"/>
          </w:cols>
          <w:pgMar w:left="240" w:top="121" w:right="259" w:bottom="0" w:gutter="0" w:footer="0" w:header="0"/>
        </w:sectPr>
      </w:pP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Maritime claimants could arrest the vessels carrying our cargoes.</w:t>
      </w:r>
    </w:p>
    <w:p>
      <w:pPr>
        <w:sectPr>
          <w:pgSz w:w="11900" w:h="16838" w:orient="portrait"/>
          <w:cols w:equalWidth="0" w:num="1">
            <w:col w:w="11400"/>
          </w:cols>
          <w:pgMar w:left="240" w:top="121" w:right="259" w:bottom="0" w:gutter="0" w:footer="0" w:header="0"/>
          <w:type w:val="continuous"/>
        </w:sectPr>
      </w:pPr>
    </w:p>
    <w:bookmarkStart w:id="7" w:name="page8"/>
    <w:bookmarkEnd w:id="7"/>
    <w:p>
      <w:pPr>
        <w:jc w:val="both"/>
        <w:ind w:right="300" w:firstLine="360"/>
        <w:spacing w:after="0" w:line="261" w:lineRule="auto"/>
        <w:rPr>
          <w:sz w:val="20"/>
          <w:szCs w:val="20"/>
          <w:color w:val="auto"/>
        </w:rPr>
      </w:pPr>
      <w:r>
        <w:rPr>
          <w:rFonts w:ascii="Arial" w:cs="Arial" w:eastAsia="Arial" w:hAnsi="Arial"/>
          <w:sz w:val="17"/>
          <w:szCs w:val="17"/>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spacing w:after="0" w:line="65" w:lineRule="exact"/>
        <w:rPr>
          <w:sz w:val="20"/>
          <w:szCs w:val="20"/>
          <w:color w:val="auto"/>
        </w:rPr>
      </w:pPr>
    </w:p>
    <w:p>
      <w:pPr>
        <w:ind w:right="220" w:firstLine="360"/>
        <w:spacing w:after="0" w:line="261" w:lineRule="auto"/>
        <w:rPr>
          <w:sz w:val="20"/>
          <w:szCs w:val="20"/>
          <w:color w:val="auto"/>
        </w:rPr>
      </w:pPr>
      <w:r>
        <w:rPr>
          <w:rFonts w:ascii="Arial" w:cs="Arial" w:eastAsia="Arial" w:hAnsi="Arial"/>
          <w:sz w:val="17"/>
          <w:szCs w:val="17"/>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terms of our indebtedness may limit our ability to borrow additional funds or capitalize on business opportunities.</w:t>
      </w:r>
    </w:p>
    <w:p>
      <w:pPr>
        <w:spacing w:after="0" w:line="102" w:lineRule="exact"/>
        <w:rPr>
          <w:sz w:val="20"/>
          <w:szCs w:val="20"/>
          <w:color w:val="auto"/>
        </w:rPr>
      </w:pPr>
    </w:p>
    <w:p>
      <w:pPr>
        <w:jc w:val="both"/>
        <w:ind w:right="80" w:firstLine="360"/>
        <w:spacing w:after="0" w:line="261" w:lineRule="auto"/>
        <w:rPr>
          <w:sz w:val="20"/>
          <w:szCs w:val="20"/>
          <w:color w:val="auto"/>
        </w:rPr>
      </w:pPr>
      <w:r>
        <w:rPr>
          <w:rFonts w:ascii="Arial" w:cs="Arial" w:eastAsia="Arial" w:hAnsi="Arial"/>
          <w:sz w:val="17"/>
          <w:szCs w:val="17"/>
          <w:color w:val="auto"/>
        </w:rPr>
        <w:t>As of June 30, 2005, our total outstanding long-term debt was approximately $953 million. Various limitations in our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Changes in currency exchange rates could adversely affect our operating results.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Because we conduct operations in Canada, we are exposed to currency fluctuations and exchange rate risks that may adversely affect our results of operations.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Cash distributions are not guaranteed and may fluctuate with our performance and the establishment of financial reserves.</w:t>
      </w:r>
    </w:p>
    <w:p>
      <w:pPr>
        <w:spacing w:after="0" w:line="10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7"/>
          <w:szCs w:val="17"/>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Investment in the Natural Gas Storage Business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facilities are new and have limited operating history.</w:t>
      </w:r>
    </w:p>
    <w:p>
      <w:pPr>
        <w:spacing w:after="0" w:line="88" w:lineRule="exact"/>
        <w:rPr>
          <w:sz w:val="20"/>
          <w:szCs w:val="20"/>
          <w:color w:val="auto"/>
        </w:rPr>
      </w:pPr>
    </w:p>
    <w:p>
      <w:pPr>
        <w:ind w:right="80" w:firstLine="360"/>
        <w:spacing w:after="0" w:line="342" w:lineRule="auto"/>
        <w:rPr>
          <w:sz w:val="20"/>
          <w:szCs w:val="20"/>
          <w:color w:val="auto"/>
        </w:rPr>
      </w:pPr>
      <w:r>
        <w:rPr>
          <w:rFonts w:ascii="Arial" w:cs="Arial" w:eastAsia="Arial" w:hAnsi="Arial"/>
          <w:sz w:val="15"/>
          <w:szCs w:val="15"/>
          <w:color w:val="auto"/>
        </w:rPr>
        <w:t>Although we believe that our operating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gas consistent with contractual quality specifications, we could incur significant costs to maintain compliance with our contracts.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no history operating natural gas storage facilities.</w:t>
      </w:r>
    </w:p>
    <w:p>
      <w:pPr>
        <w:spacing w:after="0" w:line="88" w:lineRule="exact"/>
        <w:rPr>
          <w:sz w:val="20"/>
          <w:szCs w:val="20"/>
          <w:color w:val="auto"/>
        </w:rPr>
      </w:pPr>
    </w:p>
    <w:p>
      <w:pPr>
        <w:ind w:firstLine="360"/>
        <w:spacing w:after="0" w:line="257" w:lineRule="auto"/>
        <w:rPr>
          <w:sz w:val="20"/>
          <w:szCs w:val="20"/>
          <w:color w:val="auto"/>
        </w:rPr>
      </w:pPr>
      <w:r>
        <w:rPr>
          <w:rFonts w:ascii="Arial" w:cs="Arial" w:eastAsia="Arial" w:hAnsi="Arial"/>
          <w:sz w:val="17"/>
          <w:szCs w:val="17"/>
          <w:color w:val="auto"/>
        </w:rPr>
        <w:t>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w:t>
      </w:r>
    </w:p>
    <w:p>
      <w:pPr>
        <w:spacing w:after="0" w:line="68" w:lineRule="exact"/>
        <w:rPr>
          <w:sz w:val="20"/>
          <w:szCs w:val="20"/>
          <w:color w:val="auto"/>
        </w:rPr>
      </w:pPr>
    </w:p>
    <w:p>
      <w:pPr>
        <w:ind w:right="40" w:firstLine="360"/>
        <w:spacing w:after="0" w:line="274" w:lineRule="auto"/>
        <w:rPr>
          <w:sz w:val="20"/>
          <w:szCs w:val="20"/>
          <w:color w:val="auto"/>
        </w:rPr>
      </w:pPr>
      <w:r>
        <w:rPr>
          <w:rFonts w:ascii="Arial" w:cs="Arial" w:eastAsia="Arial" w:hAnsi="Arial"/>
          <w:sz w:val="16"/>
          <w:szCs w:val="16"/>
          <w:color w:val="auto"/>
        </w:rPr>
        <w:t>We will be required to devote a great deal of capital, management time and other resources by entering into the natural gas storage business. The devotion of these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Federal, state or local regulatory measures could adversely affect our business.</w:t>
      </w:r>
    </w:p>
    <w:p>
      <w:pPr>
        <w:spacing w:after="0" w:line="102" w:lineRule="exact"/>
        <w:rPr>
          <w:sz w:val="20"/>
          <w:szCs w:val="20"/>
          <w:color w:val="auto"/>
        </w:rPr>
      </w:pPr>
    </w:p>
    <w:p>
      <w:pPr>
        <w:ind w:firstLine="360"/>
        <w:spacing w:after="0" w:line="257" w:lineRule="auto"/>
        <w:rPr>
          <w:sz w:val="20"/>
          <w:szCs w:val="20"/>
          <w:color w:val="auto"/>
        </w:rPr>
      </w:pPr>
      <w:r>
        <w:rPr>
          <w:rFonts w:ascii="Arial" w:cs="Arial" w:eastAsia="Arial" w:hAnsi="Arial"/>
          <w:sz w:val="17"/>
          <w:szCs w:val="17"/>
          <w:color w:val="auto"/>
        </w:rPr>
        <w:t>Our natural gas storage operations are subject to federal, state and local regulatory authorities. Specifically, our natural gas storage facilities and related assets are or will be subject to regulation by the Federal Energy Regulatory Commission or the Michigan Public Service Commission. Our facilities essentially have market based rate authority from such agencies. Any loss of market based rate authority could have an adverse impact on our revenues associated with providing storage services.</w:t>
      </w:r>
    </w:p>
    <w:p>
      <w:pPr>
        <w:spacing w:after="0" w:line="68" w:lineRule="exact"/>
        <w:rPr>
          <w:sz w:val="20"/>
          <w:szCs w:val="20"/>
          <w:color w:val="auto"/>
        </w:rPr>
      </w:pPr>
    </w:p>
    <w:p>
      <w:pPr>
        <w:ind w:right="100" w:firstLine="360"/>
        <w:spacing w:after="0" w:line="274" w:lineRule="auto"/>
        <w:rPr>
          <w:sz w:val="20"/>
          <w:szCs w:val="20"/>
          <w:color w:val="auto"/>
        </w:rPr>
      </w:pPr>
      <w:r>
        <w:rPr>
          <w:rFonts w:ascii="Arial" w:cs="Arial" w:eastAsia="Arial" w:hAnsi="Arial"/>
          <w:sz w:val="17"/>
          <w:szCs w:val="17"/>
          <w:color w:val="auto"/>
        </w:rPr>
        <w:t>In addition, failure to comply with applicable regulations under the Natural Gas Act of 1938, Natural Gas Policy Act of 1978, and certain other state laws could result in the imposition of administrative, civil and criminal remedies.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gas storage business depends on third party pipelines to transport natural gas.</w:t>
      </w:r>
    </w:p>
    <w:p>
      <w:pPr>
        <w:spacing w:after="0" w:line="102" w:lineRule="exact"/>
        <w:rPr>
          <w:sz w:val="20"/>
          <w:szCs w:val="20"/>
          <w:color w:val="auto"/>
        </w:rPr>
      </w:pPr>
    </w:p>
    <w:p>
      <w:pPr>
        <w:ind w:right="20" w:firstLine="360"/>
        <w:spacing w:after="0" w:line="297" w:lineRule="auto"/>
        <w:rPr>
          <w:sz w:val="20"/>
          <w:szCs w:val="20"/>
          <w:color w:val="auto"/>
        </w:rPr>
      </w:pPr>
      <w:r>
        <w:rPr>
          <w:rFonts w:ascii="Arial" w:cs="Arial" w:eastAsia="Arial" w:hAnsi="Arial"/>
          <w:sz w:val="15"/>
          <w:szCs w:val="15"/>
          <w:color w:val="auto"/>
        </w:rPr>
        <w:t>We depend on third 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affect the utilization and value of our storage services. Significant changes in the rates charged by the pipeline or the rates charged by other pipelines with which the interconnected pipelines compete could also have a material adverse effect on our storage revenues.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encounter competition from a variety of sources.</w:t>
      </w:r>
    </w:p>
    <w:p>
      <w:pPr>
        <w:spacing w:after="0" w:line="102" w:lineRule="exact"/>
        <w:rPr>
          <w:sz w:val="20"/>
          <w:szCs w:val="20"/>
          <w:color w:val="auto"/>
        </w:rPr>
      </w:pPr>
    </w:p>
    <w:p>
      <w:pPr>
        <w:jc w:val="both"/>
        <w:ind w:right="160" w:firstLine="360"/>
        <w:spacing w:after="0" w:line="261" w:lineRule="auto"/>
        <w:rPr>
          <w:sz w:val="20"/>
          <w:szCs w:val="20"/>
          <w:color w:val="auto"/>
        </w:rPr>
      </w:pPr>
      <w:r>
        <w:rPr>
          <w:rFonts w:ascii="Arial" w:cs="Arial" w:eastAsia="Arial" w:hAnsi="Arial"/>
          <w:sz w:val="17"/>
          <w:szCs w:val="17"/>
          <w:color w:val="auto"/>
        </w:rPr>
        <w:t>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w:t>
      </w:r>
    </w:p>
    <w:p>
      <w:pPr>
        <w:spacing w:after="0" w:line="146" w:lineRule="exact"/>
        <w:rPr>
          <w:sz w:val="20"/>
          <w:szCs w:val="20"/>
          <w:color w:val="auto"/>
        </w:rPr>
      </w:pPr>
    </w:p>
    <w:p>
      <w:pPr>
        <w:ind w:right="140" w:firstLine="360"/>
        <w:spacing w:after="0" w:line="274" w:lineRule="auto"/>
        <w:rPr>
          <w:sz w:val="20"/>
          <w:szCs w:val="20"/>
          <w:color w:val="auto"/>
        </w:rPr>
      </w:pPr>
      <w:r>
        <w:rPr>
          <w:rFonts w:ascii="Arial" w:cs="Arial" w:eastAsia="Arial" w:hAnsi="Arial"/>
          <w:sz w:val="17"/>
          <w:szCs w:val="17"/>
          <w:b w:val="1"/>
          <w:bCs w:val="1"/>
          <w:i w:val="1"/>
          <w:iCs w:val="1"/>
          <w:color w:val="auto"/>
        </w:rPr>
        <w:t>Expanding our business by constructing new storage facilities subjects us to construction risks; there is no guarantee that Pine Prairie will be developed in the expected time frame or at the expected cost or generate the expected returns.</w:t>
      </w:r>
    </w:p>
    <w:p>
      <w:pPr>
        <w:spacing w:after="0" w:line="67" w:lineRule="exact"/>
        <w:rPr>
          <w:sz w:val="20"/>
          <w:szCs w:val="20"/>
          <w:color w:val="auto"/>
        </w:rPr>
      </w:pPr>
    </w:p>
    <w:p>
      <w:pPr>
        <w:ind w:right="100" w:firstLine="360"/>
        <w:spacing w:after="0" w:line="342" w:lineRule="auto"/>
        <w:rPr>
          <w:sz w:val="20"/>
          <w:szCs w:val="20"/>
          <w:color w:val="auto"/>
        </w:rPr>
      </w:pPr>
      <w:r>
        <w:rPr>
          <w:rFonts w:ascii="Arial" w:cs="Arial" w:eastAsia="Arial" w:hAnsi="Arial"/>
          <w:sz w:val="15"/>
          <w:szCs w:val="15"/>
          <w:color w:val="auto"/>
        </w:rPr>
        <w:t>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w:t>
      </w:r>
    </w:p>
    <w:p>
      <w:pPr>
        <w:sectPr>
          <w:pgSz w:w="11900" w:h="16838" w:orient="portrait"/>
          <w:cols w:equalWidth="0" w:num="1">
            <w:col w:w="11400"/>
          </w:cols>
          <w:pgMar w:left="240" w:top="121" w:right="259" w:bottom="609"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609" w:gutter="0" w:footer="0" w:header="0"/>
          <w:type w:val="continuous"/>
        </w:sectPr>
      </w:pPr>
    </w:p>
    <w:bookmarkStart w:id="8" w:name="page9"/>
    <w:bookmarkEnd w:id="8"/>
    <w:p>
      <w:pPr>
        <w:spacing w:after="0" w:line="70"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control, and requires the expenditure of significant amounts of capital. As we undertake these projects, they may be completed behind schedule or over the budgeted cost. Because of increased demand for materials, equipment and services in the wake of Hurricanes Katrina and Rita, there could be shortages and cost increases associated with construction projects. Moreover, our revenues will not increase immediately upon the expenditure 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not be able to retain existing customers or acquire new customers, which would reduce our revenues and limit our future profitability.</w:t>
      </w:r>
    </w:p>
    <w:p>
      <w:pPr>
        <w:spacing w:after="0" w:line="12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7"/>
          <w:szCs w:val="17"/>
          <w:color w:val="auto"/>
        </w:rPr>
        <w:t>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Third parties’ obligations under storage agreements may be suspended in some circumstances.</w:t>
      </w:r>
    </w:p>
    <w:p>
      <w:pPr>
        <w:spacing w:after="0" w:line="88" w:lineRule="exact"/>
        <w:rPr>
          <w:sz w:val="20"/>
          <w:szCs w:val="20"/>
          <w:color w:val="auto"/>
        </w:rPr>
      </w:pPr>
    </w:p>
    <w:p>
      <w:pPr>
        <w:ind w:right="20" w:firstLine="360"/>
        <w:spacing w:after="0" w:line="257" w:lineRule="auto"/>
        <w:rPr>
          <w:sz w:val="20"/>
          <w:szCs w:val="20"/>
          <w:color w:val="auto"/>
        </w:rPr>
      </w:pPr>
      <w:r>
        <w:rPr>
          <w:rFonts w:ascii="Arial" w:cs="Arial" w:eastAsia="Arial" w:hAnsi="Arial"/>
          <w:sz w:val="17"/>
          <w:szCs w:val="17"/>
          <w:color w:val="auto"/>
        </w:rPr>
        <w:t>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our equipment or facilities or the equipment or facilities of third parties.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nature of our investment in natural gas storage assets and business could expose us to significant compliance costs and liabilities.</w:t>
      </w:r>
    </w:p>
    <w:p>
      <w:pPr>
        <w:spacing w:after="0" w:line="115" w:lineRule="exact"/>
        <w:rPr>
          <w:sz w:val="20"/>
          <w:szCs w:val="20"/>
          <w:color w:val="auto"/>
        </w:rPr>
      </w:pPr>
    </w:p>
    <w:p>
      <w:pPr>
        <w:ind w:firstLine="360"/>
        <w:spacing w:after="0" w:line="269" w:lineRule="auto"/>
        <w:rPr>
          <w:sz w:val="20"/>
          <w:szCs w:val="20"/>
          <w:color w:val="auto"/>
        </w:rPr>
      </w:pPr>
      <w:r>
        <w:rPr>
          <w:rFonts w:ascii="Arial" w:cs="Arial" w:eastAsia="Arial" w:hAnsi="Arial"/>
          <w:sz w:val="16"/>
          <w:szCs w:val="16"/>
          <w:color w:val="auto"/>
        </w:rPr>
        <w:t>Our operations involving the storage of natural gas are subject to stringent federal, state and local laws and regulations governing the discharge of materials into the environment,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Joint venture structures can create operational difficulties.</w:t>
      </w:r>
    </w:p>
    <w:p>
      <w:pPr>
        <w:spacing w:after="0" w:line="102" w:lineRule="exact"/>
        <w:rPr>
          <w:sz w:val="20"/>
          <w:szCs w:val="20"/>
          <w:color w:val="auto"/>
        </w:rPr>
      </w:pPr>
    </w:p>
    <w:p>
      <w:pPr>
        <w:ind w:right="140" w:firstLine="360"/>
        <w:spacing w:after="0" w:line="261" w:lineRule="auto"/>
        <w:rPr>
          <w:sz w:val="20"/>
          <w:szCs w:val="20"/>
          <w:color w:val="auto"/>
        </w:rPr>
      </w:pPr>
      <w:r>
        <w:rPr>
          <w:rFonts w:ascii="Arial" w:cs="Arial" w:eastAsia="Arial" w:hAnsi="Arial"/>
          <w:sz w:val="17"/>
          <w:szCs w:val="17"/>
          <w:color w:val="auto"/>
        </w:rPr>
        <w:t>Our natural gas storage operations are conducted through Plains/Vulcan, a joint venture between us and a subsidiary of Vulcan Capital, with each of us owning 50%. The board of directors of Plains/Vulcan, which will include an equal number of representatives from us and Vulcan Capital, will be responsible for providing strategic direction and policy making, and we will be responsible for the day-to-day operations of Plains/Vulcan.</w:t>
      </w:r>
    </w:p>
    <w:p>
      <w:pPr>
        <w:spacing w:after="0" w:line="51" w:lineRule="exact"/>
        <w:rPr>
          <w:sz w:val="20"/>
          <w:szCs w:val="20"/>
          <w:color w:val="auto"/>
        </w:rPr>
      </w:pPr>
    </w:p>
    <w:p>
      <w:pPr>
        <w:ind w:right="80" w:firstLine="360"/>
        <w:spacing w:after="0" w:line="306" w:lineRule="auto"/>
        <w:rPr>
          <w:sz w:val="20"/>
          <w:szCs w:val="20"/>
          <w:color w:val="auto"/>
        </w:rPr>
      </w:pPr>
      <w:r>
        <w:rPr>
          <w:rFonts w:ascii="Arial" w:cs="Arial" w:eastAsia="Arial" w:hAnsi="Arial"/>
          <w:sz w:val="16"/>
          <w:szCs w:val="16"/>
          <w:color w:val="auto"/>
        </w:rPr>
        <w:t>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Exchange Offer and the Notes</w:t>
      </w:r>
    </w:p>
    <w:p>
      <w:pPr>
        <w:spacing w:after="0" w:line="121" w:lineRule="exact"/>
        <w:rPr>
          <w:sz w:val="20"/>
          <w:szCs w:val="20"/>
          <w:color w:val="auto"/>
        </w:rPr>
      </w:pPr>
    </w:p>
    <w:p>
      <w:pPr>
        <w:ind w:right="60" w:firstLine="360"/>
        <w:spacing w:after="0" w:line="274" w:lineRule="auto"/>
        <w:rPr>
          <w:sz w:val="20"/>
          <w:szCs w:val="20"/>
          <w:color w:val="auto"/>
        </w:rPr>
      </w:pPr>
      <w:r>
        <w:rPr>
          <w:rFonts w:ascii="Arial" w:cs="Arial" w:eastAsia="Arial" w:hAnsi="Arial"/>
          <w:sz w:val="17"/>
          <w:szCs w:val="17"/>
          <w:b w:val="1"/>
          <w:bCs w:val="1"/>
          <w:i w:val="1"/>
          <w:iCs w:val="1"/>
          <w:color w:val="auto"/>
        </w:rPr>
        <w:t>If you do not properly tender your outstanding notes, you will continue to hold unregistered outstanding notes and your ability to transfer outstanding notes will be adversely affected.</w:t>
      </w:r>
    </w:p>
    <w:p>
      <w:pPr>
        <w:spacing w:after="0" w:line="67" w:lineRule="exact"/>
        <w:rPr>
          <w:sz w:val="20"/>
          <w:szCs w:val="20"/>
          <w:color w:val="auto"/>
        </w:rPr>
      </w:pPr>
    </w:p>
    <w:p>
      <w:pPr>
        <w:ind w:right="20" w:firstLine="360"/>
        <w:spacing w:after="0" w:line="261" w:lineRule="auto"/>
        <w:rPr>
          <w:sz w:val="20"/>
          <w:szCs w:val="20"/>
          <w:color w:val="auto"/>
        </w:rPr>
      </w:pPr>
      <w:r>
        <w:rPr>
          <w:rFonts w:ascii="Arial" w:cs="Arial" w:eastAsia="Arial" w:hAnsi="Arial"/>
          <w:sz w:val="17"/>
          <w:szCs w:val="17"/>
          <w:color w:val="auto"/>
        </w:rPr>
        <w:t>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w:t>
      </w:r>
    </w:p>
    <w:p>
      <w:pPr>
        <w:spacing w:after="0" w:line="78"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If you do not exchange your outstanding notes for new notes pursuant to the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exchange offer is consummated, you may have trouble selling them because there will be fewer notes outstanding.</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a holding company structure in which our subsidiaries conduct our operations and own our operating assets.</w:t>
      </w:r>
    </w:p>
    <w:p>
      <w:pPr>
        <w:spacing w:after="0" w:line="115" w:lineRule="exact"/>
        <w:rPr>
          <w:sz w:val="20"/>
          <w:szCs w:val="20"/>
          <w:color w:val="auto"/>
        </w:rPr>
      </w:pPr>
    </w:p>
    <w:p>
      <w:pPr>
        <w:ind w:right="20" w:firstLine="360"/>
        <w:spacing w:after="0" w:line="252"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partnership interests and the equity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97" w:lineRule="exact"/>
        <w:rPr>
          <w:sz w:val="20"/>
          <w:szCs w:val="20"/>
          <w:color w:val="auto"/>
        </w:rPr>
      </w:pPr>
    </w:p>
    <w:p>
      <w:pPr>
        <w:ind w:right="700" w:firstLine="360"/>
        <w:spacing w:after="0" w:line="306" w:lineRule="auto"/>
        <w:rPr>
          <w:sz w:val="20"/>
          <w:szCs w:val="20"/>
          <w:color w:val="auto"/>
        </w:rPr>
      </w:pPr>
      <w:r>
        <w:rPr>
          <w:rFonts w:ascii="Arial" w:cs="Arial" w:eastAsia="Arial" w:hAnsi="Arial"/>
          <w:sz w:val="16"/>
          <w:szCs w:val="16"/>
          <w:b w:val="1"/>
          <w:bCs w:val="1"/>
          <w:i w:val="1"/>
          <w:iCs w:val="1"/>
          <w:color w:val="auto"/>
        </w:rPr>
        <w:t>Your right to receive payments on the notes and the guarantees is unsecured and will be effectively subordinated to our existing and future secured indebtedness as well as to any existing and future indebtedness of our subsidiaries that do not guarantee the notes.</w:t>
      </w:r>
    </w:p>
    <w:p>
      <w:pPr>
        <w:spacing w:after="0" w:line="44" w:lineRule="exact"/>
        <w:rPr>
          <w:sz w:val="20"/>
          <w:szCs w:val="20"/>
          <w:color w:val="auto"/>
        </w:rPr>
      </w:pPr>
    </w:p>
    <w:p>
      <w:pPr>
        <w:ind w:right="20" w:firstLine="360"/>
        <w:spacing w:after="0" w:line="294" w:lineRule="auto"/>
        <w:rPr>
          <w:sz w:val="20"/>
          <w:szCs w:val="20"/>
          <w:color w:val="auto"/>
        </w:rPr>
      </w:pPr>
      <w:r>
        <w:rPr>
          <w:rFonts w:ascii="Arial" w:cs="Arial" w:eastAsia="Arial" w:hAnsi="Arial"/>
          <w:sz w:val="15"/>
          <w:szCs w:val="15"/>
          <w:color w:val="auto"/>
        </w:rPr>
        <w:t>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in the future, under certain circumstances, the guarantees are subject to release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27" w:lineRule="exact"/>
        <w:rPr>
          <w:sz w:val="20"/>
          <w:szCs w:val="20"/>
          <w:color w:val="auto"/>
        </w:rPr>
      </w:pPr>
    </w:p>
    <w:p>
      <w:pPr>
        <w:ind w:right="200" w:firstLine="360"/>
        <w:spacing w:after="0" w:line="278" w:lineRule="auto"/>
        <w:rPr>
          <w:sz w:val="20"/>
          <w:szCs w:val="20"/>
          <w:color w:val="auto"/>
        </w:rPr>
      </w:pPr>
      <w:r>
        <w:rPr>
          <w:rFonts w:ascii="Arial" w:cs="Arial" w:eastAsia="Arial" w:hAnsi="Arial"/>
          <w:sz w:val="16"/>
          <w:szCs w:val="16"/>
          <w:color w:val="auto"/>
        </w:rPr>
        <w:t>Our leverage is significant in relation to our partners’ capital. At June 30, 2005, our total outstanding long-term debt and short-term borrowings under our revolving credit facility were approximately $160 million.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w:t>
      </w:r>
    </w:p>
    <w:p>
      <w:pPr>
        <w:sectPr>
          <w:pgSz w:w="11900" w:h="16908" w:orient="portrait"/>
          <w:cols w:equalWidth="0" w:num="1">
            <w:col w:w="11380"/>
          </w:cols>
          <w:pgMar w:left="240" w:top="121" w:right="27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firstLine="360"/>
        <w:spacing w:after="0" w:line="26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cannot assure you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spacing w:after="0" w:line="79" w:lineRule="exact"/>
        <w:rPr>
          <w:sz w:val="20"/>
          <w:szCs w:val="20"/>
          <w:color w:val="auto"/>
        </w:rPr>
      </w:pPr>
    </w:p>
    <w:p>
      <w:pPr>
        <w:ind w:firstLine="360"/>
        <w:spacing w:after="0" w:line="297" w:lineRule="auto"/>
        <w:rPr>
          <w:sz w:val="20"/>
          <w:szCs w:val="20"/>
          <w:color w:val="auto"/>
        </w:rPr>
      </w:pPr>
      <w:r>
        <w:rPr>
          <w:rFonts w:ascii="Arial" w:cs="Arial" w:eastAsia="Arial" w:hAnsi="Arial"/>
          <w:sz w:val="15"/>
          <w:szCs w:val="15"/>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 court may use fraudulent conveyance considerations to avoid or subordinate the subsidiary guarantees.</w:t>
      </w:r>
    </w:p>
    <w:p>
      <w:pPr>
        <w:spacing w:after="0" w:line="115" w:lineRule="exact"/>
        <w:rPr>
          <w:sz w:val="20"/>
          <w:szCs w:val="20"/>
          <w:color w:val="auto"/>
        </w:rPr>
      </w:pPr>
    </w:p>
    <w:p>
      <w:pPr>
        <w:jc w:val="both"/>
        <w:ind w:right="120" w:firstLine="360"/>
        <w:spacing w:after="0" w:line="285" w:lineRule="auto"/>
        <w:rPr>
          <w:sz w:val="20"/>
          <w:szCs w:val="20"/>
          <w:color w:val="auto"/>
        </w:rPr>
      </w:pPr>
      <w:r>
        <w:rPr>
          <w:rFonts w:ascii="Arial" w:cs="Arial" w:eastAsia="Arial" w:hAnsi="Arial"/>
          <w:sz w:val="16"/>
          <w:szCs w:val="16"/>
          <w:color w:val="auto"/>
        </w:rPr>
        <w:t>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w:t>
      </w:r>
    </w:p>
    <w:p>
      <w:pPr>
        <w:spacing w:after="0" w:line="60" w:lineRule="exact"/>
        <w:rPr>
          <w:sz w:val="20"/>
          <w:szCs w:val="20"/>
          <w:color w:val="auto"/>
        </w:rPr>
      </w:pPr>
    </w:p>
    <w:p>
      <w:pPr>
        <w:ind w:right="40" w:firstLine="360"/>
        <w:spacing w:after="0" w:line="274" w:lineRule="auto"/>
        <w:rPr>
          <w:sz w:val="20"/>
          <w:szCs w:val="20"/>
          <w:color w:val="auto"/>
        </w:rPr>
      </w:pPr>
      <w:r>
        <w:rPr>
          <w:rFonts w:ascii="Arial" w:cs="Arial" w:eastAsia="Arial" w:hAnsi="Arial"/>
          <w:sz w:val="17"/>
          <w:szCs w:val="17"/>
          <w:color w:val="auto"/>
        </w:rPr>
        <w:t>A court could avoid or subordinate the guarantee of the notes by any of our subsidiaries in favor of that subsidiary’s other debts or liabilities to the extent that the court determined either of the following were true at the time the subsidiary issued the guarantee:</w:t>
      </w:r>
    </w:p>
    <w:p>
      <w:pPr>
        <w:spacing w:after="0" w:line="67" w:lineRule="exact"/>
        <w:rPr>
          <w:sz w:val="20"/>
          <w:szCs w:val="20"/>
          <w:color w:val="auto"/>
        </w:rPr>
      </w:pPr>
    </w:p>
    <w:p>
      <w:pPr>
        <w:ind w:left="540" w:right="780" w:hanging="172"/>
        <w:spacing w:after="0" w:line="274" w:lineRule="auto"/>
        <w:tabs>
          <w:tab w:leader="none" w:pos="48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spacing w:after="0" w:line="66" w:lineRule="exact"/>
        <w:rPr>
          <w:rFonts w:ascii="Arial" w:cs="Arial" w:eastAsia="Arial" w:hAnsi="Arial"/>
          <w:sz w:val="17"/>
          <w:szCs w:val="17"/>
          <w:color w:val="auto"/>
        </w:rPr>
      </w:pPr>
    </w:p>
    <w:p>
      <w:pPr>
        <w:ind w:left="540" w:right="760" w:hanging="172"/>
        <w:spacing w:after="0" w:line="274" w:lineRule="auto"/>
        <w:tabs>
          <w:tab w:leader="none" w:pos="48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subsidiary did not receive fair consideration or reasonable equivalent value for issuing the guarantee and, at the time it issued the guarantee, that subsidiary:</w:t>
      </w:r>
    </w:p>
    <w:p>
      <w:pPr>
        <w:spacing w:after="0" w:line="66" w:lineRule="exact"/>
        <w:rPr>
          <w:rFonts w:ascii="Arial" w:cs="Arial" w:eastAsia="Arial" w:hAnsi="Arial"/>
          <w:sz w:val="17"/>
          <w:szCs w:val="17"/>
          <w:color w:val="auto"/>
        </w:rPr>
      </w:pPr>
    </w:p>
    <w:p>
      <w:pPr>
        <w:ind w:left="900" w:hanging="172"/>
        <w:spacing w:after="0"/>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was insolvent or rendered insolvent by reason of the issuance of the guarantee;</w:t>
      </w:r>
    </w:p>
    <w:p>
      <w:pPr>
        <w:spacing w:after="0" w:line="115" w:lineRule="exact"/>
        <w:rPr>
          <w:rFonts w:ascii="Arial" w:cs="Arial" w:eastAsia="Arial" w:hAnsi="Arial"/>
          <w:sz w:val="17"/>
          <w:szCs w:val="17"/>
          <w:color w:val="auto"/>
        </w:rPr>
      </w:pPr>
    </w:p>
    <w:p>
      <w:pPr>
        <w:ind w:left="900" w:hanging="172"/>
        <w:spacing w:after="0"/>
        <w:tabs>
          <w:tab w:leader="none" w:pos="900" w:val="left"/>
        </w:tabs>
        <w:numPr>
          <w:ilvl w:val="1"/>
          <w:numId w:val="7"/>
        </w:numPr>
        <w:rPr>
          <w:rFonts w:ascii="Arial" w:cs="Arial" w:eastAsia="Arial" w:hAnsi="Arial"/>
          <w:sz w:val="15"/>
          <w:szCs w:val="15"/>
          <w:color w:val="auto"/>
        </w:rPr>
      </w:pPr>
      <w:r>
        <w:rPr>
          <w:rFonts w:ascii="Arial" w:cs="Arial" w:eastAsia="Arial" w:hAnsi="Arial"/>
          <w:sz w:val="15"/>
          <w:szCs w:val="15"/>
          <w:color w:val="auto"/>
        </w:rPr>
        <w:t>was engaged or about to engage in a business or transaction for which the remaining assets of that subsidiary constituted unreasonably small capital; or</w:t>
      </w:r>
    </w:p>
    <w:p>
      <w:pPr>
        <w:spacing w:after="0" w:line="138" w:lineRule="exact"/>
        <w:rPr>
          <w:rFonts w:ascii="Arial" w:cs="Arial" w:eastAsia="Arial" w:hAnsi="Arial"/>
          <w:sz w:val="15"/>
          <w:szCs w:val="15"/>
          <w:color w:val="auto"/>
        </w:rPr>
      </w:pPr>
    </w:p>
    <w:p>
      <w:pPr>
        <w:ind w:left="900" w:hanging="172"/>
        <w:spacing w:after="0"/>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intended to incur, or believed that it would incur, debts beyond its ability to pay such debts as they matured.</w:t>
      </w:r>
    </w:p>
    <w:p>
      <w:pPr>
        <w:spacing w:after="0" w:line="115" w:lineRule="exact"/>
        <w:rPr>
          <w:sz w:val="20"/>
          <w:szCs w:val="20"/>
          <w:color w:val="auto"/>
        </w:rPr>
      </w:pPr>
    </w:p>
    <w:p>
      <w:pPr>
        <w:ind w:right="60" w:firstLine="360"/>
        <w:spacing w:after="0" w:line="257" w:lineRule="auto"/>
        <w:rPr>
          <w:sz w:val="20"/>
          <w:szCs w:val="20"/>
          <w:color w:val="auto"/>
        </w:rPr>
      </w:pPr>
      <w:r>
        <w:rPr>
          <w:rFonts w:ascii="Arial" w:cs="Arial" w:eastAsia="Arial" w:hAnsi="Arial"/>
          <w:sz w:val="17"/>
          <w:szCs w:val="17"/>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40" w:firstLine="360"/>
        <w:spacing w:after="0" w:line="261" w:lineRule="auto"/>
        <w:rPr>
          <w:sz w:val="20"/>
          <w:szCs w:val="20"/>
          <w:color w:val="auto"/>
        </w:rPr>
      </w:pPr>
      <w:r>
        <w:rPr>
          <w:rFonts w:ascii="Arial" w:cs="Arial" w:eastAsia="Arial" w:hAnsi="Arial"/>
          <w:sz w:val="17"/>
          <w:szCs w:val="17"/>
          <w:color w:val="auto"/>
        </w:rPr>
        <w:t>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 unenforceable for any other reason, the note holders would cease to have any claim in respect of that guarantee.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Your ability to transfer the notes may be limited by the absence of a trading market.</w:t>
      </w:r>
    </w:p>
    <w:p>
      <w:pPr>
        <w:spacing w:after="0" w:line="115" w:lineRule="exact"/>
        <w:rPr>
          <w:sz w:val="20"/>
          <w:szCs w:val="20"/>
          <w:color w:val="auto"/>
        </w:rPr>
      </w:pPr>
    </w:p>
    <w:p>
      <w:pPr>
        <w:ind w:right="80" w:firstLine="360"/>
        <w:spacing w:after="0" w:line="255" w:lineRule="auto"/>
        <w:rPr>
          <w:sz w:val="20"/>
          <w:szCs w:val="20"/>
          <w:color w:val="auto"/>
        </w:rPr>
      </w:pPr>
      <w:r>
        <w:rPr>
          <w:rFonts w:ascii="Arial" w:cs="Arial" w:eastAsia="Arial" w:hAnsi="Arial"/>
          <w:sz w:val="17"/>
          <w:szCs w:val="17"/>
          <w:color w:val="auto"/>
        </w:rPr>
        <w:t>The notes will be new securities for which currently there is no trading market. We do not currently intend to apply for listing of the notes on any securities exchange or stock market. Although certain of the initial purchasers have informed us that they currently intend to make a market in the notes, they are not obligated to do so. In addition, the initial purchasers may discontinue any such market-making at any time without notice. The liquidity of any market for the notes will depend on the number of holders of those notes, the interest of securities dealers in making a market in those notes and other factors. Accordingly, we cannot assure you as to the development or liquidity of any market for the notes.</w:t>
      </w:r>
    </w:p>
    <w:p>
      <w:pPr>
        <w:spacing w:after="0" w:line="191" w:lineRule="exact"/>
        <w:rPr>
          <w:sz w:val="20"/>
          <w:szCs w:val="20"/>
          <w:color w:val="auto"/>
        </w:rPr>
      </w:pPr>
    </w:p>
    <w:p>
      <w:pPr>
        <w:ind w:firstLine="360"/>
        <w:spacing w:after="0" w:line="274" w:lineRule="auto"/>
        <w:rPr>
          <w:sz w:val="20"/>
          <w:szCs w:val="20"/>
          <w:color w:val="auto"/>
        </w:rPr>
      </w:pPr>
      <w:r>
        <w:rPr>
          <w:rFonts w:ascii="Arial" w:cs="Arial" w:eastAsia="Arial" w:hAnsi="Arial"/>
          <w:sz w:val="17"/>
          <w:szCs w:val="17"/>
          <w:b w:val="1"/>
          <w:bCs w:val="1"/>
          <w:i w:val="1"/>
          <w:iCs w:val="1"/>
          <w:color w:val="auto"/>
        </w:rPr>
        <w:t>We do not have the same flexibility as other types of organizations to accumulate cash, which may limit cash available to service the notes or to repay them at maturity.</w:t>
      </w:r>
    </w:p>
    <w:p>
      <w:pPr>
        <w:spacing w:after="0" w:line="6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81" w:lineRule="exact"/>
        <w:rPr>
          <w:sz w:val="20"/>
          <w:szCs w:val="20"/>
          <w:color w:val="auto"/>
        </w:rPr>
      </w:pPr>
    </w:p>
    <w:p>
      <w:pPr>
        <w:ind w:left="540" w:right="260" w:hanging="172"/>
        <w:spacing w:after="0" w:line="274" w:lineRule="auto"/>
        <w:tabs>
          <w:tab w:leader="none" w:pos="488"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provide for the proper conduct of our business and the businesses of our operating partnerships (including reserves for future capital expenditures and for our anticipated future credit needs),</w:t>
      </w:r>
    </w:p>
    <w:p>
      <w:pPr>
        <w:spacing w:after="0" w:line="66" w:lineRule="exact"/>
        <w:rPr>
          <w:rFonts w:ascii="Arial" w:cs="Arial" w:eastAsia="Arial" w:hAnsi="Arial"/>
          <w:sz w:val="17"/>
          <w:szCs w:val="17"/>
          <w:color w:val="auto"/>
        </w:rPr>
      </w:pPr>
    </w:p>
    <w:p>
      <w:pPr>
        <w:ind w:left="500" w:hanging="13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115" w:lineRule="exact"/>
        <w:rPr>
          <w:rFonts w:ascii="Arial" w:cs="Arial" w:eastAsia="Arial" w:hAnsi="Arial"/>
          <w:sz w:val="17"/>
          <w:szCs w:val="17"/>
          <w:color w:val="auto"/>
        </w:rPr>
      </w:pPr>
    </w:p>
    <w:p>
      <w:pPr>
        <w:ind w:left="500" w:hanging="13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comply with applicable law or any of our loan or other agreements.</w:t>
      </w:r>
    </w:p>
    <w:p>
      <w:pPr>
        <w:spacing w:after="0" w:line="115" w:lineRule="exact"/>
        <w:rPr>
          <w:sz w:val="20"/>
          <w:szCs w:val="20"/>
          <w:color w:val="auto"/>
        </w:rPr>
      </w:pPr>
    </w:p>
    <w:p>
      <w:pPr>
        <w:ind w:right="60" w:firstLine="360"/>
        <w:spacing w:after="0" w:line="342" w:lineRule="auto"/>
        <w:rPr>
          <w:sz w:val="20"/>
          <w:szCs w:val="20"/>
          <w:color w:val="auto"/>
        </w:rPr>
      </w:pPr>
      <w:r>
        <w:rPr>
          <w:rFonts w:ascii="Arial" w:cs="Arial" w:eastAsia="Arial" w:hAnsi="Arial"/>
          <w:sz w:val="15"/>
          <w:szCs w:val="15"/>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63765" cy="476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EXCHANGE OFFER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and Effect of the Exchange Offer</w:t>
      </w:r>
    </w:p>
    <w:p>
      <w:pPr>
        <w:spacing w:after="0" w:line="121" w:lineRule="exact"/>
        <w:rPr>
          <w:sz w:val="20"/>
          <w:szCs w:val="20"/>
          <w:color w:val="auto"/>
        </w:rPr>
      </w:pPr>
    </w:p>
    <w:p>
      <w:pPr>
        <w:ind w:right="220" w:firstLine="360"/>
        <w:spacing w:after="0" w:line="274" w:lineRule="auto"/>
        <w:rPr>
          <w:sz w:val="20"/>
          <w:szCs w:val="20"/>
          <w:color w:val="auto"/>
        </w:rPr>
      </w:pPr>
      <w:r>
        <w:rPr>
          <w:rFonts w:ascii="Arial" w:cs="Arial" w:eastAsia="Arial" w:hAnsi="Arial"/>
          <w:sz w:val="17"/>
          <w:szCs w:val="17"/>
          <w:color w:val="auto"/>
        </w:rPr>
        <w:t>In connection with the issuance of the outstanding notes, we entered into a registration rights agreement. Under the registration rights agreement, we agreed to use our reasonable best efforts to:</w:t>
      </w:r>
    </w:p>
    <w:p>
      <w:pPr>
        <w:spacing w:after="0" w:line="70" w:lineRule="exact"/>
        <w:rPr>
          <w:sz w:val="20"/>
          <w:szCs w:val="20"/>
          <w:color w:val="auto"/>
        </w:rPr>
      </w:pPr>
    </w:p>
    <w:p>
      <w:pPr>
        <w:ind w:left="540" w:right="160" w:hanging="172"/>
        <w:spacing w:after="0" w:line="286"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within 120 days after the original issuance of the outstanding notes on May 27, 2005, file a registration statement with the SEC with respect to a registered offer to exchange each outstanding note for a new note having terms substantially identical in all material respects to such note except that the new note will not contain terms with respect to transfer restrictions, registration rights or additional interest;</w:t>
      </w:r>
    </w:p>
    <w:p>
      <w:pPr>
        <w:spacing w:after="0" w:line="57" w:lineRule="exact"/>
        <w:rPr>
          <w:rFonts w:ascii="Arial" w:cs="Arial" w:eastAsia="Arial" w:hAnsi="Arial"/>
          <w:sz w:val="17"/>
          <w:szCs w:val="17"/>
          <w:color w:val="auto"/>
        </w:rPr>
      </w:pPr>
    </w:p>
    <w:p>
      <w:pPr>
        <w:ind w:left="500" w:hanging="13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cause the registration statement to be declared effective under the Securities Act within 210 days after the original issuance of the outstanding notes;</w:t>
      </w:r>
    </w:p>
    <w:p>
      <w:pPr>
        <w:spacing w:after="0" w:line="140" w:lineRule="exact"/>
        <w:rPr>
          <w:rFonts w:ascii="Arial" w:cs="Arial" w:eastAsia="Arial" w:hAnsi="Arial"/>
          <w:sz w:val="16"/>
          <w:szCs w:val="16"/>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consummate the exchange of the outstanding notes for new notes within 240 days after the original issuance of the outstanding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promptly following the effectiveness of the registration statement, offer the new notes in exchange for surrender of the outstanding notes; and</w:t>
      </w:r>
    </w:p>
    <w:p>
      <w:pPr>
        <w:spacing w:after="0" w:line="128" w:lineRule="exact"/>
        <w:rPr>
          <w:rFonts w:ascii="Arial" w:cs="Arial" w:eastAsia="Arial" w:hAnsi="Arial"/>
          <w:sz w:val="17"/>
          <w:szCs w:val="17"/>
          <w:color w:val="auto"/>
        </w:rPr>
      </w:pPr>
    </w:p>
    <w:p>
      <w:pPr>
        <w:ind w:left="540" w:right="120" w:hanging="172"/>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keep the exchange offer open for not less than 20 business days (or longer if required by applicable law) after the date notice of the exchange offer is mailed to the holders of the outstanding notes.</w:t>
      </w:r>
    </w:p>
    <w:p>
      <w:pPr>
        <w:spacing w:after="0" w:line="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w:t>
      </w:r>
    </w:p>
    <w:p>
      <w:pPr>
        <w:spacing w:after="0" w:line="7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w:t>
      </w:r>
    </w:p>
    <w:p>
      <w:pPr>
        <w:spacing w:after="0" w:line="73"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change in law or in applicable interpretations thereof by the staff of the SEC do not permit us to effect the exchange offer;</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any other reason the exchange offer is not consummated within 240 days from May 27, 2005, the date of the original issuance of the outstanding notes;</w:t>
      </w:r>
    </w:p>
    <w:p>
      <w:pPr>
        <w:spacing w:after="0" w:line="62"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initial purchaser notifies us following consummation of the exchange offer that outstanding notes held by it are not eligible to be exchanged for new notes in the exchange offer; or</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holder other than the initial purchaser is not eligible to participate in the exchange offer.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we will pay additional cash interest on the applicable outstanding notes if:</w:t>
      </w:r>
    </w:p>
    <w:p>
      <w:pPr>
        <w:spacing w:after="0" w:line="117"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exchange offer registration statement is not filed with the SEC on or before the 120th day after the original issuance of the outstanding notes;</w:t>
      </w:r>
    </w:p>
    <w:p>
      <w:pPr>
        <w:spacing w:after="0" w:line="128" w:lineRule="exact"/>
        <w:rPr>
          <w:rFonts w:ascii="Arial" w:cs="Arial" w:eastAsia="Arial" w:hAnsi="Arial"/>
          <w:sz w:val="17"/>
          <w:szCs w:val="17"/>
          <w:color w:val="auto"/>
        </w:rPr>
      </w:pPr>
    </w:p>
    <w:p>
      <w:pPr>
        <w:ind w:left="540" w:right="16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exchange offer registration statement is not declared effective by the SEC on or before the 210th day after the original issuance of the outstanding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exchange offer is not consummated on or before the 240th day after May 27, 2005, the date of the original issuance of the outstanding notes;</w:t>
      </w:r>
    </w:p>
    <w:p>
      <w:pPr>
        <w:spacing w:after="0" w:line="128" w:lineRule="exact"/>
        <w:rPr>
          <w:rFonts w:ascii="Arial" w:cs="Arial" w:eastAsia="Arial" w:hAnsi="Arial"/>
          <w:sz w:val="17"/>
          <w:szCs w:val="17"/>
          <w:color w:val="auto"/>
        </w:rPr>
      </w:pPr>
    </w:p>
    <w:p>
      <w:pPr>
        <w:ind w:left="540" w:right="10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obligated to file a shelf registration statement, we fail to file the shelf registration statement with the SEC on or prior to the 120th day after the date on which the obligation to file a shelf registration statement arises;</w:t>
      </w:r>
    </w:p>
    <w:p>
      <w:pPr>
        <w:spacing w:after="0" w:line="62"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obligated to file a shelf registration statement, the shelf registration statement is not declared effective on or prior to the 210th day after the date on which the obligation to file a shelf registration statement arises; or</w:t>
      </w:r>
    </w:p>
    <w:p>
      <w:pPr>
        <w:spacing w:after="0" w:line="62" w:lineRule="exact"/>
        <w:rPr>
          <w:rFonts w:ascii="Arial" w:cs="Arial" w:eastAsia="Arial" w:hAnsi="Arial"/>
          <w:sz w:val="18"/>
          <w:szCs w:val="18"/>
          <w:color w:val="auto"/>
        </w:rPr>
      </w:pPr>
    </w:p>
    <w:p>
      <w:pPr>
        <w:ind w:left="540" w:hanging="172"/>
        <w:spacing w:after="0" w:line="34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w:t>
      </w:r>
    </w:p>
    <w:p>
      <w:pPr>
        <w:spacing w:after="0" w:line="1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Such additional interest will be payable from and including the date on which any such registration default occurs to the date on which all registration defaults have been cured.</w:t>
      </w:r>
    </w:p>
    <w:p>
      <w:pPr>
        <w:spacing w:after="0" w:line="62"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rate of the additional interest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w:t>
      </w:r>
    </w:p>
    <w:p>
      <w:pPr>
        <w:spacing w:after="0" w:line="63"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exchange your outstanding notes for transferable new notes in the exchange offer, you will be required to make the following representations:</w:t>
      </w:r>
    </w:p>
    <w:p>
      <w:pPr>
        <w:spacing w:after="0" w:line="115"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new notes will be acquired in the ordinary course of your business;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or entity to participate in the distribution of the new notes;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the distribution of the new notes;</w:t>
      </w:r>
    </w:p>
    <w:p>
      <w:pPr>
        <w:spacing w:after="0" w:line="103" w:lineRule="exact"/>
        <w:rPr>
          <w:rFonts w:ascii="Arial" w:cs="Arial" w:eastAsia="Arial" w:hAnsi="Arial"/>
          <w:sz w:val="18"/>
          <w:szCs w:val="18"/>
          <w:color w:val="auto"/>
        </w:rPr>
      </w:pPr>
    </w:p>
    <w:p>
      <w:pPr>
        <w:jc w:val="both"/>
        <w:ind w:left="540" w:right="220" w:hanging="17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spacing w:after="0" w:line="46"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our “affiliate,” as defined in Rule 405 of the Securities Act.</w:t>
      </w:r>
    </w:p>
    <w:p>
      <w:pPr>
        <w:sectPr>
          <w:pgSz w:w="11900" w:h="16838" w:orient="portrait"/>
          <w:cols w:equalWidth="0" w:num="1">
            <w:col w:w="11420"/>
          </w:cols>
          <w:pgMar w:left="240" w:top="494" w:right="239" w:bottom="0" w:gutter="0" w:footer="0" w:header="0"/>
        </w:sectPr>
      </w:pPr>
    </w:p>
    <w:bookmarkStart w:id="11" w:name="page12"/>
    <w:bookmarkEnd w:id="11"/>
    <w:p>
      <w:pPr>
        <w:ind w:right="40" w:firstLine="360"/>
        <w:spacing w:after="0" w:line="257" w:lineRule="auto"/>
        <w:rPr>
          <w:sz w:val="20"/>
          <w:szCs w:val="20"/>
          <w:color w:val="auto"/>
        </w:rPr>
      </w:pPr>
      <w:r>
        <w:rPr>
          <w:rFonts w:ascii="Arial" w:cs="Arial" w:eastAsia="Arial" w:hAnsi="Arial"/>
          <w:sz w:val="18"/>
          <w:szCs w:val="18"/>
          <w:color w:val="auto"/>
        </w:rPr>
        <w:t>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also be subject to the civil liability provisions under the Securities Act in connection with such sales and will be bound by the provisions of the registration rights agreement that are applicable to such a holder, including indemnification obligations.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New Notes</w:t>
      </w:r>
    </w:p>
    <w:p>
      <w:pPr>
        <w:spacing w:after="0" w:line="94"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Based on no action letters of the SEC staff issued to third parties, we believe that new notes may be offered for resale, resold and otherwise transferred by you without further compliance with the registration and prospectus delivery provisions of the Securities Act if:</w:t>
      </w:r>
    </w:p>
    <w:p>
      <w:pPr>
        <w:spacing w:after="0" w:line="49"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not our “affiliate” within the meaning of Rule 405 under the Securities Act;</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your business; and</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do not intend to participate in a distribution of the new notes.</w:t>
      </w:r>
    </w:p>
    <w:p>
      <w:pPr>
        <w:spacing w:after="0" w:line="104"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SEC, however, has not considered the exchange offer for the new notes in the context of a no action letter, and the SEC may not make a similar determination as in the no action letters issued to these third parties.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tender in the exchange offer with the intention of participating in any manner in a distribution of the new notes, you</w:t>
      </w:r>
    </w:p>
    <w:p>
      <w:pPr>
        <w:spacing w:after="0" w:line="90"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rely on such interpretations by the SEC staff; and</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 secondary resale transaction.</w:t>
      </w:r>
    </w:p>
    <w:p>
      <w:pPr>
        <w:spacing w:after="0" w:line="115" w:lineRule="exact"/>
        <w:rPr>
          <w:sz w:val="20"/>
          <w:szCs w:val="20"/>
          <w:color w:val="auto"/>
        </w:rPr>
      </w:pPr>
    </w:p>
    <w:p>
      <w:pPr>
        <w:jc w:val="both"/>
        <w:ind w:right="320" w:firstLine="360"/>
        <w:spacing w:after="0" w:line="264" w:lineRule="auto"/>
        <w:rPr>
          <w:sz w:val="20"/>
          <w:szCs w:val="20"/>
          <w:color w:val="auto"/>
        </w:rPr>
      </w:pPr>
      <w:r>
        <w:rPr>
          <w:rFonts w:ascii="Arial" w:cs="Arial" w:eastAsia="Arial" w:hAnsi="Arial"/>
          <w:sz w:val="18"/>
          <w:szCs w:val="18"/>
          <w:color w:val="auto"/>
        </w:rPr>
        <w:t>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 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Subject to the terms and conditions described in this prospectus and in the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exchange offer is not conditioned upon any minimum aggregate principal amount of outstanding notes being tendered for exchange.</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As of the date of this prospectus, $150 million in aggregate principal amount of the outstanding notes are outstanding. This prospectus is being sent to DTC, the sole registered holder of the outstanding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to all persons that we can identify as beneficial owners of the outstanding notes. There will be no fixed record date for determining registered holders of outstanding notes entitled to participate in the exchange offer.</w:t>
      </w:r>
    </w:p>
    <w:p>
      <w:pPr>
        <w:spacing w:after="0" w:line="62"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intend to conduct the exchange offer in accordance with the provisions of the registration rights agreement, the applicable requirements of the Securities Act and the Securities Exchange Act of 1934 and the rules and regulations of the SEC. Outstanding notes that the holders thereof do not tender for exchange in the exchange offer will remain outstanding and continue to accrue interest. These outstanding notes will be entitled to the rights and benefits such holders have under the indenture relating to the notes and the registration rights agreement.</w:t>
      </w:r>
    </w:p>
    <w:p>
      <w:pPr>
        <w:spacing w:after="0" w:line="63"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We will be deemed to have accepted for exchange properly tendered outstanding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w:t>
      </w:r>
    </w:p>
    <w:p>
      <w:pPr>
        <w:spacing w:after="0" w:line="7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“—Fees and Expenses” for more details regarding fees and expenses incurred in the exchange offer.</w:t>
      </w:r>
    </w:p>
    <w:p>
      <w:pPr>
        <w:spacing w:after="0" w:line="7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We will return any outstanding notes that we do not accept for exchange for any reason without expense to their tendering holder as promptly as practicable after the expiration or termination of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ectPr>
          <w:pgSz w:w="11900" w:h="16838" w:orient="portrait"/>
          <w:cols w:equalWidth="0" w:num="1">
            <w:col w:w="11420"/>
          </w:cols>
          <w:pgMar w:left="240" w:top="125" w:right="239" w:bottom="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The exchange offer will expire at 5:00 p.m. New York City time on November 16, 2005, unless, in our sole discretion, we extend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Delays in Acceptance, Termination or Amendment</w:t>
      </w:r>
    </w:p>
    <w:p>
      <w:pPr>
        <w:spacing w:after="0" w:line="121" w:lineRule="exact"/>
        <w:rPr>
          <w:sz w:val="20"/>
          <w:szCs w:val="20"/>
          <w:color w:val="auto"/>
        </w:rPr>
      </w:pPr>
    </w:p>
    <w:p>
      <w:pPr>
        <w:ind w:right="480" w:firstLine="360"/>
        <w:spacing w:after="0" w:line="308" w:lineRule="auto"/>
        <w:rPr>
          <w:sz w:val="20"/>
          <w:szCs w:val="20"/>
          <w:color w:val="auto"/>
        </w:rPr>
      </w:pPr>
      <w:r>
        <w:rPr>
          <w:rFonts w:ascii="Arial" w:cs="Arial" w:eastAsia="Arial" w:hAnsi="Arial"/>
          <w:sz w:val="17"/>
          <w:szCs w:val="17"/>
          <w:color w:val="auto"/>
        </w:rPr>
        <w:t>We expressly reserve the right, at any time or various times, to extend the period of time during which the exchange offer is open. During any such extensions, all outstanding notes previously tendered will remain subject to the exchange offer, and we may accept them for exchange.</w:t>
      </w:r>
    </w:p>
    <w:p>
      <w:pPr>
        <w:spacing w:after="0" w:line="38"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any of the conditions described below under “—Conditions to the Exchange Offer” have not been satisfied, we reserve the right, in our sole discretion</w:t>
      </w:r>
    </w:p>
    <w:p>
      <w:pPr>
        <w:spacing w:after="0" w:line="140"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delay accepting for exchange any outstanding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extend the exchange offer,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by giving oral or written notice of such delay, extension or termination to the exchange agent. Subject to the terms of the registration rights agreement, we also reserve the right to amend the terms of the exchange offer in any manner.</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Any such delay in acceptance, extension, termination or amendment will be followed as promptly as practicable by oral or written notice thereof to the registered holders of outstanding notes. If we amend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the registered holders, we will extend the exchange offer if the exchange offer would otherwise expire during such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We will not be required to accept for exchange, or exchange any new notes for, any outstanding notes if the exchange offer, or the making of any exchange by a holder of outstanding notes, would violate applicable law or any applicable interpretation of the staff of the SEC. Similarly, we may terminate the exchange offer as provided in this prospectus before accepting outstanding notes for exchange in the event of such a potential violation.</w:t>
      </w:r>
    </w:p>
    <w:p>
      <w:pPr>
        <w:spacing w:after="0" w:line="57" w:lineRule="exact"/>
        <w:rPr>
          <w:sz w:val="20"/>
          <w:szCs w:val="20"/>
          <w:color w:val="auto"/>
        </w:rPr>
      </w:pPr>
    </w:p>
    <w:p>
      <w:pPr>
        <w:jc w:val="both"/>
        <w:ind w:right="360" w:firstLine="360"/>
        <w:spacing w:after="0" w:line="259" w:lineRule="auto"/>
        <w:rPr>
          <w:sz w:val="20"/>
          <w:szCs w:val="20"/>
          <w:color w:val="auto"/>
        </w:rPr>
      </w:pPr>
      <w:r>
        <w:rPr>
          <w:rFonts w:ascii="Arial" w:cs="Arial" w:eastAsia="Arial" w:hAnsi="Arial"/>
          <w:sz w:val="18"/>
          <w:szCs w:val="18"/>
          <w:color w:val="auto"/>
        </w:rPr>
        <w:t>In addition, we will not be obligated to accept for exchange the outstanding notes of any holder that has not made to us the representations described under “—Purpose and Effect of the Exchange Offer,”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79"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We expressly reserve the right to amend or terminate the exchange offer, and to reject for exchange any outstanding notes not previously accepted for exchange, upon the occurrence of any of the conditions to the exchange offer specified above. We will give oral or written notice of any extension, amendment, non-acceptance or termination to the holders of the outstanding notes as promptly as practicable.</w:t>
      </w:r>
    </w:p>
    <w:p>
      <w:pPr>
        <w:spacing w:after="0" w:line="5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In addition,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indenture relating to the notes under the Trust Indenture Act of 1939.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In order to participate in the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w:t>
      </w:r>
    </w:p>
    <w:p>
      <w:pPr>
        <w:spacing w:after="0" w:line="73"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you have any questions or need help in exchanging your notes, please call the exchange agent, whose address and phone number are set forth in “Prospectus Summary—The Exchange Offer—Exchange Agent.”</w:t>
      </w:r>
    </w:p>
    <w:p>
      <w:pPr>
        <w:spacing w:after="0" w:line="62"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All of the outstanding notes were issued in book-entry form, and all of the outstanding notes are currently represented by global certificates held for the account of DTC. We have confirmed with DTC that the outstanding notes may be tendered using the Automated Tender Offer Program (“ATOP”) instituted by DTC.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to tender outstanding notes and that the participant agrees to be bound by the terms of the letter of transmittal.</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By using the ATOP procedures to exchange outstanding notes, you will not be required to deliver a letter of transmittal to the exchange agent. However, you will be bound by its terms just as if you had signed it.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procedure for guaranteed late delivery of the notes.</w:t>
      </w:r>
    </w:p>
    <w:p>
      <w:pPr>
        <w:sectPr>
          <w:pgSz w:w="11900" w:h="16838" w:orient="portrait"/>
          <w:cols w:equalWidth="0" w:num="1">
            <w:col w:w="11420"/>
          </w:cols>
          <w:pgMar w:left="240" w:top="125" w:right="239" w:bottom="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b w:val="1"/>
          <w:bCs w:val="1"/>
          <w:i w:val="1"/>
          <w:iCs w:val="1"/>
          <w:color w:val="auto"/>
        </w:rPr>
        <w:t>Determinations Under the Exchange Offer</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When We Will Issue New Notes</w:t>
      </w:r>
    </w:p>
    <w:p>
      <w:pPr>
        <w:spacing w:after="0" w:line="117"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In all cases, we will issue new notes for outstanding notes that we have accepted for exchange under the exchange offer only after the exchange agent timely receives:</w:t>
      </w:r>
    </w:p>
    <w:p>
      <w:pPr>
        <w:spacing w:after="0" w:line="62"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book-entry confirmation of such outstanding notes into the exchange agent’s account at DTC;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properly transmitted agent’s message.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Return of Outstanding Notes Not Accepted or Exchanged</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Your Representations to Us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agreeing to be bound by the letter of transmittal, you will represent to us that, among other things:</w:t>
      </w:r>
    </w:p>
    <w:p>
      <w:pPr>
        <w:spacing w:after="0" w:line="117"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your business;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or entity to participate in the distribution of the new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the distribution of the new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40" w:right="220" w:hanging="17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w:t>
      </w:r>
    </w:p>
    <w:p>
      <w:pPr>
        <w:spacing w:after="0" w:line="59"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not our “affiliate,” as defined in Rule 405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08"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number of the account at DTC to be credited with withdrawn outstanding notes and otherwise comply with the procedures of DTC.</w:t>
      </w:r>
    </w:p>
    <w:p>
      <w:pPr>
        <w:spacing w:after="0" w:line="44" w:lineRule="exact"/>
        <w:rPr>
          <w:sz w:val="20"/>
          <w:szCs w:val="20"/>
          <w:color w:val="auto"/>
        </w:rPr>
      </w:pPr>
    </w:p>
    <w:p>
      <w:pPr>
        <w:ind w:right="200" w:firstLine="360"/>
        <w:spacing w:after="0" w:line="334" w:lineRule="auto"/>
        <w:rPr>
          <w:sz w:val="20"/>
          <w:szCs w:val="20"/>
          <w:color w:val="auto"/>
        </w:rPr>
      </w:pPr>
      <w:r>
        <w:rPr>
          <w:rFonts w:ascii="Arial" w:cs="Arial" w:eastAsia="Arial" w:hAnsi="Arial"/>
          <w:sz w:val="16"/>
          <w:szCs w:val="16"/>
          <w:color w:val="auto"/>
        </w:rPr>
        <w:t>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exchange offer.</w:t>
      </w:r>
    </w:p>
    <w:p>
      <w:pPr>
        <w:spacing w:after="0" w:line="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“—Procedures for Tendering” above at any time prior to 5:00 p.m., New York City time, on the expiration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08"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 by telegraph, telephone or in person by our officers and regular employees and those of our affiliates.</w:t>
      </w:r>
    </w:p>
    <w:p>
      <w:pPr>
        <w:spacing w:after="0" w:line="35"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We have not retained any dealer manager in connection with the exchange offer and will not make any payments to broker dealers or others soliciting acceptances of the exchange offer. We will, however, pay the exchange agent reasonable and customary fees for its services and reimburse it for its related reasonable out of pocket expenses.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the cash expenses to be incurred in connection with the exchange offer. They include:</w:t>
      </w:r>
    </w:p>
    <w:p>
      <w:pPr>
        <w:spacing w:after="0" w:line="104" w:lineRule="exact"/>
        <w:rPr>
          <w:sz w:val="20"/>
          <w:szCs w:val="20"/>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registration fees;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of the exchange agent and trustee;</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and legal fees and printing costs; and</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ectPr>
          <w:pgSz w:w="11900" w:h="16838" w:orient="portrait"/>
          <w:cols w:equalWidth="0" w:num="1">
            <w:col w:w="11420"/>
          </w:cols>
          <w:pgMar w:left="240" w:top="125" w:right="239" w:bottom="9" w:gutter="0" w:footer="0" w:header="0"/>
        </w:sectPr>
      </w:pPr>
    </w:p>
    <w:bookmarkStart w:id="14" w:name="page15"/>
    <w:bookmarkEnd w:id="14"/>
    <w:p>
      <w:pPr>
        <w:ind w:right="240" w:firstLine="360"/>
        <w:spacing w:after="0" w:line="264" w:lineRule="auto"/>
        <w:rPr>
          <w:sz w:val="20"/>
          <w:szCs w:val="20"/>
          <w:color w:val="auto"/>
        </w:rPr>
      </w:pPr>
      <w:r>
        <w:rPr>
          <w:rFonts w:ascii="Arial" w:cs="Arial" w:eastAsia="Arial" w:hAnsi="Arial"/>
          <w:sz w:val="18"/>
          <w:szCs w:val="18"/>
          <w:color w:val="auto"/>
        </w:rPr>
        <w:t>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9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If you do not exchange new notes for your outstanding notes under the exchange offer, you will remain subject to the existing restrictions on transfer of the outstanding notes. In general, you may not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offer or sell the outstanding notes unless the offer or sale is either registered under the Securities Act or exempt from the registration under the Securities Act and applicable state securities laws. Except as required by the registration rights agreement, we do not intend to register resales of the outstanding notes under the Securities 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0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will record the new notes in our accounting records at the same carrying value as the outstanding notes. This carrying value is the aggregate principal amount of the outstanding notes less any bond discount, as reflected in our accounting records on the date of exchange. Accordingly, we will not recognize any gain or loss for accounting purposes in connection with the exchange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Participation in the exchange offer is voluntary, and you should carefully consider whether to accept. You are urged to consult your financial and tax advisors in making your own decision on what action to take.</w:t>
      </w:r>
    </w:p>
    <w:p>
      <w:pPr>
        <w:spacing w:after="0" w:line="4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480"/>
              <w:spacing w:after="0" w:line="13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June 30, 2005</w:t>
            </w: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1"/>
                <w:szCs w:val="11"/>
                <w:color w:val="auto"/>
              </w:rPr>
            </w:pPr>
          </w:p>
        </w:tc>
        <w:tc>
          <w:tcPr>
            <w:tcW w:w="4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1"/>
                <w:szCs w:val="11"/>
                <w:color w:val="auto"/>
              </w:rPr>
            </w:pPr>
          </w:p>
        </w:tc>
        <w:tc>
          <w:tcPr>
            <w:tcW w:w="46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8"/>
                <w:szCs w:val="8"/>
                <w:color w:val="auto"/>
              </w:rPr>
              <w:t>(1)(2)</w:t>
            </w: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3.24x</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3.37x</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2.36x</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2.65x</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2.16x</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3.28x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120" w:hanging="352"/>
        <w:spacing w:after="0" w:line="264" w:lineRule="auto"/>
        <w:tabs>
          <w:tab w:leader="none" w:pos="334" w:val="left"/>
        </w:tabs>
        <w:numPr>
          <w:ilvl w:val="0"/>
          <w:numId w:val="21"/>
        </w:numPr>
        <w:rPr>
          <w:rFonts w:ascii="Arial" w:cs="Arial" w:eastAsia="Arial" w:hAnsi="Arial"/>
          <w:sz w:val="9"/>
          <w:szCs w:val="9"/>
          <w:color w:val="auto"/>
        </w:rPr>
      </w:pPr>
      <w:r>
        <w:rPr>
          <w:rFonts w:ascii="Arial" w:cs="Arial" w:eastAsia="Arial" w:hAnsi="Arial"/>
          <w:sz w:val="18"/>
          <w:szCs w:val="18"/>
          <w:color w:val="auto"/>
        </w:rPr>
        <w:t>The 2000 period includes a loss of $15.1 million related to early extinguishment of debt previously classified as extraordinary items. Effective with the FASB’s issuance of SFAS 145, “Rescission of FASB Statements No. 4, 44, and 64, Amendment of FASB Statement No. 13, and Technical Corrections” in April 2002, such items are included in income from continuing operations.</w:t>
      </w:r>
    </w:p>
    <w:p>
      <w:pPr>
        <w:spacing w:after="0" w:line="73" w:lineRule="exact"/>
        <w:rPr>
          <w:rFonts w:ascii="Arial" w:cs="Arial" w:eastAsia="Arial" w:hAnsi="Arial"/>
          <w:sz w:val="9"/>
          <w:szCs w:val="9"/>
          <w:color w:val="auto"/>
        </w:rPr>
      </w:pPr>
    </w:p>
    <w:p>
      <w:pPr>
        <w:ind w:left="360" w:right="20" w:hanging="352"/>
        <w:spacing w:after="0" w:line="259" w:lineRule="auto"/>
        <w:tabs>
          <w:tab w:leader="none" w:pos="334" w:val="left"/>
        </w:tabs>
        <w:numPr>
          <w:ilvl w:val="0"/>
          <w:numId w:val="21"/>
        </w:numPr>
        <w:rPr>
          <w:rFonts w:ascii="Arial" w:cs="Arial" w:eastAsia="Arial" w:hAnsi="Arial"/>
          <w:sz w:val="9"/>
          <w:szCs w:val="9"/>
          <w:color w:val="auto"/>
        </w:rPr>
      </w:pPr>
      <w:r>
        <w:rPr>
          <w:rFonts w:ascii="Arial" w:cs="Arial" w:eastAsia="Arial" w:hAnsi="Arial"/>
          <w:sz w:val="18"/>
          <w:szCs w:val="18"/>
          <w:color w:val="auto"/>
        </w:rPr>
        <w:t>Includes interest costs attributable to borrowings for inventory stored in a contango market of $9.2 million for the six months ended June 30, 2005, and $2.0 million, $1.0 million, $2.7 million, $3.2 million and $0.7 million for each of the years ended December 31, 2004, ,2003, 2002, 2001 and 2000, respectively. These interest costs are included in purchases and related costs in our GMT&amp;S segment profit as we consider interest on these borrowings a direct cost to storing the inventory.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will issue the new notes, and the outstanding notes were issued, under an Indenture (the “Base Indenture”) dated September 25, 2002, among us, the subsidiary guarantors and Wachovia Bank, National Association, as trustee, and a Supplemental Indenture thereto dated as of May 27, 2005 (the “Supplemental Indenture,” and together with the Base Indenture, the “Indenture”). 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As used in this description, the terms “we,” “us” and “our” refer to Plains All American Pipeline, L.P. and PAA Finance Corp. as co-issuers of the notes and not to any of their subsidiaries or affiliates. The definitions of certain capitalized terms used in this “Description of the Notes” are set forth below under “—Optional Redemption” and “—Definitions.” Capitalized terms used but not defined below have the meanings assigned to them in the Indenture. References to the “notes” in this section of the prospectus include both the outstanding notes and the new notes.</w:t>
      </w:r>
    </w:p>
    <w:p>
      <w:pPr>
        <w:spacing w:after="0" w:line="74"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We have summarized some of the material provisions of the notes and the Indenture below. The following description of the notes is not complete and is subject to, and is qualified in its entirety by reference to, all the provisions of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 and the Guarantees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our senior unsecured indebtedness ranking equally in right of payment with all of our existing and future unsubordinated debt;</w:t>
      </w:r>
    </w:p>
    <w:p>
      <w:pPr>
        <w:sectPr>
          <w:pgSz w:w="11900" w:h="16838" w:orient="portrait"/>
          <w:cols w:equalWidth="0" w:num="1">
            <w:col w:w="11420"/>
          </w:cols>
          <w:pgMar w:left="240" w:top="125" w:right="239" w:bottom="0" w:gutter="0" w:footer="0" w:header="0"/>
        </w:sectPr>
      </w:pPr>
    </w:p>
    <w:bookmarkStart w:id="15" w:name="page16"/>
    <w:bookmarkEnd w:id="15"/>
    <w:p>
      <w:pPr>
        <w:spacing w:after="0" w:line="60" w:lineRule="exact"/>
        <w:rPr>
          <w:sz w:val="20"/>
          <w:szCs w:val="20"/>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unconditionally guaranteed by the subsidiary guarantors;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debt;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debt to the extent of the security for that debt;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junior to any existing and future debt of our subsidiaries that do not guarantee the notes.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Initially our obligations under the notes are jointly and severally guaranteed by all of the subsidiaries of Plains All American Pipeline existing at the time of issuance of the outstanding notes other than PAA Finance Corp., Plains LPG Services GP LLC, Plains LPG Services, L.P., Plains LPG Marketing, L.P. and Atchafalaya Pipeline LLC, which we sometimes refer to collectively as the “non-guarantor subsidiaries.” Each guarantee by a subsidiary guarantor of the notes is:</w:t>
      </w:r>
    </w:p>
    <w:p>
      <w:pPr>
        <w:spacing w:after="0" w:line="79" w:lineRule="exact"/>
        <w:rPr>
          <w:sz w:val="20"/>
          <w:szCs w:val="20"/>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general unsecured obligation of that subsidiary guarantor;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in right of payment with all other existing and future unsubordinated debt of that subsidiary guarantor;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debt of that subsidiary guarantor;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junior to any secured debt of that subsidiary guarantor, to the extent of the security for that debt.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As of June 30, 2005, on an as-adjusted basis after giving effect to the original issuance of the outstanding notes and the application of the net proceeds therefrom, the notes and the guarantees would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have been effectively subordinated to $655.7 million of short-term secured indebtedness. See “Risk factors—Risks Related to the Exchange Offer and the Notes—Your right to receive payments on the notes and the guarantees is unsecured and will be effectively subordinated to our existing and future secured indebtedness as well as to any existing and future indebtedness of our subsidiaries that do not guarantee the notes.”</w:t>
      </w:r>
    </w:p>
    <w:p>
      <w:pPr>
        <w:spacing w:after="0" w:line="5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Indenture does not limit the aggregate principal amount of debt securities that may be issued thereunder and provides that debt securities may be issued thereunder from time to time in one or more additional series. Except to the extent described below, the Indenture does not limit our ability or the ability of our subsidiaries to incur additional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We may, from time to time, without notice to or the consent of the holders of the notes, create and issue additional notes ranking equally and ratably with the notes offered hereby in all respects (except for the payment of interest accruing prior to the issue date of such additional notes), so that such additional notes form a single series with the notes and have the same terms as to status, redemption or otherwise as the notes. If we issue such additional notes prior to the completion of the exchange offer, the period of the resale restrictions applicable to any notes previously offered and sold in reliance on Rule 144A under the Securities Act will be automatically extended to the last day of the period of any resale restrictions imposed on any such additional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issued the notes in an initial aggregate principal amount of $150 million. The notes will mature on June 15, 2015 and bear interest at the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rate of 5.25%. Additional interest may also accrue on the notes in the circumstances described under “Exchange Offer.” All references to “interest”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notes include any such additional interest. Interest on the notes accrues from May 27, 2005 and is payable semi-annually in arrears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15 and December 15 of each year, commencing December 15, 2005. We will make each interest payment to the holders of record at the close of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June 1 and December 1 preceding such interest payment date. Interest will be computed on the basis of a 360-day year consisting of twelve 30-day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We will issue the notes in denominations of $1,000 and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Guarantees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Initially, our payment obligations under the notes are jointly and severally guaranteed by all existing Subsidiaries of Plains All American Pipeline other than the non-guarantor subsidiaries. The obligations of each 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subsidiary guarantor under its guarantee, result in the obligations of the subsidiary guarantor under the guarantee not constituting a fraudulent conveyance or fraudulent transfer under federal or state law.</w:t>
      </w:r>
    </w:p>
    <w:p>
      <w:pPr>
        <w:spacing w:after="0" w:line="62"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Provided that no default shall have occurred and shall be continuing under the indenture, a subsidiary guarantor will be unconditionally released and discharged from its guarantee:</w:t>
      </w:r>
    </w:p>
    <w:p>
      <w:pPr>
        <w:spacing w:after="0" w:line="62" w:lineRule="exact"/>
        <w:rPr>
          <w:sz w:val="20"/>
          <w:szCs w:val="20"/>
          <w:color w:val="auto"/>
        </w:rPr>
      </w:pPr>
    </w:p>
    <w:p>
      <w:pPr>
        <w:ind w:left="540" w:right="380" w:hanging="17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ectPr>
          <w:pgSz w:w="11900" w:h="16899" w:orient="portrait"/>
          <w:cols w:equalWidth="0" w:num="1">
            <w:col w:w="11400"/>
          </w:cols>
          <w:pgMar w:left="240" w:top="125" w:right="259" w:bottom="0" w:gutter="0" w:footer="0" w:header="0"/>
        </w:sectPr>
      </w:pPr>
    </w:p>
    <w:bookmarkStart w:id="16" w:name="page17"/>
    <w:bookmarkEnd w:id="16"/>
    <w:p>
      <w:pPr>
        <w:ind w:left="500" w:hanging="13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any sale or other disposition of all of our direct or indirect equity interests in that subsidiary guarantor to any person that is not our affiliate; or</w:t>
      </w:r>
    </w:p>
    <w:p>
      <w:pPr>
        <w:spacing w:after="0" w:line="140" w:lineRule="exact"/>
        <w:rPr>
          <w:rFonts w:ascii="Arial" w:cs="Arial" w:eastAsia="Arial" w:hAnsi="Arial"/>
          <w:sz w:val="16"/>
          <w:szCs w:val="16"/>
          <w:color w:val="auto"/>
        </w:rPr>
      </w:pPr>
    </w:p>
    <w:p>
      <w:pPr>
        <w:ind w:left="540" w:right="60" w:hanging="17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 on or after the Issue Date).</w:t>
      </w:r>
    </w:p>
    <w:p>
      <w:pPr>
        <w:spacing w:after="0" w:line="73"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0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notes are redeemable, in whole or in part, at our option at any time prior to maturity at a redemption price equal to the greater of (a) 100% of the principal amount of the notes, and (b) as determined by the Quotation Agent, the sum of the present values of the remaining scheduled payments of principal and interest (not including any portion of those payments of interest accrued as of the date of redemption) discounted to the date of redemption on a semi-annual basis (assuming 360-day years, each consisting of twelve 30-day months), at the Adjusted Treasury Rate plus 25 basis points plus, in each case, accrued interest to the date of redemption.</w:t>
      </w:r>
    </w:p>
    <w:p>
      <w:pPr>
        <w:spacing w:after="0" w:line="5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6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6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J.P. Morgan Securities Inc. or another Reference Treasury Dealer appointed by us.</w:t>
      </w:r>
    </w:p>
    <w:p>
      <w:pPr>
        <w:spacing w:after="0" w:line="104"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(a) J.P. Morgan Securities Inc. and its successors; provided, however, that if the foregoing shall cease to be a primary U.S. Government securities dealer in the United States (a “Primary Treasury Dealer”), we shall substitute another Primary Treasury Dealer; and (b) any other Primary Treasury Dealers selected by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2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3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4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49" w:lineRule="exact"/>
        <w:rPr>
          <w:sz w:val="20"/>
          <w:szCs w:val="20"/>
          <w:color w:val="auto"/>
        </w:rPr>
      </w:pPr>
    </w:p>
    <w:p>
      <w:pPr>
        <w:ind w:left="500" w:hanging="13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notes are listed, in compliance with the requirements of the principal national securities exchange on which the notes are listed; or</w:t>
      </w:r>
    </w:p>
    <w:p>
      <w:pPr>
        <w:spacing w:after="0" w:line="90" w:lineRule="exact"/>
        <w:rPr>
          <w:rFonts w:ascii="Arial" w:cs="Arial" w:eastAsia="Arial" w:hAnsi="Arial"/>
          <w:sz w:val="18"/>
          <w:szCs w:val="18"/>
          <w:color w:val="auto"/>
        </w:rPr>
      </w:pPr>
    </w:p>
    <w:p>
      <w:pPr>
        <w:ind w:left="540" w:right="780" w:hanging="17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49"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7"/>
          <w:szCs w:val="17"/>
          <w:color w:val="auto"/>
        </w:rPr>
        <w:t>However, no note with a principal amount of $1,000 or less will be redeemed in part. Notice of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constitutes an “Event of Default” with respect to the notes:</w:t>
      </w:r>
    </w:p>
    <w:p>
      <w:pPr>
        <w:spacing w:after="0" w:line="104" w:lineRule="exact"/>
        <w:rPr>
          <w:sz w:val="20"/>
          <w:szCs w:val="20"/>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the notes at maturity, upon redemption or otherwise;</w:t>
      </w:r>
    </w:p>
    <w:p>
      <w:pPr>
        <w:spacing w:after="0" w:line="103"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the notes;</w:t>
      </w:r>
    </w:p>
    <w:p>
      <w:pPr>
        <w:spacing w:after="0" w:line="90" w:lineRule="exact"/>
        <w:rPr>
          <w:rFonts w:ascii="Arial" w:cs="Arial" w:eastAsia="Arial" w:hAnsi="Arial"/>
          <w:sz w:val="18"/>
          <w:szCs w:val="18"/>
          <w:color w:val="auto"/>
        </w:rPr>
      </w:pPr>
    </w:p>
    <w:p>
      <w:pPr>
        <w:jc w:val="both"/>
        <w:ind w:left="720" w:right="60" w:hanging="352"/>
        <w:spacing w:after="0" w:line="312"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by us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under “—Consolidation, Merger or Sale”);</w:t>
      </w:r>
    </w:p>
    <w:p>
      <w:pPr>
        <w:spacing w:after="0" w:line="25" w:lineRule="exact"/>
        <w:rPr>
          <w:rFonts w:ascii="Arial" w:cs="Arial" w:eastAsia="Arial" w:hAnsi="Arial"/>
          <w:sz w:val="16"/>
          <w:szCs w:val="16"/>
          <w:color w:val="auto"/>
        </w:rPr>
      </w:pPr>
    </w:p>
    <w:p>
      <w:pPr>
        <w:ind w:left="720" w:right="60" w:hanging="352"/>
        <w:spacing w:after="0" w:line="270" w:lineRule="auto"/>
        <w:tabs>
          <w:tab w:leader="none" w:pos="6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clauses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w:t>
      </w:r>
    </w:p>
    <w:p>
      <w:pPr>
        <w:sectPr>
          <w:pgSz w:w="11900" w:h="16838" w:orient="portrait"/>
          <w:cols w:equalWidth="0" w:num="1">
            <w:col w:w="11400"/>
          </w:cols>
          <w:pgMar w:left="240" w:top="125" w:right="259" w:bottom="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shall be automatically rescinded, so long as such rescission does not conflict with any judgment or decree;</w:t>
      </w:r>
    </w:p>
    <w:p>
      <w:pPr>
        <w:spacing w:after="0" w:line="104" w:lineRule="exact"/>
        <w:rPr>
          <w:sz w:val="20"/>
          <w:szCs w:val="20"/>
          <w:color w:val="auto"/>
        </w:rPr>
      </w:pPr>
    </w:p>
    <w:p>
      <w:pPr>
        <w:ind w:left="720" w:right="700" w:hanging="352"/>
        <w:spacing w:after="0" w:line="277" w:lineRule="auto"/>
        <w:tabs>
          <w:tab w:leader="none" w:pos="6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so long as the notes are guaranteed by a subsidiary guarantor, by such subsidiary guarantor;</w:t>
      </w:r>
    </w:p>
    <w:p>
      <w:pPr>
        <w:spacing w:after="0" w:line="35"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 long as the notes are guaranteed by a subsidiary guarantor:</w:t>
      </w:r>
    </w:p>
    <w:p>
      <w:pPr>
        <w:spacing w:after="0" w:line="103" w:lineRule="exact"/>
        <w:rPr>
          <w:rFonts w:ascii="Arial" w:cs="Arial" w:eastAsia="Arial" w:hAnsi="Arial"/>
          <w:sz w:val="18"/>
          <w:szCs w:val="18"/>
          <w:color w:val="auto"/>
        </w:rPr>
      </w:pPr>
    </w:p>
    <w:p>
      <w:pPr>
        <w:ind w:left="1080" w:hanging="35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103" w:lineRule="exact"/>
        <w:rPr>
          <w:rFonts w:ascii="Arial" w:cs="Arial" w:eastAsia="Arial" w:hAnsi="Arial"/>
          <w:sz w:val="18"/>
          <w:szCs w:val="18"/>
          <w:color w:val="auto"/>
        </w:rPr>
      </w:pPr>
    </w:p>
    <w:p>
      <w:pPr>
        <w:ind w:left="1080" w:hanging="35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90" w:lineRule="exact"/>
        <w:rPr>
          <w:rFonts w:ascii="Arial" w:cs="Arial" w:eastAsia="Arial" w:hAnsi="Arial"/>
          <w:sz w:val="18"/>
          <w:szCs w:val="18"/>
          <w:color w:val="auto"/>
        </w:rPr>
      </w:pPr>
    </w:p>
    <w:p>
      <w:pPr>
        <w:ind w:left="1080" w:hanging="35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0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An Event of Default for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our partnership agreement, and unless:</w:t>
      </w:r>
    </w:p>
    <w:p>
      <w:pPr>
        <w:spacing w:after="0" w:line="73" w:lineRule="exact"/>
        <w:rPr>
          <w:sz w:val="20"/>
          <w:szCs w:val="20"/>
          <w:color w:val="auto"/>
        </w:rPr>
      </w:pPr>
    </w:p>
    <w:p>
      <w:pPr>
        <w:ind w:left="500" w:hanging="13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17" w:lineRule="exact"/>
        <w:rPr>
          <w:rFonts w:ascii="Arial" w:cs="Arial" w:eastAsia="Arial" w:hAnsi="Arial"/>
          <w:sz w:val="18"/>
          <w:szCs w:val="18"/>
          <w:color w:val="auto"/>
        </w:rPr>
      </w:pPr>
    </w:p>
    <w:p>
      <w:pPr>
        <w:ind w:left="900" w:hanging="172"/>
        <w:spacing w:after="0" w:line="264" w:lineRule="auto"/>
        <w:tabs>
          <w:tab w:leader="none" w:pos="873"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73" w:lineRule="exact"/>
        <w:rPr>
          <w:rFonts w:ascii="Arial" w:cs="Arial" w:eastAsia="Arial" w:hAnsi="Arial"/>
          <w:sz w:val="18"/>
          <w:szCs w:val="18"/>
          <w:color w:val="auto"/>
        </w:rPr>
      </w:pPr>
    </w:p>
    <w:p>
      <w:pPr>
        <w:ind w:left="540" w:right="180" w:hanging="17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or series of transactions, no Default or Event of Default has occurred and is continuing;</w:t>
      </w:r>
    </w:p>
    <w:p>
      <w:pPr>
        <w:spacing w:after="0" w:line="117" w:lineRule="exact"/>
        <w:rPr>
          <w:rFonts w:ascii="Arial" w:cs="Arial" w:eastAsia="Arial" w:hAnsi="Arial"/>
          <w:sz w:val="18"/>
          <w:szCs w:val="18"/>
          <w:color w:val="auto"/>
        </w:rPr>
      </w:pPr>
    </w:p>
    <w:p>
      <w:pPr>
        <w:jc w:val="both"/>
        <w:ind w:left="540" w:right="140" w:hanging="17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73" w:lineRule="exact"/>
        <w:rPr>
          <w:rFonts w:ascii="Arial" w:cs="Arial" w:eastAsia="Arial" w:hAnsi="Arial"/>
          <w:sz w:val="18"/>
          <w:szCs w:val="18"/>
          <w:color w:val="auto"/>
        </w:rPr>
      </w:pPr>
    </w:p>
    <w:p>
      <w:pPr>
        <w:ind w:left="540" w:right="300" w:hanging="17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Generally, we, the subsidiary guarantors and the trustee may amend or supplement the Indenture, the guarantees and the notes with the written consent of the holders of at least a majority in principal amount of the notes then outstanding. However, without the consent of each holder affected, an amendment, supplement or waiver may not (with respect to any notes held by a nonconsenting holder):</w:t>
      </w:r>
    </w:p>
    <w:p>
      <w:pPr>
        <w:spacing w:after="0" w:line="73" w:lineRule="exact"/>
        <w:rPr>
          <w:sz w:val="20"/>
          <w:szCs w:val="20"/>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540" w:right="20" w:hanging="17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17" w:lineRule="exact"/>
        <w:rPr>
          <w:rFonts w:ascii="Arial" w:cs="Arial" w:eastAsia="Arial" w:hAnsi="Arial"/>
          <w:sz w:val="18"/>
          <w:szCs w:val="18"/>
          <w:color w:val="auto"/>
        </w:rPr>
      </w:pPr>
    </w:p>
    <w:p>
      <w:pPr>
        <w:ind w:left="540" w:right="68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17" w:lineRule="exact"/>
        <w:rPr>
          <w:rFonts w:ascii="Arial" w:cs="Arial" w:eastAsia="Arial" w:hAnsi="Arial"/>
          <w:sz w:val="18"/>
          <w:szCs w:val="18"/>
          <w:color w:val="auto"/>
        </w:rPr>
      </w:pPr>
    </w:p>
    <w:p>
      <w:pPr>
        <w:ind w:left="540" w:right="6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ectPr>
          <w:pgSz w:w="11900" w:h="16838" w:orient="portrait"/>
          <w:cols w:equalWidth="0" w:num="1">
            <w:col w:w="11420"/>
          </w:cols>
          <w:pgMar w:left="240" w:top="125" w:right="239" w:bottom="0" w:gutter="0" w:footer="0" w:header="0"/>
        </w:sectPr>
      </w:pPr>
    </w:p>
    <w:bookmarkStart w:id="18" w:name="page19"/>
    <w:bookmarkEnd w:id="18"/>
    <w:p>
      <w:pPr>
        <w:ind w:left="360"/>
        <w:spacing w:after="0"/>
        <w:rPr>
          <w:sz w:val="20"/>
          <w:szCs w:val="20"/>
          <w:color w:val="auto"/>
        </w:rPr>
      </w:pPr>
      <w:r>
        <w:rPr>
          <w:rFonts w:ascii="Arial" w:cs="Arial" w:eastAsia="Arial" w:hAnsi="Arial"/>
          <w:sz w:val="18"/>
          <w:szCs w:val="18"/>
          <w:color w:val="auto"/>
        </w:rPr>
        <w:t>· make any change in the preceding amendment, supplement and waiver provisions (except to increase any percentage set forth therein).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preceding, without the consent of any holder of notes, we, the subsidiary guarantors and the trustee may amend or supplement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notes:</w:t>
      </w:r>
    </w:p>
    <w:p>
      <w:pPr>
        <w:spacing w:after="0" w:line="103" w:lineRule="exact"/>
        <w:rPr>
          <w:sz w:val="20"/>
          <w:szCs w:val="20"/>
          <w:color w:val="auto"/>
        </w:rPr>
      </w:pPr>
    </w:p>
    <w:p>
      <w:pPr>
        <w:ind w:left="500" w:hanging="13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540" w:right="820" w:hanging="17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 subsidiary guarantor’s obligations to holders of notes in the case of a merger or consolidation or sale of all or substantially all of our assets;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or release subsidiary guarantors as permitted pursuant to the terms of the Indenture (please read “—The Guarantees”);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20" w:hanging="17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secure the notes and/or the guarantees;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63" w:lineRule="exact"/>
        <w:rPr>
          <w:sz w:val="20"/>
          <w:szCs w:val="20"/>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73" w:lineRule="exact"/>
        <w:rPr>
          <w:rFonts w:ascii="Arial" w:cs="Arial" w:eastAsia="Arial" w:hAnsi="Arial"/>
          <w:sz w:val="18"/>
          <w:szCs w:val="18"/>
          <w:color w:val="auto"/>
        </w:rPr>
      </w:pPr>
    </w:p>
    <w:p>
      <w:pPr>
        <w:ind w:left="540" w:right="60" w:hanging="17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3" w:lineRule="exact"/>
        <w:rPr>
          <w:rFonts w:ascii="Arial" w:cs="Arial" w:eastAsia="Arial" w:hAnsi="Arial"/>
          <w:sz w:val="18"/>
          <w:szCs w:val="18"/>
          <w:color w:val="auto"/>
        </w:rPr>
      </w:pPr>
    </w:p>
    <w:p>
      <w:pPr>
        <w:ind w:left="540" w:right="120" w:hanging="17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73" w:lineRule="exact"/>
        <w:rPr>
          <w:rFonts w:ascii="Arial" w:cs="Arial" w:eastAsia="Arial" w:hAnsi="Arial"/>
          <w:sz w:val="18"/>
          <w:szCs w:val="18"/>
          <w:color w:val="auto"/>
        </w:rPr>
      </w:pPr>
    </w:p>
    <w:p>
      <w:pPr>
        <w:ind w:left="540" w:right="300" w:hanging="17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3" w:lineRule="exact"/>
        <w:rPr>
          <w:rFonts w:ascii="Arial" w:cs="Arial" w:eastAsia="Arial" w:hAnsi="Arial"/>
          <w:sz w:val="18"/>
          <w:szCs w:val="18"/>
          <w:color w:val="auto"/>
        </w:rPr>
      </w:pPr>
    </w:p>
    <w:p>
      <w:pPr>
        <w:ind w:left="540" w:right="640" w:hanging="17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the Issue Date or provided for pursuant to agreements existing on the Issue Date;</w:t>
      </w:r>
    </w:p>
    <w:p>
      <w:pPr>
        <w:spacing w:after="0" w:line="62"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settlement as to which we or the applicable Restricted Subsidiary has not exhausted its appellate rights;</w:t>
      </w:r>
    </w:p>
    <w:p>
      <w:pPr>
        <w:spacing w:after="0" w:line="117" w:lineRule="exact"/>
        <w:rPr>
          <w:sz w:val="20"/>
          <w:szCs w:val="20"/>
          <w:color w:val="auto"/>
        </w:rPr>
      </w:pPr>
    </w:p>
    <w:p>
      <w:pPr>
        <w:jc w:val="both"/>
        <w:ind w:left="540" w:right="20" w:hanging="172"/>
        <w:spacing w:after="0" w:line="273"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70" w:lineRule="exact"/>
        <w:rPr>
          <w:rFonts w:ascii="Arial" w:cs="Arial" w:eastAsia="Arial" w:hAnsi="Arial"/>
          <w:sz w:val="17"/>
          <w:szCs w:val="17"/>
          <w:color w:val="auto"/>
        </w:rPr>
      </w:pPr>
    </w:p>
    <w:p>
      <w:pPr>
        <w:ind w:left="540" w:right="500" w:hanging="17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62"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w:t>
      </w:r>
    </w:p>
    <w:p>
      <w:pPr>
        <w:sectPr>
          <w:pgSz w:w="11900" w:h="16838" w:orient="portrait"/>
          <w:cols w:equalWidth="0" w:num="1">
            <w:col w:w="11420"/>
          </w:cols>
          <w:pgMar w:left="240" w:top="125" w:right="239" w:bottom="0" w:gutter="0" w:footer="0" w:header="0"/>
        </w:sectPr>
      </w:pPr>
    </w:p>
    <w:bookmarkStart w:id="19" w:name="page20"/>
    <w:bookmarkEnd w:id="19"/>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liens not excepted above, together with all Attributable Indebtedness from Sale-leaseback Transactions, excluding Sale-leaseback Transactions permitted under “—Limitations on Sale-Leasebacks,” does not exceed 10% of Consolidated Net Tangible Assets.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117" w:lineRule="exact"/>
        <w:rPr>
          <w:sz w:val="20"/>
          <w:szCs w:val="20"/>
          <w:color w:val="auto"/>
        </w:rPr>
      </w:pPr>
    </w:p>
    <w:p>
      <w:pPr>
        <w:ind w:left="540" w:right="180" w:hanging="17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17" w:lineRule="exact"/>
        <w:rPr>
          <w:rFonts w:ascii="Arial" w:cs="Arial" w:eastAsia="Arial" w:hAnsi="Arial"/>
          <w:sz w:val="18"/>
          <w:szCs w:val="18"/>
          <w:color w:val="auto"/>
        </w:rPr>
      </w:pPr>
    </w:p>
    <w:p>
      <w:pPr>
        <w:ind w:left="540" w:right="120" w:hanging="17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38" w:lineRule="exact"/>
        <w:rPr>
          <w:rFonts w:ascii="Arial" w:cs="Arial" w:eastAsia="Arial" w:hAnsi="Arial"/>
          <w:sz w:val="17"/>
          <w:szCs w:val="17"/>
          <w:color w:val="auto"/>
        </w:rPr>
      </w:pPr>
    </w:p>
    <w:p>
      <w:pPr>
        <w:ind w:left="540" w:right="100" w:hanging="172"/>
        <w:spacing w:after="0" w:line="259"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7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“—Limitations on Liens,” do not exceed 10%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firstLine="360"/>
        <w:spacing w:after="0" w:line="277" w:lineRule="auto"/>
        <w:rPr>
          <w:sz w:val="20"/>
          <w:szCs w:val="20"/>
          <w:color w:val="auto"/>
        </w:rPr>
      </w:pPr>
      <w:r>
        <w:rPr>
          <w:rFonts w:ascii="Arial" w:cs="Arial" w:eastAsia="Arial" w:hAnsi="Arial"/>
          <w:sz w:val="18"/>
          <w:szCs w:val="18"/>
          <w:color w:val="auto"/>
        </w:rPr>
        <w:t>These limitations on Sale-leaseback Transactions are less restrictive than the restrictions on Sale-leaseback Transactions applicable to our existing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121" w:lineRule="exact"/>
        <w:rPr>
          <w:sz w:val="20"/>
          <w:szCs w:val="20"/>
          <w:color w:val="auto"/>
        </w:rPr>
      </w:pPr>
    </w:p>
    <w:p>
      <w:pPr>
        <w:jc w:val="both"/>
        <w:ind w:right="60" w:firstLine="360"/>
        <w:spacing w:after="0" w:line="257"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8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73"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jc w:val="both"/>
        <w:ind w:right="380" w:firstLine="360"/>
        <w:spacing w:after="0" w:line="286" w:lineRule="auto"/>
        <w:rPr>
          <w:sz w:val="20"/>
          <w:szCs w:val="20"/>
          <w:color w:val="auto"/>
        </w:rPr>
      </w:pPr>
      <w:r>
        <w:rPr>
          <w:rFonts w:ascii="Arial" w:cs="Arial" w:eastAsia="Arial" w:hAnsi="Arial"/>
          <w:sz w:val="17"/>
          <w:szCs w:val="17"/>
          <w:color w:val="auto"/>
        </w:rPr>
        <w:t>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in respect of the notes.</w:t>
      </w:r>
    </w:p>
    <w:p>
      <w:pPr>
        <w:spacing w:after="0" w:line="5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Also, at any time we may terminate our obligations under covenants described in the last paragraph of “—The Guarantees,” under “—Covenants” and under “—SEC Reports” with respect to the notes (“covenant defeasance”), and thereafter our failure to comply with any of such covenants would not constitute an Event of Default.</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each guarantee obligation will be deemed to have been discharged with respect to the notes.</w:t>
      </w:r>
    </w:p>
    <w:p>
      <w:pPr>
        <w:spacing w:after="0" w:line="62"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8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In the event of any legal defeasance, holders of the notes would be entitled to look only to the trust for payment of principal of and any premium and interest on their notes until maturity.</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w:t>
      </w:r>
    </w:p>
    <w:p>
      <w:pPr>
        <w:sectPr>
          <w:pgSz w:w="11900" w:h="16921"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such payments, however.</w:t>
      </w:r>
    </w:p>
    <w:p>
      <w:pPr>
        <w:spacing w:after="0" w:line="117"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In addition, we may discharge all our obligations under the Indenture with respect to the notes, other than certain obligations to the trustee and our obligation to register the transfer of and exchange notes, provided that we either:</w:t>
      </w:r>
    </w:p>
    <w:p>
      <w:pPr>
        <w:spacing w:after="0" w:line="62" w:lineRule="exact"/>
        <w:rPr>
          <w:sz w:val="20"/>
          <w:szCs w:val="20"/>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17" w:lineRule="exact"/>
        <w:rPr>
          <w:rFonts w:ascii="Arial" w:cs="Arial" w:eastAsia="Arial" w:hAnsi="Arial"/>
          <w:sz w:val="18"/>
          <w:szCs w:val="18"/>
          <w:color w:val="auto"/>
        </w:rPr>
      </w:pPr>
    </w:p>
    <w:p>
      <w:pPr>
        <w:ind w:left="540" w:right="20" w:hanging="17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Wachovia Bank, National Association, acts as indenture trustee, security registrar and paying agent with respect to the notes. The trustee makes no representation or warranty, express or implied, as to the accuracy or completeness of any information contained in this prospectus, except for such information that specifically pertains to the trustee, or any information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are governed by and will be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73"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117" w:lineRule="exact"/>
        <w:rPr>
          <w:sz w:val="20"/>
          <w:szCs w:val="20"/>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17" w:lineRule="exact"/>
        <w:rPr>
          <w:rFonts w:ascii="Arial" w:cs="Arial" w:eastAsia="Arial" w:hAnsi="Arial"/>
          <w:sz w:val="18"/>
          <w:szCs w:val="18"/>
          <w:color w:val="auto"/>
        </w:rPr>
      </w:pPr>
    </w:p>
    <w:p>
      <w:pPr>
        <w:ind w:left="1080" w:right="220" w:hanging="352"/>
        <w:spacing w:after="0" w:line="277" w:lineRule="auto"/>
        <w:tabs>
          <w:tab w:leader="none" w:pos="10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17" w:lineRule="exact"/>
        <w:rPr>
          <w:rFonts w:ascii="Arial" w:cs="Arial" w:eastAsia="Arial" w:hAnsi="Arial"/>
          <w:sz w:val="18"/>
          <w:szCs w:val="18"/>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17" w:lineRule="exact"/>
        <w:rPr>
          <w:sz w:val="20"/>
          <w:szCs w:val="20"/>
          <w:color w:val="auto"/>
        </w:rPr>
      </w:pPr>
    </w:p>
    <w:p>
      <w:pPr>
        <w:ind w:left="360" w:right="200"/>
        <w:spacing w:after="0" w:line="277"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the notes, the date on which the notes were initially issued, May 27, 2005.</w:t>
      </w:r>
    </w:p>
    <w:p>
      <w:pPr>
        <w:spacing w:after="0" w:line="117"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Managing General Partner</w:t>
      </w:r>
      <w:r>
        <w:rPr>
          <w:rFonts w:ascii="Arial" w:cs="Arial" w:eastAsia="Arial" w:hAnsi="Arial"/>
          <w:sz w:val="16"/>
          <w:szCs w:val="16"/>
          <w:color w:val="auto"/>
        </w:rPr>
        <w:t>”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w:t>
      </w:r>
    </w:p>
    <w:p>
      <w:pPr>
        <w:spacing w:after="0" w:line="3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00" w:hanging="43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17" w:lineRule="exact"/>
        <w:rPr>
          <w:rFonts w:ascii="Arial" w:cs="Arial" w:eastAsia="Arial" w:hAnsi="Arial"/>
          <w:sz w:val="18"/>
          <w:szCs w:val="18"/>
          <w:color w:val="auto"/>
        </w:rPr>
      </w:pPr>
    </w:p>
    <w:p>
      <w:pPr>
        <w:ind w:left="820" w:right="300" w:hanging="452"/>
        <w:spacing w:after="0" w:line="312" w:lineRule="auto"/>
        <w:tabs>
          <w:tab w:leader="none" w:pos="7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38" w:lineRule="exact"/>
        <w:rPr>
          <w:rFonts w:ascii="Arial" w:cs="Arial" w:eastAsia="Arial" w:hAnsi="Arial"/>
          <w:sz w:val="16"/>
          <w:szCs w:val="16"/>
          <w:color w:val="auto"/>
        </w:rPr>
      </w:pPr>
    </w:p>
    <w:p>
      <w:pPr>
        <w:ind w:left="820" w:right="100" w:hanging="452"/>
        <w:spacing w:after="0" w:line="277" w:lineRule="auto"/>
        <w:tabs>
          <w:tab w:leader="none" w:pos="7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ectPr>
          <w:pgSz w:w="11900" w:h="16838" w:orient="portrait"/>
          <w:cols w:equalWidth="0" w:num="1">
            <w:col w:w="11400"/>
          </w:cols>
          <w:pgMar w:left="240" w:top="125" w:right="259" w:bottom="0" w:gutter="0" w:footer="0" w:header="0"/>
        </w:sectPr>
      </w:pPr>
    </w:p>
    <w:bookmarkStart w:id="21" w:name="page22"/>
    <w:bookmarkEnd w:id="21"/>
    <w:p>
      <w:pPr>
        <w:ind w:left="800" w:hanging="43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of taxes and assessments which are:</w:t>
      </w:r>
    </w:p>
    <w:p>
      <w:pPr>
        <w:spacing w:after="0" w:line="117" w:lineRule="exact"/>
        <w:rPr>
          <w:rFonts w:ascii="Arial" w:cs="Arial" w:eastAsia="Arial" w:hAnsi="Arial"/>
          <w:sz w:val="18"/>
          <w:szCs w:val="18"/>
          <w:color w:val="auto"/>
        </w:rPr>
      </w:pPr>
    </w:p>
    <w:p>
      <w:pPr>
        <w:ind w:left="1160" w:hanging="342"/>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then current year,</w:t>
      </w:r>
    </w:p>
    <w:p>
      <w:pPr>
        <w:spacing w:after="0" w:line="117" w:lineRule="exact"/>
        <w:rPr>
          <w:rFonts w:ascii="Arial" w:cs="Arial" w:eastAsia="Arial" w:hAnsi="Arial"/>
          <w:sz w:val="18"/>
          <w:szCs w:val="18"/>
          <w:color w:val="auto"/>
        </w:rPr>
      </w:pPr>
    </w:p>
    <w:p>
      <w:pPr>
        <w:ind w:left="1160" w:hanging="342"/>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not at the time delinquent,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60" w:hanging="342"/>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delinquent but the validity of which is being contested at the time by us or any Restricted Subsidiary in good faith;</w:t>
      </w:r>
    </w:p>
    <w:p>
      <w:pPr>
        <w:spacing w:after="0" w:line="117" w:lineRule="exact"/>
        <w:rPr>
          <w:rFonts w:ascii="Arial" w:cs="Arial" w:eastAsia="Arial" w:hAnsi="Arial"/>
          <w:sz w:val="18"/>
          <w:szCs w:val="18"/>
          <w:color w:val="auto"/>
        </w:rPr>
      </w:pPr>
    </w:p>
    <w:p>
      <w:pPr>
        <w:ind w:left="800" w:hanging="43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17" w:lineRule="exact"/>
        <w:rPr>
          <w:rFonts w:ascii="Arial" w:cs="Arial" w:eastAsia="Arial" w:hAnsi="Arial"/>
          <w:sz w:val="18"/>
          <w:szCs w:val="18"/>
          <w:color w:val="auto"/>
        </w:rPr>
      </w:pPr>
    </w:p>
    <w:p>
      <w:pPr>
        <w:ind w:left="820" w:right="100" w:hanging="452"/>
        <w:spacing w:after="0" w:line="277" w:lineRule="auto"/>
        <w:tabs>
          <w:tab w:leader="none" w:pos="7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62" w:lineRule="exact"/>
        <w:rPr>
          <w:rFonts w:ascii="Arial" w:cs="Arial" w:eastAsia="Arial" w:hAnsi="Arial"/>
          <w:sz w:val="18"/>
          <w:szCs w:val="18"/>
          <w:color w:val="auto"/>
        </w:rPr>
      </w:pPr>
    </w:p>
    <w:p>
      <w:pPr>
        <w:ind w:left="820" w:right="40" w:hanging="452"/>
        <w:spacing w:after="0" w:line="277" w:lineRule="auto"/>
        <w:tabs>
          <w:tab w:leader="none" w:pos="7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62" w:lineRule="exact"/>
        <w:rPr>
          <w:rFonts w:ascii="Arial" w:cs="Arial" w:eastAsia="Arial" w:hAnsi="Arial"/>
          <w:sz w:val="18"/>
          <w:szCs w:val="18"/>
          <w:color w:val="auto"/>
        </w:rPr>
      </w:pPr>
    </w:p>
    <w:p>
      <w:pPr>
        <w:ind w:left="820" w:right="320" w:hanging="452"/>
        <w:spacing w:after="0" w:line="342" w:lineRule="auto"/>
        <w:tabs>
          <w:tab w:leader="none" w:pos="7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5" w:lineRule="exact"/>
        <w:rPr>
          <w:rFonts w:ascii="Arial" w:cs="Arial" w:eastAsia="Arial" w:hAnsi="Arial"/>
          <w:sz w:val="16"/>
          <w:szCs w:val="16"/>
          <w:color w:val="auto"/>
        </w:rPr>
      </w:pPr>
    </w:p>
    <w:p>
      <w:pPr>
        <w:ind w:left="800" w:hanging="43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17" w:lineRule="exact"/>
        <w:rPr>
          <w:rFonts w:ascii="Arial" w:cs="Arial" w:eastAsia="Arial" w:hAnsi="Arial"/>
          <w:sz w:val="18"/>
          <w:szCs w:val="18"/>
          <w:color w:val="auto"/>
        </w:rPr>
      </w:pPr>
    </w:p>
    <w:p>
      <w:pPr>
        <w:ind w:left="820" w:right="180" w:hanging="452"/>
        <w:spacing w:after="0" w:line="259" w:lineRule="auto"/>
        <w:tabs>
          <w:tab w:leader="none" w:pos="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78" w:lineRule="exact"/>
        <w:rPr>
          <w:rFonts w:ascii="Arial" w:cs="Arial" w:eastAsia="Arial" w:hAnsi="Arial"/>
          <w:sz w:val="18"/>
          <w:szCs w:val="18"/>
          <w:color w:val="auto"/>
        </w:rPr>
      </w:pPr>
    </w:p>
    <w:p>
      <w:pPr>
        <w:ind w:left="780" w:hanging="41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17" w:lineRule="exact"/>
        <w:rPr>
          <w:rFonts w:ascii="Arial" w:cs="Arial" w:eastAsia="Arial" w:hAnsi="Arial"/>
          <w:sz w:val="18"/>
          <w:szCs w:val="18"/>
          <w:color w:val="auto"/>
        </w:rPr>
      </w:pPr>
    </w:p>
    <w:p>
      <w:pPr>
        <w:ind w:left="820" w:right="20" w:hanging="452"/>
        <w:spacing w:after="0" w:line="255" w:lineRule="auto"/>
        <w:tabs>
          <w:tab w:leader="none" w:pos="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securities under the Indenture (including the notes) in connection with such refunding, refinancing or repurchase, and the required corresponding durations thereof), to refinance, refund or repurchase all outstanding securities under the Indenture (including the notes), including the amount of all accrued interest thereon and reasonable fees and expenses and premium, if any, incurred by us or any Restricted Subsidiary in connection therewith;</w:t>
      </w:r>
    </w:p>
    <w:p>
      <w:pPr>
        <w:spacing w:after="0" w:line="85" w:lineRule="exact"/>
        <w:rPr>
          <w:rFonts w:ascii="Arial" w:cs="Arial" w:eastAsia="Arial" w:hAnsi="Arial"/>
          <w:sz w:val="18"/>
          <w:szCs w:val="18"/>
          <w:color w:val="auto"/>
        </w:rPr>
      </w:pPr>
    </w:p>
    <w:p>
      <w:pPr>
        <w:ind w:left="820" w:hanging="452"/>
        <w:spacing w:after="0" w:line="277" w:lineRule="auto"/>
        <w:tabs>
          <w:tab w:leader="none" w:pos="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62" w:lineRule="exact"/>
        <w:rPr>
          <w:rFonts w:ascii="Arial" w:cs="Arial" w:eastAsia="Arial" w:hAnsi="Arial"/>
          <w:sz w:val="18"/>
          <w:szCs w:val="18"/>
          <w:color w:val="auto"/>
        </w:rPr>
      </w:pPr>
    </w:p>
    <w:p>
      <w:pPr>
        <w:ind w:left="780" w:hanging="41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17" w:lineRule="exact"/>
        <w:rPr>
          <w:rFonts w:ascii="Arial" w:cs="Arial" w:eastAsia="Arial" w:hAnsi="Arial"/>
          <w:sz w:val="18"/>
          <w:szCs w:val="18"/>
          <w:color w:val="auto"/>
        </w:rPr>
      </w:pPr>
    </w:p>
    <w:p>
      <w:pPr>
        <w:ind w:left="820" w:right="360" w:hanging="452"/>
        <w:spacing w:after="0" w:line="257" w:lineRule="auto"/>
        <w:tabs>
          <w:tab w:leader="none" w:pos="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0" w:lineRule="exact"/>
        <w:rPr>
          <w:rFonts w:ascii="Arial" w:cs="Arial" w:eastAsia="Arial" w:hAnsi="Arial"/>
          <w:sz w:val="18"/>
          <w:szCs w:val="18"/>
          <w:color w:val="auto"/>
        </w:rPr>
      </w:pPr>
    </w:p>
    <w:p>
      <w:pPr>
        <w:jc w:val="both"/>
        <w:ind w:left="820" w:right="60" w:hanging="452"/>
        <w:spacing w:after="0" w:line="264" w:lineRule="auto"/>
        <w:tabs>
          <w:tab w:leader="none" w:pos="7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right="480"/>
        <w:spacing w:after="0" w:line="277" w:lineRule="auto"/>
        <w:rPr>
          <w:sz w:val="20"/>
          <w:szCs w:val="20"/>
          <w:color w:val="auto"/>
        </w:rPr>
      </w:pPr>
      <w:r>
        <w:rPr>
          <w:rFonts w:ascii="Arial" w:cs="Arial" w:eastAsia="Arial" w:hAnsi="Arial"/>
          <w:sz w:val="18"/>
          <w:szCs w:val="18"/>
          <w:color w:val="auto"/>
        </w:rPr>
        <w:t>materially interfere with, the ordinary conduct of its business or the business of Plains All American Pipeline and its Subsidiaries, taken as a whole;</w:t>
      </w:r>
    </w:p>
    <w:p>
      <w:pPr>
        <w:spacing w:after="0" w:line="62" w:lineRule="exact"/>
        <w:rPr>
          <w:sz w:val="20"/>
          <w:szCs w:val="20"/>
          <w:color w:val="auto"/>
        </w:rPr>
      </w:pPr>
    </w:p>
    <w:p>
      <w:pPr>
        <w:ind w:left="820" w:right="120" w:hanging="452"/>
        <w:spacing w:after="0" w:line="302" w:lineRule="auto"/>
        <w:tabs>
          <w:tab w:leader="none" w:pos="7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32" w:lineRule="exact"/>
        <w:rPr>
          <w:rFonts w:ascii="Arial" w:cs="Arial" w:eastAsia="Arial" w:hAnsi="Arial"/>
          <w:sz w:val="16"/>
          <w:szCs w:val="16"/>
          <w:color w:val="auto"/>
        </w:rPr>
      </w:pPr>
    </w:p>
    <w:p>
      <w:pPr>
        <w:ind w:left="820" w:right="320" w:hanging="452"/>
        <w:spacing w:after="0" w:line="277" w:lineRule="auto"/>
        <w:tabs>
          <w:tab w:leader="none" w:pos="7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3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joint-stock company, trust, other entity, unincorporated organization or government or any agency or political subdivision thereof.</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04" w:lineRule="exact"/>
        <w:rPr>
          <w:sz w:val="20"/>
          <w:szCs w:val="20"/>
          <w:color w:val="auto"/>
        </w:rPr>
      </w:pPr>
    </w:p>
    <w:p>
      <w:pPr>
        <w:ind w:left="820" w:right="160" w:hanging="452"/>
        <w:spacing w:after="0" w:line="264" w:lineRule="auto"/>
        <w:tabs>
          <w:tab w:leader="none" w:pos="7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46" w:lineRule="exact"/>
        <w:rPr>
          <w:rFonts w:ascii="Arial" w:cs="Arial" w:eastAsia="Arial" w:hAnsi="Arial"/>
          <w:sz w:val="18"/>
          <w:szCs w:val="18"/>
          <w:color w:val="auto"/>
        </w:rPr>
      </w:pPr>
    </w:p>
    <w:p>
      <w:pPr>
        <w:ind w:left="820" w:right="400" w:hanging="452"/>
        <w:spacing w:after="0" w:line="277" w:lineRule="auto"/>
        <w:tabs>
          <w:tab w:leader="none" w:pos="7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w:t>
      </w:r>
    </w:p>
    <w:p>
      <w:pPr>
        <w:spacing w:after="0" w:line="48" w:lineRule="exact"/>
        <w:rPr>
          <w:rFonts w:ascii="Arial" w:cs="Arial" w:eastAsia="Arial" w:hAnsi="Arial"/>
          <w:sz w:val="18"/>
          <w:szCs w:val="18"/>
          <w:color w:val="auto"/>
        </w:rPr>
      </w:pPr>
    </w:p>
    <w:p>
      <w:pPr>
        <w:ind w:left="1180" w:right="660" w:hanging="362"/>
        <w:spacing w:after="0" w:line="277" w:lineRule="auto"/>
        <w:tabs>
          <w:tab w:leader="none" w:pos="11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such assets consisting of inventories, furniture, office fixtures and equipment, including data processing equipment, vehicles and equipment used on, or useful with, vehicles, and</w:t>
      </w:r>
    </w:p>
    <w:p>
      <w:pPr>
        <w:sectPr>
          <w:pgSz w:w="11900" w:h="16838" w:orient="portrait"/>
          <w:cols w:equalWidth="0" w:num="1">
            <w:col w:w="11400"/>
          </w:cols>
          <w:pgMar w:left="240" w:top="125" w:right="259" w:bottom="31" w:gutter="0" w:footer="0" w:header="0"/>
        </w:sectPr>
      </w:pPr>
    </w:p>
    <w:bookmarkStart w:id="22" w:name="page23"/>
    <w:bookmarkEnd w:id="22"/>
    <w:p>
      <w:pPr>
        <w:ind w:left="1180" w:right="420" w:hanging="362"/>
        <w:spacing w:after="0" w:line="308" w:lineRule="auto"/>
        <w:tabs>
          <w:tab w:leader="none" w:pos="11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2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35"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0" w:lineRule="exact"/>
        <w:rPr>
          <w:sz w:val="20"/>
          <w:szCs w:val="20"/>
          <w:color w:val="auto"/>
        </w:rPr>
      </w:pPr>
    </w:p>
    <w:p>
      <w:pPr>
        <w:ind w:left="820" w:right="40" w:hanging="452"/>
        <w:spacing w:after="0" w:line="286" w:lineRule="auto"/>
        <w:tabs>
          <w:tab w:leader="none" w:pos="79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43" w:lineRule="exact"/>
        <w:rPr>
          <w:rFonts w:ascii="Arial" w:cs="Arial" w:eastAsia="Arial" w:hAnsi="Arial"/>
          <w:sz w:val="17"/>
          <w:szCs w:val="17"/>
          <w:color w:val="auto"/>
        </w:rPr>
      </w:pPr>
    </w:p>
    <w:p>
      <w:pPr>
        <w:ind w:left="820" w:right="180" w:hanging="452"/>
        <w:spacing w:after="0" w:line="342" w:lineRule="auto"/>
        <w:tabs>
          <w:tab w:leader="none" w:pos="7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following discussion is a summary of certain federal income tax considerations relevant to the exchange of outstanding notes for new notes, but does not purport to be a complete analysis of all potential tax effects. The discussion is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description does not consider the effect of any applicable foreign, state, local or other tax laws or estate or gift tax considerations.</w:t>
      </w:r>
    </w:p>
    <w:p>
      <w:pPr>
        <w:spacing w:after="0" w:line="5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believe that the exchange of outstanding notes for new notes should not be an exchange or otherwise a taxable event to a holder for United States federal income tax purposes. Accordingly, a holder should have the same adjusted issue price, adjusted basis and holding period in the new notes as it had in the outstanding notes immediately before the exchange.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Based on interpretations by the staff of the SEC in no action letters issued to third parties, we believe that you may transfer new notes issued under the exchange offer in exchange for the outstanding notes if:</w:t>
      </w:r>
    </w:p>
    <w:p>
      <w:pPr>
        <w:spacing w:after="0" w:line="62" w:lineRule="exact"/>
        <w:rPr>
          <w:sz w:val="20"/>
          <w:szCs w:val="20"/>
          <w:color w:val="auto"/>
        </w:rPr>
      </w:pPr>
    </w:p>
    <w:p>
      <w:pPr>
        <w:ind w:left="500" w:hanging="13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acquire the new notes in the ordinary course of your business; and</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such new notes.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not participate in the exchange offer if you are:</w:t>
      </w:r>
    </w:p>
    <w:p>
      <w:pPr>
        <w:spacing w:after="0" w:line="117" w:lineRule="exact"/>
        <w:rPr>
          <w:sz w:val="20"/>
          <w:szCs w:val="20"/>
          <w:color w:val="auto"/>
        </w:rPr>
      </w:pPr>
    </w:p>
    <w:p>
      <w:pPr>
        <w:ind w:left="500" w:hanging="13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“affiliate” within the meaning of Rule 405 under the Securities Act;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broker-dealer that acquired outstanding notes directly from us.</w:t>
      </w:r>
    </w:p>
    <w:p>
      <w:pPr>
        <w:spacing w:after="0" w:line="11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outstanding notes, with the prospectus contained in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 we will make this prospectus, as amended or supplemented, promptly available to any broker-dealer for use in connection with any such resale.</w:t>
      </w:r>
    </w:p>
    <w:p>
      <w:pPr>
        <w:spacing w:after="0" w:line="8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If you wish to exchange your outstanding notes for new notes in the exchange offer, you will be required to make representations to us as described in “Exchange Offer—Purpose and Effect of the Exchange Offer” and “—Procedures for Tendering—Your Representations to Us” in this prospectus and in the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w:t>
      </w:r>
    </w:p>
    <w:p>
      <w:pPr>
        <w:spacing w:after="0" w:line="80"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62" w:lineRule="exact"/>
        <w:rPr>
          <w:sz w:val="20"/>
          <w:szCs w:val="20"/>
          <w:color w:val="auto"/>
        </w:rPr>
      </w:pPr>
    </w:p>
    <w:p>
      <w:pPr>
        <w:ind w:left="500" w:hanging="13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 a combination of the preceding methods of resale;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market prices prevailing at the time of resale;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 negotiated prices.</w:t>
      </w:r>
    </w:p>
    <w:p>
      <w:pPr>
        <w:sectPr>
          <w:pgSz w:w="11900" w:h="16838" w:orient="portrait"/>
          <w:cols w:equalWidth="0" w:num="1">
            <w:col w:w="11420"/>
          </w:cols>
          <w:pgMar w:left="240" w:top="125" w:right="239" w:bottom="86" w:gutter="0" w:footer="0" w:header="0"/>
        </w:sectPr>
      </w:pPr>
    </w:p>
    <w:bookmarkStart w:id="23" w:name="page24"/>
    <w:bookmarkEnd w:id="23"/>
    <w:p>
      <w:pPr>
        <w:ind w:right="200" w:firstLine="360"/>
        <w:spacing w:after="0" w:line="297" w:lineRule="auto"/>
        <w:rPr>
          <w:sz w:val="20"/>
          <w:szCs w:val="20"/>
          <w:color w:val="auto"/>
        </w:rPr>
      </w:pPr>
      <w:r>
        <w:rPr>
          <w:rFonts w:ascii="Arial" w:cs="Arial" w:eastAsia="Arial" w:hAnsi="Arial"/>
          <w:sz w:val="16"/>
          <w:szCs w:val="16"/>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by acknowledging that it will deliver and by delivering a prospectus, a broker-dealer will not be deemed to admit that it is an “underwriter” within the meaning of the Securities Act.</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For a period of one year after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w:t>
      </w:r>
    </w:p>
    <w:p>
      <w:pPr>
        <w:spacing w:after="0" w:line="15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validity of the new notes offered in this exchange offer will be passed upon for us by Vinson &amp; Elkins L.L.P., Houston, Texas.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7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57" w:lineRule="exact"/>
        <w:rPr>
          <w:sz w:val="20"/>
          <w:szCs w:val="20"/>
          <w:color w:val="auto"/>
        </w:rPr>
      </w:pPr>
    </w:p>
    <w:p>
      <w:pPr>
        <w:ind w:left="500" w:hanging="13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2004;</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2005 and June 30, 2005; and</w:t>
      </w:r>
    </w:p>
    <w:p>
      <w:pPr>
        <w:spacing w:after="0" w:line="117" w:lineRule="exact"/>
        <w:rPr>
          <w:rFonts w:ascii="Arial" w:cs="Arial" w:eastAsia="Arial" w:hAnsi="Arial"/>
          <w:sz w:val="18"/>
          <w:szCs w:val="18"/>
          <w:color w:val="auto"/>
        </w:rPr>
      </w:pPr>
    </w:p>
    <w:p>
      <w:pPr>
        <w:ind w:left="540" w:right="140" w:hanging="172"/>
        <w:spacing w:after="0" w:line="26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Reports on Forms 8-K filed on January 26, 2005; February 23, 2005; March 8, 2005; April 1, 2005; April 8, 2005; April 21, 2005; April 25, 2005; May 12, 2005; May 25, 2005; May 31, 2005; August 16, 2005; August 22, 2005; September 16, 2005; September 19, 2005 and September 21, 2005.</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(713) 646-4100</w:t>
      </w:r>
    </w:p>
    <w:p>
      <w:pPr>
        <w:spacing w:after="0" w:line="211" w:lineRule="exact"/>
        <w:rPr>
          <w:sz w:val="20"/>
          <w:szCs w:val="20"/>
          <w:color w:val="auto"/>
        </w:rPr>
      </w:pPr>
    </w:p>
    <w:p>
      <w:pPr>
        <w:ind w:right="460" w:firstLine="360"/>
        <w:spacing w:after="0" w:line="259" w:lineRule="auto"/>
        <w:rPr>
          <w:sz w:val="20"/>
          <w:szCs w:val="20"/>
          <w:color w:val="auto"/>
        </w:rPr>
      </w:pPr>
      <w:r>
        <w:rPr>
          <w:rFonts w:ascii="Arial" w:cs="Arial" w:eastAsia="Arial" w:hAnsi="Arial"/>
          <w:sz w:val="18"/>
          <w:szCs w:val="18"/>
          <w:color w:val="auto"/>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9"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any information. You should not assume that the information incorporated by reference or provided in this prospectus is accurate as of any date other than the date on the front cover.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All statements, other than statements of historical fact, included in this prospectus and incorporated by reference are forward looking statements, including, but not limited to, statements identified by the words “anticipate,” “believe,” “estimate,” “expect,” “plan,” “intend” and “forecast,” and similar expressions and statements regarding our business strategy, plans and objectives for future operations. These statements reflect our current views with respect to future events, based on what we believe are reasonable assumptions. Certain factors could cause actual results to differ materially from results anticipated in the forward looking statements. These factors include, but are not limited to:</w:t>
      </w:r>
    </w:p>
    <w:p>
      <w:pPr>
        <w:sectPr>
          <w:pgSz w:w="11900" w:h="16838" w:orient="portrait"/>
          <w:cols w:equalWidth="0" w:num="1">
            <w:col w:w="11400"/>
          </w:cols>
          <w:pgMar w:left="240" w:top="125" w:right="259" w:bottom="33" w:gutter="0" w:footer="0" w:header="0"/>
        </w:sectPr>
      </w:pPr>
    </w:p>
    <w:bookmarkStart w:id="24" w:name="page25"/>
    <w:bookmarkEnd w:id="24"/>
    <w:p>
      <w:pPr>
        <w:ind w:left="540" w:right="280" w:hanging="172"/>
        <w:spacing w:after="0" w:line="277" w:lineRule="auto"/>
        <w:tabs>
          <w:tab w:leader="none" w:pos="49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62"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17" w:lineRule="exact"/>
        <w:rPr>
          <w:rFonts w:ascii="Arial" w:cs="Arial" w:eastAsia="Arial" w:hAnsi="Arial"/>
          <w:sz w:val="18"/>
          <w:szCs w:val="18"/>
          <w:b w:val="1"/>
          <w:bCs w:val="1"/>
          <w:color w:val="auto"/>
        </w:rPr>
      </w:pPr>
    </w:p>
    <w:p>
      <w:pPr>
        <w:ind w:left="540" w:right="460" w:hanging="172"/>
        <w:spacing w:after="0" w:line="277" w:lineRule="auto"/>
        <w:tabs>
          <w:tab w:leader="none" w:pos="49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 parties;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successful third party drilling efforts in areas in which we operate pipelines or gather crude oil;</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28" w:lineRule="exact"/>
        <w:rPr>
          <w:rFonts w:ascii="Arial" w:cs="Arial" w:eastAsia="Arial" w:hAnsi="Arial"/>
          <w:sz w:val="17"/>
          <w:szCs w:val="17"/>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transmission lines;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rates of third party pipelines;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counter parties;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impact of crude oil and natural gas price fluctuations;</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17" w:lineRule="exact"/>
        <w:rPr>
          <w:rFonts w:ascii="Arial" w:cs="Arial" w:eastAsia="Arial" w:hAnsi="Arial"/>
          <w:sz w:val="18"/>
          <w:szCs w:val="18"/>
          <w:b w:val="1"/>
          <w:bCs w:val="1"/>
          <w:color w:val="auto"/>
        </w:rPr>
      </w:pPr>
    </w:p>
    <w:p>
      <w:pPr>
        <w:ind w:left="540" w:right="640" w:hanging="172"/>
        <w:spacing w:after="0" w:line="277" w:lineRule="auto"/>
        <w:tabs>
          <w:tab w:leader="none" w:pos="49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 (including the direct and indirect effects of Hurricanes Katrina and Rita on the availability of materials, the cost of natural gas and the demand for oil-field services);</w:t>
      </w:r>
    </w:p>
    <w:p>
      <w:pPr>
        <w:spacing w:after="0" w:line="62"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 and</w:t>
      </w:r>
    </w:p>
    <w:p>
      <w:pPr>
        <w:spacing w:after="0" w:line="117" w:lineRule="exact"/>
        <w:rPr>
          <w:rFonts w:ascii="Arial" w:cs="Arial" w:eastAsia="Arial" w:hAnsi="Arial"/>
          <w:sz w:val="18"/>
          <w:szCs w:val="18"/>
          <w:b w:val="1"/>
          <w:bCs w:val="1"/>
          <w:color w:val="auto"/>
        </w:rPr>
      </w:pPr>
    </w:p>
    <w:p>
      <w:pPr>
        <w:ind w:left="500" w:hanging="13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w:t>
      </w:r>
    </w:p>
    <w:p>
      <w:pPr>
        <w:spacing w:after="0" w:line="117"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on page 8 of this prospectus. Except as required by securities laws applicable to the documents incorporated by reference, we do not intend to update these forward-looking statements and information.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LETTER OF TRANSMITTAL</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TO TENDER</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OUTSTANDING 5.25% SENIOR NOTES DUE 2015</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EXCHANGE OFFER AND 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OCTOBER 11, 2005</w:t>
      </w:r>
    </w:p>
    <w:p>
      <w:pPr>
        <w:spacing w:after="0" w:line="220" w:lineRule="exact"/>
        <w:rPr>
          <w:sz w:val="20"/>
          <w:szCs w:val="20"/>
          <w:color w:val="auto"/>
        </w:rPr>
      </w:pPr>
    </w:p>
    <w:p>
      <w:pPr>
        <w:ind w:left="1600" w:right="1760"/>
        <w:spacing w:after="0" w:line="266" w:lineRule="auto"/>
        <w:rPr>
          <w:sz w:val="20"/>
          <w:szCs w:val="20"/>
          <w:color w:val="auto"/>
        </w:rPr>
      </w:pPr>
      <w:r>
        <w:rPr>
          <w:rFonts w:ascii="Arial" w:cs="Arial" w:eastAsia="Arial" w:hAnsi="Arial"/>
          <w:sz w:val="18"/>
          <w:szCs w:val="18"/>
          <w:b w:val="1"/>
          <w:bCs w:val="1"/>
          <w:color w:val="auto"/>
        </w:rPr>
        <w:t>THE EXCHANGE OFFER AND WITHDRAWAL RIGHTS WILL EXPIRE AT 5:00 P.M., NEW YORK CITY TIME, ON NOVEMBER 16, 2005 (THE “EXPIRATION DATE”), UNLESS THE EXCHANGE OFFER IS EXTENDED BY THE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-433070</wp:posOffset>
            </wp:positionV>
            <wp:extent cx="5240020"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40020" cy="42862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Exchange Agent for the Exchange Offer 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Wachovia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Actions—NC1153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1525 West W. T. Harris Blvd.—3C3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Charlotte, North Carolina 28262-8522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Marsha Rice</w:t>
      </w:r>
    </w:p>
    <w:p>
      <w:pPr>
        <w:sectPr>
          <w:pgSz w:w="11900" w:h="16838" w:orient="portrait"/>
          <w:cols w:equalWidth="0" w:num="1">
            <w:col w:w="11420"/>
          </w:cols>
          <w:pgMar w:left="240" w:top="125" w:right="239" w:bottom="0" w:gutter="0" w:footer="0" w:header="0"/>
        </w:sectPr>
      </w:pPr>
    </w:p>
    <w:bookmarkStart w:id="25" w:name="page26"/>
    <w:bookmarkEnd w:id="25"/>
    <w:p>
      <w:pPr>
        <w:ind w:right="20" w:firstLine="363"/>
        <w:spacing w:after="0" w:line="266" w:lineRule="auto"/>
        <w:rPr>
          <w:sz w:val="20"/>
          <w:szCs w:val="20"/>
          <w:color w:val="auto"/>
        </w:rPr>
      </w:pPr>
      <w:r>
        <w:rPr>
          <w:rFonts w:ascii="Arial" w:cs="Arial" w:eastAsia="Arial" w:hAnsi="Arial"/>
          <w:sz w:val="18"/>
          <w:szCs w:val="18"/>
          <w:b w:val="1"/>
          <w:bCs w:val="1"/>
          <w:color w:val="auto"/>
        </w:rPr>
        <w:t>If you wish to exchange currently outstanding 5.25% senior notes due 2015 (the “outstanding notes”) for an equal aggregate principal amount at maturity of new 5.25% senior notes due 2015 pursuant to the exchange offer, you must validly tender (and not withdraw) outstanding notes to the exchange agent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54610</wp:posOffset>
            </wp:positionV>
            <wp:extent cx="13893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4"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undersigned hereby acknowledges receipt and review of the Prospectus, dated , 2005 (the “Prospectus”), of Plains All American Pipeline, L.P. and PAA Finance Corp. (the “Issuers”), and this Letter of Transmittal (the “Letter of Transmittal”), which together describe the Issuers’ offer (the “Exchange Offer”) to exchange their 5.25% Senior Notes due 2015 (the “New Notes”) that have been registered under the Securities Act of 1933, as amended (the “Securities Act”), for a like principal amount of their issued and outstanding 5.25% Senior Notes due 2015 (the “Outstanding Notes”). Capitalized terms used but not defined herein have the respective meaning given to them in the Prospectus.</w:t>
      </w:r>
    </w:p>
    <w:p>
      <w:pPr>
        <w:spacing w:after="0" w:line="6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w:t>
      </w:r>
    </w:p>
    <w:p>
      <w:pPr>
        <w:spacing w:after="0" w:line="7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“The Exchange Offer—Procedures for Tendering.” DTC participants that are accepting the Exchange Offer must transmit their acceptance to DTC, which will verify the acceptance and execute a book-entry delivery to the Exchange Agent’s DTC account. DTC will then send a computer generated message known as an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“agent’s message” to the exchange agent for its acceptance. For you to validly tender your Outstanding notes in the Exchange Offer the Exchange Agent must receive prior to the Expiration Date, an agent’s message under the ATOP procedures that confirms that:</w:t>
      </w:r>
    </w:p>
    <w:p>
      <w:pPr>
        <w:spacing w:after="0" w:line="62" w:lineRule="exact"/>
        <w:rPr>
          <w:sz w:val="20"/>
          <w:szCs w:val="20"/>
          <w:color w:val="auto"/>
        </w:rPr>
      </w:pPr>
    </w:p>
    <w:p>
      <w:pPr>
        <w:ind w:left="500" w:hanging="13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DTC has received your instructions to tender your Outstanding Notes;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agree to be bound by the terms of this Letter of Transmittal.</w:t>
      </w:r>
    </w:p>
    <w:p>
      <w:pPr>
        <w:spacing w:after="0" w:line="11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 MUST BE PROVIDED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Ladies and Gentlemen:</w:t>
      </w:r>
    </w:p>
    <w:p>
      <w:pPr>
        <w:spacing w:after="0" w:line="121" w:lineRule="exact"/>
        <w:rPr>
          <w:sz w:val="20"/>
          <w:szCs w:val="20"/>
          <w:color w:val="auto"/>
        </w:rPr>
      </w:pPr>
    </w:p>
    <w:p>
      <w:pPr>
        <w:ind w:left="720" w:hanging="35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tendering Outstanding Notes in the Exchange Offer, you acknowledge receipt of the Prospectus and this Letter of Transmittal.</w:t>
      </w:r>
    </w:p>
    <w:p>
      <w:pPr>
        <w:spacing w:after="0" w:line="117" w:lineRule="exact"/>
        <w:rPr>
          <w:rFonts w:ascii="Arial" w:cs="Arial" w:eastAsia="Arial" w:hAnsi="Arial"/>
          <w:sz w:val="18"/>
          <w:szCs w:val="18"/>
          <w:color w:val="auto"/>
        </w:rPr>
      </w:pPr>
    </w:p>
    <w:p>
      <w:pPr>
        <w:jc w:val="both"/>
        <w:ind w:right="360" w:firstLine="368"/>
        <w:spacing w:after="0" w:line="264"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w:t>
      </w:r>
    </w:p>
    <w:p>
      <w:pPr>
        <w:spacing w:after="0" w:line="73" w:lineRule="exact"/>
        <w:rPr>
          <w:rFonts w:ascii="Arial" w:cs="Arial" w:eastAsia="Arial" w:hAnsi="Arial"/>
          <w:sz w:val="18"/>
          <w:szCs w:val="18"/>
          <w:color w:val="auto"/>
        </w:rPr>
      </w:pPr>
    </w:p>
    <w:p>
      <w:pPr>
        <w:ind w:right="240" w:firstLine="368"/>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understand that the tender of the Outstanding Notes pursuant to all of the procedures set forth in the Prospectus will constitute an agreement between the undersigned and the Issuers as to the terms and conditions set forth in the Prospectus.</w:t>
      </w:r>
    </w:p>
    <w:p>
      <w:pPr>
        <w:spacing w:after="0" w:line="62" w:lineRule="exact"/>
        <w:rPr>
          <w:rFonts w:ascii="Arial" w:cs="Arial" w:eastAsia="Arial" w:hAnsi="Arial"/>
          <w:sz w:val="18"/>
          <w:szCs w:val="18"/>
          <w:color w:val="auto"/>
        </w:rPr>
      </w:pPr>
    </w:p>
    <w:p>
      <w:pPr>
        <w:ind w:right="40" w:firstLine="368"/>
        <w:spacing w:after="0" w:line="289"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58" w:lineRule="exact"/>
        <w:rPr>
          <w:rFonts w:ascii="Arial" w:cs="Arial" w:eastAsia="Arial" w:hAnsi="Arial"/>
          <w:sz w:val="16"/>
          <w:szCs w:val="16"/>
          <w:color w:val="auto"/>
        </w:rPr>
      </w:pPr>
    </w:p>
    <w:p>
      <w:pPr>
        <w:ind w:left="720" w:hanging="35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tendering Outstanding Notes in the Exchange Offer, you hereby represent and warrant that:</w:t>
      </w:r>
    </w:p>
    <w:p>
      <w:pPr>
        <w:spacing w:after="0" w:line="117" w:lineRule="exact"/>
        <w:rPr>
          <w:rFonts w:ascii="Arial" w:cs="Arial" w:eastAsia="Arial" w:hAnsi="Arial"/>
          <w:sz w:val="18"/>
          <w:szCs w:val="18"/>
          <w:color w:val="auto"/>
        </w:rPr>
      </w:pPr>
    </w:p>
    <w:p>
      <w:pPr>
        <w:ind w:left="1080" w:right="160" w:hanging="352"/>
        <w:spacing w:after="0" w:line="277" w:lineRule="auto"/>
        <w:tabs>
          <w:tab w:leader="none" w:pos="10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undersigned, whether or not you are the holder;</w:t>
      </w:r>
    </w:p>
    <w:p>
      <w:pPr>
        <w:spacing w:after="0" w:line="62" w:lineRule="exact"/>
        <w:rPr>
          <w:rFonts w:ascii="Arial" w:cs="Arial" w:eastAsia="Arial" w:hAnsi="Arial"/>
          <w:sz w:val="18"/>
          <w:szCs w:val="18"/>
          <w:color w:val="auto"/>
        </w:rPr>
      </w:pPr>
    </w:p>
    <w:p>
      <w:pPr>
        <w:ind w:left="1080" w:right="300" w:hanging="352"/>
        <w:spacing w:after="0" w:line="277" w:lineRule="auto"/>
        <w:tabs>
          <w:tab w:leader="none" w:pos="1084" w:val="left"/>
        </w:tabs>
        <w:numPr>
          <w:ilvl w:val="1"/>
          <w:numId w:val="53"/>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in the distribution of Outstanding Notes or New Notes within the meaning of the Securities Act;</w:t>
      </w:r>
    </w:p>
    <w:p>
      <w:pPr>
        <w:spacing w:after="0" w:line="62" w:lineRule="exact"/>
        <w:rPr>
          <w:rFonts w:ascii="Arial" w:cs="Arial" w:eastAsia="Arial" w:hAnsi="Arial"/>
          <w:sz w:val="18"/>
          <w:szCs w:val="18"/>
          <w:color w:val="auto"/>
        </w:rPr>
      </w:pPr>
    </w:p>
    <w:p>
      <w:pPr>
        <w:ind w:left="1080" w:right="460" w:hanging="352"/>
        <w:spacing w:after="0" w:line="342" w:lineRule="auto"/>
        <w:tabs>
          <w:tab w:leader="none" w:pos="1088" w:val="left"/>
        </w:tabs>
        <w:numPr>
          <w:ilvl w:val="1"/>
          <w:numId w:val="53"/>
        </w:numPr>
        <w:rPr>
          <w:rFonts w:ascii="Arial" w:cs="Arial" w:eastAsia="Arial" w:hAnsi="Arial"/>
          <w:sz w:val="16"/>
          <w:szCs w:val="16"/>
          <w:color w:val="auto"/>
        </w:rPr>
      </w:pPr>
      <w:r>
        <w:rPr>
          <w:rFonts w:ascii="Arial" w:cs="Arial" w:eastAsia="Arial" w:hAnsi="Arial"/>
          <w:sz w:val="16"/>
          <w:szCs w:val="16"/>
          <w:color w:val="auto"/>
        </w:rPr>
        <w:t>you are not an “affiliate,” as such term is defined under Rule 405 promulgated under the Securities Act, of the Company, or if you are an affiliate, you will comply with the registration and prospectus delivery requirements of the Securities Act to the extent applicable;</w:t>
      </w:r>
    </w:p>
    <w:p>
      <w:pPr>
        <w:spacing w:after="0" w:line="15" w:lineRule="exact"/>
        <w:rPr>
          <w:rFonts w:ascii="Arial" w:cs="Arial" w:eastAsia="Arial" w:hAnsi="Arial"/>
          <w:sz w:val="16"/>
          <w:szCs w:val="16"/>
          <w:color w:val="auto"/>
        </w:rPr>
      </w:pPr>
    </w:p>
    <w:p>
      <w:pPr>
        <w:ind w:left="1100" w:hanging="372"/>
        <w:spacing w:after="0"/>
        <w:tabs>
          <w:tab w:leader="none" w:pos="11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you are not a broker-dealer, that you are not engaged in, and do not intend to engage in, the distribution of the New Notes; and</w:t>
      </w:r>
    </w:p>
    <w:p>
      <w:pPr>
        <w:spacing w:after="0" w:line="117" w:lineRule="exact"/>
        <w:rPr>
          <w:rFonts w:ascii="Arial" w:cs="Arial" w:eastAsia="Arial" w:hAnsi="Arial"/>
          <w:sz w:val="18"/>
          <w:szCs w:val="18"/>
          <w:color w:val="auto"/>
        </w:rPr>
      </w:pPr>
    </w:p>
    <w:p>
      <w:pPr>
        <w:jc w:val="both"/>
        <w:ind w:left="1080" w:right="80" w:hanging="352"/>
        <w:spacing w:after="0" w:line="264" w:lineRule="auto"/>
        <w:tabs>
          <w:tab w:leader="none" w:pos="10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w:t>
      </w:r>
    </w:p>
    <w:p>
      <w:pPr>
        <w:sectPr>
          <w:pgSz w:w="11900" w:h="16838" w:orient="portrait"/>
          <w:cols w:equalWidth="0" w:num="1">
            <w:col w:w="11380"/>
          </w:cols>
          <w:pgMar w:left="240" w:top="121" w:right="279" w:bottom="0" w:gutter="0" w:footer="0" w:header="0"/>
        </w:sectPr>
      </w:pPr>
    </w:p>
    <w:bookmarkStart w:id="26" w:name="page27"/>
    <w:bookmarkEnd w:id="26"/>
    <w:p>
      <w:pPr>
        <w:ind w:right="620" w:firstLine="368"/>
        <w:spacing w:after="0" w:line="264"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Registration Rights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Agreement, dated as of May 27, 2005 (the “Registration Rights Agreement”), by and among the Issuers, the Guarantors (as defined therein) and the Initial Purchaser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the undersigned furnished in writing by or on behalf of the undersigned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w:t>
      </w:r>
    </w:p>
    <w:p>
      <w:pPr>
        <w:spacing w:after="0" w:line="67" w:lineRule="exact"/>
        <w:rPr>
          <w:sz w:val="20"/>
          <w:szCs w:val="20"/>
          <w:color w:val="auto"/>
        </w:rPr>
      </w:pPr>
    </w:p>
    <w:p>
      <w:pPr>
        <w:ind w:right="60" w:firstLine="368"/>
        <w:spacing w:after="0" w:line="297"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w:t>
      </w:r>
    </w:p>
    <w:p>
      <w:pPr>
        <w:spacing w:after="0" w:line="50" w:lineRule="exact"/>
        <w:rPr>
          <w:rFonts w:ascii="Arial" w:cs="Arial" w:eastAsia="Arial" w:hAnsi="Arial"/>
          <w:sz w:val="16"/>
          <w:szCs w:val="16"/>
          <w:color w:val="auto"/>
        </w:rPr>
      </w:pPr>
    </w:p>
    <w:p>
      <w:pPr>
        <w:ind w:right="200" w:firstLine="368"/>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your obligations hereunder shall be binding upon your successors, assigns, executors, administrators, trustees in bankruptcy and legal and personal representatives.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121" w:lineRule="exact"/>
        <w:rPr>
          <w:sz w:val="20"/>
          <w:szCs w:val="20"/>
          <w:color w:val="auto"/>
        </w:rPr>
      </w:pPr>
    </w:p>
    <w:p>
      <w:pPr>
        <w:ind w:left="720" w:hanging="352"/>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Book-Entry Confirmations.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Any confirmation of a book-entry transfer to the Exchange Agent’s account at DTC of Outstanding Notes tendered by book-entry transfer (a “Book-Entry Confirmation”), as well as Agent’s Message and any other documents required by this Letter of Transmittal, must be received by the Exchange Agent at its address set forth herein prior to 5:00 P.M., New York City time, on the Expiration Date.</w:t>
      </w:r>
    </w:p>
    <w:p>
      <w:pPr>
        <w:spacing w:after="0" w:line="181" w:lineRule="exact"/>
        <w:rPr>
          <w:sz w:val="20"/>
          <w:szCs w:val="20"/>
          <w:color w:val="auto"/>
        </w:rPr>
      </w:pPr>
    </w:p>
    <w:p>
      <w:pPr>
        <w:ind w:left="720" w:hanging="352"/>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Partial Tenders.</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w:t>
      </w:r>
    </w:p>
    <w:p>
      <w:pPr>
        <w:spacing w:after="0" w:line="154" w:lineRule="exact"/>
        <w:rPr>
          <w:sz w:val="20"/>
          <w:szCs w:val="20"/>
          <w:color w:val="auto"/>
        </w:rPr>
      </w:pPr>
    </w:p>
    <w:p>
      <w:pPr>
        <w:ind w:left="720" w:hanging="35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Validity of Tenders.</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180" w:lineRule="exact"/>
        <w:rPr>
          <w:sz w:val="20"/>
          <w:szCs w:val="20"/>
          <w:color w:val="auto"/>
        </w:rPr>
      </w:pPr>
    </w:p>
    <w:p>
      <w:pPr>
        <w:ind w:left="720" w:hanging="352"/>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Waiver of Conditions.</w:t>
      </w:r>
    </w:p>
    <w:p>
      <w:pPr>
        <w:spacing w:after="0" w:line="11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Issuers reserve the absolute right to waive, in whole or part, up to the expiration of the Exchange Offer, any of the conditions to the Exchange Offer set forth in the Prospectus or in this Letter of Transmittal.</w:t>
      </w:r>
    </w:p>
    <w:p>
      <w:pPr>
        <w:spacing w:after="0" w:line="170" w:lineRule="exact"/>
        <w:rPr>
          <w:sz w:val="20"/>
          <w:szCs w:val="20"/>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Conditional Tender.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alternative, conditional, irregular or contingent tender of Outstanding Notes will be accepted.</w:t>
      </w:r>
    </w:p>
    <w:p>
      <w:pPr>
        <w:spacing w:after="0" w:line="225" w:lineRule="exact"/>
        <w:rPr>
          <w:sz w:val="20"/>
          <w:szCs w:val="20"/>
          <w:color w:val="auto"/>
        </w:rPr>
      </w:pPr>
    </w:p>
    <w:p>
      <w:pPr>
        <w:ind w:left="720" w:hanging="35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Request for Assistance or Additional Copies.</w:t>
      </w:r>
    </w:p>
    <w:p>
      <w:pPr>
        <w:sectPr>
          <w:pgSz w:w="11900" w:h="16838" w:orient="portrait"/>
          <w:cols w:equalWidth="0" w:num="1">
            <w:col w:w="11400"/>
          </w:cols>
          <w:pgMar w:left="240" w:top="125" w:right="259" w:bottom="0" w:gutter="0" w:footer="0" w:header="0"/>
        </w:sectPr>
      </w:pPr>
    </w:p>
    <w:bookmarkStart w:id="27" w:name="page28"/>
    <w:bookmarkEnd w:id="27"/>
    <w:p>
      <w:pPr>
        <w:ind w:right="180" w:firstLine="360"/>
        <w:spacing w:after="0" w:line="277" w:lineRule="auto"/>
        <w:rPr>
          <w:sz w:val="20"/>
          <w:szCs w:val="20"/>
          <w:color w:val="auto"/>
        </w:rPr>
      </w:pPr>
      <w:r>
        <w:rPr>
          <w:rFonts w:ascii="Arial" w:cs="Arial" w:eastAsia="Arial" w:hAnsi="Arial"/>
          <w:sz w:val="18"/>
          <w:szCs w:val="18"/>
          <w:color w:val="auto"/>
        </w:rPr>
        <w:t>Requests for assistance or for additional copies of the Prospectus or this Letter of Transmittal may be directed to the Exchange Agent at the address or telephone number set forth on the cover page of this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Letter of Transmittal. Holders may also contact their broker, dealer, commercial bank, trust company or other nominee for assistance concerning the Exchange Offer.</w:t>
      </w:r>
    </w:p>
    <w:p>
      <w:pPr>
        <w:spacing w:after="0" w:line="170" w:lineRule="exact"/>
        <w:rPr>
          <w:sz w:val="20"/>
          <w:szCs w:val="20"/>
          <w:color w:val="auto"/>
        </w:rPr>
      </w:pPr>
    </w:p>
    <w:p>
      <w:pPr>
        <w:ind w:left="720" w:hanging="35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Withdrawal.</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Tenders may be withdrawn only pursuant to the limited withdrawal rights set forth in the Prospectus under the caption “Exchange Offer—Withdrawal of Tenders.”</w:t>
      </w:r>
    </w:p>
    <w:p>
      <w:pPr>
        <w:spacing w:after="0" w:line="170" w:lineRule="exact"/>
        <w:rPr>
          <w:sz w:val="20"/>
          <w:szCs w:val="20"/>
          <w:color w:val="auto"/>
        </w:rPr>
      </w:pPr>
    </w:p>
    <w:p>
      <w:pPr>
        <w:ind w:left="720" w:hanging="35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Guarantee of Late Delivery.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procedure for guarantee of late delivery in the Exchange Offer.</w:t>
      </w:r>
    </w:p>
    <w:p>
      <w:pPr>
        <w:spacing w:after="0" w:line="11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IMPORTANT: 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lvl w:ilvl="1">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5"/>
    </w:lvl>
    <w:lvl w:ilvl="1">
      <w:lvlJc w:val="left"/>
      <w:lvlText w:val="(%2)"/>
      <w:numFmt w:val="lowerLetter"/>
      <w:start w:val="1"/>
    </w:lvl>
  </w:abstractNum>
  <w:abstractNum w:abstractNumId="28">
    <w:nsid w:val="4B588F54"/>
    <w:multiLevelType w:val="hybridMultilevel"/>
    <w:lvl w:ilvl="0">
      <w:lvlJc w:val="left"/>
      <w:lvlText w:val="·"/>
      <w:numFmt w:val="bullet"/>
      <w:start w:val="1"/>
    </w:lvl>
    <w:lvl w:ilvl="1">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lvl w:ilvl="1">
      <w:lvlJc w:val="left"/>
      <w:lvlText w:val="(%2)"/>
      <w:numFmt w:val="lowerLetter"/>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4"/>
    </w:lvl>
    <w:lvl w:ilvl="1">
      <w:lvlJc w:val="left"/>
      <w:lvlText w:val="(%2)"/>
      <w:numFmt w:val="lowerLetter"/>
      <w:start w:val="1"/>
    </w:lvl>
  </w:abstractNum>
  <w:abstractNum w:abstractNumId="39">
    <w:nsid w:val="79A1DEAA"/>
    <w:multiLevelType w:val="hybridMultilevel"/>
    <w:lvl w:ilvl="0">
      <w:lvlJc w:val="left"/>
      <w:lvlText w:val="%1"/>
      <w:numFmt w:val="decimal"/>
      <w:start w:val="1"/>
    </w:lvl>
    <w:lvl w:ilvl="1">
      <w:lvlJc w:val="left"/>
      <w:lvlText w:val="(%2)"/>
      <w:numFmt w:val="lowerLetter"/>
      <w:start w:val="3"/>
    </w:lvl>
  </w:abstractNum>
  <w:abstractNum w:abstractNumId="40">
    <w:nsid w:val="75C6C33A"/>
    <w:multiLevelType w:val="hybridMultilevel"/>
    <w:lvl w:ilvl="0">
      <w:lvlJc w:val="left"/>
      <w:lvlText w:val="(%1)"/>
      <w:numFmt w:val="decimal"/>
      <w:start w:val="5"/>
    </w:lvl>
    <w:lvl w:ilvl="1">
      <w:lvlJc w:val="left"/>
      <w:lvlText w:val="%2"/>
      <w:numFmt w:val="lowerLetter"/>
      <w:start w:val="1"/>
    </w:lvl>
  </w:abstractNum>
  <w:abstractNum w:abstractNumId="41">
    <w:nsid w:val="12E685FB"/>
    <w:multiLevelType w:val="hybridMultilevel"/>
    <w:lvl w:ilvl="0">
      <w:lvlJc w:val="left"/>
      <w:lvlText w:val="(%1)"/>
      <w:numFmt w:val="decimal"/>
      <w:start w:val="17"/>
    </w:lvl>
  </w:abstractNum>
  <w:abstractNum w:abstractNumId="42">
    <w:nsid w:val="70C6A529"/>
    <w:multiLevelType w:val="hybridMultilevel"/>
    <w:lvl w:ilvl="0">
      <w:lvlJc w:val="left"/>
      <w:lvlText w:val="(%1)"/>
      <w:numFmt w:val="decimal"/>
      <w:start w:val="1"/>
    </w:lvl>
    <w:lvl w:ilvl="1">
      <w:lvlJc w:val="left"/>
      <w:lvlText w:val="(%2)"/>
      <w:numFmt w:val="lowerLetter"/>
      <w:start w:val="1"/>
    </w:lvl>
  </w:abstractNum>
  <w:abstractNum w:abstractNumId="43">
    <w:nsid w:val="520EEDD1"/>
    <w:multiLevelType w:val="hybridMultilevel"/>
    <w:lvl w:ilvl="0">
      <w:lvlJc w:val="left"/>
      <w:lvlText w:val="(%1)"/>
      <w:numFmt w:val="lowerLetter"/>
      <w:start w:val="2"/>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lvl w:ilvl="1">
      <w:lvlJc w:val="left"/>
      <w:lvlText w:val="%2."/>
      <w:numFmt w:val="lowerLetter"/>
      <w:start w:val="1"/>
    </w:lvl>
  </w:abstractNum>
  <w:abstractNum w:abstractNumId="53">
    <w:nsid w:val="47398C89"/>
    <w:multiLevelType w:val="hybridMultilevel"/>
    <w:lvl w:ilvl="0">
      <w:lvlJc w:val="left"/>
      <w:lvlText w:val="%1."/>
      <w:numFmt w:val="decimal"/>
      <w:start w:val="6"/>
    </w:lvl>
  </w:abstractNum>
  <w:abstractNum w:abstractNumId="54">
    <w:nsid w:val="354FE9F9"/>
    <w:multiLevelType w:val="hybridMultilevel"/>
    <w:lvl w:ilvl="0">
      <w:lvlJc w:val="left"/>
      <w:lvlText w:val="%1."/>
      <w:numFmt w:val="decimal"/>
      <w:start w:val="7"/>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2"/>
    </w:lvl>
  </w:abstractNum>
  <w:abstractNum w:abstractNumId="57">
    <w:nsid w:val="D34B6A8"/>
    <w:multiLevelType w:val="hybridMultilevel"/>
    <w:lvl w:ilvl="0">
      <w:lvlJc w:val="left"/>
      <w:lvlText w:val="%1."/>
      <w:numFmt w:val="decimal"/>
      <w:start w:val="3"/>
    </w:lvl>
  </w:abstractNum>
  <w:abstractNum w:abstractNumId="58">
    <w:nsid w:val="10233C99"/>
    <w:multiLevelType w:val="hybridMultilevel"/>
    <w:lvl w:ilvl="0">
      <w:lvlJc w:val="left"/>
      <w:lvlText w:val="%1."/>
      <w:numFmt w:val="decimal"/>
      <w:start w:val="4"/>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decimal"/>
      <w:start w:val="6"/>
    </w:lvl>
  </w:abstractNum>
  <w:abstractNum w:abstractNumId="61">
    <w:nsid w:val="7E0C57B1"/>
    <w:multiLevelType w:val="hybridMultilevel"/>
    <w:lvl w:ilvl="0">
      <w:lvlJc w:val="left"/>
      <w:lvlText w:val="%1."/>
      <w:numFmt w:val="decimal"/>
      <w:start w:val="7"/>
    </w:lvl>
  </w:abstractNum>
  <w:abstractNum w:abstractNumId="62">
    <w:nsid w:val="77AE35E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2020-02-20T21:15:05Z</dcterms:created>
  <dcterms:modified xsi:type="dcterms:W3CDTF">2020-02-20T21:15:05Z</dcterms:modified>
</cp:coreProperties>
</file>