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PAA GP Holdings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12/05/2019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22" w:lineRule="exact"/>
        <w:rPr>
          <w:sz w:val="24"/>
          <w:szCs w:val="24"/>
          <w:color w:val="auto"/>
        </w:rPr>
      </w:pPr>
    </w:p>
    <w:p>
      <w:pPr>
        <w:sectPr>
          <w:pgSz w:w="11900" w:h="16838" w:orient="portrait"/>
          <w:cols w:equalWidth="0" w:num="3">
            <w:col w:w="3353" w:space="720"/>
            <w:col w:w="3727" w:space="257"/>
            <w:col w:w="3363"/>
          </w:cols>
          <w:pgMar w:left="240" w:top="226" w:right="239" w:bottom="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48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80" w:type="dxa"/>
            <w:vAlign w:val="bottom"/>
            <w:shd w:val="clear" w:color="auto" w:fill="9A9A9A"/>
          </w:tcPr>
          <w:p>
            <w:pPr>
              <w:spacing w:after="0"/>
              <w:rPr>
                <w:sz w:val="2"/>
                <w:szCs w:val="2"/>
                <w:color w:val="auto"/>
              </w:rPr>
            </w:pPr>
          </w:p>
        </w:tc>
        <w:tc>
          <w:tcPr>
            <w:tcW w:w="56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10"/>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900" w:type="dxa"/>
            <w:vAlign w:val="bottom"/>
            <w:gridSpan w:val="10"/>
            <w:vMerge w:val="continue"/>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gridSpan w:val="2"/>
          </w:tcPr>
          <w:p>
            <w:pPr>
              <w:jc w:val="right"/>
              <w:ind w:right="34"/>
              <w:spacing w:after="0" w:line="155" w:lineRule="exact"/>
              <w:rPr>
                <w:sz w:val="20"/>
                <w:szCs w:val="20"/>
                <w:color w:val="auto"/>
              </w:rPr>
            </w:pPr>
            <w:r>
              <w:rPr>
                <w:rFonts w:ascii="Arial" w:cs="Arial" w:eastAsia="Arial" w:hAnsi="Arial"/>
                <w:sz w:val="14"/>
                <w:szCs w:val="14"/>
                <w:color w:val="auto"/>
              </w:rPr>
              <w:t>Line)</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TX</w:t>
            </w:r>
          </w:p>
        </w:tc>
        <w:tc>
          <w:tcPr>
            <w:tcW w:w="700" w:type="dxa"/>
            <w:vAlign w:val="bottom"/>
            <w:gridSpan w:val="2"/>
          </w:tcPr>
          <w:p>
            <w:pPr>
              <w:spacing w:after="0"/>
              <w:rPr>
                <w:sz w:val="20"/>
                <w:szCs w:val="20"/>
                <w:color w:val="auto"/>
              </w:rPr>
            </w:pPr>
            <w:r>
              <w:rPr>
                <w:rFonts w:ascii="Arial" w:cs="Arial" w:eastAsia="Arial" w:hAnsi="Arial"/>
                <w:sz w:val="18"/>
                <w:szCs w:val="18"/>
                <w:color w:val="0000FF"/>
              </w:rPr>
              <w:t>77002</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60" w:type="dxa"/>
            <w:vAlign w:val="bottom"/>
            <w:gridSpan w:val="5"/>
          </w:tcPr>
          <w:p>
            <w:pPr>
              <w:ind w:left="160"/>
              <w:spacing w:after="0" w:line="15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70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restart"/>
          </w:tcPr>
          <w:p>
            <w:pPr>
              <w:ind w:left="160"/>
              <w:spacing w:after="0" w:line="148"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gridSpan w:val="3"/>
          </w:tcPr>
          <w:p>
            <w:pPr>
              <w:spacing w:after="0"/>
              <w:rPr>
                <w:sz w:val="11"/>
                <w:szCs w:val="11"/>
                <w:color w:val="auto"/>
              </w:rPr>
            </w:pPr>
          </w:p>
        </w:tc>
        <w:tc>
          <w:tcPr>
            <w:tcW w:w="258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8"/>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9"/>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100" w:type="dxa"/>
            <w:vAlign w:val="bottom"/>
            <w:gridSpan w:val="2"/>
            <w:vMerge w:val="restart"/>
          </w:tcPr>
          <w:p>
            <w:pPr>
              <w:jc w:val="right"/>
              <w:ind w:right="118"/>
              <w:spacing w:after="0"/>
              <w:rPr>
                <w:sz w:val="20"/>
                <w:szCs w:val="20"/>
                <w:color w:val="auto"/>
              </w:rPr>
            </w:pPr>
            <w:r>
              <w:rPr>
                <w:rFonts w:ascii="Arial" w:cs="Arial" w:eastAsia="Arial" w:hAnsi="Arial"/>
                <w:sz w:val="18"/>
                <w:szCs w:val="18"/>
                <w:color w:val="0000FF"/>
                <w:w w:val="99"/>
              </w:rPr>
              <w:t>12/05/2019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(1)(2)</w:t>
            </w:r>
          </w:p>
        </w:tc>
        <w:tc>
          <w:tcPr>
            <w:tcW w:w="1060" w:type="dxa"/>
            <w:vAlign w:val="bottom"/>
            <w:gridSpan w:val="2"/>
            <w:vMerge w:val="restart"/>
          </w:tcPr>
          <w:p>
            <w:pPr>
              <w:ind w:left="140"/>
              <w:spacing w:after="0"/>
              <w:rPr>
                <w:sz w:val="20"/>
                <w:szCs w:val="20"/>
                <w:color w:val="auto"/>
              </w:rPr>
            </w:pPr>
            <w:r>
              <w:rPr>
                <w:rFonts w:ascii="Arial" w:cs="Arial" w:eastAsia="Arial" w:hAnsi="Arial"/>
                <w:sz w:val="18"/>
                <w:szCs w:val="18"/>
                <w:color w:val="0000FF"/>
              </w:rPr>
              <w:t>2,449,600</w:t>
            </w:r>
          </w:p>
        </w:tc>
        <w:tc>
          <w:tcPr>
            <w:tcW w:w="400" w:type="dxa"/>
            <w:vAlign w:val="bottom"/>
            <w:vMerge w:val="restart"/>
          </w:tcPr>
          <w:p>
            <w:pPr>
              <w:ind w:left="60"/>
              <w:spacing w:after="0"/>
              <w:rPr>
                <w:sz w:val="20"/>
                <w:szCs w:val="20"/>
                <w:color w:val="auto"/>
              </w:rPr>
            </w:pPr>
            <w:r>
              <w:rPr>
                <w:rFonts w:ascii="Arial" w:cs="Arial" w:eastAsia="Arial" w:hAnsi="Arial"/>
                <w:sz w:val="18"/>
                <w:szCs w:val="18"/>
                <w:color w:val="0000FF"/>
              </w:rPr>
              <w:t>D</w:t>
            </w:r>
          </w:p>
        </w:tc>
        <w:tc>
          <w:tcPr>
            <w:tcW w:w="640" w:type="dxa"/>
            <w:vAlign w:val="bottom"/>
            <w:gridSpan w:val="2"/>
            <w:vMerge w:val="restart"/>
          </w:tcPr>
          <w:p>
            <w:pPr>
              <w:jc w:val="right"/>
              <w:ind w:right="34"/>
              <w:spacing w:after="0" w:line="386" w:lineRule="exact"/>
              <w:rPr>
                <w:sz w:val="20"/>
                <w:szCs w:val="20"/>
                <w:color w:val="auto"/>
              </w:rPr>
            </w:pPr>
            <w:r>
              <w:rPr>
                <w:rFonts w:ascii="Arial" w:cs="Arial" w:eastAsia="Arial" w:hAnsi="Arial"/>
                <w:sz w:val="35"/>
                <w:szCs w:val="35"/>
                <w:color w:val="000000"/>
                <w:w w:val="98"/>
                <w:vertAlign w:val="subscript"/>
              </w:rPr>
              <w:t>$</w:t>
            </w:r>
            <w:r>
              <w:rPr>
                <w:rFonts w:ascii="Arial" w:cs="Arial" w:eastAsia="Arial" w:hAnsi="Arial"/>
                <w:sz w:val="35"/>
                <w:szCs w:val="35"/>
                <w:color w:val="0000FF"/>
                <w:w w:val="98"/>
                <w:vertAlign w:val="subscript"/>
              </w:rPr>
              <w:t>0</w:t>
            </w:r>
            <w:r>
              <w:rPr>
                <w:rFonts w:ascii="Arial" w:cs="Arial" w:eastAsia="Arial" w:hAnsi="Arial"/>
                <w:sz w:val="11"/>
                <w:szCs w:val="11"/>
                <w:color w:val="008000"/>
                <w:w w:val="98"/>
              </w:rPr>
              <w:t>(1)(2)</w:t>
            </w:r>
          </w:p>
        </w:tc>
        <w:tc>
          <w:tcPr>
            <w:tcW w:w="1240" w:type="dxa"/>
            <w:vAlign w:val="bottom"/>
            <w:gridSpan w:val="2"/>
            <w:vMerge w:val="restart"/>
          </w:tcPr>
          <w:p>
            <w:pPr>
              <w:ind w:left="160"/>
              <w:spacing w:after="0"/>
              <w:rPr>
                <w:sz w:val="20"/>
                <w:szCs w:val="20"/>
                <w:color w:val="auto"/>
              </w:rPr>
            </w:pPr>
            <w:r>
              <w:rPr>
                <w:rFonts w:ascii="Arial" w:cs="Arial" w:eastAsia="Arial" w:hAnsi="Arial"/>
                <w:sz w:val="18"/>
                <w:szCs w:val="18"/>
                <w:color w:val="0000FF"/>
              </w:rPr>
              <w:t>249,772,082</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40" w:type="dxa"/>
            <w:vAlign w:val="bottom"/>
            <w:gridSpan w:val="9"/>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7"/>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80" w:type="dxa"/>
            <w:vAlign w:val="bottom"/>
            <w:gridSpan w:val="14"/>
          </w:tcPr>
          <w:p>
            <w:pPr>
              <w:jc w:val="center"/>
              <w:ind w:left="23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2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4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34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PAA GP Holdings LLC</w:t>
              </w:r>
            </w:hyperlink>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9"/>
              </w:rPr>
              <w:t>333 CLAY STREET, STE. 1600</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4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Plains AAP, L.P.</w:t>
              </w:r>
            </w:hyperlink>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4"/>
              </w:rPr>
              <w:t>333 CLAY STREET, SUITE 1600</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4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gridSpan w:val="8"/>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Plains All American GP LLC</w:t>
              </w:r>
            </w:hyperlink>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333 CLAY STREET, SUITE 1600</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6">
              <w:r>
                <w:rPr>
                  <w:rFonts w:ascii="Arial" w:cs="Arial" w:eastAsia="Arial" w:hAnsi="Arial"/>
                  <w:sz w:val="22"/>
                  <w:szCs w:val="22"/>
                  <w:color w:val="0000EE"/>
                  <w:w w:val="93"/>
                </w:rPr>
                <w:t>PLAINS GP HOLDINGS LP</w:t>
              </w:r>
            </w:hyperlink>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333 CLAY ST.,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405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4053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0"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p>
      <w:pPr>
        <w:spacing w:after="0" w:line="31" w:lineRule="exact"/>
        <w:rPr>
          <w:rFonts w:ascii="Arial" w:cs="Arial" w:eastAsia="Arial" w:hAnsi="Arial"/>
          <w:sz w:val="14"/>
          <w:szCs w:val="14"/>
          <w:color w:val="008000"/>
        </w:rPr>
      </w:pPr>
    </w:p>
    <w:p>
      <w:pPr>
        <w:ind w:left="20" w:right="54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Effective December 5, 2019, a limited partner of AAP exercised the Redemption Right with respect to 2,449,600 AAP Class A units, resulting in the cancellation of such AAP Class A units and the distribution of 2,449,600 Common Units from AAP to the redeeming partner.</w:t>
      </w:r>
    </w:p>
    <w:p>
      <w:pPr>
        <w:spacing w:after="0" w:line="30" w:lineRule="exact"/>
        <w:rPr>
          <w:rFonts w:ascii="Arial" w:cs="Arial" w:eastAsia="Arial" w:hAnsi="Arial"/>
          <w:sz w:val="14"/>
          <w:szCs w:val="14"/>
          <w:color w:val="008000"/>
        </w:rPr>
      </w:pPr>
    </w:p>
    <w:p>
      <w:pPr>
        <w:ind w:left="20" w:right="160" w:firstLine="9"/>
        <w:spacing w:after="0" w:line="29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ind w:left="2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Ann F. Gullion, Assistant</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12/05/2019</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6"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2019-12-05T18:02:19Z</dcterms:created>
  <dcterms:modified xsi:type="dcterms:W3CDTF">2019-12-05T18:02:19Z</dcterms:modified>
</cp:coreProperties>
</file>